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67B80" w14:textId="77777777" w:rsidR="00847D15" w:rsidRPr="00227CF9" w:rsidRDefault="00847D15" w:rsidP="00D4304B">
      <w:pPr>
        <w:widowControl w:val="0"/>
        <w:rPr>
          <w:color w:val="000000"/>
          <w:szCs w:val="22"/>
        </w:rPr>
      </w:pPr>
      <w:bookmarkStart w:id="0" w:name="_GoBack"/>
      <w:bookmarkEnd w:id="0"/>
    </w:p>
    <w:p w14:paraId="32367B81" w14:textId="77777777" w:rsidR="00847D15" w:rsidRPr="00227CF9" w:rsidRDefault="00847D15" w:rsidP="00D4304B">
      <w:pPr>
        <w:widowControl w:val="0"/>
        <w:rPr>
          <w:color w:val="000000"/>
          <w:szCs w:val="22"/>
        </w:rPr>
      </w:pPr>
    </w:p>
    <w:p w14:paraId="32367B82" w14:textId="77777777" w:rsidR="00847D15" w:rsidRPr="00227CF9" w:rsidRDefault="00847D15" w:rsidP="00D4304B">
      <w:pPr>
        <w:widowControl w:val="0"/>
        <w:rPr>
          <w:color w:val="000000"/>
          <w:szCs w:val="22"/>
        </w:rPr>
      </w:pPr>
    </w:p>
    <w:p w14:paraId="32367B83" w14:textId="77777777" w:rsidR="00847D15" w:rsidRPr="00227CF9" w:rsidRDefault="00847D15" w:rsidP="00D4304B">
      <w:pPr>
        <w:widowControl w:val="0"/>
        <w:rPr>
          <w:color w:val="000000"/>
          <w:szCs w:val="22"/>
        </w:rPr>
      </w:pPr>
    </w:p>
    <w:p w14:paraId="32367B84" w14:textId="77777777" w:rsidR="00847D15" w:rsidRPr="00227CF9" w:rsidRDefault="00847D15" w:rsidP="00D4304B">
      <w:pPr>
        <w:widowControl w:val="0"/>
        <w:rPr>
          <w:color w:val="000000"/>
          <w:szCs w:val="22"/>
        </w:rPr>
      </w:pPr>
    </w:p>
    <w:p w14:paraId="32367B85" w14:textId="77777777" w:rsidR="00847D15" w:rsidRPr="00227CF9" w:rsidRDefault="00847D15" w:rsidP="00D4304B">
      <w:pPr>
        <w:widowControl w:val="0"/>
        <w:rPr>
          <w:color w:val="000000"/>
          <w:szCs w:val="22"/>
        </w:rPr>
      </w:pPr>
    </w:p>
    <w:p w14:paraId="32367B86" w14:textId="77777777" w:rsidR="00847D15" w:rsidRPr="00227CF9" w:rsidRDefault="00847D15" w:rsidP="00D4304B">
      <w:pPr>
        <w:widowControl w:val="0"/>
        <w:rPr>
          <w:color w:val="000000"/>
          <w:szCs w:val="22"/>
        </w:rPr>
      </w:pPr>
    </w:p>
    <w:p w14:paraId="32367B87" w14:textId="77777777" w:rsidR="00847D15" w:rsidRPr="00227CF9" w:rsidRDefault="00847D15" w:rsidP="00D4304B">
      <w:pPr>
        <w:widowControl w:val="0"/>
        <w:rPr>
          <w:color w:val="000000"/>
          <w:szCs w:val="22"/>
        </w:rPr>
      </w:pPr>
    </w:p>
    <w:p w14:paraId="32367B88" w14:textId="77777777" w:rsidR="00847D15" w:rsidRPr="00227CF9" w:rsidRDefault="00847D15" w:rsidP="00D4304B">
      <w:pPr>
        <w:widowControl w:val="0"/>
        <w:rPr>
          <w:color w:val="000000"/>
          <w:szCs w:val="22"/>
        </w:rPr>
      </w:pPr>
    </w:p>
    <w:p w14:paraId="32367B89" w14:textId="77777777" w:rsidR="00847D15" w:rsidRPr="00227CF9" w:rsidRDefault="00847D15" w:rsidP="00D4304B">
      <w:pPr>
        <w:widowControl w:val="0"/>
        <w:rPr>
          <w:color w:val="000000"/>
          <w:szCs w:val="22"/>
        </w:rPr>
      </w:pPr>
    </w:p>
    <w:p w14:paraId="32367B8A" w14:textId="77777777" w:rsidR="00847D15" w:rsidRPr="00227CF9" w:rsidRDefault="00847D15" w:rsidP="00D4304B">
      <w:pPr>
        <w:widowControl w:val="0"/>
        <w:rPr>
          <w:color w:val="000000"/>
          <w:szCs w:val="22"/>
        </w:rPr>
      </w:pPr>
    </w:p>
    <w:p w14:paraId="32367B8B" w14:textId="77777777" w:rsidR="00847D15" w:rsidRPr="00227CF9" w:rsidRDefault="00847D15" w:rsidP="00D4304B">
      <w:pPr>
        <w:widowControl w:val="0"/>
        <w:rPr>
          <w:color w:val="000000"/>
          <w:szCs w:val="22"/>
        </w:rPr>
      </w:pPr>
    </w:p>
    <w:p w14:paraId="32367B8C" w14:textId="77777777" w:rsidR="00847D15" w:rsidRPr="00227CF9" w:rsidRDefault="00847D15" w:rsidP="00D4304B">
      <w:pPr>
        <w:widowControl w:val="0"/>
        <w:rPr>
          <w:color w:val="000000"/>
          <w:szCs w:val="22"/>
        </w:rPr>
      </w:pPr>
    </w:p>
    <w:p w14:paraId="32367B8D" w14:textId="77777777" w:rsidR="00847D15" w:rsidRPr="00227CF9" w:rsidRDefault="00847D15" w:rsidP="00D4304B">
      <w:pPr>
        <w:widowControl w:val="0"/>
        <w:rPr>
          <w:color w:val="000000"/>
          <w:szCs w:val="22"/>
        </w:rPr>
      </w:pPr>
    </w:p>
    <w:p w14:paraId="32367B8E" w14:textId="77777777" w:rsidR="00847D15" w:rsidRPr="00227CF9" w:rsidRDefault="00847D15" w:rsidP="00D4304B">
      <w:pPr>
        <w:widowControl w:val="0"/>
        <w:rPr>
          <w:color w:val="000000"/>
          <w:szCs w:val="22"/>
        </w:rPr>
      </w:pPr>
    </w:p>
    <w:p w14:paraId="32367B8F" w14:textId="77777777" w:rsidR="00847D15" w:rsidRPr="00227CF9" w:rsidRDefault="00847D15" w:rsidP="00D4304B">
      <w:pPr>
        <w:widowControl w:val="0"/>
        <w:rPr>
          <w:color w:val="000000"/>
          <w:szCs w:val="22"/>
        </w:rPr>
      </w:pPr>
    </w:p>
    <w:p w14:paraId="32367B90" w14:textId="77777777" w:rsidR="00847D15" w:rsidRPr="00227CF9" w:rsidRDefault="00847D15" w:rsidP="00D4304B">
      <w:pPr>
        <w:widowControl w:val="0"/>
        <w:rPr>
          <w:color w:val="000000"/>
          <w:szCs w:val="22"/>
        </w:rPr>
      </w:pPr>
    </w:p>
    <w:p w14:paraId="32367B91" w14:textId="77777777" w:rsidR="00847D15" w:rsidRPr="00227CF9" w:rsidRDefault="00847D15" w:rsidP="00D4304B">
      <w:pPr>
        <w:widowControl w:val="0"/>
        <w:rPr>
          <w:color w:val="000000"/>
          <w:szCs w:val="22"/>
        </w:rPr>
      </w:pPr>
    </w:p>
    <w:p w14:paraId="32367B92" w14:textId="77777777" w:rsidR="00847D15" w:rsidRPr="00227CF9" w:rsidRDefault="00847D15" w:rsidP="00D4304B">
      <w:pPr>
        <w:widowControl w:val="0"/>
        <w:rPr>
          <w:color w:val="000000"/>
          <w:szCs w:val="22"/>
        </w:rPr>
      </w:pPr>
    </w:p>
    <w:p w14:paraId="32367B93" w14:textId="77777777" w:rsidR="00847D15" w:rsidRPr="00227CF9" w:rsidRDefault="00847D15" w:rsidP="00D4304B">
      <w:pPr>
        <w:widowControl w:val="0"/>
        <w:rPr>
          <w:color w:val="000000"/>
          <w:szCs w:val="22"/>
        </w:rPr>
      </w:pPr>
    </w:p>
    <w:p w14:paraId="32367B94" w14:textId="77777777" w:rsidR="00847D15" w:rsidRPr="00227CF9" w:rsidRDefault="00847D15" w:rsidP="00D4304B">
      <w:pPr>
        <w:widowControl w:val="0"/>
        <w:rPr>
          <w:color w:val="000000"/>
          <w:szCs w:val="22"/>
        </w:rPr>
      </w:pPr>
    </w:p>
    <w:p w14:paraId="32367B95" w14:textId="77777777" w:rsidR="00847D15" w:rsidRPr="00227CF9" w:rsidRDefault="00847D15" w:rsidP="00D4304B">
      <w:pPr>
        <w:widowControl w:val="0"/>
        <w:rPr>
          <w:color w:val="000000"/>
          <w:szCs w:val="22"/>
        </w:rPr>
      </w:pPr>
    </w:p>
    <w:p w14:paraId="32367B96" w14:textId="77777777" w:rsidR="00847D15" w:rsidRPr="00227CF9" w:rsidRDefault="00847D15" w:rsidP="00D4304B">
      <w:pPr>
        <w:widowControl w:val="0"/>
        <w:outlineLvl w:val="0"/>
        <w:rPr>
          <w:color w:val="000000"/>
          <w:szCs w:val="22"/>
        </w:rPr>
      </w:pPr>
    </w:p>
    <w:p w14:paraId="32367B97" w14:textId="77777777" w:rsidR="00847D15" w:rsidRPr="00C83045" w:rsidRDefault="00847D15" w:rsidP="00D4304B">
      <w:pPr>
        <w:widowControl w:val="0"/>
        <w:jc w:val="center"/>
        <w:outlineLvl w:val="0"/>
        <w:rPr>
          <w:b/>
          <w:color w:val="000000"/>
          <w:szCs w:val="22"/>
        </w:rPr>
      </w:pPr>
      <w:r w:rsidRPr="00C83045">
        <w:rPr>
          <w:b/>
          <w:color w:val="000000"/>
          <w:szCs w:val="22"/>
        </w:rPr>
        <w:t>PRÍLOHA I</w:t>
      </w:r>
    </w:p>
    <w:p w14:paraId="32367B98" w14:textId="77777777" w:rsidR="00847D15" w:rsidRPr="00C83045" w:rsidRDefault="00847D15" w:rsidP="00D4304B">
      <w:pPr>
        <w:widowControl w:val="0"/>
        <w:jc w:val="center"/>
        <w:rPr>
          <w:color w:val="000000"/>
          <w:szCs w:val="22"/>
        </w:rPr>
      </w:pPr>
    </w:p>
    <w:p w14:paraId="32367B99" w14:textId="77777777" w:rsidR="00847D15" w:rsidRPr="00C83045" w:rsidRDefault="00847D15" w:rsidP="00D4304B">
      <w:pPr>
        <w:widowControl w:val="0"/>
        <w:jc w:val="center"/>
        <w:outlineLvl w:val="0"/>
        <w:rPr>
          <w:b/>
          <w:caps/>
          <w:color w:val="000000"/>
          <w:szCs w:val="22"/>
        </w:rPr>
      </w:pPr>
      <w:r w:rsidRPr="00C83045">
        <w:rPr>
          <w:b/>
          <w:caps/>
          <w:color w:val="000000"/>
          <w:szCs w:val="22"/>
        </w:rPr>
        <w:t>Súhrn charakteristických vlastností lieku</w:t>
      </w:r>
    </w:p>
    <w:p w14:paraId="32367B9A" w14:textId="77777777" w:rsidR="00847D15" w:rsidRPr="00C83045" w:rsidRDefault="00847D15" w:rsidP="00D4304B">
      <w:pPr>
        <w:widowControl w:val="0"/>
        <w:tabs>
          <w:tab w:val="left" w:pos="-1440"/>
          <w:tab w:val="left" w:pos="-720"/>
        </w:tabs>
        <w:jc w:val="center"/>
        <w:rPr>
          <w:color w:val="000000"/>
          <w:szCs w:val="22"/>
        </w:rPr>
      </w:pPr>
    </w:p>
    <w:p w14:paraId="32367B9B" w14:textId="77777777" w:rsidR="009340C6" w:rsidRPr="00C83045" w:rsidRDefault="00847D15" w:rsidP="00D4304B">
      <w:pPr>
        <w:widowControl w:val="0"/>
        <w:ind w:left="0" w:firstLine="0"/>
        <w:rPr>
          <w:noProof/>
          <w:snapToGrid w:val="0"/>
          <w:szCs w:val="22"/>
          <w:lang w:eastAsia="en-US"/>
        </w:rPr>
      </w:pPr>
      <w:r w:rsidRPr="00C83045">
        <w:rPr>
          <w:b/>
          <w:color w:val="000000"/>
          <w:szCs w:val="22"/>
        </w:rPr>
        <w:br w:type="page"/>
      </w:r>
      <w:r w:rsidR="00DF0316" w:rsidRPr="00C83045">
        <w:rPr>
          <w:noProof/>
          <w:snapToGrid w:val="0"/>
          <w:szCs w:val="20"/>
          <w:lang w:val="en-US" w:eastAsia="en-US"/>
        </w:rPr>
        <w:lastRenderedPageBreak/>
        <w:drawing>
          <wp:inline distT="0" distB="0" distL="0" distR="0" wp14:anchorId="3236901C" wp14:editId="3236901D">
            <wp:extent cx="201295" cy="173990"/>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9340C6" w:rsidRPr="00C83045">
        <w:rPr>
          <w:noProof/>
          <w:snapToGrid w:val="0"/>
          <w:szCs w:val="22"/>
          <w:lang w:eastAsia="en-US"/>
        </w:rPr>
        <w:t>Tento liek je predmetom ďalšieho monitorovania. To umožní rýchle získanie nových informácií o bezpečnosti.</w:t>
      </w:r>
      <w:r w:rsidR="009340C6" w:rsidRPr="00C83045">
        <w:rPr>
          <w:snapToGrid w:val="0"/>
          <w:szCs w:val="22"/>
          <w:lang w:eastAsia="en-US"/>
        </w:rPr>
        <w:t xml:space="preserve"> Od </w:t>
      </w:r>
      <w:r w:rsidR="009340C6" w:rsidRPr="00C83045">
        <w:rPr>
          <w:noProof/>
          <w:snapToGrid w:val="0"/>
          <w:szCs w:val="22"/>
          <w:lang w:eastAsia="en-US"/>
        </w:rPr>
        <w:t>zdravotníckych pracovníkov sa vyžaduje, aby hlásili akékoľvek podozrenia na nežiaduce reakcie.</w:t>
      </w:r>
      <w:r w:rsidR="009340C6" w:rsidRPr="00C83045">
        <w:rPr>
          <w:snapToGrid w:val="0"/>
          <w:szCs w:val="22"/>
          <w:lang w:eastAsia="en-US"/>
        </w:rPr>
        <w:t xml:space="preserve"> </w:t>
      </w:r>
      <w:r w:rsidR="009340C6" w:rsidRPr="00C83045">
        <w:rPr>
          <w:noProof/>
          <w:snapToGrid w:val="0"/>
          <w:szCs w:val="22"/>
          <w:lang w:eastAsia="en-US"/>
        </w:rPr>
        <w:t>Informácie o tom, ako hlásiť nežiaduce reakcie, nájdete v časti 4.8.</w:t>
      </w:r>
    </w:p>
    <w:p w14:paraId="32367B9C" w14:textId="77777777" w:rsidR="009340C6" w:rsidRPr="00C83045" w:rsidRDefault="009340C6" w:rsidP="00D4304B">
      <w:pPr>
        <w:widowControl w:val="0"/>
        <w:tabs>
          <w:tab w:val="left" w:pos="567"/>
        </w:tabs>
        <w:ind w:left="0" w:firstLine="0"/>
        <w:rPr>
          <w:noProof/>
          <w:snapToGrid w:val="0"/>
          <w:szCs w:val="22"/>
          <w:lang w:eastAsia="en-US"/>
        </w:rPr>
      </w:pPr>
    </w:p>
    <w:p w14:paraId="32367B9D" w14:textId="77777777" w:rsidR="009340C6" w:rsidRPr="00C83045" w:rsidRDefault="009340C6" w:rsidP="00D4304B">
      <w:pPr>
        <w:widowControl w:val="0"/>
        <w:tabs>
          <w:tab w:val="left" w:pos="567"/>
        </w:tabs>
        <w:ind w:left="0" w:firstLine="0"/>
        <w:rPr>
          <w:noProof/>
          <w:snapToGrid w:val="0"/>
          <w:szCs w:val="22"/>
          <w:lang w:eastAsia="en-US"/>
        </w:rPr>
      </w:pPr>
    </w:p>
    <w:p w14:paraId="32367B9E" w14:textId="77777777" w:rsidR="00847D15" w:rsidRPr="00C83045" w:rsidRDefault="00847D15" w:rsidP="00D4304B">
      <w:pPr>
        <w:widowControl w:val="0"/>
        <w:rPr>
          <w:b/>
          <w:bCs/>
          <w:caps/>
          <w:color w:val="000000"/>
          <w:szCs w:val="22"/>
        </w:rPr>
      </w:pPr>
      <w:r w:rsidRPr="00C83045">
        <w:rPr>
          <w:b/>
          <w:bCs/>
          <w:caps/>
          <w:color w:val="000000"/>
          <w:szCs w:val="22"/>
        </w:rPr>
        <w:t>1.</w:t>
      </w:r>
      <w:r w:rsidRPr="00C83045">
        <w:rPr>
          <w:b/>
          <w:bCs/>
          <w:caps/>
          <w:color w:val="000000"/>
          <w:szCs w:val="22"/>
        </w:rPr>
        <w:tab/>
        <w:t>Názov lieku</w:t>
      </w:r>
    </w:p>
    <w:p w14:paraId="32367B9F" w14:textId="77777777" w:rsidR="00847D15" w:rsidRPr="00C83045" w:rsidRDefault="00847D15" w:rsidP="00D4304B">
      <w:pPr>
        <w:widowControl w:val="0"/>
        <w:rPr>
          <w:bCs/>
          <w:caps/>
          <w:color w:val="000000"/>
          <w:szCs w:val="22"/>
        </w:rPr>
      </w:pPr>
    </w:p>
    <w:p w14:paraId="32367BA1" w14:textId="77777777" w:rsidR="00075FEE" w:rsidRPr="00C83045" w:rsidRDefault="00075FEE" w:rsidP="00D4304B">
      <w:pPr>
        <w:widowControl w:val="0"/>
        <w:rPr>
          <w:color w:val="000000"/>
          <w:szCs w:val="22"/>
        </w:rPr>
      </w:pPr>
      <w:r w:rsidRPr="00C83045">
        <w:rPr>
          <w:color w:val="000000"/>
          <w:szCs w:val="22"/>
        </w:rPr>
        <w:t>Glivec 100 mg tvrdé kapsuly</w:t>
      </w:r>
    </w:p>
    <w:p w14:paraId="32367BA2" w14:textId="77777777" w:rsidR="00847D15" w:rsidRPr="00C83045" w:rsidRDefault="00847D15" w:rsidP="00D4304B">
      <w:pPr>
        <w:widowControl w:val="0"/>
        <w:rPr>
          <w:color w:val="000000"/>
          <w:szCs w:val="22"/>
        </w:rPr>
      </w:pPr>
    </w:p>
    <w:p w14:paraId="32367BA3" w14:textId="77777777" w:rsidR="00847D15" w:rsidRPr="00C83045" w:rsidRDefault="00847D15" w:rsidP="00D4304B">
      <w:pPr>
        <w:widowControl w:val="0"/>
        <w:rPr>
          <w:color w:val="000000"/>
          <w:szCs w:val="22"/>
        </w:rPr>
      </w:pPr>
    </w:p>
    <w:p w14:paraId="32367BA4" w14:textId="77777777" w:rsidR="00847D15" w:rsidRPr="00C83045" w:rsidRDefault="00847D15" w:rsidP="00D4304B">
      <w:pPr>
        <w:keepNext/>
        <w:widowControl w:val="0"/>
        <w:rPr>
          <w:b/>
          <w:bCs/>
          <w:caps/>
          <w:color w:val="000000"/>
          <w:szCs w:val="22"/>
        </w:rPr>
      </w:pPr>
      <w:r w:rsidRPr="00C83045">
        <w:rPr>
          <w:b/>
          <w:bCs/>
          <w:caps/>
          <w:color w:val="000000"/>
          <w:szCs w:val="22"/>
        </w:rPr>
        <w:t>2.</w:t>
      </w:r>
      <w:r w:rsidRPr="00C83045">
        <w:rPr>
          <w:b/>
          <w:bCs/>
          <w:caps/>
          <w:color w:val="000000"/>
          <w:szCs w:val="22"/>
        </w:rPr>
        <w:tab/>
        <w:t>Kvalitatívne a kvantitatívne zloŽenie</w:t>
      </w:r>
    </w:p>
    <w:p w14:paraId="32367BA5" w14:textId="77777777" w:rsidR="00847D15" w:rsidRPr="00C83045" w:rsidRDefault="00847D15" w:rsidP="00D4304B">
      <w:pPr>
        <w:keepNext/>
        <w:widowControl w:val="0"/>
        <w:rPr>
          <w:color w:val="000000"/>
          <w:szCs w:val="22"/>
        </w:rPr>
      </w:pPr>
    </w:p>
    <w:p w14:paraId="32367BAA" w14:textId="77777777" w:rsidR="00075FEE" w:rsidRPr="00C83045" w:rsidRDefault="00075FEE" w:rsidP="00D4304B">
      <w:pPr>
        <w:widowControl w:val="0"/>
        <w:rPr>
          <w:color w:val="000000"/>
          <w:szCs w:val="22"/>
        </w:rPr>
      </w:pPr>
      <w:r>
        <w:rPr>
          <w:color w:val="000000"/>
          <w:szCs w:val="22"/>
        </w:rPr>
        <w:t>Každá kapsula obsahuje 10</w:t>
      </w:r>
      <w:r w:rsidRPr="00C83045">
        <w:rPr>
          <w:color w:val="000000"/>
          <w:szCs w:val="22"/>
        </w:rPr>
        <w:t>0 mg imatinibu (ako mesilátu).</w:t>
      </w:r>
    </w:p>
    <w:p w14:paraId="32367BAB" w14:textId="77777777" w:rsidR="00075FEE" w:rsidRPr="00C83045" w:rsidRDefault="00075FEE" w:rsidP="00D4304B">
      <w:pPr>
        <w:widowControl w:val="0"/>
        <w:ind w:left="0" w:firstLine="0"/>
        <w:rPr>
          <w:i/>
          <w:color w:val="000000"/>
          <w:szCs w:val="22"/>
        </w:rPr>
      </w:pPr>
    </w:p>
    <w:p w14:paraId="32367BAC" w14:textId="77777777" w:rsidR="00F75E5D" w:rsidRPr="00C83045" w:rsidRDefault="00F75E5D" w:rsidP="00D4304B">
      <w:pPr>
        <w:widowControl w:val="0"/>
        <w:outlineLvl w:val="0"/>
        <w:rPr>
          <w:color w:val="000000"/>
          <w:szCs w:val="22"/>
        </w:rPr>
      </w:pPr>
      <w:r w:rsidRPr="00C83045">
        <w:rPr>
          <w:color w:val="000000"/>
          <w:szCs w:val="22"/>
        </w:rPr>
        <w:t>Úplný zoznam pomocných látok, pozri časť</w:t>
      </w:r>
      <w:r w:rsidR="006F7F96">
        <w:rPr>
          <w:color w:val="000000"/>
          <w:szCs w:val="22"/>
        </w:rPr>
        <w:t> </w:t>
      </w:r>
      <w:r w:rsidRPr="00C83045">
        <w:rPr>
          <w:color w:val="000000"/>
          <w:szCs w:val="22"/>
        </w:rPr>
        <w:t>6.1.</w:t>
      </w:r>
    </w:p>
    <w:p w14:paraId="32367BAD" w14:textId="77777777" w:rsidR="00847D15" w:rsidRPr="00C83045" w:rsidRDefault="00847D15" w:rsidP="00D4304B">
      <w:pPr>
        <w:widowControl w:val="0"/>
        <w:rPr>
          <w:color w:val="000000"/>
          <w:szCs w:val="22"/>
        </w:rPr>
      </w:pPr>
    </w:p>
    <w:p w14:paraId="32367BAE" w14:textId="77777777" w:rsidR="00847D15" w:rsidRPr="00C83045" w:rsidRDefault="00847D15" w:rsidP="00D4304B">
      <w:pPr>
        <w:widowControl w:val="0"/>
        <w:rPr>
          <w:color w:val="000000"/>
          <w:szCs w:val="22"/>
        </w:rPr>
      </w:pPr>
    </w:p>
    <w:p w14:paraId="32367BAF" w14:textId="77777777" w:rsidR="00847D15" w:rsidRPr="00C83045" w:rsidRDefault="00847D15" w:rsidP="00D4304B">
      <w:pPr>
        <w:keepNext/>
        <w:widowControl w:val="0"/>
        <w:rPr>
          <w:b/>
          <w:bCs/>
          <w:caps/>
          <w:color w:val="000000"/>
          <w:szCs w:val="22"/>
        </w:rPr>
      </w:pPr>
      <w:r w:rsidRPr="00C83045">
        <w:rPr>
          <w:b/>
          <w:bCs/>
          <w:caps/>
          <w:color w:val="000000"/>
          <w:szCs w:val="22"/>
        </w:rPr>
        <w:t>3.</w:t>
      </w:r>
      <w:r w:rsidRPr="00C83045">
        <w:rPr>
          <w:b/>
          <w:bCs/>
          <w:caps/>
          <w:color w:val="000000"/>
          <w:szCs w:val="22"/>
        </w:rPr>
        <w:tab/>
        <w:t>Lieková forma</w:t>
      </w:r>
    </w:p>
    <w:p w14:paraId="32367BB0" w14:textId="77777777" w:rsidR="00847D15" w:rsidRPr="00C83045" w:rsidRDefault="00847D15" w:rsidP="00D4304B">
      <w:pPr>
        <w:keepNext/>
        <w:widowControl w:val="0"/>
        <w:rPr>
          <w:color w:val="000000"/>
          <w:szCs w:val="22"/>
        </w:rPr>
      </w:pPr>
    </w:p>
    <w:p w14:paraId="32367BB1" w14:textId="77777777" w:rsidR="00847D15" w:rsidRPr="00C83045" w:rsidRDefault="00847D15" w:rsidP="00D4304B">
      <w:pPr>
        <w:widowControl w:val="0"/>
        <w:rPr>
          <w:color w:val="000000"/>
          <w:szCs w:val="22"/>
        </w:rPr>
      </w:pPr>
      <w:r w:rsidRPr="00C83045">
        <w:rPr>
          <w:color w:val="000000"/>
          <w:szCs w:val="22"/>
        </w:rPr>
        <w:t>Tvrd</w:t>
      </w:r>
      <w:r w:rsidR="00734A2D" w:rsidRPr="00C83045">
        <w:rPr>
          <w:color w:val="000000"/>
          <w:szCs w:val="22"/>
        </w:rPr>
        <w:t>á</w:t>
      </w:r>
      <w:r w:rsidRPr="00C83045">
        <w:rPr>
          <w:color w:val="000000"/>
          <w:szCs w:val="22"/>
        </w:rPr>
        <w:t xml:space="preserve"> kapsul</w:t>
      </w:r>
      <w:r w:rsidR="00734A2D" w:rsidRPr="00C83045">
        <w:rPr>
          <w:color w:val="000000"/>
          <w:szCs w:val="22"/>
        </w:rPr>
        <w:t>a</w:t>
      </w:r>
    </w:p>
    <w:p w14:paraId="32367BB2" w14:textId="77777777" w:rsidR="00847D15" w:rsidRDefault="00847D15" w:rsidP="00D4304B">
      <w:pPr>
        <w:widowControl w:val="0"/>
        <w:rPr>
          <w:color w:val="000000"/>
          <w:szCs w:val="22"/>
        </w:rPr>
      </w:pPr>
    </w:p>
    <w:p w14:paraId="32367BB7" w14:textId="77777777" w:rsidR="00075FEE" w:rsidRPr="00C83045" w:rsidRDefault="00075FEE" w:rsidP="00D4304B">
      <w:pPr>
        <w:widowControl w:val="0"/>
        <w:ind w:left="0" w:firstLine="0"/>
        <w:rPr>
          <w:color w:val="000000"/>
          <w:szCs w:val="22"/>
        </w:rPr>
      </w:pPr>
      <w:r w:rsidRPr="00C83045">
        <w:rPr>
          <w:color w:val="000000"/>
          <w:szCs w:val="22"/>
        </w:rPr>
        <w:t>Biely až žltý prášok v oranžovej až šedooranžovej nepriehľadnej kapsule s označením „</w:t>
      </w:r>
      <w:smartTag w:uri="urn:schemas-microsoft-com:office:smarttags" w:element="stockticker">
        <w:r w:rsidRPr="00C83045">
          <w:rPr>
            <w:color w:val="000000"/>
            <w:szCs w:val="22"/>
          </w:rPr>
          <w:t>NVR</w:t>
        </w:r>
      </w:smartTag>
      <w:r w:rsidRPr="00C83045">
        <w:rPr>
          <w:color w:val="000000"/>
          <w:szCs w:val="22"/>
        </w:rPr>
        <w:t> SI“.</w:t>
      </w:r>
    </w:p>
    <w:p w14:paraId="32367BB8" w14:textId="77777777" w:rsidR="00075FEE" w:rsidRPr="00C83045" w:rsidRDefault="00075FEE" w:rsidP="00D4304B">
      <w:pPr>
        <w:widowControl w:val="0"/>
        <w:rPr>
          <w:color w:val="000000"/>
          <w:szCs w:val="22"/>
        </w:rPr>
      </w:pPr>
    </w:p>
    <w:p w14:paraId="32367BB9" w14:textId="77777777" w:rsidR="00847D15" w:rsidRPr="00C83045" w:rsidRDefault="00847D15" w:rsidP="00D4304B">
      <w:pPr>
        <w:widowControl w:val="0"/>
        <w:rPr>
          <w:color w:val="000000"/>
          <w:szCs w:val="22"/>
        </w:rPr>
      </w:pPr>
    </w:p>
    <w:p w14:paraId="32367BBA" w14:textId="77777777" w:rsidR="00847D15" w:rsidRPr="00C83045" w:rsidRDefault="00847D15" w:rsidP="00D4304B">
      <w:pPr>
        <w:keepNext/>
        <w:widowControl w:val="0"/>
        <w:rPr>
          <w:b/>
          <w:bCs/>
          <w:caps/>
          <w:color w:val="000000"/>
          <w:szCs w:val="22"/>
        </w:rPr>
      </w:pPr>
      <w:r w:rsidRPr="00C83045">
        <w:rPr>
          <w:b/>
          <w:bCs/>
          <w:caps/>
          <w:color w:val="000000"/>
          <w:szCs w:val="22"/>
        </w:rPr>
        <w:t>4.</w:t>
      </w:r>
      <w:r w:rsidRPr="00C83045">
        <w:rPr>
          <w:b/>
          <w:bCs/>
          <w:caps/>
          <w:color w:val="000000"/>
          <w:szCs w:val="22"/>
        </w:rPr>
        <w:tab/>
        <w:t>Klinické údaje</w:t>
      </w:r>
    </w:p>
    <w:p w14:paraId="32367BBB" w14:textId="77777777" w:rsidR="00847D15" w:rsidRPr="00C83045" w:rsidRDefault="00847D15" w:rsidP="00D4304B">
      <w:pPr>
        <w:keepNext/>
        <w:widowControl w:val="0"/>
        <w:rPr>
          <w:color w:val="000000"/>
          <w:szCs w:val="22"/>
        </w:rPr>
      </w:pPr>
    </w:p>
    <w:p w14:paraId="32367BBC" w14:textId="77777777" w:rsidR="00847D15" w:rsidRPr="00C83045" w:rsidRDefault="00847D15" w:rsidP="00D4304B">
      <w:pPr>
        <w:keepNext/>
        <w:widowControl w:val="0"/>
        <w:rPr>
          <w:b/>
          <w:bCs/>
          <w:color w:val="000000"/>
          <w:szCs w:val="22"/>
        </w:rPr>
      </w:pPr>
      <w:r w:rsidRPr="00C83045">
        <w:rPr>
          <w:b/>
          <w:bCs/>
          <w:color w:val="000000"/>
          <w:szCs w:val="22"/>
        </w:rPr>
        <w:t>4.1</w:t>
      </w:r>
      <w:r w:rsidRPr="00C83045">
        <w:rPr>
          <w:b/>
          <w:bCs/>
          <w:color w:val="000000"/>
          <w:szCs w:val="22"/>
        </w:rPr>
        <w:tab/>
        <w:t>Terapeutické indikácie</w:t>
      </w:r>
    </w:p>
    <w:p w14:paraId="32367BBD" w14:textId="77777777" w:rsidR="00847D15" w:rsidRPr="00C83045" w:rsidRDefault="00847D15" w:rsidP="00D4304B">
      <w:pPr>
        <w:keepNext/>
        <w:widowControl w:val="0"/>
        <w:rPr>
          <w:bCs/>
          <w:color w:val="000000"/>
          <w:szCs w:val="22"/>
        </w:rPr>
      </w:pPr>
    </w:p>
    <w:p w14:paraId="32367BBE" w14:textId="77777777" w:rsidR="00007BB9" w:rsidRPr="00C83045" w:rsidRDefault="00007BB9" w:rsidP="00D4304B">
      <w:pPr>
        <w:keepNext/>
        <w:widowControl w:val="0"/>
        <w:ind w:left="0" w:firstLine="0"/>
        <w:rPr>
          <w:color w:val="000000"/>
          <w:szCs w:val="22"/>
        </w:rPr>
      </w:pPr>
      <w:r w:rsidRPr="00C83045">
        <w:rPr>
          <w:color w:val="000000"/>
          <w:szCs w:val="22"/>
        </w:rPr>
        <w:t>Glivec je indikovaný na liečbu</w:t>
      </w:r>
    </w:p>
    <w:p w14:paraId="32367BBF" w14:textId="77777777" w:rsidR="00007BB9" w:rsidRPr="00C83045" w:rsidRDefault="00007BB9" w:rsidP="00D4304B">
      <w:pPr>
        <w:widowControl w:val="0"/>
        <w:numPr>
          <w:ilvl w:val="0"/>
          <w:numId w:val="9"/>
        </w:numPr>
        <w:rPr>
          <w:color w:val="000000"/>
          <w:szCs w:val="22"/>
        </w:rPr>
      </w:pPr>
      <w:r w:rsidRPr="00C83045">
        <w:rPr>
          <w:color w:val="000000"/>
          <w:szCs w:val="22"/>
        </w:rPr>
        <w:t>dospelých a pediatrických pacientov s novodiagnostikovanou chronickou myelocytovou leukémiou (CML) s pozitívnym (Ph+) chromozómom Philadelphia (bcr-abl), u ktorých sa transplantácia kostnej drene nepovažuje za liečbu 1. línie.</w:t>
      </w:r>
    </w:p>
    <w:p w14:paraId="32367BC0" w14:textId="77777777" w:rsidR="00007BB9" w:rsidRPr="00C83045" w:rsidRDefault="00007BB9" w:rsidP="00D4304B">
      <w:pPr>
        <w:widowControl w:val="0"/>
        <w:numPr>
          <w:ilvl w:val="0"/>
          <w:numId w:val="9"/>
        </w:numPr>
        <w:rPr>
          <w:color w:val="000000"/>
          <w:szCs w:val="22"/>
        </w:rPr>
      </w:pPr>
      <w:r w:rsidRPr="00C83045">
        <w:rPr>
          <w:color w:val="000000"/>
          <w:szCs w:val="22"/>
        </w:rPr>
        <w:t>dospelých a pediatrických pacientov s Ph+ CML v chronickej fáze po zlyhaní liečby interferónom alfa alebo v akcelerovanej fáze alebo v blastickej kríze.</w:t>
      </w:r>
    </w:p>
    <w:p w14:paraId="32367BC1" w14:textId="77777777" w:rsidR="00B82E4E" w:rsidRPr="00C83045" w:rsidRDefault="00B82E4E" w:rsidP="00D4304B">
      <w:pPr>
        <w:widowControl w:val="0"/>
        <w:numPr>
          <w:ilvl w:val="0"/>
          <w:numId w:val="9"/>
        </w:numPr>
        <w:rPr>
          <w:color w:val="000000"/>
          <w:szCs w:val="22"/>
        </w:rPr>
      </w:pPr>
      <w:r w:rsidRPr="00C83045">
        <w:rPr>
          <w:color w:val="000000"/>
          <w:szCs w:val="22"/>
        </w:rPr>
        <w:t xml:space="preserve">dospelých </w:t>
      </w:r>
      <w:r w:rsidR="000A0EF8" w:rsidRPr="00C83045">
        <w:rPr>
          <w:color w:val="000000"/>
          <w:szCs w:val="22"/>
        </w:rPr>
        <w:t xml:space="preserve">a pediatrických </w:t>
      </w:r>
      <w:r w:rsidRPr="00C83045">
        <w:rPr>
          <w:color w:val="000000"/>
          <w:szCs w:val="22"/>
        </w:rPr>
        <w:t xml:space="preserve">pacientov s novodiagnostikovanou akútnou lymfoblastickou leukémiou s pozitívnym chromozómom Philadelphia (Ph+ </w:t>
      </w:r>
      <w:smartTag w:uri="urn:schemas-microsoft-com:office:smarttags" w:element="stockticker">
        <w:r w:rsidRPr="00C83045">
          <w:rPr>
            <w:color w:val="000000"/>
            <w:szCs w:val="22"/>
          </w:rPr>
          <w:t>ALL</w:t>
        </w:r>
      </w:smartTag>
      <w:r w:rsidRPr="00C83045">
        <w:rPr>
          <w:color w:val="000000"/>
          <w:szCs w:val="22"/>
        </w:rPr>
        <w:t>) v spojení s chemoterapiou.</w:t>
      </w:r>
    </w:p>
    <w:p w14:paraId="32367BC2" w14:textId="77777777" w:rsidR="00B82E4E" w:rsidRPr="00C83045" w:rsidRDefault="00B82E4E" w:rsidP="00D4304B">
      <w:pPr>
        <w:widowControl w:val="0"/>
        <w:numPr>
          <w:ilvl w:val="0"/>
          <w:numId w:val="9"/>
        </w:numPr>
        <w:rPr>
          <w:color w:val="000000"/>
          <w:szCs w:val="22"/>
        </w:rPr>
      </w:pPr>
      <w:r w:rsidRPr="00C83045">
        <w:rPr>
          <w:color w:val="000000"/>
          <w:szCs w:val="22"/>
        </w:rPr>
        <w:t xml:space="preserve">dospelých pacientov pri relapse alebo refraktérnej Ph+ </w:t>
      </w:r>
      <w:smartTag w:uri="urn:schemas-microsoft-com:office:smarttags" w:element="stockticker">
        <w:r w:rsidRPr="00C83045">
          <w:rPr>
            <w:color w:val="000000"/>
            <w:szCs w:val="22"/>
          </w:rPr>
          <w:t>ALL</w:t>
        </w:r>
      </w:smartTag>
      <w:r w:rsidRPr="00C83045">
        <w:rPr>
          <w:color w:val="000000"/>
          <w:szCs w:val="22"/>
        </w:rPr>
        <w:t xml:space="preserve"> ako monoterapia.</w:t>
      </w:r>
    </w:p>
    <w:p w14:paraId="32367BC3" w14:textId="77777777" w:rsidR="00FA47CE" w:rsidRPr="00C83045" w:rsidRDefault="00FA47CE" w:rsidP="00D4304B">
      <w:pPr>
        <w:widowControl w:val="0"/>
        <w:numPr>
          <w:ilvl w:val="0"/>
          <w:numId w:val="9"/>
        </w:numPr>
        <w:rPr>
          <w:color w:val="000000"/>
          <w:szCs w:val="22"/>
        </w:rPr>
      </w:pPr>
      <w:r w:rsidRPr="00C83045">
        <w:rPr>
          <w:color w:val="000000"/>
          <w:szCs w:val="22"/>
        </w:rPr>
        <w:t>dospelých pacientov s myelodysplastickými/myeloproliferatívnymi ochoreniami (</w:t>
      </w:r>
      <w:smartTag w:uri="urn:schemas-microsoft-com:office:smarttags" w:element="stockticker">
        <w:r w:rsidRPr="00C83045">
          <w:rPr>
            <w:color w:val="000000"/>
            <w:szCs w:val="22"/>
          </w:rPr>
          <w:t>MDS</w:t>
        </w:r>
      </w:smartTag>
      <w:r w:rsidRPr="00C83045">
        <w:rPr>
          <w:color w:val="000000"/>
          <w:szCs w:val="22"/>
        </w:rPr>
        <w:t xml:space="preserve">/MPD) spojenými s preskupeniami génu receptora </w:t>
      </w:r>
      <w:r w:rsidR="00D12A9E" w:rsidRPr="00C83045">
        <w:rPr>
          <w:color w:val="000000"/>
          <w:szCs w:val="22"/>
        </w:rPr>
        <w:t xml:space="preserve">doštičkového </w:t>
      </w:r>
      <w:r w:rsidRPr="00C83045">
        <w:rPr>
          <w:color w:val="000000"/>
          <w:szCs w:val="22"/>
        </w:rPr>
        <w:t>rastového faktora (PDGFR).</w:t>
      </w:r>
    </w:p>
    <w:p w14:paraId="32367BC4" w14:textId="77777777" w:rsidR="009120BD" w:rsidRPr="00C83045" w:rsidRDefault="009120BD" w:rsidP="00D4304B">
      <w:pPr>
        <w:pStyle w:val="EndnoteText"/>
        <w:widowControl w:val="0"/>
        <w:numPr>
          <w:ilvl w:val="0"/>
          <w:numId w:val="9"/>
        </w:numPr>
        <w:rPr>
          <w:snapToGrid w:val="0"/>
          <w:color w:val="000000"/>
          <w:szCs w:val="22"/>
          <w:lang w:val="sk-SK" w:eastAsia="de-DE"/>
        </w:rPr>
      </w:pPr>
      <w:r w:rsidRPr="00C83045">
        <w:rPr>
          <w:color w:val="000000"/>
          <w:szCs w:val="22"/>
          <w:lang w:val="sk-SK"/>
        </w:rPr>
        <w:t>dospelých pacientov s pokročilým hypereozinofilným syndrómom (HES) a/alebo chronickou eozinofilovou leukémiou (</w:t>
      </w:r>
      <w:smartTag w:uri="urn:schemas-microsoft-com:office:smarttags" w:element="stockticker">
        <w:r w:rsidRPr="00C83045">
          <w:rPr>
            <w:color w:val="000000"/>
            <w:szCs w:val="22"/>
            <w:lang w:val="sk-SK"/>
          </w:rPr>
          <w:t>CEL</w:t>
        </w:r>
      </w:smartTag>
      <w:r w:rsidRPr="00C83045">
        <w:rPr>
          <w:color w:val="000000"/>
          <w:szCs w:val="22"/>
          <w:lang w:val="sk-SK"/>
        </w:rPr>
        <w:t>) s preskupením FIP1L1-PDGFR</w:t>
      </w:r>
      <w:r w:rsidRPr="00C83045">
        <w:rPr>
          <w:color w:val="000000"/>
          <w:szCs w:val="22"/>
          <w:lang w:val="sk-SK"/>
        </w:rPr>
        <w:sym w:font="Symbol" w:char="F061"/>
      </w:r>
      <w:r w:rsidRPr="00C83045">
        <w:rPr>
          <w:color w:val="000000"/>
          <w:szCs w:val="22"/>
          <w:lang w:val="sk-SK"/>
        </w:rPr>
        <w:t>.</w:t>
      </w:r>
    </w:p>
    <w:p w14:paraId="32367BC5" w14:textId="77777777" w:rsidR="00847D15" w:rsidRPr="00C83045" w:rsidRDefault="00847D15" w:rsidP="00D4304B">
      <w:pPr>
        <w:widowControl w:val="0"/>
        <w:ind w:left="0" w:firstLine="0"/>
        <w:rPr>
          <w:color w:val="000000"/>
          <w:szCs w:val="22"/>
        </w:rPr>
      </w:pPr>
    </w:p>
    <w:p w14:paraId="32367BC6" w14:textId="77777777" w:rsidR="00847D15" w:rsidRPr="00C83045" w:rsidRDefault="00847D15" w:rsidP="00D4304B">
      <w:pPr>
        <w:widowControl w:val="0"/>
        <w:ind w:left="0" w:firstLine="0"/>
        <w:rPr>
          <w:color w:val="000000"/>
          <w:szCs w:val="22"/>
        </w:rPr>
      </w:pPr>
      <w:r w:rsidRPr="00C83045">
        <w:rPr>
          <w:color w:val="000000"/>
          <w:szCs w:val="22"/>
        </w:rPr>
        <w:t>Účinok Glivecu na výsledok transplantácie kostnej drene sa nestanovil.</w:t>
      </w:r>
    </w:p>
    <w:p w14:paraId="32367BC7" w14:textId="77777777" w:rsidR="00847D15" w:rsidRPr="00C83045" w:rsidRDefault="00847D15" w:rsidP="00D4304B">
      <w:pPr>
        <w:widowControl w:val="0"/>
        <w:ind w:left="0" w:firstLine="0"/>
        <w:rPr>
          <w:color w:val="000000"/>
          <w:szCs w:val="22"/>
        </w:rPr>
      </w:pPr>
    </w:p>
    <w:p w14:paraId="32367BC8" w14:textId="77777777" w:rsidR="00A271C2" w:rsidRPr="00C83045" w:rsidRDefault="00A271C2" w:rsidP="00D4304B">
      <w:pPr>
        <w:keepNext/>
        <w:widowControl w:val="0"/>
        <w:ind w:left="0" w:firstLine="0"/>
        <w:rPr>
          <w:color w:val="000000"/>
          <w:szCs w:val="22"/>
        </w:rPr>
      </w:pPr>
      <w:r w:rsidRPr="00C83045">
        <w:rPr>
          <w:color w:val="000000"/>
          <w:szCs w:val="22"/>
        </w:rPr>
        <w:t>Glivec je indikovaný na</w:t>
      </w:r>
    </w:p>
    <w:p w14:paraId="32367BC9" w14:textId="77777777" w:rsidR="00A271C2" w:rsidRPr="00C83045" w:rsidRDefault="00A271C2" w:rsidP="00D4304B">
      <w:pPr>
        <w:widowControl w:val="0"/>
        <w:numPr>
          <w:ilvl w:val="0"/>
          <w:numId w:val="11"/>
        </w:numPr>
        <w:tabs>
          <w:tab w:val="clear" w:pos="227"/>
          <w:tab w:val="num" w:pos="0"/>
        </w:tabs>
        <w:ind w:left="567" w:hanging="567"/>
        <w:rPr>
          <w:color w:val="000000"/>
          <w:szCs w:val="22"/>
        </w:rPr>
      </w:pPr>
      <w:r w:rsidRPr="00C83045">
        <w:rPr>
          <w:color w:val="000000"/>
          <w:szCs w:val="22"/>
        </w:rPr>
        <w:t>liečbu dospelých pacientov s neresekovateľnými a/alebo metastazujúcimi malígnymi gastrointestinálnymi strómovými nádormi (GIST) s pozitivitou Kit (CD 117).</w:t>
      </w:r>
    </w:p>
    <w:p w14:paraId="32367BCA" w14:textId="77777777" w:rsidR="003D2302" w:rsidRPr="00C83045" w:rsidRDefault="00A271C2" w:rsidP="00D4304B">
      <w:pPr>
        <w:widowControl w:val="0"/>
        <w:numPr>
          <w:ilvl w:val="0"/>
          <w:numId w:val="11"/>
        </w:numPr>
        <w:tabs>
          <w:tab w:val="clear" w:pos="227"/>
          <w:tab w:val="num" w:pos="0"/>
        </w:tabs>
        <w:ind w:left="567" w:hanging="567"/>
        <w:rPr>
          <w:color w:val="000000"/>
          <w:szCs w:val="22"/>
        </w:rPr>
      </w:pPr>
      <w:r w:rsidRPr="00C83045">
        <w:rPr>
          <w:color w:val="000000"/>
          <w:szCs w:val="22"/>
        </w:rPr>
        <w:t xml:space="preserve">adjuvantnú liečbu dospelých pacientov, u ktorých je významné riziko relapsu po resekcii GIST s pozitivitou Kit (CD 117). </w:t>
      </w:r>
      <w:r w:rsidR="003D2302" w:rsidRPr="00C83045">
        <w:rPr>
          <w:color w:val="000000"/>
          <w:szCs w:val="22"/>
        </w:rPr>
        <w:t>Pacienti, u ktorých je nízke alebo veľmi nízke riziko recidívy, nemajú dostávať adjuvantnú liečbu.</w:t>
      </w:r>
    </w:p>
    <w:p w14:paraId="32367BCB" w14:textId="77777777" w:rsidR="00A271C2" w:rsidRPr="00C83045" w:rsidRDefault="00A271C2" w:rsidP="00D4304B">
      <w:pPr>
        <w:widowControl w:val="0"/>
        <w:numPr>
          <w:ilvl w:val="0"/>
          <w:numId w:val="11"/>
        </w:numPr>
        <w:tabs>
          <w:tab w:val="clear" w:pos="227"/>
          <w:tab w:val="num" w:pos="0"/>
        </w:tabs>
        <w:ind w:left="567" w:hanging="567"/>
        <w:rPr>
          <w:color w:val="000000"/>
          <w:szCs w:val="22"/>
        </w:rPr>
      </w:pPr>
      <w:r w:rsidRPr="00C83045">
        <w:rPr>
          <w:color w:val="000000"/>
          <w:szCs w:val="22"/>
        </w:rPr>
        <w:t>liečbu dospelých pacientov s neresekovateľným dermatofibrosarcoma protuberans (DFSP) a dospelých pacientov s rekurentným a/alebo metastazujúcim DFSP, u ktorých nie je možný chirurgický zákrok.</w:t>
      </w:r>
    </w:p>
    <w:p w14:paraId="32367BCC" w14:textId="77777777" w:rsidR="00A271C2" w:rsidRPr="00C83045" w:rsidRDefault="00A271C2" w:rsidP="00D4304B">
      <w:pPr>
        <w:widowControl w:val="0"/>
        <w:ind w:left="0" w:firstLine="0"/>
        <w:rPr>
          <w:color w:val="000000"/>
          <w:szCs w:val="22"/>
        </w:rPr>
      </w:pPr>
    </w:p>
    <w:p w14:paraId="32367BCD" w14:textId="77777777" w:rsidR="00A271C2" w:rsidRPr="00C83045" w:rsidRDefault="00A271C2" w:rsidP="00D4304B">
      <w:pPr>
        <w:widowControl w:val="0"/>
        <w:ind w:left="0" w:firstLine="0"/>
        <w:rPr>
          <w:color w:val="000000"/>
          <w:szCs w:val="22"/>
        </w:rPr>
      </w:pPr>
      <w:r w:rsidRPr="00C83045">
        <w:rPr>
          <w:color w:val="000000"/>
          <w:szCs w:val="22"/>
        </w:rPr>
        <w:t xml:space="preserve">U dospelých a pediatrických pacientov sa účinnosť Glivecu zakladá na stupni celkovej hematologickej a cytogenetickej odpovede a prežívaní bez progresie pri CML, na stupni hematologickej a </w:t>
      </w:r>
      <w:r w:rsidRPr="00C83045">
        <w:rPr>
          <w:color w:val="000000"/>
          <w:szCs w:val="22"/>
        </w:rPr>
        <w:lastRenderedPageBreak/>
        <w:t xml:space="preserve">cytogenetickej odpovede pri Ph+ </w:t>
      </w:r>
      <w:smartTag w:uri="urn:schemas-microsoft-com:office:smarttags" w:element="stockticker">
        <w:r w:rsidRPr="00C83045">
          <w:rPr>
            <w:color w:val="000000"/>
            <w:szCs w:val="22"/>
          </w:rPr>
          <w:t>ALL</w:t>
        </w:r>
      </w:smartTag>
      <w:r w:rsidRPr="00C83045">
        <w:rPr>
          <w:color w:val="000000"/>
          <w:szCs w:val="22"/>
        </w:rPr>
        <w:t xml:space="preserve">, </w:t>
      </w:r>
      <w:smartTag w:uri="urn:schemas-microsoft-com:office:smarttags" w:element="stockticker">
        <w:r w:rsidRPr="00C83045">
          <w:rPr>
            <w:color w:val="000000"/>
            <w:szCs w:val="22"/>
          </w:rPr>
          <w:t>MDS</w:t>
        </w:r>
      </w:smartTag>
      <w:r w:rsidRPr="00C83045">
        <w:rPr>
          <w:color w:val="000000"/>
          <w:szCs w:val="22"/>
        </w:rPr>
        <w:t>/MPD, na stupni hematologickej odpovede pri HES/</w:t>
      </w:r>
      <w:smartTag w:uri="urn:schemas-microsoft-com:office:smarttags" w:element="stockticker">
        <w:r w:rsidRPr="00C83045">
          <w:rPr>
            <w:color w:val="000000"/>
            <w:szCs w:val="22"/>
          </w:rPr>
          <w:t>CEL</w:t>
        </w:r>
      </w:smartTag>
      <w:r w:rsidRPr="00C83045">
        <w:rPr>
          <w:color w:val="000000"/>
          <w:szCs w:val="22"/>
        </w:rPr>
        <w:t xml:space="preserve"> a na stupni objektívnej odpovede u dospelých pacientov s neresekovateľným a/alebo metastazujúcim GIST a DFSP a prežívaní bez recidívy pri adjuvantnej liečbe GIST. Skúsenosti s Glivecom u pacientov s </w:t>
      </w:r>
      <w:smartTag w:uri="urn:schemas-microsoft-com:office:smarttags" w:element="stockticker">
        <w:r w:rsidRPr="00C83045">
          <w:rPr>
            <w:color w:val="000000"/>
            <w:szCs w:val="22"/>
          </w:rPr>
          <w:t>MDS</w:t>
        </w:r>
      </w:smartTag>
      <w:r w:rsidRPr="00C83045">
        <w:rPr>
          <w:color w:val="000000"/>
          <w:szCs w:val="22"/>
        </w:rPr>
        <w:t>/MPD spojenými s preskupeniami génu PDGFR sú veľmi obmedzené (pozri časť 5.1). Okrem pri novodiagnostikovanej chronickej fáze CML nie sú kontrolované klinické skúšania, ktoré by preukázali klinickú prospešnosť alebo predĺžené prežívanie pri týchto ochoreniach.</w:t>
      </w:r>
    </w:p>
    <w:p w14:paraId="32367BCE" w14:textId="77777777" w:rsidR="00A271C2" w:rsidRPr="00C83045" w:rsidRDefault="00A271C2" w:rsidP="00D4304B">
      <w:pPr>
        <w:widowControl w:val="0"/>
        <w:rPr>
          <w:color w:val="000000"/>
          <w:szCs w:val="22"/>
        </w:rPr>
      </w:pPr>
    </w:p>
    <w:p w14:paraId="32367BCF" w14:textId="77777777" w:rsidR="00847D15" w:rsidRPr="00C83045" w:rsidRDefault="00847D15" w:rsidP="00D4304B">
      <w:pPr>
        <w:keepNext/>
        <w:widowControl w:val="0"/>
        <w:rPr>
          <w:b/>
          <w:bCs/>
          <w:color w:val="000000"/>
          <w:szCs w:val="22"/>
        </w:rPr>
      </w:pPr>
      <w:r w:rsidRPr="00C83045">
        <w:rPr>
          <w:b/>
          <w:bCs/>
          <w:color w:val="000000"/>
          <w:szCs w:val="22"/>
        </w:rPr>
        <w:t>4.2</w:t>
      </w:r>
      <w:r w:rsidRPr="00C83045">
        <w:rPr>
          <w:b/>
          <w:bCs/>
          <w:color w:val="000000"/>
          <w:szCs w:val="22"/>
        </w:rPr>
        <w:tab/>
        <w:t>Dávkovanie a spôsob podávania</w:t>
      </w:r>
    </w:p>
    <w:p w14:paraId="32367BD0" w14:textId="77777777" w:rsidR="00847D15" w:rsidRPr="00C83045" w:rsidRDefault="00847D15" w:rsidP="00D4304B">
      <w:pPr>
        <w:keepNext/>
        <w:widowControl w:val="0"/>
        <w:tabs>
          <w:tab w:val="left" w:pos="360"/>
        </w:tabs>
        <w:rPr>
          <w:bCs/>
          <w:color w:val="000000"/>
          <w:szCs w:val="22"/>
        </w:rPr>
      </w:pPr>
    </w:p>
    <w:p w14:paraId="32367BD1" w14:textId="77777777" w:rsidR="00847D15" w:rsidRPr="00C83045" w:rsidRDefault="00847D15" w:rsidP="00D4304B">
      <w:pPr>
        <w:widowControl w:val="0"/>
        <w:ind w:left="0" w:firstLine="0"/>
        <w:rPr>
          <w:color w:val="000000"/>
          <w:szCs w:val="22"/>
        </w:rPr>
      </w:pPr>
      <w:r w:rsidRPr="00C83045">
        <w:rPr>
          <w:color w:val="000000"/>
          <w:szCs w:val="22"/>
        </w:rPr>
        <w:t xml:space="preserve">Liečbu má začať lekár, ktorý má skúsenosti s liečbou pacientov s </w:t>
      </w:r>
      <w:r w:rsidR="006E17F7" w:rsidRPr="00C83045">
        <w:rPr>
          <w:color w:val="000000"/>
          <w:szCs w:val="22"/>
        </w:rPr>
        <w:t>hematologickými malignitami, prípadne malígnymi sarkómami</w:t>
      </w:r>
      <w:r w:rsidRPr="00C83045">
        <w:rPr>
          <w:color w:val="000000"/>
          <w:szCs w:val="22"/>
        </w:rPr>
        <w:t>.</w:t>
      </w:r>
    </w:p>
    <w:p w14:paraId="32367BD2" w14:textId="77777777" w:rsidR="00847D15" w:rsidRPr="00C83045" w:rsidRDefault="00847D15" w:rsidP="00D4304B">
      <w:pPr>
        <w:widowControl w:val="0"/>
        <w:ind w:left="0" w:firstLine="0"/>
        <w:rPr>
          <w:color w:val="000000"/>
          <w:szCs w:val="22"/>
        </w:rPr>
      </w:pPr>
    </w:p>
    <w:p w14:paraId="32367BD3" w14:textId="77777777" w:rsidR="00847D15" w:rsidRPr="00C83045" w:rsidRDefault="00847D15" w:rsidP="00D4304B">
      <w:pPr>
        <w:widowControl w:val="0"/>
        <w:ind w:left="0" w:firstLine="0"/>
        <w:rPr>
          <w:color w:val="000000"/>
          <w:szCs w:val="22"/>
        </w:rPr>
      </w:pPr>
      <w:r w:rsidRPr="00C83045">
        <w:rPr>
          <w:color w:val="000000"/>
          <w:szCs w:val="22"/>
        </w:rPr>
        <w:t>Predpísaná dávka sa podáva perorálne s jedlom a veľkým pohárom vody</w:t>
      </w:r>
      <w:r w:rsidR="009C4FF1" w:rsidRPr="00C83045">
        <w:rPr>
          <w:color w:val="000000"/>
          <w:szCs w:val="22"/>
        </w:rPr>
        <w:t xml:space="preserve">, aby sa minimalizovalo riziko </w:t>
      </w:r>
      <w:r w:rsidR="00BA26AF" w:rsidRPr="00C83045">
        <w:rPr>
          <w:color w:val="000000"/>
          <w:szCs w:val="22"/>
        </w:rPr>
        <w:t xml:space="preserve">podráždenia </w:t>
      </w:r>
      <w:r w:rsidR="009C4FF1" w:rsidRPr="00C83045">
        <w:rPr>
          <w:color w:val="000000"/>
          <w:szCs w:val="22"/>
        </w:rPr>
        <w:t>gastrointestinálneho</w:t>
      </w:r>
      <w:r w:rsidR="00BA26AF" w:rsidRPr="00C83045">
        <w:rPr>
          <w:color w:val="000000"/>
          <w:szCs w:val="22"/>
        </w:rPr>
        <w:t xml:space="preserve"> traktu</w:t>
      </w:r>
      <w:r w:rsidR="009C4FF1" w:rsidRPr="00C83045">
        <w:rPr>
          <w:color w:val="000000"/>
          <w:szCs w:val="22"/>
        </w:rPr>
        <w:t xml:space="preserve">. </w:t>
      </w:r>
      <w:r w:rsidR="0099386F" w:rsidRPr="00C83045">
        <w:rPr>
          <w:color w:val="000000"/>
          <w:szCs w:val="22"/>
        </w:rPr>
        <w:t>Dávky 400 mg alebo 600 mg sa majú podávať raz denne, zatiaľ</w:t>
      </w:r>
      <w:r w:rsidR="00A74724" w:rsidRPr="00C83045">
        <w:rPr>
          <w:color w:val="000000"/>
          <w:szCs w:val="22"/>
        </w:rPr>
        <w:t xml:space="preserve"> </w:t>
      </w:r>
      <w:r w:rsidR="0099386F" w:rsidRPr="00C83045">
        <w:rPr>
          <w:color w:val="000000"/>
          <w:szCs w:val="22"/>
        </w:rPr>
        <w:t xml:space="preserve">čo dávka 800 mg </w:t>
      </w:r>
      <w:r w:rsidR="00A74724" w:rsidRPr="00C83045">
        <w:rPr>
          <w:color w:val="000000"/>
          <w:szCs w:val="22"/>
        </w:rPr>
        <w:t>sa má podávať ako 400 mg dvakrát denne, ráno a večer</w:t>
      </w:r>
      <w:r w:rsidRPr="00C83045">
        <w:rPr>
          <w:color w:val="000000"/>
          <w:szCs w:val="22"/>
        </w:rPr>
        <w:t>. U pacientov (detí), ktorí nie sú schopní prehĺtať kap</w:t>
      </w:r>
      <w:r w:rsidR="004D5AF2" w:rsidRPr="00C83045">
        <w:rPr>
          <w:color w:val="000000"/>
          <w:szCs w:val="22"/>
        </w:rPr>
        <w:t>s</w:t>
      </w:r>
      <w:r w:rsidRPr="00C83045">
        <w:rPr>
          <w:color w:val="000000"/>
          <w:szCs w:val="22"/>
        </w:rPr>
        <w:t xml:space="preserve">uly, možno obsah kapsúl zriediť v pohári obyčajnej vody alebo jablkovej šťavy. Pretože štúdie na zvieratách preukázali reprodukčnú toxicitu a prípadné riziko pre ľudský plod nie je známe, </w:t>
      </w:r>
      <w:r w:rsidR="003A5E11" w:rsidRPr="00C83045">
        <w:rPr>
          <w:color w:val="000000"/>
          <w:szCs w:val="22"/>
        </w:rPr>
        <w:t>ženy vo fertilnom veku,</w:t>
      </w:r>
      <w:r w:rsidRPr="00C83045">
        <w:rPr>
          <w:color w:val="000000"/>
          <w:szCs w:val="22"/>
        </w:rPr>
        <w:t xml:space="preserve"> ktoré otvárajú kapsuly, </w:t>
      </w:r>
      <w:r w:rsidR="003A5E11" w:rsidRPr="00C83045">
        <w:rPr>
          <w:color w:val="000000"/>
          <w:szCs w:val="22"/>
        </w:rPr>
        <w:t xml:space="preserve">musia byť upozornené, </w:t>
      </w:r>
      <w:r w:rsidRPr="00C83045">
        <w:rPr>
          <w:color w:val="000000"/>
          <w:szCs w:val="22"/>
        </w:rPr>
        <w:t xml:space="preserve">aby s obsahom kapsúl manipulovali opatrne a vyvarovali sa kontaktu s kožou alebo očami alebo vdýchnutia (pozri časť 4.6). </w:t>
      </w:r>
      <w:r w:rsidR="003A5E11" w:rsidRPr="00C83045">
        <w:rPr>
          <w:color w:val="000000"/>
          <w:szCs w:val="22"/>
        </w:rPr>
        <w:t>Ruky sa majú umyť i</w:t>
      </w:r>
      <w:r w:rsidRPr="00C83045">
        <w:rPr>
          <w:color w:val="000000"/>
          <w:szCs w:val="22"/>
        </w:rPr>
        <w:t>hneď po skončení manipulácie s otvorenými kapsulami</w:t>
      </w:r>
      <w:r w:rsidR="003A5E11" w:rsidRPr="00C83045">
        <w:rPr>
          <w:color w:val="000000"/>
          <w:szCs w:val="22"/>
        </w:rPr>
        <w:t>.</w:t>
      </w:r>
    </w:p>
    <w:p w14:paraId="32367BD4" w14:textId="77777777" w:rsidR="00847D15" w:rsidRPr="00C83045" w:rsidRDefault="00847D15" w:rsidP="00D4304B">
      <w:pPr>
        <w:widowControl w:val="0"/>
        <w:ind w:left="0" w:firstLine="0"/>
        <w:rPr>
          <w:color w:val="000000"/>
          <w:szCs w:val="22"/>
        </w:rPr>
      </w:pPr>
    </w:p>
    <w:p w14:paraId="32367BD5" w14:textId="77777777" w:rsidR="00847D15" w:rsidRPr="00C83045" w:rsidRDefault="00847D15" w:rsidP="00D4304B">
      <w:pPr>
        <w:keepNext/>
        <w:widowControl w:val="0"/>
        <w:ind w:left="0" w:firstLine="0"/>
        <w:rPr>
          <w:color w:val="000000"/>
          <w:szCs w:val="22"/>
          <w:u w:val="single"/>
        </w:rPr>
      </w:pPr>
      <w:r w:rsidRPr="00C83045">
        <w:rPr>
          <w:color w:val="000000"/>
          <w:szCs w:val="22"/>
          <w:u w:val="single"/>
        </w:rPr>
        <w:t>Dávkovanie pri CML</w:t>
      </w:r>
      <w:r w:rsidR="00007BB9" w:rsidRPr="00C83045">
        <w:rPr>
          <w:color w:val="000000"/>
          <w:szCs w:val="22"/>
          <w:u w:val="single"/>
        </w:rPr>
        <w:t xml:space="preserve"> u dospelých pacientov</w:t>
      </w:r>
    </w:p>
    <w:p w14:paraId="32367BD6" w14:textId="77777777" w:rsidR="00847D15" w:rsidRPr="00C83045" w:rsidRDefault="00847D15" w:rsidP="00D4304B">
      <w:pPr>
        <w:widowControl w:val="0"/>
        <w:ind w:left="0" w:firstLine="0"/>
        <w:rPr>
          <w:color w:val="000000"/>
          <w:szCs w:val="22"/>
        </w:rPr>
      </w:pPr>
      <w:r w:rsidRPr="00C83045">
        <w:rPr>
          <w:color w:val="000000"/>
          <w:szCs w:val="22"/>
        </w:rPr>
        <w:t xml:space="preserve">U </w:t>
      </w:r>
      <w:r w:rsidR="004815A1" w:rsidRPr="00C83045">
        <w:rPr>
          <w:color w:val="000000"/>
          <w:szCs w:val="22"/>
        </w:rPr>
        <w:t xml:space="preserve">dospelých </w:t>
      </w:r>
      <w:r w:rsidRPr="00C83045">
        <w:rPr>
          <w:color w:val="000000"/>
          <w:szCs w:val="22"/>
        </w:rPr>
        <w:t xml:space="preserve">pacientov v chronickej fáze CML je odporúčaná dávka Glivecu 400 mg/deň. Chronickú fázu CML definuje splnenie všetkých nasledujúcich kritérií: blasty v krvi a kostnej dreni </w:t>
      </w:r>
      <w:r w:rsidRPr="00C83045">
        <w:rPr>
          <w:color w:val="000000"/>
          <w:szCs w:val="22"/>
        </w:rPr>
        <w:sym w:font="Symbol" w:char="F03C"/>
      </w:r>
      <w:r w:rsidRPr="00C83045">
        <w:rPr>
          <w:color w:val="000000"/>
          <w:szCs w:val="22"/>
        </w:rPr>
        <w:t xml:space="preserve"> 15%, bazofily v periférnej krvi </w:t>
      </w:r>
      <w:r w:rsidRPr="00C83045">
        <w:rPr>
          <w:color w:val="000000"/>
          <w:szCs w:val="22"/>
        </w:rPr>
        <w:sym w:font="Symbol" w:char="F03C"/>
      </w:r>
      <w:r w:rsidRPr="00C83045">
        <w:rPr>
          <w:color w:val="000000"/>
          <w:szCs w:val="22"/>
        </w:rPr>
        <w:t xml:space="preserve"> 20%, trombocyty </w:t>
      </w:r>
      <w:r w:rsidRPr="00C83045">
        <w:rPr>
          <w:color w:val="000000"/>
          <w:szCs w:val="22"/>
        </w:rPr>
        <w:sym w:font="Symbol" w:char="F03E"/>
      </w:r>
      <w:r w:rsidRPr="00C83045">
        <w:rPr>
          <w:color w:val="000000"/>
          <w:szCs w:val="22"/>
        </w:rPr>
        <w:t> 100 x 10</w:t>
      </w:r>
      <w:r w:rsidRPr="00C83045">
        <w:rPr>
          <w:color w:val="000000"/>
          <w:szCs w:val="22"/>
          <w:vertAlign w:val="superscript"/>
        </w:rPr>
        <w:t>9</w:t>
      </w:r>
      <w:r w:rsidRPr="00C83045">
        <w:rPr>
          <w:color w:val="000000"/>
          <w:szCs w:val="22"/>
        </w:rPr>
        <w:t>/l.</w:t>
      </w:r>
    </w:p>
    <w:p w14:paraId="32367BD7" w14:textId="77777777" w:rsidR="00847D15" w:rsidRPr="00C83045" w:rsidRDefault="00847D15" w:rsidP="00D4304B">
      <w:pPr>
        <w:widowControl w:val="0"/>
        <w:ind w:left="0" w:firstLine="0"/>
        <w:rPr>
          <w:color w:val="000000"/>
          <w:szCs w:val="22"/>
        </w:rPr>
      </w:pPr>
    </w:p>
    <w:p w14:paraId="32367BD8" w14:textId="77777777" w:rsidR="00847D15" w:rsidRPr="00C83045" w:rsidRDefault="00847D15" w:rsidP="00D4304B">
      <w:pPr>
        <w:widowControl w:val="0"/>
        <w:ind w:left="0" w:firstLine="0"/>
        <w:rPr>
          <w:color w:val="000000"/>
          <w:szCs w:val="22"/>
        </w:rPr>
      </w:pPr>
      <w:r w:rsidRPr="00C83045">
        <w:rPr>
          <w:color w:val="000000"/>
          <w:szCs w:val="22"/>
        </w:rPr>
        <w:t xml:space="preserve">U </w:t>
      </w:r>
      <w:r w:rsidR="004815A1" w:rsidRPr="00C83045">
        <w:rPr>
          <w:color w:val="000000"/>
          <w:szCs w:val="22"/>
        </w:rPr>
        <w:t xml:space="preserve">dospelých </w:t>
      </w:r>
      <w:r w:rsidRPr="00C83045">
        <w:rPr>
          <w:color w:val="000000"/>
          <w:szCs w:val="22"/>
        </w:rPr>
        <w:t xml:space="preserve">pacientov v akcelerovanej fáze je odporúčaná dávka Glivecu 600 mg/deň. Akcelerovanú fázu definuje splnenie ktoréhokoľvek z nasledujúcich kritérií: blasty v krvi alebo kostnej dreni </w:t>
      </w:r>
      <w:r w:rsidRPr="00C83045">
        <w:rPr>
          <w:color w:val="000000"/>
          <w:szCs w:val="22"/>
        </w:rPr>
        <w:sym w:font="Symbol" w:char="F0B3"/>
      </w:r>
      <w:r w:rsidRPr="00C83045">
        <w:rPr>
          <w:color w:val="000000"/>
          <w:szCs w:val="22"/>
        </w:rPr>
        <w:t xml:space="preserve"> 15%, ale </w:t>
      </w:r>
      <w:r w:rsidRPr="00C83045">
        <w:rPr>
          <w:color w:val="000000"/>
          <w:szCs w:val="22"/>
        </w:rPr>
        <w:sym w:font="Symbol" w:char="F03C"/>
      </w:r>
      <w:r w:rsidRPr="00C83045">
        <w:rPr>
          <w:color w:val="000000"/>
          <w:szCs w:val="22"/>
        </w:rPr>
        <w:t xml:space="preserve"> 30%, blasty + promyelocyty v krvi alebo kostnej dreni </w:t>
      </w:r>
      <w:r w:rsidRPr="00C83045">
        <w:rPr>
          <w:color w:val="000000"/>
          <w:szCs w:val="22"/>
        </w:rPr>
        <w:sym w:font="Symbol" w:char="F0B3"/>
      </w:r>
      <w:r w:rsidRPr="00C83045">
        <w:rPr>
          <w:color w:val="000000"/>
          <w:szCs w:val="22"/>
        </w:rPr>
        <w:t xml:space="preserve"> 30% (ak blasty </w:t>
      </w:r>
      <w:r w:rsidRPr="00C83045">
        <w:rPr>
          <w:color w:val="000000"/>
          <w:szCs w:val="22"/>
        </w:rPr>
        <w:sym w:font="Symbol" w:char="F03C"/>
      </w:r>
      <w:r w:rsidRPr="00C83045">
        <w:rPr>
          <w:color w:val="000000"/>
          <w:szCs w:val="22"/>
        </w:rPr>
        <w:t xml:space="preserve"> 30%), bazofily v periférnej krvi </w:t>
      </w:r>
      <w:r w:rsidRPr="00C83045">
        <w:rPr>
          <w:color w:val="000000"/>
          <w:szCs w:val="22"/>
        </w:rPr>
        <w:sym w:font="Symbol" w:char="F0B3"/>
      </w:r>
      <w:r w:rsidRPr="00C83045">
        <w:rPr>
          <w:color w:val="000000"/>
          <w:szCs w:val="22"/>
        </w:rPr>
        <w:t xml:space="preserve"> 20%, trombocyty </w:t>
      </w:r>
      <w:r w:rsidRPr="00C83045">
        <w:rPr>
          <w:color w:val="000000"/>
          <w:szCs w:val="22"/>
        </w:rPr>
        <w:sym w:font="Symbol" w:char="F03C"/>
      </w:r>
      <w:r w:rsidRPr="00C83045">
        <w:rPr>
          <w:color w:val="000000"/>
          <w:szCs w:val="22"/>
        </w:rPr>
        <w:t> 100 x 10</w:t>
      </w:r>
      <w:r w:rsidRPr="00C83045">
        <w:rPr>
          <w:color w:val="000000"/>
          <w:szCs w:val="22"/>
          <w:vertAlign w:val="superscript"/>
        </w:rPr>
        <w:t>9</w:t>
      </w:r>
      <w:r w:rsidRPr="00C83045">
        <w:rPr>
          <w:color w:val="000000"/>
          <w:szCs w:val="22"/>
        </w:rPr>
        <w:t>/l bez súvislosti s liečbou.</w:t>
      </w:r>
    </w:p>
    <w:p w14:paraId="32367BD9" w14:textId="77777777" w:rsidR="00847D15" w:rsidRPr="00C83045" w:rsidRDefault="00847D15" w:rsidP="00D4304B">
      <w:pPr>
        <w:widowControl w:val="0"/>
        <w:ind w:left="0" w:firstLine="0"/>
        <w:rPr>
          <w:color w:val="000000"/>
          <w:szCs w:val="22"/>
        </w:rPr>
      </w:pPr>
    </w:p>
    <w:p w14:paraId="32367BDA" w14:textId="77777777" w:rsidR="00847D15" w:rsidRPr="00C83045" w:rsidRDefault="00847D15" w:rsidP="00D4304B">
      <w:pPr>
        <w:widowControl w:val="0"/>
        <w:ind w:left="0" w:firstLine="0"/>
        <w:rPr>
          <w:color w:val="000000"/>
          <w:szCs w:val="22"/>
        </w:rPr>
      </w:pPr>
      <w:r w:rsidRPr="00C83045">
        <w:rPr>
          <w:color w:val="000000"/>
          <w:szCs w:val="22"/>
        </w:rPr>
        <w:t xml:space="preserve">U </w:t>
      </w:r>
      <w:r w:rsidR="004815A1" w:rsidRPr="00C83045">
        <w:rPr>
          <w:color w:val="000000"/>
          <w:szCs w:val="22"/>
        </w:rPr>
        <w:t xml:space="preserve">dospelých </w:t>
      </w:r>
      <w:r w:rsidRPr="00C83045">
        <w:rPr>
          <w:color w:val="000000"/>
          <w:szCs w:val="22"/>
        </w:rPr>
        <w:t xml:space="preserve">pacientov v blastickej kríze je odporúčaná dávka Glivecu 600 mg/deň. Blastickú krízu definujú blasty v krvi alebo kostnej dreni </w:t>
      </w:r>
      <w:r w:rsidRPr="00C83045">
        <w:rPr>
          <w:color w:val="000000"/>
          <w:szCs w:val="22"/>
        </w:rPr>
        <w:sym w:font="Symbol" w:char="F0B3"/>
      </w:r>
      <w:r w:rsidRPr="00C83045">
        <w:rPr>
          <w:color w:val="000000"/>
          <w:szCs w:val="22"/>
        </w:rPr>
        <w:t> 30% alebo extramedulárne postihnutie iné ako hepatosplenomegália.</w:t>
      </w:r>
    </w:p>
    <w:p w14:paraId="32367BDB" w14:textId="77777777" w:rsidR="00847D15" w:rsidRPr="00C83045" w:rsidRDefault="00847D15" w:rsidP="00D4304B">
      <w:pPr>
        <w:widowControl w:val="0"/>
        <w:ind w:left="0" w:firstLine="0"/>
        <w:rPr>
          <w:color w:val="000000"/>
          <w:szCs w:val="22"/>
        </w:rPr>
      </w:pPr>
    </w:p>
    <w:p w14:paraId="32367BDC" w14:textId="77777777" w:rsidR="00847D15" w:rsidRPr="00C83045" w:rsidRDefault="00847D15" w:rsidP="00D4304B">
      <w:pPr>
        <w:widowControl w:val="0"/>
        <w:ind w:left="0" w:firstLine="0"/>
        <w:rPr>
          <w:color w:val="000000"/>
          <w:szCs w:val="22"/>
        </w:rPr>
      </w:pPr>
      <w:r w:rsidRPr="00C83045">
        <w:rPr>
          <w:color w:val="000000"/>
          <w:szCs w:val="22"/>
        </w:rPr>
        <w:t xml:space="preserve">Trvanie liečby: V klinických skúšaniach sa v liečbe Glivecom pokračovalo až do progresie ochorenia. Účinok ukončenia liečby po dosiahnutí </w:t>
      </w:r>
      <w:r w:rsidR="001A1278" w:rsidRPr="00C83045">
        <w:rPr>
          <w:color w:val="000000"/>
          <w:szCs w:val="22"/>
        </w:rPr>
        <w:t>kompletn</w:t>
      </w:r>
      <w:r w:rsidRPr="00C83045">
        <w:rPr>
          <w:color w:val="000000"/>
          <w:szCs w:val="22"/>
        </w:rPr>
        <w:t>ej cytogenetickej odpovede sa nesledoval.</w:t>
      </w:r>
    </w:p>
    <w:p w14:paraId="32367BDD" w14:textId="77777777" w:rsidR="00847D15" w:rsidRPr="00C83045" w:rsidRDefault="00847D15" w:rsidP="00D4304B">
      <w:pPr>
        <w:widowControl w:val="0"/>
        <w:ind w:left="0" w:firstLine="0"/>
        <w:rPr>
          <w:color w:val="000000"/>
          <w:szCs w:val="22"/>
        </w:rPr>
      </w:pPr>
    </w:p>
    <w:p w14:paraId="32367BDE" w14:textId="77777777" w:rsidR="00847D15" w:rsidRPr="00C83045" w:rsidRDefault="00847D15" w:rsidP="00D4304B">
      <w:pPr>
        <w:widowControl w:val="0"/>
        <w:ind w:left="0" w:firstLine="0"/>
        <w:rPr>
          <w:color w:val="000000"/>
          <w:szCs w:val="22"/>
        </w:rPr>
      </w:pPr>
      <w:r w:rsidRPr="00C83045">
        <w:rPr>
          <w:color w:val="000000"/>
          <w:szCs w:val="22"/>
        </w:rPr>
        <w:t xml:space="preserve">O zvýšení dávky zo 400 mg na 600 mg </w:t>
      </w:r>
      <w:r w:rsidR="009346D0" w:rsidRPr="00C83045">
        <w:rPr>
          <w:color w:val="000000"/>
          <w:szCs w:val="22"/>
        </w:rPr>
        <w:t xml:space="preserve">alebo 800 mg </w:t>
      </w:r>
      <w:r w:rsidRPr="00C83045">
        <w:rPr>
          <w:color w:val="000000"/>
          <w:szCs w:val="22"/>
        </w:rPr>
        <w:t xml:space="preserve">u pacientov v chronickej fáze ochorenia alebo zo 600 mg na maximum 800 mg (podávaných ako 400 mg dvakrát denne) u pacientov v akcelerovanej fáze alebo blastickej kríze možno uvažovať, pokiaľ nevzniknú závažné nežiaduce reakcie na liek a nie je prítomná závažná neutropénia alebo trombocytopénia nesúvisiaca s leukémiou, za nasledujúcich okolností: progresia ochorenia (kedykoľvek); nedosiahnutie uspokojivej hematologickej odpovede po najmenej 3 mesiacoch liečby; </w:t>
      </w:r>
      <w:r w:rsidR="00E420EA" w:rsidRPr="00C83045">
        <w:rPr>
          <w:color w:val="000000"/>
          <w:szCs w:val="22"/>
        </w:rPr>
        <w:t>nedosiahnutie cytogenetickej odpovede po 12 mesiacoch liečby</w:t>
      </w:r>
      <w:r w:rsidR="00FA1255" w:rsidRPr="00C83045">
        <w:rPr>
          <w:color w:val="000000"/>
          <w:szCs w:val="22"/>
        </w:rPr>
        <w:t>;</w:t>
      </w:r>
      <w:r w:rsidR="00E420EA" w:rsidRPr="00C83045">
        <w:rPr>
          <w:color w:val="000000"/>
          <w:szCs w:val="22"/>
        </w:rPr>
        <w:t xml:space="preserve"> alebo </w:t>
      </w:r>
      <w:r w:rsidRPr="00C83045">
        <w:rPr>
          <w:color w:val="000000"/>
          <w:szCs w:val="22"/>
        </w:rPr>
        <w:t>vymiznutie predtým dosiahnutej hematologickej</w:t>
      </w:r>
      <w:r w:rsidR="00E420EA" w:rsidRPr="00C83045">
        <w:rPr>
          <w:color w:val="000000"/>
          <w:szCs w:val="22"/>
        </w:rPr>
        <w:t xml:space="preserve"> a/alebo cytogenetickej</w:t>
      </w:r>
      <w:r w:rsidRPr="00C83045">
        <w:rPr>
          <w:color w:val="000000"/>
          <w:szCs w:val="22"/>
        </w:rPr>
        <w:t xml:space="preserve"> odpovede. Po zvýšení dávky </w:t>
      </w:r>
      <w:r w:rsidR="00F37198" w:rsidRPr="00C83045">
        <w:rPr>
          <w:color w:val="000000"/>
          <w:szCs w:val="22"/>
        </w:rPr>
        <w:t>sa m</w:t>
      </w:r>
      <w:r w:rsidR="003A5E11" w:rsidRPr="00C83045">
        <w:rPr>
          <w:color w:val="000000"/>
          <w:szCs w:val="22"/>
        </w:rPr>
        <w:t>usia</w:t>
      </w:r>
      <w:r w:rsidR="00F37198" w:rsidRPr="00C83045">
        <w:rPr>
          <w:color w:val="000000"/>
          <w:szCs w:val="22"/>
        </w:rPr>
        <w:t xml:space="preserve"> </w:t>
      </w:r>
      <w:r w:rsidRPr="00C83045">
        <w:rPr>
          <w:color w:val="000000"/>
          <w:szCs w:val="22"/>
        </w:rPr>
        <w:t>pacient</w:t>
      </w:r>
      <w:r w:rsidR="00F37198" w:rsidRPr="00C83045">
        <w:rPr>
          <w:color w:val="000000"/>
          <w:szCs w:val="22"/>
        </w:rPr>
        <w:t>i</w:t>
      </w:r>
      <w:r w:rsidRPr="00C83045">
        <w:rPr>
          <w:color w:val="000000"/>
          <w:szCs w:val="22"/>
        </w:rPr>
        <w:t xml:space="preserve"> dôsledne sledovať pre možnosť zvýšeného výskytu nežiaducich </w:t>
      </w:r>
      <w:r w:rsidR="00FD04BC" w:rsidRPr="00C83045">
        <w:rPr>
          <w:color w:val="000000"/>
          <w:szCs w:val="22"/>
        </w:rPr>
        <w:t>reakcií</w:t>
      </w:r>
      <w:r w:rsidRPr="00C83045">
        <w:rPr>
          <w:color w:val="000000"/>
          <w:szCs w:val="22"/>
        </w:rPr>
        <w:t xml:space="preserve"> pri vyšších dávkovaniach.</w:t>
      </w:r>
    </w:p>
    <w:p w14:paraId="32367BDF" w14:textId="77777777" w:rsidR="00847D15" w:rsidRPr="00C83045" w:rsidRDefault="00847D15" w:rsidP="00D4304B">
      <w:pPr>
        <w:widowControl w:val="0"/>
        <w:ind w:left="0" w:firstLine="0"/>
        <w:rPr>
          <w:color w:val="000000"/>
          <w:szCs w:val="22"/>
        </w:rPr>
      </w:pPr>
    </w:p>
    <w:p w14:paraId="32367BE0" w14:textId="77777777" w:rsidR="00007BB9" w:rsidRPr="00C83045" w:rsidRDefault="00007BB9" w:rsidP="00D4304B">
      <w:pPr>
        <w:keepNext/>
        <w:widowControl w:val="0"/>
        <w:ind w:left="0" w:firstLine="0"/>
        <w:rPr>
          <w:color w:val="000000"/>
          <w:szCs w:val="22"/>
          <w:u w:val="single"/>
        </w:rPr>
      </w:pPr>
      <w:r w:rsidRPr="00C83045">
        <w:rPr>
          <w:color w:val="000000"/>
          <w:szCs w:val="22"/>
          <w:u w:val="single"/>
        </w:rPr>
        <w:t>Dávkovanie pri CML u detí</w:t>
      </w:r>
    </w:p>
    <w:p w14:paraId="32367BE1" w14:textId="77777777" w:rsidR="00007BB9" w:rsidRPr="00C83045" w:rsidRDefault="00007BB9" w:rsidP="00D4304B">
      <w:pPr>
        <w:widowControl w:val="0"/>
        <w:ind w:left="0" w:firstLine="0"/>
        <w:rPr>
          <w:color w:val="000000"/>
          <w:szCs w:val="22"/>
        </w:rPr>
      </w:pPr>
      <w:r w:rsidRPr="00C83045">
        <w:rPr>
          <w:color w:val="000000"/>
          <w:szCs w:val="22"/>
        </w:rPr>
        <w:t>Dávkovanie u detí sa má stanoviť podľa plochy povrchu tela (mg/m</w:t>
      </w:r>
      <w:r w:rsidRPr="00C83045">
        <w:rPr>
          <w:color w:val="000000"/>
          <w:szCs w:val="22"/>
          <w:vertAlign w:val="superscript"/>
        </w:rPr>
        <w:t>2</w:t>
      </w:r>
      <w:r w:rsidRPr="00C83045">
        <w:rPr>
          <w:color w:val="000000"/>
          <w:szCs w:val="22"/>
        </w:rPr>
        <w:t>). Odporúča sa denná dávka 340 mg/m</w:t>
      </w:r>
      <w:r w:rsidRPr="00C83045">
        <w:rPr>
          <w:color w:val="000000"/>
          <w:szCs w:val="22"/>
          <w:vertAlign w:val="superscript"/>
        </w:rPr>
        <w:t>2</w:t>
      </w:r>
      <w:r w:rsidRPr="00C83045">
        <w:rPr>
          <w:color w:val="000000"/>
          <w:szCs w:val="22"/>
        </w:rPr>
        <w:t xml:space="preserve"> u detí v chronickej fáze CML a v pokročilých fázach CML (nemá sa prekročiť celková dávka 800 mg). Liek možno podávať buď raz denne, alebo dennú dávku možno rozdeliť na dve podania – jedno ráno a jedno večer. Odporúčania pre dávkovanie sa v súčasnosti zakladajú na malom počte pediatrických pacientov (pozri časti 5.1 a 5.2). Nie sú skúsenosti s liečbou detí mladších ako 2-ročných.</w:t>
      </w:r>
    </w:p>
    <w:p w14:paraId="32367BE2" w14:textId="77777777" w:rsidR="00007BB9" w:rsidRPr="00C83045" w:rsidRDefault="00007BB9" w:rsidP="00D4304B">
      <w:pPr>
        <w:widowControl w:val="0"/>
        <w:ind w:left="0" w:firstLine="0"/>
        <w:rPr>
          <w:color w:val="000000"/>
          <w:szCs w:val="22"/>
        </w:rPr>
      </w:pPr>
    </w:p>
    <w:p w14:paraId="32367BE3" w14:textId="77777777" w:rsidR="00007BB9" w:rsidRPr="00C83045" w:rsidRDefault="00007BB9" w:rsidP="00D4304B">
      <w:pPr>
        <w:widowControl w:val="0"/>
        <w:ind w:left="0" w:firstLine="0"/>
        <w:rPr>
          <w:color w:val="000000"/>
          <w:szCs w:val="22"/>
        </w:rPr>
      </w:pPr>
      <w:r w:rsidRPr="00C83045">
        <w:rPr>
          <w:color w:val="000000"/>
          <w:szCs w:val="22"/>
        </w:rPr>
        <w:lastRenderedPageBreak/>
        <w:t>O zvýšení dávky z 340 mg/m</w:t>
      </w:r>
      <w:r w:rsidRPr="00C83045">
        <w:rPr>
          <w:color w:val="000000"/>
          <w:szCs w:val="22"/>
          <w:vertAlign w:val="superscript"/>
        </w:rPr>
        <w:t>2</w:t>
      </w:r>
      <w:r w:rsidRPr="00C83045">
        <w:rPr>
          <w:color w:val="000000"/>
          <w:szCs w:val="22"/>
        </w:rPr>
        <w:t xml:space="preserve"> denne na 570 mg/m</w:t>
      </w:r>
      <w:r w:rsidRPr="00C83045">
        <w:rPr>
          <w:color w:val="000000"/>
          <w:szCs w:val="22"/>
          <w:vertAlign w:val="superscript"/>
        </w:rPr>
        <w:t>2</w:t>
      </w:r>
      <w:r w:rsidRPr="00C83045">
        <w:rPr>
          <w:color w:val="000000"/>
          <w:szCs w:val="22"/>
        </w:rPr>
        <w:t xml:space="preserve"> denne (nemá sa prekročiť celková dávka 800 mg) u detí možno uvažovať, pokiaľ nevzniknú závažné nežiaduce reakcie na liek a nie je prítomná závažná neutropénia alebo trombocytopénia nesúvisiaca s leukémiou, za nasledujúcich okolností: progresia ochorenia (kedykoľvek); nedosiahnutie uspokojivej hematologickej odpovede po najmenej 3 mesiacoch liečby; nedosiahnutie cytogenetickej odpovede po 12 mesiacoch liečby; alebo vymiznutie predtým dosiahnutej hematologickej a/alebo cytogenetickej odpovede. Po zvýšení dávky sa musia pacienti dôsledne sledovať pre možnosť zvýšeného výskytu nežiaducich reakcií pri vyšších dávkovaniach.</w:t>
      </w:r>
    </w:p>
    <w:p w14:paraId="32367BE4" w14:textId="77777777" w:rsidR="006E17F7" w:rsidRPr="00C83045" w:rsidRDefault="006E17F7" w:rsidP="00D4304B">
      <w:pPr>
        <w:widowControl w:val="0"/>
        <w:ind w:left="0" w:firstLine="0"/>
        <w:rPr>
          <w:color w:val="000000"/>
          <w:szCs w:val="22"/>
        </w:rPr>
      </w:pPr>
    </w:p>
    <w:p w14:paraId="32367BE5" w14:textId="77777777" w:rsidR="006E17F7" w:rsidRPr="00C83045" w:rsidRDefault="006E17F7" w:rsidP="00D4304B">
      <w:pPr>
        <w:keepNext/>
        <w:widowControl w:val="0"/>
        <w:ind w:left="0" w:firstLine="0"/>
        <w:rPr>
          <w:color w:val="000000"/>
          <w:szCs w:val="22"/>
          <w:u w:val="single"/>
        </w:rPr>
      </w:pPr>
      <w:r w:rsidRPr="00C83045">
        <w:rPr>
          <w:color w:val="000000"/>
          <w:szCs w:val="22"/>
          <w:u w:val="single"/>
        </w:rPr>
        <w:t>Dávkovanie pri Ph+ ALL</w:t>
      </w:r>
      <w:r w:rsidR="00292929" w:rsidRPr="00C83045">
        <w:rPr>
          <w:color w:val="000000"/>
          <w:szCs w:val="22"/>
          <w:u w:val="single"/>
        </w:rPr>
        <w:t xml:space="preserve"> u dospelých pacientov</w:t>
      </w:r>
    </w:p>
    <w:p w14:paraId="32367BE6" w14:textId="77777777" w:rsidR="006E17F7" w:rsidRPr="00C83045" w:rsidRDefault="006E17F7" w:rsidP="00D4304B">
      <w:pPr>
        <w:widowControl w:val="0"/>
        <w:ind w:left="0" w:firstLine="0"/>
        <w:rPr>
          <w:color w:val="000000"/>
          <w:szCs w:val="22"/>
        </w:rPr>
      </w:pPr>
      <w:r w:rsidRPr="00C83045">
        <w:rPr>
          <w:color w:val="000000"/>
          <w:szCs w:val="22"/>
        </w:rPr>
        <w:t>U </w:t>
      </w:r>
      <w:r w:rsidR="004815A1" w:rsidRPr="00C83045">
        <w:rPr>
          <w:color w:val="000000"/>
          <w:szCs w:val="22"/>
        </w:rPr>
        <w:t xml:space="preserve">dospelých </w:t>
      </w:r>
      <w:r w:rsidRPr="00C83045">
        <w:rPr>
          <w:color w:val="000000"/>
          <w:szCs w:val="22"/>
        </w:rPr>
        <w:t xml:space="preserve">pacientov s Ph+ </w:t>
      </w:r>
      <w:smartTag w:uri="urn:schemas-microsoft-com:office:smarttags" w:element="stockticker">
        <w:r w:rsidRPr="00C83045">
          <w:rPr>
            <w:color w:val="000000"/>
            <w:szCs w:val="22"/>
          </w:rPr>
          <w:t>ALL</w:t>
        </w:r>
      </w:smartTag>
      <w:r w:rsidRPr="00C83045">
        <w:rPr>
          <w:color w:val="000000"/>
          <w:szCs w:val="22"/>
        </w:rPr>
        <w:t xml:space="preserve"> je odporúčaná dávka Glivecu 600 mg/deň. </w:t>
      </w:r>
      <w:r w:rsidRPr="00C83045">
        <w:rPr>
          <w:rFonts w:eastAsia="MS Mincho"/>
          <w:color w:val="000000"/>
          <w:szCs w:val="22"/>
          <w:lang w:eastAsia="ja-JP"/>
        </w:rPr>
        <w:t>Hematológovia, ktorí sú odborníkmi na vedenie liečby tohto ochorenia, majú dohliadať na liečbu počas všetkých fáz poskytovania starostlivosti.</w:t>
      </w:r>
    </w:p>
    <w:p w14:paraId="32367BE7" w14:textId="77777777" w:rsidR="006E17F7" w:rsidRPr="00C83045" w:rsidRDefault="006E17F7" w:rsidP="00D4304B">
      <w:pPr>
        <w:widowControl w:val="0"/>
        <w:ind w:left="0" w:firstLine="0"/>
        <w:rPr>
          <w:color w:val="000000"/>
          <w:szCs w:val="22"/>
        </w:rPr>
      </w:pPr>
    </w:p>
    <w:p w14:paraId="32367BE8" w14:textId="77777777" w:rsidR="006E17F7" w:rsidRPr="00C83045" w:rsidRDefault="006E17F7" w:rsidP="00D4304B">
      <w:pPr>
        <w:widowControl w:val="0"/>
        <w:ind w:left="0" w:firstLine="0"/>
        <w:rPr>
          <w:rFonts w:eastAsia="MS Mincho"/>
          <w:color w:val="000000"/>
          <w:szCs w:val="22"/>
          <w:lang w:eastAsia="ja-JP"/>
        </w:rPr>
      </w:pPr>
      <w:r w:rsidRPr="00C83045">
        <w:rPr>
          <w:color w:val="000000"/>
          <w:szCs w:val="22"/>
        </w:rPr>
        <w:t xml:space="preserve">Režim liečby: Podľa existujúcich údajov sa preukázala účinnosť a bezpečnosť Glivecu pri podávaní v dávke 600 mg/deň v kombinácii s chemoterapiou v indukčnej, konsolidačnej a udržiavacej fáze chemoterapie (pozri časť 5.1) u dospelých pacientov s novodiagnostikovanou </w:t>
      </w:r>
      <w:r w:rsidRPr="00C83045">
        <w:rPr>
          <w:rFonts w:eastAsia="MS Mincho"/>
          <w:color w:val="000000"/>
          <w:szCs w:val="22"/>
          <w:lang w:eastAsia="ja-JP"/>
        </w:rPr>
        <w:t xml:space="preserve">Ph+ </w:t>
      </w:r>
      <w:smartTag w:uri="urn:schemas-microsoft-com:office:smarttags" w:element="stockticker">
        <w:r w:rsidRPr="00C83045">
          <w:rPr>
            <w:rFonts w:eastAsia="MS Mincho"/>
            <w:color w:val="000000"/>
            <w:szCs w:val="22"/>
            <w:lang w:eastAsia="ja-JP"/>
          </w:rPr>
          <w:t>ALL</w:t>
        </w:r>
      </w:smartTag>
      <w:r w:rsidRPr="00C83045">
        <w:rPr>
          <w:rFonts w:eastAsia="MS Mincho"/>
          <w:color w:val="000000"/>
          <w:szCs w:val="22"/>
          <w:lang w:eastAsia="ja-JP"/>
        </w:rPr>
        <w:t>. Trvanie liečby Glivecom môže byť rôzne v závislosti od zvoleného programu liečby, ale dlhšie expozície Glivecu spravidla priniesli lepšie výsledky.</w:t>
      </w:r>
    </w:p>
    <w:p w14:paraId="32367BE9" w14:textId="77777777" w:rsidR="006E17F7" w:rsidRPr="00C83045" w:rsidRDefault="006E17F7" w:rsidP="00D4304B">
      <w:pPr>
        <w:widowControl w:val="0"/>
        <w:ind w:left="0" w:firstLine="0"/>
        <w:rPr>
          <w:color w:val="000000"/>
          <w:szCs w:val="22"/>
        </w:rPr>
      </w:pPr>
    </w:p>
    <w:p w14:paraId="32367BEA" w14:textId="77777777" w:rsidR="006E17F7" w:rsidRPr="00C83045" w:rsidRDefault="006E17F7" w:rsidP="00D4304B">
      <w:pPr>
        <w:widowControl w:val="0"/>
        <w:ind w:left="0" w:firstLine="0"/>
        <w:rPr>
          <w:color w:val="000000"/>
          <w:szCs w:val="22"/>
        </w:rPr>
      </w:pPr>
      <w:r w:rsidRPr="00C83045">
        <w:rPr>
          <w:color w:val="000000"/>
          <w:szCs w:val="22"/>
        </w:rPr>
        <w:t xml:space="preserve">U dospelých pacientov s relapsom alebo refraktérnou </w:t>
      </w:r>
      <w:r w:rsidRPr="00C83045">
        <w:rPr>
          <w:rFonts w:eastAsia="MS Mincho"/>
          <w:color w:val="000000"/>
          <w:szCs w:val="22"/>
          <w:lang w:eastAsia="ja-JP"/>
        </w:rPr>
        <w:t xml:space="preserve">Ph+ </w:t>
      </w:r>
      <w:smartTag w:uri="urn:schemas-microsoft-com:office:smarttags" w:element="stockticker">
        <w:r w:rsidRPr="00C83045">
          <w:rPr>
            <w:rFonts w:eastAsia="MS Mincho"/>
            <w:color w:val="000000"/>
            <w:szCs w:val="22"/>
            <w:lang w:eastAsia="ja-JP"/>
          </w:rPr>
          <w:t>ALL</w:t>
        </w:r>
      </w:smartTag>
      <w:r w:rsidRPr="00C83045">
        <w:rPr>
          <w:rFonts w:eastAsia="MS Mincho"/>
          <w:color w:val="000000"/>
          <w:szCs w:val="22"/>
          <w:lang w:eastAsia="ja-JP"/>
        </w:rPr>
        <w:t xml:space="preserve"> je monoterapia Glivecom v dávke 600 mg/deň bezpečná, účinná a môže sa podávať až do nástupu progresie ochorenia.</w:t>
      </w:r>
    </w:p>
    <w:p w14:paraId="32367BEB" w14:textId="77777777" w:rsidR="00292929" w:rsidRPr="00C83045" w:rsidRDefault="00292929" w:rsidP="00D4304B">
      <w:pPr>
        <w:widowControl w:val="0"/>
        <w:rPr>
          <w:rFonts w:eastAsia="MS Mincho"/>
          <w:color w:val="000000"/>
          <w:lang w:eastAsia="ja-JP"/>
        </w:rPr>
      </w:pPr>
    </w:p>
    <w:p w14:paraId="32367BEC" w14:textId="77777777" w:rsidR="00292929" w:rsidRPr="00C83045" w:rsidRDefault="00292929" w:rsidP="00D4304B">
      <w:pPr>
        <w:keepNext/>
        <w:widowControl w:val="0"/>
        <w:rPr>
          <w:rFonts w:eastAsia="MS Mincho"/>
          <w:color w:val="000000"/>
          <w:u w:val="single"/>
          <w:lang w:eastAsia="ja-JP"/>
        </w:rPr>
      </w:pPr>
      <w:r w:rsidRPr="00C83045">
        <w:rPr>
          <w:rFonts w:eastAsia="MS Mincho"/>
          <w:color w:val="000000"/>
          <w:u w:val="single"/>
          <w:lang w:eastAsia="ja-JP"/>
        </w:rPr>
        <w:t>Dávkovanie pri Ph+ ALL u detí</w:t>
      </w:r>
    </w:p>
    <w:p w14:paraId="32367BED" w14:textId="77777777" w:rsidR="00292929" w:rsidRPr="00C83045" w:rsidRDefault="00F662C2" w:rsidP="00D4304B">
      <w:pPr>
        <w:widowControl w:val="0"/>
        <w:ind w:left="0" w:firstLine="0"/>
        <w:rPr>
          <w:color w:val="000000"/>
        </w:rPr>
      </w:pPr>
      <w:r w:rsidRPr="00C83045">
        <w:rPr>
          <w:color w:val="000000"/>
          <w:szCs w:val="22"/>
        </w:rPr>
        <w:t>Dávkovanie u detí sa má stanoviť podľa plochy povrchu tela (mg/m</w:t>
      </w:r>
      <w:r w:rsidRPr="00C83045">
        <w:rPr>
          <w:color w:val="000000"/>
          <w:szCs w:val="22"/>
          <w:vertAlign w:val="superscript"/>
        </w:rPr>
        <w:t>2</w:t>
      </w:r>
      <w:r w:rsidRPr="00C83045">
        <w:rPr>
          <w:color w:val="000000"/>
          <w:szCs w:val="22"/>
        </w:rPr>
        <w:t>). U detí s </w:t>
      </w:r>
      <w:r w:rsidRPr="00C83045">
        <w:rPr>
          <w:color w:val="000000"/>
        </w:rPr>
        <w:t xml:space="preserve">Ph+ ALL </w:t>
      </w:r>
      <w:r w:rsidRPr="00C83045">
        <w:rPr>
          <w:color w:val="000000"/>
          <w:szCs w:val="22"/>
        </w:rPr>
        <w:t>sa odporúča denná dávka</w:t>
      </w:r>
      <w:r w:rsidR="00292929" w:rsidRPr="00C83045">
        <w:rPr>
          <w:color w:val="000000"/>
        </w:rPr>
        <w:t xml:space="preserve"> 340 mg/m</w:t>
      </w:r>
      <w:r w:rsidR="00292929" w:rsidRPr="00C83045">
        <w:rPr>
          <w:color w:val="000000"/>
          <w:vertAlign w:val="superscript"/>
        </w:rPr>
        <w:t>2</w:t>
      </w:r>
      <w:r w:rsidRPr="00C83045">
        <w:rPr>
          <w:color w:val="000000"/>
        </w:rPr>
        <w:t xml:space="preserve"> </w:t>
      </w:r>
      <w:r w:rsidR="00292929" w:rsidRPr="00C83045">
        <w:rPr>
          <w:color w:val="000000"/>
        </w:rPr>
        <w:t>(n</w:t>
      </w:r>
      <w:r w:rsidRPr="00C83045">
        <w:rPr>
          <w:color w:val="000000"/>
        </w:rPr>
        <w:t>esmie byť prekročená celková dávka</w:t>
      </w:r>
      <w:r w:rsidR="00292929" w:rsidRPr="00C83045">
        <w:rPr>
          <w:color w:val="000000"/>
        </w:rPr>
        <w:t xml:space="preserve"> 600 mg).</w:t>
      </w:r>
    </w:p>
    <w:p w14:paraId="32367BEE" w14:textId="77777777" w:rsidR="00847D15" w:rsidRPr="00C83045" w:rsidRDefault="00847D15" w:rsidP="00D4304B">
      <w:pPr>
        <w:widowControl w:val="0"/>
        <w:ind w:left="0" w:firstLine="0"/>
        <w:rPr>
          <w:color w:val="000000"/>
          <w:szCs w:val="22"/>
        </w:rPr>
      </w:pPr>
    </w:p>
    <w:p w14:paraId="32367BEF" w14:textId="77777777" w:rsidR="0081270C" w:rsidRPr="00C83045" w:rsidRDefault="0081270C" w:rsidP="00D4304B">
      <w:pPr>
        <w:keepNext/>
        <w:widowControl w:val="0"/>
        <w:ind w:left="0" w:firstLine="0"/>
        <w:rPr>
          <w:color w:val="000000"/>
          <w:szCs w:val="22"/>
          <w:u w:val="single"/>
        </w:rPr>
      </w:pPr>
      <w:r w:rsidRPr="00C83045">
        <w:rPr>
          <w:color w:val="000000"/>
          <w:szCs w:val="22"/>
          <w:u w:val="single"/>
        </w:rPr>
        <w:t xml:space="preserve">Dávkovanie pri </w:t>
      </w:r>
      <w:smartTag w:uri="urn:schemas-microsoft-com:office:smarttags" w:element="stockticker">
        <w:r w:rsidRPr="00C83045">
          <w:rPr>
            <w:color w:val="000000"/>
            <w:szCs w:val="22"/>
            <w:u w:val="single"/>
          </w:rPr>
          <w:t>MDS</w:t>
        </w:r>
      </w:smartTag>
      <w:r w:rsidRPr="00C83045">
        <w:rPr>
          <w:color w:val="000000"/>
          <w:szCs w:val="22"/>
          <w:u w:val="single"/>
        </w:rPr>
        <w:t>/MPD</w:t>
      </w:r>
    </w:p>
    <w:p w14:paraId="32367BF0" w14:textId="77777777" w:rsidR="0081270C" w:rsidRPr="00C83045" w:rsidRDefault="0081270C" w:rsidP="00D4304B">
      <w:pPr>
        <w:widowControl w:val="0"/>
        <w:ind w:left="0" w:firstLine="0"/>
        <w:rPr>
          <w:color w:val="000000"/>
          <w:szCs w:val="22"/>
        </w:rPr>
      </w:pPr>
      <w:r w:rsidRPr="00C83045">
        <w:rPr>
          <w:color w:val="000000"/>
          <w:szCs w:val="22"/>
        </w:rPr>
        <w:t>U </w:t>
      </w:r>
      <w:r w:rsidR="004815A1" w:rsidRPr="00C83045">
        <w:rPr>
          <w:color w:val="000000"/>
          <w:szCs w:val="22"/>
        </w:rPr>
        <w:t xml:space="preserve">dospelých </w:t>
      </w:r>
      <w:r w:rsidRPr="00C83045">
        <w:rPr>
          <w:color w:val="000000"/>
          <w:szCs w:val="22"/>
        </w:rPr>
        <w:t>pacientov s </w:t>
      </w:r>
      <w:smartTag w:uri="urn:schemas-microsoft-com:office:smarttags" w:element="stockticker">
        <w:r w:rsidRPr="00C83045">
          <w:rPr>
            <w:color w:val="000000"/>
            <w:szCs w:val="22"/>
          </w:rPr>
          <w:t>MDS</w:t>
        </w:r>
      </w:smartTag>
      <w:r w:rsidRPr="00C83045">
        <w:rPr>
          <w:color w:val="000000"/>
          <w:szCs w:val="22"/>
        </w:rPr>
        <w:t>/MPD je odporúčaná dávka Glivecu 400 mg/deň.</w:t>
      </w:r>
    </w:p>
    <w:p w14:paraId="32367BF1" w14:textId="77777777" w:rsidR="0081270C" w:rsidRPr="00C83045" w:rsidRDefault="0081270C" w:rsidP="00D4304B">
      <w:pPr>
        <w:widowControl w:val="0"/>
        <w:ind w:left="0" w:firstLine="0"/>
        <w:rPr>
          <w:color w:val="000000"/>
          <w:szCs w:val="22"/>
        </w:rPr>
      </w:pPr>
    </w:p>
    <w:p w14:paraId="32367BF2" w14:textId="77777777" w:rsidR="0081270C" w:rsidRPr="00C83045" w:rsidRDefault="0081270C" w:rsidP="00D4304B">
      <w:pPr>
        <w:widowControl w:val="0"/>
        <w:ind w:left="0" w:firstLine="0"/>
        <w:rPr>
          <w:color w:val="000000"/>
          <w:szCs w:val="22"/>
        </w:rPr>
      </w:pPr>
      <w:r w:rsidRPr="00C83045">
        <w:rPr>
          <w:color w:val="000000"/>
          <w:szCs w:val="22"/>
        </w:rPr>
        <w:t>Trvanie liečby: V jedinom zatiaľ vykonanom klinickom skúšaní sa v liečbe Glivecom pokračovalo až do progresie ochorenia</w:t>
      </w:r>
      <w:r w:rsidR="00103921" w:rsidRPr="00C83045">
        <w:rPr>
          <w:color w:val="000000"/>
          <w:szCs w:val="22"/>
        </w:rPr>
        <w:t xml:space="preserve"> (pozri časť 5.1). V čase analýzy bol medián trvania liečby 47 mesiacov (24 dní – 60 mesiacov).</w:t>
      </w:r>
    </w:p>
    <w:p w14:paraId="32367BF3" w14:textId="77777777" w:rsidR="00FA47CE" w:rsidRPr="00C83045" w:rsidRDefault="00FA47CE" w:rsidP="00D4304B">
      <w:pPr>
        <w:widowControl w:val="0"/>
        <w:ind w:left="0" w:firstLine="0"/>
        <w:rPr>
          <w:color w:val="000000"/>
          <w:szCs w:val="22"/>
        </w:rPr>
      </w:pPr>
    </w:p>
    <w:p w14:paraId="32367BF4" w14:textId="77777777" w:rsidR="00CE63A2" w:rsidRPr="00C83045" w:rsidRDefault="00CE63A2" w:rsidP="00D4304B">
      <w:pPr>
        <w:keepNext/>
        <w:widowControl w:val="0"/>
        <w:ind w:left="0" w:firstLine="0"/>
        <w:rPr>
          <w:color w:val="000000"/>
          <w:szCs w:val="22"/>
          <w:u w:val="single"/>
        </w:rPr>
      </w:pPr>
      <w:r w:rsidRPr="00C83045">
        <w:rPr>
          <w:color w:val="000000"/>
          <w:szCs w:val="22"/>
          <w:u w:val="single"/>
        </w:rPr>
        <w:t>Dávkovanie pri HES/</w:t>
      </w:r>
      <w:smartTag w:uri="urn:schemas-microsoft-com:office:smarttags" w:element="stockticker">
        <w:r w:rsidRPr="00C83045">
          <w:rPr>
            <w:color w:val="000000"/>
            <w:szCs w:val="22"/>
            <w:u w:val="single"/>
          </w:rPr>
          <w:t>CEL</w:t>
        </w:r>
      </w:smartTag>
    </w:p>
    <w:p w14:paraId="32367BF5" w14:textId="77777777" w:rsidR="000E6787" w:rsidRPr="00C83045" w:rsidRDefault="000E6787" w:rsidP="00D4304B">
      <w:pPr>
        <w:pStyle w:val="EndnoteText"/>
        <w:widowControl w:val="0"/>
        <w:tabs>
          <w:tab w:val="clear" w:pos="567"/>
        </w:tabs>
        <w:rPr>
          <w:color w:val="000000"/>
          <w:szCs w:val="22"/>
          <w:u w:val="single"/>
          <w:lang w:val="sk-SK"/>
        </w:rPr>
      </w:pPr>
      <w:r w:rsidRPr="00C83045">
        <w:rPr>
          <w:color w:val="000000"/>
          <w:szCs w:val="22"/>
          <w:lang w:val="sk-SK"/>
        </w:rPr>
        <w:t>U </w:t>
      </w:r>
      <w:r w:rsidR="004815A1" w:rsidRPr="00C83045">
        <w:rPr>
          <w:color w:val="000000"/>
          <w:szCs w:val="22"/>
          <w:lang w:val="sk-SK"/>
        </w:rPr>
        <w:t xml:space="preserve">dospelých </w:t>
      </w:r>
      <w:r w:rsidRPr="00C83045">
        <w:rPr>
          <w:color w:val="000000"/>
          <w:szCs w:val="22"/>
          <w:lang w:val="sk-SK"/>
        </w:rPr>
        <w:t>pacientov s H</w:t>
      </w:r>
      <w:smartTag w:uri="urn:schemas-microsoft-com:office:smarttags" w:element="PersonName">
        <w:r w:rsidRPr="00C83045">
          <w:rPr>
            <w:color w:val="000000"/>
            <w:szCs w:val="22"/>
            <w:lang w:val="sk-SK"/>
          </w:rPr>
          <w:t>ES</w:t>
        </w:r>
      </w:smartTag>
      <w:r w:rsidRPr="00C83045">
        <w:rPr>
          <w:color w:val="000000"/>
          <w:szCs w:val="22"/>
          <w:lang w:val="sk-SK"/>
        </w:rPr>
        <w:t>/</w:t>
      </w:r>
      <w:smartTag w:uri="urn:schemas-microsoft-com:office:smarttags" w:element="stockticker">
        <w:r w:rsidRPr="00C83045">
          <w:rPr>
            <w:color w:val="000000"/>
            <w:szCs w:val="22"/>
            <w:lang w:val="sk-SK"/>
          </w:rPr>
          <w:t>C</w:t>
        </w:r>
        <w:smartTag w:uri="urn:schemas-microsoft-com:office:smarttags" w:element="PersonName">
          <w:r w:rsidRPr="00C83045">
            <w:rPr>
              <w:color w:val="000000"/>
              <w:szCs w:val="22"/>
              <w:lang w:val="sk-SK"/>
            </w:rPr>
            <w:t>EL</w:t>
          </w:r>
        </w:smartTag>
      </w:smartTag>
      <w:r w:rsidRPr="00C83045">
        <w:rPr>
          <w:color w:val="000000"/>
          <w:szCs w:val="22"/>
          <w:lang w:val="sk-SK"/>
        </w:rPr>
        <w:t xml:space="preserve"> je odporúčaná dávka Glivecu 100 mg/deň.</w:t>
      </w:r>
    </w:p>
    <w:p w14:paraId="32367BF6" w14:textId="77777777" w:rsidR="000E6787" w:rsidRPr="00C83045" w:rsidRDefault="000E6787" w:rsidP="00D4304B">
      <w:pPr>
        <w:pStyle w:val="Text"/>
        <w:widowControl w:val="0"/>
        <w:spacing w:before="0"/>
        <w:jc w:val="left"/>
        <w:rPr>
          <w:color w:val="000000"/>
          <w:sz w:val="22"/>
          <w:szCs w:val="22"/>
          <w:lang w:val="sk-SK"/>
        </w:rPr>
      </w:pPr>
    </w:p>
    <w:p w14:paraId="32367BF7" w14:textId="77777777" w:rsidR="000E6787" w:rsidRPr="00C83045" w:rsidRDefault="000E6787" w:rsidP="00D4304B">
      <w:pPr>
        <w:pStyle w:val="Text"/>
        <w:widowControl w:val="0"/>
        <w:spacing w:before="0"/>
        <w:jc w:val="left"/>
        <w:rPr>
          <w:rFonts w:eastAsia="MS Mincho"/>
          <w:color w:val="000000"/>
          <w:sz w:val="22"/>
          <w:szCs w:val="22"/>
          <w:lang w:val="sk-SK" w:eastAsia="ja-JP"/>
        </w:rPr>
      </w:pPr>
      <w:r w:rsidRPr="00C83045">
        <w:rPr>
          <w:rFonts w:eastAsia="MS Mincho"/>
          <w:color w:val="000000"/>
          <w:sz w:val="22"/>
          <w:szCs w:val="22"/>
          <w:lang w:val="sk-SK" w:eastAsia="ja-JP"/>
        </w:rPr>
        <w:t>Zvýšenie dávky zo 100 mg na 400 mg možno uvážiť, pokiaľ sa nevyskytli nežiaduce reakcie na liek, ak hodnotenia preukážu nedostatočnú odpoveď na liečbu.</w:t>
      </w:r>
    </w:p>
    <w:p w14:paraId="32367BF8" w14:textId="77777777" w:rsidR="00B64392" w:rsidRPr="00C83045" w:rsidRDefault="00B64392" w:rsidP="00D4304B">
      <w:pPr>
        <w:pStyle w:val="Text"/>
        <w:widowControl w:val="0"/>
        <w:spacing w:before="0"/>
        <w:jc w:val="left"/>
        <w:rPr>
          <w:rFonts w:eastAsia="MS Mincho"/>
          <w:color w:val="000000"/>
          <w:sz w:val="22"/>
          <w:szCs w:val="22"/>
          <w:lang w:val="sk-SK" w:eastAsia="ja-JP"/>
        </w:rPr>
      </w:pPr>
    </w:p>
    <w:p w14:paraId="32367BF9" w14:textId="77777777" w:rsidR="00B64392" w:rsidRPr="00C83045" w:rsidRDefault="00B64392" w:rsidP="00D4304B">
      <w:pPr>
        <w:pStyle w:val="Text"/>
        <w:widowControl w:val="0"/>
        <w:spacing w:before="0"/>
        <w:jc w:val="left"/>
        <w:rPr>
          <w:rFonts w:eastAsia="MS Mincho"/>
          <w:color w:val="000000"/>
          <w:sz w:val="22"/>
          <w:szCs w:val="22"/>
          <w:lang w:val="sk-SK" w:eastAsia="ja-JP"/>
        </w:rPr>
      </w:pPr>
      <w:r w:rsidRPr="00C83045">
        <w:rPr>
          <w:rFonts w:eastAsia="MS Mincho"/>
          <w:color w:val="000000"/>
          <w:sz w:val="22"/>
          <w:szCs w:val="22"/>
          <w:lang w:val="sk-SK" w:eastAsia="ja-JP"/>
        </w:rPr>
        <w:t>V liečbe sa má pokračovať dovtedy, kým je pre pacienta prínosom.</w:t>
      </w:r>
    </w:p>
    <w:p w14:paraId="32367BFA" w14:textId="77777777" w:rsidR="000E6787" w:rsidRPr="00C83045" w:rsidRDefault="000E6787" w:rsidP="00D4304B">
      <w:pPr>
        <w:widowControl w:val="0"/>
        <w:ind w:left="0" w:firstLine="0"/>
        <w:rPr>
          <w:color w:val="000000"/>
          <w:szCs w:val="22"/>
          <w:u w:val="single"/>
        </w:rPr>
      </w:pPr>
    </w:p>
    <w:p w14:paraId="32367BFB" w14:textId="77777777" w:rsidR="00A271C2" w:rsidRPr="00C83045" w:rsidRDefault="00A271C2" w:rsidP="00D4304B">
      <w:pPr>
        <w:keepNext/>
        <w:widowControl w:val="0"/>
        <w:ind w:left="0" w:firstLine="0"/>
        <w:rPr>
          <w:color w:val="000000"/>
          <w:szCs w:val="22"/>
          <w:u w:val="single"/>
        </w:rPr>
      </w:pPr>
      <w:r w:rsidRPr="00C83045">
        <w:rPr>
          <w:color w:val="000000"/>
          <w:szCs w:val="22"/>
          <w:u w:val="single"/>
        </w:rPr>
        <w:t>Dávkovanie pri GIST</w:t>
      </w:r>
    </w:p>
    <w:p w14:paraId="32367BFC" w14:textId="77777777" w:rsidR="00A271C2" w:rsidRPr="00C83045" w:rsidRDefault="00A271C2" w:rsidP="00D4304B">
      <w:pPr>
        <w:widowControl w:val="0"/>
        <w:ind w:left="0" w:firstLine="0"/>
        <w:rPr>
          <w:color w:val="000000"/>
          <w:szCs w:val="22"/>
        </w:rPr>
      </w:pPr>
      <w:r w:rsidRPr="00C83045">
        <w:rPr>
          <w:color w:val="000000"/>
          <w:szCs w:val="22"/>
        </w:rPr>
        <w:t xml:space="preserve">U </w:t>
      </w:r>
      <w:r w:rsidR="004815A1" w:rsidRPr="00C83045">
        <w:rPr>
          <w:color w:val="000000"/>
          <w:szCs w:val="22"/>
        </w:rPr>
        <w:t xml:space="preserve">dospelých </w:t>
      </w:r>
      <w:r w:rsidRPr="00C83045">
        <w:rPr>
          <w:color w:val="000000"/>
          <w:szCs w:val="22"/>
        </w:rPr>
        <w:t>pacientov s neresekovateľnými a/alebo metastazujúcimi malígnymi GIST je odporúčaná dávka Glivecu 400 mg/deň.</w:t>
      </w:r>
    </w:p>
    <w:p w14:paraId="32367BFD" w14:textId="77777777" w:rsidR="00A271C2" w:rsidRPr="00C83045" w:rsidRDefault="00A271C2" w:rsidP="00D4304B">
      <w:pPr>
        <w:widowControl w:val="0"/>
        <w:ind w:left="0" w:firstLine="0"/>
        <w:rPr>
          <w:color w:val="000000"/>
          <w:szCs w:val="22"/>
        </w:rPr>
      </w:pPr>
    </w:p>
    <w:p w14:paraId="32367BFE" w14:textId="77777777" w:rsidR="00A271C2" w:rsidRPr="00C83045" w:rsidRDefault="00A271C2" w:rsidP="00D4304B">
      <w:pPr>
        <w:widowControl w:val="0"/>
        <w:ind w:left="0" w:firstLine="0"/>
        <w:rPr>
          <w:color w:val="000000"/>
          <w:szCs w:val="22"/>
        </w:rPr>
      </w:pPr>
      <w:r w:rsidRPr="00C83045">
        <w:rPr>
          <w:color w:val="000000"/>
          <w:szCs w:val="22"/>
        </w:rPr>
        <w:t>Sú obmedzené údaje o účinku zvýšenia dávky zo 400 mg na 600 mg alebo 800 mg u pacientov s progresiou ochorenia pri nižšej dávke (pozri časť 5.1).</w:t>
      </w:r>
    </w:p>
    <w:p w14:paraId="32367BFF" w14:textId="77777777" w:rsidR="00A271C2" w:rsidRPr="00C83045" w:rsidRDefault="00A271C2" w:rsidP="00D4304B">
      <w:pPr>
        <w:widowControl w:val="0"/>
        <w:ind w:left="0" w:firstLine="0"/>
        <w:rPr>
          <w:color w:val="000000"/>
          <w:szCs w:val="22"/>
        </w:rPr>
      </w:pPr>
    </w:p>
    <w:p w14:paraId="32367C00" w14:textId="77777777" w:rsidR="00A271C2" w:rsidRPr="00C83045" w:rsidRDefault="00A271C2" w:rsidP="00D4304B">
      <w:pPr>
        <w:widowControl w:val="0"/>
        <w:ind w:left="0" w:firstLine="0"/>
        <w:rPr>
          <w:color w:val="000000"/>
          <w:szCs w:val="22"/>
        </w:rPr>
      </w:pPr>
      <w:r w:rsidRPr="00C83045">
        <w:rPr>
          <w:color w:val="000000"/>
          <w:szCs w:val="22"/>
        </w:rPr>
        <w:t>Trvanie liečby: V klinických skúšaniach s pacientmi s GIST sa v liečbe Glivecom pokračovalo až do progresie ochorenia. V čase analýzy bol medián trvania liečby 7 mesiacov (od 7 dní do 13 mesiacov). Účinok ukončenia liečby po dosiahnutí odpovede sa nesledoval.</w:t>
      </w:r>
    </w:p>
    <w:p w14:paraId="32367C01" w14:textId="77777777" w:rsidR="00A271C2" w:rsidRPr="00C83045" w:rsidRDefault="00A271C2" w:rsidP="00D4304B">
      <w:pPr>
        <w:widowControl w:val="0"/>
        <w:ind w:left="0" w:firstLine="0"/>
        <w:rPr>
          <w:color w:val="000000"/>
          <w:szCs w:val="22"/>
          <w:u w:val="single"/>
        </w:rPr>
      </w:pPr>
    </w:p>
    <w:p w14:paraId="32367C02" w14:textId="77777777" w:rsidR="00A271C2" w:rsidRPr="00C83045" w:rsidRDefault="00A271C2" w:rsidP="00D4304B">
      <w:pPr>
        <w:widowControl w:val="0"/>
        <w:ind w:left="0" w:firstLine="0"/>
        <w:rPr>
          <w:color w:val="000000"/>
          <w:szCs w:val="22"/>
          <w:u w:val="single"/>
        </w:rPr>
      </w:pPr>
      <w:r w:rsidRPr="00C83045">
        <w:rPr>
          <w:color w:val="000000"/>
          <w:szCs w:val="22"/>
        </w:rPr>
        <w:t xml:space="preserve">Odporúčaná dávka Glivecu v adjuvantnej liečbe dospelých pacientov po resekcii GIST je 400 mg/deň. Optimálne trvanie liečby </w:t>
      </w:r>
      <w:r w:rsidR="00D81583" w:rsidRPr="00C83045">
        <w:rPr>
          <w:color w:val="000000"/>
          <w:szCs w:val="22"/>
        </w:rPr>
        <w:t>zatiaľ nie je stanovené</w:t>
      </w:r>
      <w:r w:rsidRPr="00C83045">
        <w:rPr>
          <w:color w:val="000000"/>
          <w:szCs w:val="22"/>
        </w:rPr>
        <w:t>.</w:t>
      </w:r>
      <w:r w:rsidR="00D81583" w:rsidRPr="00C83045">
        <w:rPr>
          <w:color w:val="000000"/>
          <w:szCs w:val="22"/>
        </w:rPr>
        <w:t xml:space="preserve"> Dĺžka liečby v klinickom skúšaní na podporu tejto indikácie bola </w:t>
      </w:r>
      <w:r w:rsidR="00870EF6" w:rsidRPr="00C83045">
        <w:rPr>
          <w:color w:val="000000"/>
          <w:szCs w:val="22"/>
        </w:rPr>
        <w:t>36 </w:t>
      </w:r>
      <w:r w:rsidR="00D81583" w:rsidRPr="00C83045">
        <w:rPr>
          <w:color w:val="000000"/>
          <w:szCs w:val="22"/>
        </w:rPr>
        <w:t>mesiacov</w:t>
      </w:r>
      <w:r w:rsidR="00870EF6" w:rsidRPr="00C83045">
        <w:rPr>
          <w:color w:val="000000"/>
          <w:szCs w:val="22"/>
        </w:rPr>
        <w:t xml:space="preserve"> (pozri časť 5.1)</w:t>
      </w:r>
      <w:r w:rsidR="00D81583" w:rsidRPr="00C83045">
        <w:rPr>
          <w:color w:val="000000"/>
          <w:szCs w:val="22"/>
        </w:rPr>
        <w:t>.</w:t>
      </w:r>
    </w:p>
    <w:p w14:paraId="32367C03" w14:textId="77777777" w:rsidR="00A271C2" w:rsidRPr="00C83045" w:rsidRDefault="00A271C2" w:rsidP="00D4304B">
      <w:pPr>
        <w:widowControl w:val="0"/>
        <w:ind w:left="0" w:firstLine="0"/>
        <w:rPr>
          <w:color w:val="000000"/>
          <w:szCs w:val="22"/>
          <w:u w:val="single"/>
        </w:rPr>
      </w:pPr>
    </w:p>
    <w:p w14:paraId="32367C04" w14:textId="77777777" w:rsidR="009849BF" w:rsidRPr="00C83045" w:rsidRDefault="009849BF" w:rsidP="00D4304B">
      <w:pPr>
        <w:keepNext/>
        <w:widowControl w:val="0"/>
        <w:ind w:left="0" w:firstLine="0"/>
        <w:rPr>
          <w:color w:val="000000"/>
          <w:szCs w:val="22"/>
          <w:u w:val="single"/>
        </w:rPr>
      </w:pPr>
      <w:r w:rsidRPr="00C83045">
        <w:rPr>
          <w:color w:val="000000"/>
          <w:szCs w:val="22"/>
          <w:u w:val="single"/>
        </w:rPr>
        <w:lastRenderedPageBreak/>
        <w:t>Dávkovanie pri DFSP</w:t>
      </w:r>
    </w:p>
    <w:p w14:paraId="32367C05" w14:textId="77777777" w:rsidR="009849BF" w:rsidRPr="00C83045" w:rsidRDefault="009849BF" w:rsidP="00D4304B">
      <w:pPr>
        <w:widowControl w:val="0"/>
        <w:ind w:left="0" w:firstLine="0"/>
        <w:rPr>
          <w:color w:val="000000"/>
          <w:szCs w:val="22"/>
        </w:rPr>
      </w:pPr>
      <w:r w:rsidRPr="00C83045">
        <w:rPr>
          <w:color w:val="000000"/>
          <w:szCs w:val="22"/>
        </w:rPr>
        <w:t>U </w:t>
      </w:r>
      <w:r w:rsidR="004815A1" w:rsidRPr="00C83045">
        <w:rPr>
          <w:color w:val="000000"/>
          <w:szCs w:val="22"/>
        </w:rPr>
        <w:t xml:space="preserve">dospelých </w:t>
      </w:r>
      <w:r w:rsidRPr="00C83045">
        <w:rPr>
          <w:color w:val="000000"/>
          <w:szCs w:val="22"/>
        </w:rPr>
        <w:t>pacientov s DFSP je odporúčaná dávka Glivecu 800 mg/deň.</w:t>
      </w:r>
    </w:p>
    <w:p w14:paraId="32367C06" w14:textId="77777777" w:rsidR="00847D15" w:rsidRPr="00C83045" w:rsidRDefault="00847D15" w:rsidP="00D4304B">
      <w:pPr>
        <w:widowControl w:val="0"/>
        <w:ind w:left="0" w:firstLine="0"/>
        <w:rPr>
          <w:color w:val="000000"/>
          <w:szCs w:val="22"/>
        </w:rPr>
      </w:pPr>
    </w:p>
    <w:p w14:paraId="32367C07" w14:textId="77777777" w:rsidR="00847D15" w:rsidRPr="00C83045" w:rsidRDefault="00847D15" w:rsidP="00D4304B">
      <w:pPr>
        <w:keepNext/>
        <w:widowControl w:val="0"/>
        <w:ind w:left="0" w:firstLine="0"/>
        <w:rPr>
          <w:color w:val="000000"/>
          <w:szCs w:val="22"/>
          <w:u w:val="single"/>
        </w:rPr>
      </w:pPr>
      <w:r w:rsidRPr="00C83045">
        <w:rPr>
          <w:color w:val="000000"/>
          <w:szCs w:val="22"/>
          <w:u w:val="single"/>
        </w:rPr>
        <w:t>Úprava dávkovania pre nežiaduce reakcie</w:t>
      </w:r>
    </w:p>
    <w:p w14:paraId="32367C08" w14:textId="77777777" w:rsidR="00847D15" w:rsidRPr="00C83045" w:rsidRDefault="00847D15" w:rsidP="00D4304B">
      <w:pPr>
        <w:pStyle w:val="Heading3"/>
        <w:widowControl w:val="0"/>
        <w:autoSpaceDE/>
        <w:autoSpaceDN/>
        <w:rPr>
          <w:i/>
          <w:color w:val="000000"/>
          <w:sz w:val="22"/>
          <w:szCs w:val="22"/>
        </w:rPr>
      </w:pPr>
      <w:r w:rsidRPr="00C83045">
        <w:rPr>
          <w:i/>
          <w:color w:val="000000"/>
          <w:sz w:val="22"/>
          <w:szCs w:val="22"/>
        </w:rPr>
        <w:t>Nehematologické nežiaduce reakcie</w:t>
      </w:r>
    </w:p>
    <w:p w14:paraId="32367C09" w14:textId="77777777" w:rsidR="00847D15" w:rsidRPr="00C83045" w:rsidRDefault="00847D15" w:rsidP="00D4304B">
      <w:pPr>
        <w:widowControl w:val="0"/>
        <w:ind w:left="0" w:firstLine="0"/>
        <w:rPr>
          <w:color w:val="000000"/>
          <w:szCs w:val="22"/>
        </w:rPr>
      </w:pPr>
      <w:r w:rsidRPr="00C83045">
        <w:rPr>
          <w:color w:val="000000"/>
          <w:szCs w:val="22"/>
        </w:rPr>
        <w:t>Ak sa pri užívaní Glivecu vyvinie závažná nehematologická nežiaduca reakcia, liečba sa musí vysadiť až do vymiznutia udalosti. Potom možno v liečbe primeraným spôsobom pokračovať, v závislosti od počiatočnej závažnosti udalosti.</w:t>
      </w:r>
    </w:p>
    <w:p w14:paraId="32367C0A" w14:textId="77777777" w:rsidR="00847D15" w:rsidRPr="00C83045" w:rsidRDefault="00847D15" w:rsidP="00D4304B">
      <w:pPr>
        <w:widowControl w:val="0"/>
        <w:ind w:left="0" w:firstLine="0"/>
        <w:rPr>
          <w:color w:val="000000"/>
          <w:szCs w:val="22"/>
        </w:rPr>
      </w:pPr>
    </w:p>
    <w:p w14:paraId="32367C0B" w14:textId="77777777" w:rsidR="00847D15" w:rsidRPr="00C83045" w:rsidRDefault="00847D15" w:rsidP="00D4304B">
      <w:pPr>
        <w:widowControl w:val="0"/>
        <w:ind w:left="0" w:firstLine="0"/>
        <w:rPr>
          <w:color w:val="000000"/>
          <w:szCs w:val="22"/>
        </w:rPr>
      </w:pPr>
      <w:r w:rsidRPr="00C83045">
        <w:rPr>
          <w:color w:val="000000"/>
          <w:szCs w:val="22"/>
        </w:rPr>
        <w:t xml:space="preserve">Ak sa zvýši bilirubín </w:t>
      </w:r>
      <w:r w:rsidRPr="00C83045">
        <w:rPr>
          <w:color w:val="000000"/>
          <w:szCs w:val="22"/>
        </w:rPr>
        <w:sym w:font="Symbol" w:char="F03E"/>
      </w:r>
      <w:r w:rsidRPr="00C83045">
        <w:rPr>
          <w:color w:val="000000"/>
          <w:szCs w:val="22"/>
        </w:rPr>
        <w:t> 3-násobok stanovenej hornej hranice normálneho rozmedzia (</w:t>
      </w:r>
      <w:r w:rsidR="00BB19E7" w:rsidRPr="00C83045">
        <w:rPr>
          <w:color w:val="000000"/>
          <w:szCs w:val="22"/>
        </w:rPr>
        <w:t>IULN</w:t>
      </w:r>
      <w:r w:rsidRPr="00C83045">
        <w:rPr>
          <w:color w:val="000000"/>
          <w:szCs w:val="22"/>
        </w:rPr>
        <w:t xml:space="preserve">) alebo pečeňové aminotransferázy </w:t>
      </w:r>
      <w:r w:rsidRPr="00C83045">
        <w:rPr>
          <w:color w:val="000000"/>
          <w:szCs w:val="22"/>
        </w:rPr>
        <w:sym w:font="Symbol" w:char="F03E"/>
      </w:r>
      <w:r w:rsidRPr="00C83045">
        <w:rPr>
          <w:color w:val="000000"/>
          <w:szCs w:val="22"/>
        </w:rPr>
        <w:t xml:space="preserve"> 5-násobok </w:t>
      </w:r>
      <w:r w:rsidR="00BB19E7" w:rsidRPr="00C83045">
        <w:rPr>
          <w:color w:val="000000"/>
          <w:szCs w:val="22"/>
        </w:rPr>
        <w:t>IULN</w:t>
      </w:r>
      <w:r w:rsidRPr="00C83045">
        <w:rPr>
          <w:color w:val="000000"/>
          <w:szCs w:val="22"/>
        </w:rPr>
        <w:t xml:space="preserve">, Glivec sa má vysadiť, kým sa hladiny bilirubínu nevrátia </w:t>
      </w:r>
      <w:r w:rsidRPr="00C83045">
        <w:rPr>
          <w:color w:val="000000"/>
          <w:szCs w:val="22"/>
        </w:rPr>
        <w:sym w:font="Symbol" w:char="F03C"/>
      </w:r>
      <w:r w:rsidRPr="00C83045">
        <w:rPr>
          <w:color w:val="000000"/>
          <w:szCs w:val="22"/>
        </w:rPr>
        <w:t xml:space="preserve"> 1,5-násobok </w:t>
      </w:r>
      <w:r w:rsidR="00BB19E7" w:rsidRPr="00C83045">
        <w:rPr>
          <w:color w:val="000000"/>
          <w:szCs w:val="22"/>
        </w:rPr>
        <w:t>IULN</w:t>
      </w:r>
      <w:r w:rsidRPr="00C83045">
        <w:rPr>
          <w:color w:val="000000"/>
          <w:szCs w:val="22"/>
        </w:rPr>
        <w:t xml:space="preserve"> a hladiny aminotransferáz </w:t>
      </w:r>
      <w:r w:rsidRPr="00C83045">
        <w:rPr>
          <w:color w:val="000000"/>
          <w:szCs w:val="22"/>
        </w:rPr>
        <w:sym w:font="Symbol" w:char="F03C"/>
      </w:r>
      <w:r w:rsidRPr="00C83045">
        <w:rPr>
          <w:color w:val="000000"/>
          <w:szCs w:val="22"/>
        </w:rPr>
        <w:t xml:space="preserve"> 2,5-násobok </w:t>
      </w:r>
      <w:r w:rsidR="00BB19E7" w:rsidRPr="00C83045">
        <w:rPr>
          <w:color w:val="000000"/>
          <w:szCs w:val="22"/>
        </w:rPr>
        <w:t>IULN</w:t>
      </w:r>
      <w:r w:rsidRPr="00C83045">
        <w:rPr>
          <w:color w:val="000000"/>
          <w:szCs w:val="22"/>
        </w:rPr>
        <w:t>. V liečbe Glivecom potom možno pokračovať pri zníženej dennej dávke. U dospelých sa má dávka znížiť zo 400 na 300 mg</w:t>
      </w:r>
      <w:r w:rsidR="009849BF" w:rsidRPr="00C83045">
        <w:rPr>
          <w:color w:val="000000"/>
          <w:szCs w:val="22"/>
        </w:rPr>
        <w:t>,</w:t>
      </w:r>
      <w:r w:rsidRPr="00C83045">
        <w:rPr>
          <w:color w:val="000000"/>
          <w:szCs w:val="22"/>
        </w:rPr>
        <w:t xml:space="preserve"> alebo zo 600 na 400 mg</w:t>
      </w:r>
      <w:r w:rsidR="009849BF" w:rsidRPr="00C83045">
        <w:rPr>
          <w:color w:val="000000"/>
          <w:szCs w:val="22"/>
        </w:rPr>
        <w:t>, alebo z 800 mg na 600 mg,</w:t>
      </w:r>
      <w:r w:rsidRPr="00C83045">
        <w:rPr>
          <w:color w:val="000000"/>
          <w:szCs w:val="22"/>
        </w:rPr>
        <w:t xml:space="preserve"> a u detí z 340 na 260 mg/m</w:t>
      </w:r>
      <w:r w:rsidRPr="00C83045">
        <w:rPr>
          <w:color w:val="000000"/>
          <w:szCs w:val="22"/>
          <w:vertAlign w:val="superscript"/>
        </w:rPr>
        <w:t>2</w:t>
      </w:r>
      <w:r w:rsidRPr="00C83045">
        <w:rPr>
          <w:color w:val="000000"/>
          <w:szCs w:val="22"/>
        </w:rPr>
        <w:t>/deň.</w:t>
      </w:r>
    </w:p>
    <w:p w14:paraId="32367C0C" w14:textId="77777777" w:rsidR="00847D15" w:rsidRPr="00C83045" w:rsidRDefault="00847D15" w:rsidP="00D4304B">
      <w:pPr>
        <w:pStyle w:val="Heading3"/>
        <w:keepNext w:val="0"/>
        <w:widowControl w:val="0"/>
        <w:autoSpaceDE/>
        <w:autoSpaceDN/>
        <w:rPr>
          <w:color w:val="000000"/>
          <w:sz w:val="22"/>
          <w:szCs w:val="22"/>
        </w:rPr>
      </w:pPr>
    </w:p>
    <w:p w14:paraId="32367C0D" w14:textId="77777777" w:rsidR="00847D15" w:rsidRPr="00C83045" w:rsidRDefault="00847D15" w:rsidP="00D4304B">
      <w:pPr>
        <w:pStyle w:val="Heading3"/>
        <w:widowControl w:val="0"/>
        <w:autoSpaceDE/>
        <w:autoSpaceDN/>
        <w:rPr>
          <w:i/>
          <w:color w:val="000000"/>
          <w:sz w:val="22"/>
          <w:szCs w:val="22"/>
        </w:rPr>
      </w:pPr>
      <w:r w:rsidRPr="00C83045">
        <w:rPr>
          <w:i/>
          <w:color w:val="000000"/>
          <w:sz w:val="22"/>
          <w:szCs w:val="22"/>
        </w:rPr>
        <w:t>Hematologické nežiaduce reakcie</w:t>
      </w:r>
    </w:p>
    <w:p w14:paraId="32367C0E" w14:textId="77777777" w:rsidR="00847D15" w:rsidRPr="00C83045" w:rsidRDefault="00847D15" w:rsidP="00D4304B">
      <w:pPr>
        <w:widowControl w:val="0"/>
        <w:ind w:left="0" w:firstLine="0"/>
        <w:rPr>
          <w:color w:val="000000"/>
          <w:szCs w:val="22"/>
        </w:rPr>
      </w:pPr>
      <w:r w:rsidRPr="00C83045">
        <w:rPr>
          <w:color w:val="000000"/>
          <w:szCs w:val="22"/>
        </w:rPr>
        <w:t>Pri závažnej neutropénii alebo trombocytopénii sa odporúča zníženie dávky alebo prerušenie liečby, ako sa uvádza v nasledujúcej tabuľke.</w:t>
      </w:r>
    </w:p>
    <w:p w14:paraId="32367C0F" w14:textId="77777777" w:rsidR="00847D15" w:rsidRPr="00C83045" w:rsidRDefault="00847D15" w:rsidP="00D4304B">
      <w:pPr>
        <w:widowControl w:val="0"/>
        <w:ind w:left="0" w:firstLine="0"/>
        <w:rPr>
          <w:color w:val="000000"/>
          <w:szCs w:val="22"/>
        </w:rPr>
      </w:pPr>
    </w:p>
    <w:p w14:paraId="32367C10" w14:textId="77777777" w:rsidR="00847D15" w:rsidRPr="00C83045" w:rsidRDefault="00847D15" w:rsidP="00D4304B">
      <w:pPr>
        <w:pStyle w:val="Heading4"/>
        <w:widowControl w:val="0"/>
        <w:autoSpaceDE/>
        <w:autoSpaceDN/>
        <w:rPr>
          <w:i w:val="0"/>
          <w:color w:val="000000"/>
        </w:rPr>
      </w:pPr>
      <w:r w:rsidRPr="00C83045">
        <w:rPr>
          <w:i w:val="0"/>
          <w:color w:val="000000"/>
        </w:rPr>
        <w:t>Úprava dávky pre neutropéniu a</w:t>
      </w:r>
      <w:r w:rsidR="00F454B5" w:rsidRPr="00C83045">
        <w:rPr>
          <w:i w:val="0"/>
          <w:color w:val="000000"/>
        </w:rPr>
        <w:t> </w:t>
      </w:r>
      <w:r w:rsidRPr="00C83045">
        <w:rPr>
          <w:i w:val="0"/>
          <w:color w:val="000000"/>
        </w:rPr>
        <w:t>trombocytopéniu</w:t>
      </w:r>
      <w:r w:rsidR="00F454B5" w:rsidRPr="00C83045">
        <w:rPr>
          <w:i w:val="0"/>
          <w:color w:val="000000"/>
        </w:rPr>
        <w:t>:</w:t>
      </w:r>
    </w:p>
    <w:p w14:paraId="32367C11" w14:textId="77777777" w:rsidR="00CE63A2" w:rsidRPr="00C83045" w:rsidRDefault="00CE63A2" w:rsidP="00D4304B">
      <w:pPr>
        <w:keepNext/>
        <w:widowControl w:val="0"/>
        <w:rPr>
          <w:color w:val="000000"/>
          <w:szCs w:val="22"/>
        </w:rPr>
      </w:pPr>
    </w:p>
    <w:tbl>
      <w:tblPr>
        <w:tblW w:w="0" w:type="auto"/>
        <w:tblInd w:w="30" w:type="dxa"/>
        <w:tblCellMar>
          <w:left w:w="30" w:type="dxa"/>
          <w:right w:w="30" w:type="dxa"/>
        </w:tblCellMar>
        <w:tblLook w:val="0000" w:firstRow="0" w:lastRow="0" w:firstColumn="0" w:lastColumn="0" w:noHBand="0" w:noVBand="0"/>
      </w:tblPr>
      <w:tblGrid>
        <w:gridCol w:w="2350"/>
        <w:gridCol w:w="1767"/>
        <w:gridCol w:w="4908"/>
      </w:tblGrid>
      <w:tr w:rsidR="00A66A8E" w:rsidRPr="00C83045" w14:paraId="32367C18" w14:textId="77777777" w:rsidTr="00BE6051">
        <w:trPr>
          <w:cantSplit/>
          <w:trHeight w:val="1124"/>
        </w:trPr>
        <w:tc>
          <w:tcPr>
            <w:tcW w:w="0" w:type="auto"/>
            <w:tcBorders>
              <w:top w:val="single" w:sz="6" w:space="0" w:color="auto"/>
              <w:left w:val="single" w:sz="6" w:space="0" w:color="auto"/>
              <w:bottom w:val="single" w:sz="6" w:space="0" w:color="auto"/>
              <w:right w:val="single" w:sz="6" w:space="0" w:color="auto"/>
            </w:tcBorders>
          </w:tcPr>
          <w:p w14:paraId="32367C12" w14:textId="77777777" w:rsidR="00A66A8E" w:rsidRPr="00C83045" w:rsidRDefault="00A66A8E" w:rsidP="00D4304B">
            <w:pPr>
              <w:keepNext/>
              <w:widowControl w:val="0"/>
              <w:ind w:left="0" w:firstLine="0"/>
              <w:rPr>
                <w:color w:val="000000"/>
                <w:szCs w:val="22"/>
              </w:rPr>
            </w:pPr>
            <w:r w:rsidRPr="00C83045">
              <w:rPr>
                <w:color w:val="000000"/>
                <w:szCs w:val="22"/>
              </w:rPr>
              <w:t>HES/</w:t>
            </w:r>
            <w:smartTag w:uri="urn:schemas-microsoft-com:office:smarttags" w:element="stockticker">
              <w:r w:rsidRPr="00C83045">
                <w:rPr>
                  <w:color w:val="000000"/>
                  <w:szCs w:val="22"/>
                </w:rPr>
                <w:t>CEL</w:t>
              </w:r>
            </w:smartTag>
            <w:r w:rsidRPr="00C83045">
              <w:rPr>
                <w:color w:val="000000"/>
                <w:szCs w:val="22"/>
              </w:rPr>
              <w:t xml:space="preserve"> (začiatočná dávka 100 mg)</w:t>
            </w:r>
          </w:p>
        </w:tc>
        <w:tc>
          <w:tcPr>
            <w:tcW w:w="0" w:type="auto"/>
            <w:tcBorders>
              <w:top w:val="single" w:sz="6" w:space="0" w:color="auto"/>
              <w:left w:val="single" w:sz="6" w:space="0" w:color="auto"/>
              <w:bottom w:val="single" w:sz="6" w:space="0" w:color="auto"/>
              <w:right w:val="single" w:sz="6" w:space="0" w:color="auto"/>
            </w:tcBorders>
          </w:tcPr>
          <w:p w14:paraId="32367C13" w14:textId="77777777" w:rsidR="00A66A8E" w:rsidRPr="00C83045" w:rsidRDefault="00A66A8E" w:rsidP="00D4304B">
            <w:pPr>
              <w:keepNext/>
              <w:widowControl w:val="0"/>
              <w:ind w:left="67" w:firstLine="0"/>
              <w:rPr>
                <w:color w:val="000000"/>
                <w:szCs w:val="22"/>
              </w:rPr>
            </w:pPr>
            <w:r w:rsidRPr="00C83045">
              <w:rPr>
                <w:color w:val="000000"/>
                <w:szCs w:val="22"/>
              </w:rPr>
              <w:t>ANC &lt; 1,0 x 10</w:t>
            </w:r>
            <w:r w:rsidRPr="00C83045">
              <w:rPr>
                <w:color w:val="000000"/>
                <w:szCs w:val="22"/>
                <w:vertAlign w:val="superscript"/>
              </w:rPr>
              <w:t>9</w:t>
            </w:r>
            <w:r w:rsidRPr="00C83045">
              <w:rPr>
                <w:color w:val="000000"/>
                <w:szCs w:val="22"/>
              </w:rPr>
              <w:t>/l</w:t>
            </w:r>
          </w:p>
          <w:p w14:paraId="32367C14" w14:textId="77777777" w:rsidR="00A66A8E" w:rsidRPr="00C83045" w:rsidRDefault="00A66A8E" w:rsidP="00D4304B">
            <w:pPr>
              <w:keepNext/>
              <w:widowControl w:val="0"/>
              <w:ind w:left="67" w:firstLine="0"/>
              <w:rPr>
                <w:color w:val="000000"/>
                <w:szCs w:val="22"/>
              </w:rPr>
            </w:pPr>
            <w:r w:rsidRPr="00C83045">
              <w:rPr>
                <w:color w:val="000000"/>
                <w:szCs w:val="22"/>
              </w:rPr>
              <w:t>a/alebo</w:t>
            </w:r>
          </w:p>
          <w:p w14:paraId="32367C15" w14:textId="77777777" w:rsidR="00A66A8E" w:rsidRPr="00C83045" w:rsidRDefault="00A66A8E" w:rsidP="00D4304B">
            <w:pPr>
              <w:keepNext/>
              <w:widowControl w:val="0"/>
              <w:ind w:left="67" w:firstLine="0"/>
              <w:rPr>
                <w:color w:val="000000"/>
                <w:szCs w:val="22"/>
              </w:rPr>
            </w:pPr>
            <w:r w:rsidRPr="00C83045">
              <w:rPr>
                <w:color w:val="000000"/>
                <w:szCs w:val="22"/>
              </w:rPr>
              <w:t>počet trombocytov &lt; 50 x 10</w:t>
            </w:r>
            <w:r w:rsidRPr="00C83045">
              <w:rPr>
                <w:color w:val="000000"/>
                <w:szCs w:val="22"/>
                <w:vertAlign w:val="superscript"/>
              </w:rPr>
              <w:t>9</w:t>
            </w:r>
            <w:r w:rsidRPr="00C83045">
              <w:rPr>
                <w:color w:val="000000"/>
                <w:szCs w:val="22"/>
              </w:rPr>
              <w:t>/l</w:t>
            </w:r>
          </w:p>
        </w:tc>
        <w:tc>
          <w:tcPr>
            <w:tcW w:w="0" w:type="auto"/>
            <w:tcBorders>
              <w:top w:val="single" w:sz="6" w:space="0" w:color="auto"/>
              <w:left w:val="single" w:sz="6" w:space="0" w:color="auto"/>
              <w:bottom w:val="single" w:sz="6" w:space="0" w:color="auto"/>
              <w:right w:val="single" w:sz="6" w:space="0" w:color="auto"/>
            </w:tcBorders>
          </w:tcPr>
          <w:p w14:paraId="32367C16" w14:textId="77777777" w:rsidR="00A66A8E" w:rsidRPr="00C83045" w:rsidRDefault="000328DA" w:rsidP="00D4304B">
            <w:pPr>
              <w:pStyle w:val="Table"/>
              <w:keepLines w:val="0"/>
              <w:widowControl w:val="0"/>
              <w:tabs>
                <w:tab w:val="clear" w:pos="284"/>
              </w:tabs>
              <w:spacing w:before="0" w:after="0"/>
              <w:ind w:left="502" w:hanging="469"/>
              <w:rPr>
                <w:rFonts w:ascii="Times New Roman" w:hAnsi="Times New Roman"/>
                <w:color w:val="000000"/>
                <w:sz w:val="22"/>
                <w:szCs w:val="22"/>
                <w:lang w:val="sk-SK" w:eastAsia="sk-SK"/>
              </w:rPr>
            </w:pPr>
            <w:r w:rsidRPr="00C83045">
              <w:rPr>
                <w:rFonts w:ascii="Times New Roman" w:hAnsi="Times New Roman"/>
                <w:color w:val="000000"/>
                <w:sz w:val="22"/>
                <w:szCs w:val="22"/>
                <w:lang w:val="sk-SK" w:eastAsia="sk-SK"/>
              </w:rPr>
              <w:t>1.</w:t>
            </w:r>
            <w:r w:rsidRPr="00C83045">
              <w:rPr>
                <w:rFonts w:ascii="Times New Roman" w:hAnsi="Times New Roman"/>
                <w:color w:val="000000"/>
                <w:sz w:val="22"/>
                <w:szCs w:val="22"/>
                <w:lang w:val="sk-SK" w:eastAsia="sk-SK"/>
              </w:rPr>
              <w:tab/>
            </w:r>
            <w:r w:rsidR="00A66A8E" w:rsidRPr="00C83045">
              <w:rPr>
                <w:rFonts w:ascii="Times New Roman" w:hAnsi="Times New Roman"/>
                <w:color w:val="000000"/>
                <w:sz w:val="22"/>
                <w:szCs w:val="22"/>
                <w:lang w:val="sk-SK" w:eastAsia="sk-SK"/>
              </w:rPr>
              <w:t xml:space="preserve">Prerušiť podávanie Glivecu, kým ANC </w:t>
            </w:r>
            <w:r w:rsidR="00A66A8E" w:rsidRPr="00C83045">
              <w:rPr>
                <w:rFonts w:ascii="Times New Roman" w:hAnsi="Times New Roman"/>
                <w:color w:val="000000"/>
                <w:sz w:val="22"/>
                <w:szCs w:val="22"/>
                <w:lang w:val="sk-SK" w:eastAsia="sk-SK"/>
              </w:rPr>
              <w:sym w:font="Symbol" w:char="F0B3"/>
            </w:r>
            <w:r w:rsidR="00A66A8E" w:rsidRPr="00C83045">
              <w:rPr>
                <w:rFonts w:ascii="Times New Roman" w:hAnsi="Times New Roman"/>
                <w:color w:val="000000"/>
                <w:sz w:val="22"/>
                <w:szCs w:val="22"/>
                <w:lang w:val="sk-SK" w:eastAsia="sk-SK"/>
              </w:rPr>
              <w:t> 1,5 x 10</w:t>
            </w:r>
            <w:r w:rsidR="00A66A8E" w:rsidRPr="00C83045">
              <w:rPr>
                <w:rFonts w:ascii="Times New Roman" w:hAnsi="Times New Roman"/>
                <w:color w:val="000000"/>
                <w:sz w:val="22"/>
                <w:szCs w:val="22"/>
                <w:vertAlign w:val="superscript"/>
                <w:lang w:val="sk-SK" w:eastAsia="sk-SK"/>
              </w:rPr>
              <w:t>9</w:t>
            </w:r>
            <w:r w:rsidR="00A66A8E" w:rsidRPr="00C83045">
              <w:rPr>
                <w:rFonts w:ascii="Times New Roman" w:hAnsi="Times New Roman"/>
                <w:color w:val="000000"/>
                <w:sz w:val="22"/>
                <w:szCs w:val="22"/>
                <w:lang w:val="sk-SK" w:eastAsia="sk-SK"/>
              </w:rPr>
              <w:t xml:space="preserve">/l a počet trombocytov </w:t>
            </w:r>
            <w:r w:rsidR="00A66A8E" w:rsidRPr="00C83045">
              <w:rPr>
                <w:rFonts w:ascii="Times New Roman" w:hAnsi="Times New Roman"/>
                <w:color w:val="000000"/>
                <w:sz w:val="22"/>
                <w:szCs w:val="22"/>
                <w:lang w:val="sk-SK" w:eastAsia="sk-SK"/>
              </w:rPr>
              <w:sym w:font="Symbol" w:char="F0B3"/>
            </w:r>
            <w:r w:rsidR="00A66A8E" w:rsidRPr="00C83045">
              <w:rPr>
                <w:rFonts w:ascii="Times New Roman" w:hAnsi="Times New Roman"/>
                <w:color w:val="000000"/>
                <w:sz w:val="22"/>
                <w:szCs w:val="22"/>
                <w:lang w:val="sk-SK" w:eastAsia="sk-SK"/>
              </w:rPr>
              <w:t> 75 x 10</w:t>
            </w:r>
            <w:r w:rsidR="00A66A8E" w:rsidRPr="00C83045">
              <w:rPr>
                <w:rFonts w:ascii="Times New Roman" w:hAnsi="Times New Roman"/>
                <w:color w:val="000000"/>
                <w:sz w:val="22"/>
                <w:szCs w:val="22"/>
                <w:vertAlign w:val="superscript"/>
                <w:lang w:val="sk-SK" w:eastAsia="sk-SK"/>
              </w:rPr>
              <w:t>9</w:t>
            </w:r>
            <w:r w:rsidR="00A66A8E" w:rsidRPr="00C83045">
              <w:rPr>
                <w:rFonts w:ascii="Times New Roman" w:hAnsi="Times New Roman"/>
                <w:color w:val="000000"/>
                <w:sz w:val="22"/>
                <w:szCs w:val="22"/>
                <w:lang w:val="sk-SK" w:eastAsia="sk-SK"/>
              </w:rPr>
              <w:t>/l.</w:t>
            </w:r>
          </w:p>
          <w:p w14:paraId="32367C17" w14:textId="77777777" w:rsidR="00A66A8E" w:rsidRPr="00C83045" w:rsidRDefault="000328DA" w:rsidP="00D4304B">
            <w:pPr>
              <w:keepNext/>
              <w:widowControl w:val="0"/>
              <w:ind w:left="502" w:hanging="469"/>
              <w:rPr>
                <w:color w:val="000000"/>
                <w:szCs w:val="22"/>
              </w:rPr>
            </w:pPr>
            <w:r w:rsidRPr="00C83045">
              <w:rPr>
                <w:color w:val="000000"/>
                <w:szCs w:val="22"/>
              </w:rPr>
              <w:t>2.</w:t>
            </w:r>
            <w:r w:rsidRPr="00C83045">
              <w:rPr>
                <w:color w:val="000000"/>
                <w:szCs w:val="22"/>
              </w:rPr>
              <w:tab/>
            </w:r>
            <w:r w:rsidR="00A66A8E" w:rsidRPr="00C83045">
              <w:rPr>
                <w:color w:val="000000"/>
                <w:szCs w:val="22"/>
              </w:rPr>
              <w:t>Pokračovať v liečbe Glivecom predošlou dávkou (t.j. pred závažnou nežiaducou reakciou).</w:t>
            </w:r>
          </w:p>
        </w:tc>
      </w:tr>
      <w:tr w:rsidR="002B133D" w:rsidRPr="00C83045" w14:paraId="32367C21" w14:textId="77777777" w:rsidTr="00BE6051">
        <w:trPr>
          <w:cantSplit/>
          <w:trHeight w:val="1409"/>
        </w:trPr>
        <w:tc>
          <w:tcPr>
            <w:tcW w:w="0" w:type="auto"/>
            <w:tcBorders>
              <w:top w:val="single" w:sz="6" w:space="0" w:color="auto"/>
              <w:left w:val="single" w:sz="6" w:space="0" w:color="auto"/>
              <w:bottom w:val="single" w:sz="6" w:space="0" w:color="auto"/>
              <w:right w:val="single" w:sz="6" w:space="0" w:color="auto"/>
            </w:tcBorders>
          </w:tcPr>
          <w:p w14:paraId="32367C19" w14:textId="77777777" w:rsidR="002B133D" w:rsidRPr="00C83045" w:rsidRDefault="002B133D" w:rsidP="00D4304B">
            <w:pPr>
              <w:widowControl w:val="0"/>
              <w:ind w:left="0" w:firstLine="0"/>
              <w:rPr>
                <w:color w:val="000000"/>
                <w:szCs w:val="22"/>
              </w:rPr>
            </w:pPr>
            <w:r w:rsidRPr="00C83045">
              <w:rPr>
                <w:color w:val="000000"/>
                <w:szCs w:val="22"/>
              </w:rPr>
              <w:t>Chronická fáza CML</w:t>
            </w:r>
            <w:r w:rsidR="0081270C" w:rsidRPr="00C83045">
              <w:rPr>
                <w:color w:val="000000"/>
                <w:szCs w:val="22"/>
              </w:rPr>
              <w:t xml:space="preserve">, </w:t>
            </w:r>
            <w:smartTag w:uri="urn:schemas-microsoft-com:office:smarttags" w:element="stockticker">
              <w:r w:rsidR="0081270C" w:rsidRPr="00C83045">
                <w:rPr>
                  <w:color w:val="000000"/>
                  <w:szCs w:val="22"/>
                </w:rPr>
                <w:t>MDS</w:t>
              </w:r>
            </w:smartTag>
            <w:r w:rsidR="0081270C" w:rsidRPr="00C83045">
              <w:rPr>
                <w:color w:val="000000"/>
                <w:szCs w:val="22"/>
              </w:rPr>
              <w:t>/MPD</w:t>
            </w:r>
            <w:r w:rsidRPr="00C83045">
              <w:rPr>
                <w:color w:val="000000"/>
                <w:szCs w:val="22"/>
              </w:rPr>
              <w:t xml:space="preserve"> a GIST (začiatočná dávka 400 mg)</w:t>
            </w:r>
          </w:p>
          <w:p w14:paraId="32367C1A" w14:textId="77777777" w:rsidR="00CE63A2" w:rsidRPr="00C83045" w:rsidRDefault="001A7767" w:rsidP="00D4304B">
            <w:pPr>
              <w:widowControl w:val="0"/>
              <w:ind w:left="0" w:firstLine="0"/>
              <w:rPr>
                <w:color w:val="000000"/>
                <w:szCs w:val="22"/>
              </w:rPr>
            </w:pPr>
            <w:r w:rsidRPr="00C83045">
              <w:rPr>
                <w:color w:val="000000"/>
                <w:szCs w:val="22"/>
              </w:rPr>
              <w:t>HES/</w:t>
            </w:r>
            <w:smartTag w:uri="urn:schemas-microsoft-com:office:smarttags" w:element="stockticker">
              <w:r w:rsidRPr="00C83045">
                <w:rPr>
                  <w:color w:val="000000"/>
                  <w:szCs w:val="22"/>
                </w:rPr>
                <w:t>CEL</w:t>
              </w:r>
            </w:smartTag>
          </w:p>
          <w:p w14:paraId="32367C1B" w14:textId="77777777" w:rsidR="001A7767" w:rsidRPr="00C83045" w:rsidRDefault="001A7767" w:rsidP="00D4304B">
            <w:pPr>
              <w:widowControl w:val="0"/>
              <w:ind w:left="0" w:firstLine="0"/>
              <w:rPr>
                <w:color w:val="000000"/>
                <w:szCs w:val="22"/>
              </w:rPr>
            </w:pPr>
            <w:r w:rsidRPr="00C83045">
              <w:rPr>
                <w:color w:val="000000"/>
                <w:szCs w:val="22"/>
              </w:rPr>
              <w:t>(pri dávke 400 mg)</w:t>
            </w:r>
          </w:p>
        </w:tc>
        <w:tc>
          <w:tcPr>
            <w:tcW w:w="0" w:type="auto"/>
            <w:tcBorders>
              <w:top w:val="single" w:sz="6" w:space="0" w:color="auto"/>
              <w:left w:val="single" w:sz="6" w:space="0" w:color="auto"/>
              <w:bottom w:val="single" w:sz="6" w:space="0" w:color="auto"/>
              <w:right w:val="single" w:sz="6" w:space="0" w:color="auto"/>
            </w:tcBorders>
          </w:tcPr>
          <w:p w14:paraId="32367C1C" w14:textId="77777777" w:rsidR="002B133D" w:rsidRPr="00C83045" w:rsidRDefault="002B133D" w:rsidP="00D4304B">
            <w:pPr>
              <w:widowControl w:val="0"/>
              <w:ind w:left="67" w:firstLine="0"/>
              <w:rPr>
                <w:color w:val="000000"/>
                <w:szCs w:val="22"/>
              </w:rPr>
            </w:pPr>
            <w:r w:rsidRPr="00C83045">
              <w:rPr>
                <w:color w:val="000000"/>
                <w:szCs w:val="22"/>
              </w:rPr>
              <w:t>ANC &lt; 1,0 x 10</w:t>
            </w:r>
            <w:r w:rsidRPr="00C83045">
              <w:rPr>
                <w:color w:val="000000"/>
                <w:szCs w:val="22"/>
                <w:vertAlign w:val="superscript"/>
              </w:rPr>
              <w:t>9</w:t>
            </w:r>
            <w:r w:rsidRPr="00C83045">
              <w:rPr>
                <w:color w:val="000000"/>
                <w:szCs w:val="22"/>
              </w:rPr>
              <w:t>/l</w:t>
            </w:r>
          </w:p>
          <w:p w14:paraId="32367C1D" w14:textId="77777777" w:rsidR="002B133D" w:rsidRPr="00C83045" w:rsidRDefault="002B133D" w:rsidP="00D4304B">
            <w:pPr>
              <w:widowControl w:val="0"/>
              <w:ind w:left="67" w:firstLine="0"/>
              <w:rPr>
                <w:color w:val="000000"/>
                <w:szCs w:val="22"/>
              </w:rPr>
            </w:pPr>
            <w:r w:rsidRPr="00C83045">
              <w:rPr>
                <w:color w:val="000000"/>
                <w:szCs w:val="22"/>
              </w:rPr>
              <w:t>a/alebo počet trombocytov &lt; 50 x 10</w:t>
            </w:r>
            <w:r w:rsidRPr="00C83045">
              <w:rPr>
                <w:color w:val="000000"/>
                <w:szCs w:val="22"/>
                <w:vertAlign w:val="superscript"/>
              </w:rPr>
              <w:t>9</w:t>
            </w:r>
            <w:r w:rsidRPr="00C83045">
              <w:rPr>
                <w:color w:val="000000"/>
                <w:szCs w:val="22"/>
              </w:rPr>
              <w:t>/l</w:t>
            </w:r>
          </w:p>
        </w:tc>
        <w:tc>
          <w:tcPr>
            <w:tcW w:w="0" w:type="auto"/>
            <w:tcBorders>
              <w:top w:val="single" w:sz="6" w:space="0" w:color="auto"/>
              <w:left w:val="single" w:sz="6" w:space="0" w:color="auto"/>
              <w:bottom w:val="single" w:sz="6" w:space="0" w:color="auto"/>
              <w:right w:val="single" w:sz="6" w:space="0" w:color="auto"/>
            </w:tcBorders>
          </w:tcPr>
          <w:p w14:paraId="32367C1E" w14:textId="77777777" w:rsidR="002B133D" w:rsidRPr="00C83045" w:rsidRDefault="000328DA" w:rsidP="00D4304B">
            <w:pPr>
              <w:widowControl w:val="0"/>
              <w:ind w:left="502" w:hanging="469"/>
              <w:rPr>
                <w:color w:val="000000"/>
                <w:szCs w:val="22"/>
              </w:rPr>
            </w:pPr>
            <w:r w:rsidRPr="00C83045">
              <w:rPr>
                <w:color w:val="000000"/>
                <w:szCs w:val="22"/>
              </w:rPr>
              <w:t>1.</w:t>
            </w:r>
            <w:r w:rsidRPr="00C83045">
              <w:rPr>
                <w:color w:val="000000"/>
                <w:szCs w:val="22"/>
              </w:rPr>
              <w:tab/>
            </w:r>
            <w:r w:rsidR="002B133D" w:rsidRPr="00C83045">
              <w:rPr>
                <w:color w:val="000000"/>
                <w:szCs w:val="22"/>
              </w:rPr>
              <w:t xml:space="preserve">Prerušiť podávanie Glivecu, kým ANC </w:t>
            </w:r>
            <w:r w:rsidR="002B133D" w:rsidRPr="00C83045">
              <w:rPr>
                <w:color w:val="000000"/>
                <w:szCs w:val="22"/>
              </w:rPr>
              <w:sym w:font="Symbol" w:char="F0B3"/>
            </w:r>
            <w:r w:rsidR="002B133D" w:rsidRPr="00C83045">
              <w:rPr>
                <w:color w:val="000000"/>
                <w:szCs w:val="22"/>
              </w:rPr>
              <w:t> 1,5 x 10</w:t>
            </w:r>
            <w:r w:rsidR="002B133D" w:rsidRPr="00C83045">
              <w:rPr>
                <w:color w:val="000000"/>
                <w:szCs w:val="22"/>
                <w:vertAlign w:val="superscript"/>
              </w:rPr>
              <w:t>9</w:t>
            </w:r>
            <w:r w:rsidR="002B133D" w:rsidRPr="00C83045">
              <w:rPr>
                <w:color w:val="000000"/>
                <w:szCs w:val="22"/>
              </w:rPr>
              <w:t xml:space="preserve">/l a počet trombocytov </w:t>
            </w:r>
            <w:r w:rsidR="002B133D" w:rsidRPr="00C83045">
              <w:rPr>
                <w:color w:val="000000"/>
                <w:szCs w:val="22"/>
              </w:rPr>
              <w:sym w:font="Symbol" w:char="F0B3"/>
            </w:r>
            <w:r w:rsidR="002B133D" w:rsidRPr="00C83045">
              <w:rPr>
                <w:color w:val="000000"/>
                <w:szCs w:val="22"/>
              </w:rPr>
              <w:t> 75 x 10</w:t>
            </w:r>
            <w:r w:rsidR="002B133D" w:rsidRPr="00C83045">
              <w:rPr>
                <w:color w:val="000000"/>
                <w:szCs w:val="22"/>
                <w:vertAlign w:val="superscript"/>
              </w:rPr>
              <w:t>9</w:t>
            </w:r>
            <w:r w:rsidR="002B133D" w:rsidRPr="00C83045">
              <w:rPr>
                <w:color w:val="000000"/>
                <w:szCs w:val="22"/>
              </w:rPr>
              <w:t>/l.</w:t>
            </w:r>
          </w:p>
          <w:p w14:paraId="32367C1F" w14:textId="77777777" w:rsidR="002B133D" w:rsidRPr="00C83045" w:rsidRDefault="000328DA" w:rsidP="00D4304B">
            <w:pPr>
              <w:widowControl w:val="0"/>
              <w:ind w:left="502" w:hanging="469"/>
              <w:rPr>
                <w:color w:val="000000"/>
                <w:szCs w:val="22"/>
              </w:rPr>
            </w:pPr>
            <w:r w:rsidRPr="00C83045">
              <w:rPr>
                <w:color w:val="000000"/>
                <w:szCs w:val="22"/>
              </w:rPr>
              <w:t>2.</w:t>
            </w:r>
            <w:r w:rsidRPr="00C83045">
              <w:rPr>
                <w:color w:val="000000"/>
                <w:szCs w:val="22"/>
              </w:rPr>
              <w:tab/>
            </w:r>
            <w:r w:rsidR="002B133D" w:rsidRPr="00C83045">
              <w:rPr>
                <w:color w:val="000000"/>
                <w:szCs w:val="22"/>
              </w:rPr>
              <w:t>Pokračovať v liečbe Glivecom predošlou dávkou (t.j. pred závažnou nežiaducou reakciou).</w:t>
            </w:r>
          </w:p>
          <w:p w14:paraId="32367C20" w14:textId="77777777" w:rsidR="002B133D" w:rsidRPr="00C83045" w:rsidRDefault="000328DA" w:rsidP="00D4304B">
            <w:pPr>
              <w:widowControl w:val="0"/>
              <w:ind w:left="502" w:hanging="469"/>
              <w:rPr>
                <w:color w:val="000000"/>
                <w:szCs w:val="22"/>
              </w:rPr>
            </w:pPr>
            <w:r w:rsidRPr="00C83045">
              <w:rPr>
                <w:color w:val="000000"/>
                <w:szCs w:val="22"/>
              </w:rPr>
              <w:t>3.</w:t>
            </w:r>
            <w:r w:rsidRPr="00C83045">
              <w:rPr>
                <w:color w:val="000000"/>
                <w:szCs w:val="22"/>
              </w:rPr>
              <w:tab/>
            </w:r>
            <w:r w:rsidR="002B133D" w:rsidRPr="00C83045">
              <w:rPr>
                <w:color w:val="000000"/>
                <w:szCs w:val="22"/>
              </w:rPr>
              <w:t>Pri opakovanom poklese ANC &lt; 1,0 x 10</w:t>
            </w:r>
            <w:r w:rsidR="002B133D" w:rsidRPr="00C83045">
              <w:rPr>
                <w:color w:val="000000"/>
                <w:szCs w:val="22"/>
                <w:vertAlign w:val="superscript"/>
              </w:rPr>
              <w:t>9</w:t>
            </w:r>
            <w:r w:rsidR="002B133D" w:rsidRPr="00C83045">
              <w:rPr>
                <w:color w:val="000000"/>
                <w:szCs w:val="22"/>
              </w:rPr>
              <w:t>/l a/alebo počtu trombocytov &lt; 50 x 10</w:t>
            </w:r>
            <w:r w:rsidR="002B133D" w:rsidRPr="00C83045">
              <w:rPr>
                <w:color w:val="000000"/>
                <w:szCs w:val="22"/>
                <w:vertAlign w:val="superscript"/>
              </w:rPr>
              <w:t>9</w:t>
            </w:r>
            <w:r w:rsidR="002B133D" w:rsidRPr="00C83045">
              <w:rPr>
                <w:color w:val="000000"/>
                <w:szCs w:val="22"/>
              </w:rPr>
              <w:t>/l zopakovať krok 1 a pokračovať v liečbe Glivecom zníženou dávkou 300 mg.</w:t>
            </w:r>
          </w:p>
        </w:tc>
      </w:tr>
      <w:tr w:rsidR="002B133D" w:rsidRPr="00C83045" w14:paraId="32367C2A" w14:textId="77777777" w:rsidTr="00BE6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0" w:type="auto"/>
          </w:tcPr>
          <w:p w14:paraId="32367C22" w14:textId="77777777" w:rsidR="002B133D" w:rsidRPr="00C83045" w:rsidRDefault="002B133D" w:rsidP="00D4304B">
            <w:pPr>
              <w:pStyle w:val="EndnoteText"/>
              <w:widowControl w:val="0"/>
              <w:tabs>
                <w:tab w:val="clear" w:pos="567"/>
              </w:tabs>
              <w:rPr>
                <w:color w:val="000000"/>
                <w:szCs w:val="22"/>
                <w:lang w:val="sk-SK"/>
              </w:rPr>
            </w:pPr>
            <w:r w:rsidRPr="00C83045">
              <w:rPr>
                <w:color w:val="000000"/>
                <w:szCs w:val="22"/>
                <w:lang w:val="sk-SK"/>
              </w:rPr>
              <w:t>Chronická fáza CML u detí</w:t>
            </w:r>
          </w:p>
          <w:p w14:paraId="32367C23" w14:textId="77777777" w:rsidR="002B133D" w:rsidRPr="00C83045" w:rsidRDefault="002B133D" w:rsidP="00D4304B">
            <w:pPr>
              <w:pStyle w:val="EndnoteText"/>
              <w:widowControl w:val="0"/>
              <w:tabs>
                <w:tab w:val="clear" w:pos="567"/>
              </w:tabs>
              <w:rPr>
                <w:color w:val="000000"/>
                <w:szCs w:val="22"/>
                <w:lang w:val="sk-SK"/>
              </w:rPr>
            </w:pPr>
            <w:r w:rsidRPr="00C83045">
              <w:rPr>
                <w:color w:val="000000"/>
                <w:szCs w:val="22"/>
                <w:lang w:val="sk-SK"/>
              </w:rPr>
              <w:t>(pri dávke 340 mg/m</w:t>
            </w:r>
            <w:r w:rsidRPr="00C83045">
              <w:rPr>
                <w:color w:val="000000"/>
                <w:szCs w:val="22"/>
                <w:vertAlign w:val="superscript"/>
                <w:lang w:val="sk-SK"/>
              </w:rPr>
              <w:t>2</w:t>
            </w:r>
            <w:r w:rsidRPr="00C83045">
              <w:rPr>
                <w:color w:val="000000"/>
                <w:szCs w:val="22"/>
                <w:lang w:val="sk-SK"/>
              </w:rPr>
              <w:t>)</w:t>
            </w:r>
          </w:p>
        </w:tc>
        <w:tc>
          <w:tcPr>
            <w:tcW w:w="0" w:type="auto"/>
          </w:tcPr>
          <w:p w14:paraId="32367C24" w14:textId="77777777" w:rsidR="002B133D" w:rsidRPr="00C83045" w:rsidRDefault="002B133D" w:rsidP="00D4304B">
            <w:pPr>
              <w:pStyle w:val="Table"/>
              <w:widowControl w:val="0"/>
              <w:spacing w:before="0" w:after="0"/>
              <w:ind w:left="-9"/>
              <w:rPr>
                <w:rFonts w:ascii="Times New Roman" w:hAnsi="Times New Roman"/>
                <w:color w:val="000000"/>
                <w:sz w:val="22"/>
                <w:szCs w:val="22"/>
                <w:lang w:val="sk-SK"/>
              </w:rPr>
            </w:pPr>
            <w:r w:rsidRPr="00C83045">
              <w:rPr>
                <w:rFonts w:ascii="Times New Roman" w:hAnsi="Times New Roman"/>
                <w:color w:val="000000"/>
                <w:sz w:val="22"/>
                <w:szCs w:val="22"/>
                <w:lang w:val="sk-SK"/>
              </w:rPr>
              <w:t>ANC &lt; 1,0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w:t>
            </w:r>
          </w:p>
          <w:p w14:paraId="32367C25" w14:textId="77777777" w:rsidR="002B133D" w:rsidRPr="00C83045" w:rsidRDefault="002B133D" w:rsidP="00D4304B">
            <w:pPr>
              <w:pStyle w:val="Table"/>
              <w:widowControl w:val="0"/>
              <w:spacing w:before="0" w:after="0"/>
              <w:ind w:left="-9"/>
              <w:rPr>
                <w:rFonts w:ascii="Times New Roman" w:hAnsi="Times New Roman"/>
                <w:color w:val="000000"/>
                <w:sz w:val="22"/>
                <w:szCs w:val="22"/>
                <w:lang w:val="sk-SK"/>
              </w:rPr>
            </w:pPr>
            <w:r w:rsidRPr="00C83045">
              <w:rPr>
                <w:rFonts w:ascii="Times New Roman" w:hAnsi="Times New Roman"/>
                <w:color w:val="000000"/>
                <w:sz w:val="22"/>
                <w:szCs w:val="22"/>
                <w:lang w:val="sk-SK"/>
              </w:rPr>
              <w:t>a/alebo počet trombocytov &lt; 50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w:t>
            </w:r>
          </w:p>
          <w:p w14:paraId="32367C26" w14:textId="77777777" w:rsidR="002B133D" w:rsidRPr="00C83045" w:rsidRDefault="002B133D" w:rsidP="00D4304B">
            <w:pPr>
              <w:pStyle w:val="Table"/>
              <w:keepNext w:val="0"/>
              <w:keepLines w:val="0"/>
              <w:widowControl w:val="0"/>
              <w:spacing w:before="0" w:after="0"/>
              <w:rPr>
                <w:rFonts w:ascii="Times New Roman" w:hAnsi="Times New Roman"/>
                <w:color w:val="000000"/>
                <w:sz w:val="22"/>
                <w:szCs w:val="22"/>
                <w:lang w:val="sk-SK"/>
              </w:rPr>
            </w:pPr>
          </w:p>
        </w:tc>
        <w:tc>
          <w:tcPr>
            <w:tcW w:w="0" w:type="auto"/>
          </w:tcPr>
          <w:p w14:paraId="32367C27" w14:textId="77777777" w:rsidR="002B133D" w:rsidRPr="00C83045" w:rsidRDefault="000328DA" w:rsidP="00D4304B">
            <w:pPr>
              <w:pStyle w:val="Table"/>
              <w:keepNext w:val="0"/>
              <w:widowControl w:val="0"/>
              <w:tabs>
                <w:tab w:val="clear" w:pos="284"/>
              </w:tabs>
              <w:spacing w:before="0" w:after="0"/>
              <w:ind w:left="416" w:hanging="452"/>
              <w:rPr>
                <w:rFonts w:ascii="Times New Roman" w:hAnsi="Times New Roman"/>
                <w:color w:val="000000"/>
                <w:sz w:val="22"/>
                <w:szCs w:val="22"/>
                <w:lang w:val="sk-SK"/>
              </w:rPr>
            </w:pPr>
            <w:r w:rsidRPr="00C83045">
              <w:rPr>
                <w:rFonts w:ascii="Times New Roman" w:hAnsi="Times New Roman"/>
                <w:color w:val="000000"/>
                <w:sz w:val="22"/>
                <w:szCs w:val="22"/>
                <w:lang w:val="sk-SK"/>
              </w:rPr>
              <w:t>1.</w:t>
            </w:r>
            <w:r w:rsidRPr="00C83045">
              <w:rPr>
                <w:rFonts w:ascii="Times New Roman" w:hAnsi="Times New Roman"/>
                <w:color w:val="000000"/>
                <w:sz w:val="22"/>
                <w:szCs w:val="22"/>
                <w:lang w:val="sk-SK"/>
              </w:rPr>
              <w:tab/>
            </w:r>
            <w:r w:rsidR="002B133D" w:rsidRPr="00C83045">
              <w:rPr>
                <w:rFonts w:ascii="Times New Roman" w:hAnsi="Times New Roman"/>
                <w:color w:val="000000"/>
                <w:sz w:val="22"/>
                <w:szCs w:val="22"/>
                <w:lang w:val="sk-SK"/>
              </w:rPr>
              <w:t xml:space="preserve">Prerušiť podávanie Glivecu, kým ANC </w:t>
            </w:r>
            <w:r w:rsidR="002B133D" w:rsidRPr="00C83045">
              <w:rPr>
                <w:rFonts w:ascii="Times New Roman" w:hAnsi="Times New Roman"/>
                <w:color w:val="000000"/>
                <w:sz w:val="22"/>
                <w:szCs w:val="22"/>
                <w:lang w:val="sk-SK"/>
              </w:rPr>
              <w:sym w:font="Symbol" w:char="F0B3"/>
            </w:r>
            <w:r w:rsidR="002B133D" w:rsidRPr="00C83045">
              <w:rPr>
                <w:rFonts w:ascii="Times New Roman" w:hAnsi="Times New Roman"/>
                <w:color w:val="000000"/>
                <w:sz w:val="22"/>
                <w:szCs w:val="22"/>
                <w:lang w:val="sk-SK"/>
              </w:rPr>
              <w:t> 1,5 x 10</w:t>
            </w:r>
            <w:r w:rsidR="002B133D" w:rsidRPr="00C83045">
              <w:rPr>
                <w:rFonts w:ascii="Times New Roman" w:hAnsi="Times New Roman"/>
                <w:color w:val="000000"/>
                <w:sz w:val="22"/>
                <w:szCs w:val="22"/>
                <w:vertAlign w:val="superscript"/>
                <w:lang w:val="sk-SK"/>
              </w:rPr>
              <w:t>9</w:t>
            </w:r>
            <w:r w:rsidR="002B133D" w:rsidRPr="00C83045">
              <w:rPr>
                <w:rFonts w:ascii="Times New Roman" w:hAnsi="Times New Roman"/>
                <w:color w:val="000000"/>
                <w:sz w:val="22"/>
                <w:szCs w:val="22"/>
                <w:lang w:val="sk-SK"/>
              </w:rPr>
              <w:t xml:space="preserve">/l a počet trombocytov </w:t>
            </w:r>
            <w:r w:rsidR="002B133D" w:rsidRPr="00C83045">
              <w:rPr>
                <w:rFonts w:ascii="Times New Roman" w:hAnsi="Times New Roman"/>
                <w:color w:val="000000"/>
                <w:sz w:val="22"/>
                <w:szCs w:val="22"/>
                <w:lang w:val="sk-SK"/>
              </w:rPr>
              <w:sym w:font="Symbol" w:char="F0B3"/>
            </w:r>
            <w:r w:rsidR="002B133D" w:rsidRPr="00C83045">
              <w:rPr>
                <w:rFonts w:ascii="Times New Roman" w:hAnsi="Times New Roman"/>
                <w:color w:val="000000"/>
                <w:sz w:val="22"/>
                <w:szCs w:val="22"/>
                <w:lang w:val="sk-SK"/>
              </w:rPr>
              <w:t> 75 x 10</w:t>
            </w:r>
            <w:r w:rsidR="002B133D" w:rsidRPr="00C83045">
              <w:rPr>
                <w:rFonts w:ascii="Times New Roman" w:hAnsi="Times New Roman"/>
                <w:color w:val="000000"/>
                <w:sz w:val="22"/>
                <w:szCs w:val="22"/>
                <w:vertAlign w:val="superscript"/>
                <w:lang w:val="sk-SK"/>
              </w:rPr>
              <w:t>9</w:t>
            </w:r>
            <w:r w:rsidR="002B133D" w:rsidRPr="00C83045">
              <w:rPr>
                <w:rFonts w:ascii="Times New Roman" w:hAnsi="Times New Roman"/>
                <w:color w:val="000000"/>
                <w:sz w:val="22"/>
                <w:szCs w:val="22"/>
                <w:lang w:val="sk-SK"/>
              </w:rPr>
              <w:t>/l.</w:t>
            </w:r>
          </w:p>
          <w:p w14:paraId="32367C28" w14:textId="77777777" w:rsidR="002B133D" w:rsidRPr="00C83045" w:rsidRDefault="000328DA" w:rsidP="00D4304B">
            <w:pPr>
              <w:widowControl w:val="0"/>
              <w:ind w:left="416" w:hanging="452"/>
              <w:rPr>
                <w:color w:val="000000"/>
                <w:szCs w:val="22"/>
              </w:rPr>
            </w:pPr>
            <w:r w:rsidRPr="00C83045">
              <w:rPr>
                <w:color w:val="000000"/>
                <w:szCs w:val="22"/>
              </w:rPr>
              <w:t>2.</w:t>
            </w:r>
            <w:r w:rsidRPr="00C83045">
              <w:rPr>
                <w:color w:val="000000"/>
                <w:szCs w:val="22"/>
              </w:rPr>
              <w:tab/>
            </w:r>
            <w:r w:rsidR="002B133D" w:rsidRPr="00C83045">
              <w:rPr>
                <w:color w:val="000000"/>
                <w:szCs w:val="22"/>
              </w:rPr>
              <w:t>Pokračovať v liečbe Glivecom predošlou dávkou (t.j. pred závažnou nežiaducou reakciou).</w:t>
            </w:r>
          </w:p>
          <w:p w14:paraId="32367C29" w14:textId="77777777" w:rsidR="002B133D" w:rsidRPr="00C83045" w:rsidRDefault="000328DA" w:rsidP="00D4304B">
            <w:pPr>
              <w:pStyle w:val="Table"/>
              <w:keepNext w:val="0"/>
              <w:widowControl w:val="0"/>
              <w:tabs>
                <w:tab w:val="clear" w:pos="284"/>
              </w:tabs>
              <w:spacing w:before="0" w:after="0"/>
              <w:ind w:left="416" w:hanging="452"/>
              <w:rPr>
                <w:rFonts w:ascii="Times New Roman" w:hAnsi="Times New Roman"/>
                <w:color w:val="000000"/>
                <w:sz w:val="22"/>
                <w:szCs w:val="22"/>
                <w:lang w:val="sk-SK"/>
              </w:rPr>
            </w:pPr>
            <w:r w:rsidRPr="00C83045">
              <w:rPr>
                <w:rFonts w:ascii="Times New Roman" w:hAnsi="Times New Roman"/>
                <w:color w:val="000000"/>
                <w:sz w:val="22"/>
                <w:szCs w:val="22"/>
                <w:lang w:val="sk-SK"/>
              </w:rPr>
              <w:t>3.</w:t>
            </w:r>
            <w:r w:rsidRPr="00C83045">
              <w:rPr>
                <w:rFonts w:ascii="Times New Roman" w:hAnsi="Times New Roman"/>
                <w:color w:val="000000"/>
                <w:sz w:val="22"/>
                <w:szCs w:val="22"/>
                <w:lang w:val="sk-SK"/>
              </w:rPr>
              <w:tab/>
            </w:r>
            <w:r w:rsidR="002B133D" w:rsidRPr="00C83045">
              <w:rPr>
                <w:rFonts w:ascii="Times New Roman" w:hAnsi="Times New Roman"/>
                <w:color w:val="000000"/>
                <w:sz w:val="22"/>
                <w:szCs w:val="22"/>
                <w:lang w:val="sk-SK"/>
              </w:rPr>
              <w:t>Pri opakovanom poklese ANC &lt; 1,0 x 10</w:t>
            </w:r>
            <w:r w:rsidR="002B133D" w:rsidRPr="00C83045">
              <w:rPr>
                <w:rFonts w:ascii="Times New Roman" w:hAnsi="Times New Roman"/>
                <w:color w:val="000000"/>
                <w:sz w:val="22"/>
                <w:szCs w:val="22"/>
                <w:vertAlign w:val="superscript"/>
                <w:lang w:val="sk-SK"/>
              </w:rPr>
              <w:t>9</w:t>
            </w:r>
            <w:r w:rsidR="002B133D" w:rsidRPr="00C83045">
              <w:rPr>
                <w:rFonts w:ascii="Times New Roman" w:hAnsi="Times New Roman"/>
                <w:color w:val="000000"/>
                <w:sz w:val="22"/>
                <w:szCs w:val="22"/>
                <w:lang w:val="sk-SK"/>
              </w:rPr>
              <w:t>/l a/alebo počtu trombocytov &lt; 50 x 10</w:t>
            </w:r>
            <w:r w:rsidR="002B133D" w:rsidRPr="00C83045">
              <w:rPr>
                <w:rFonts w:ascii="Times New Roman" w:hAnsi="Times New Roman"/>
                <w:color w:val="000000"/>
                <w:sz w:val="22"/>
                <w:szCs w:val="22"/>
                <w:vertAlign w:val="superscript"/>
                <w:lang w:val="sk-SK"/>
              </w:rPr>
              <w:t>9</w:t>
            </w:r>
            <w:r w:rsidR="002B133D" w:rsidRPr="00C83045">
              <w:rPr>
                <w:rFonts w:ascii="Times New Roman" w:hAnsi="Times New Roman"/>
                <w:color w:val="000000"/>
                <w:sz w:val="22"/>
                <w:szCs w:val="22"/>
                <w:lang w:val="sk-SK"/>
              </w:rPr>
              <w:t>/l zopakovať krok 1 a pokračovať v liečbe Glivecom zníženou dávkou 260 mg/m</w:t>
            </w:r>
            <w:r w:rsidR="002B133D" w:rsidRPr="00C83045">
              <w:rPr>
                <w:rFonts w:ascii="Times New Roman" w:hAnsi="Times New Roman"/>
                <w:color w:val="000000"/>
                <w:sz w:val="22"/>
                <w:szCs w:val="22"/>
                <w:vertAlign w:val="superscript"/>
                <w:lang w:val="sk-SK"/>
              </w:rPr>
              <w:t>2</w:t>
            </w:r>
            <w:r w:rsidR="002B133D" w:rsidRPr="00C83045">
              <w:rPr>
                <w:rFonts w:ascii="Times New Roman" w:hAnsi="Times New Roman"/>
                <w:color w:val="000000"/>
                <w:sz w:val="22"/>
                <w:szCs w:val="22"/>
                <w:lang w:val="sk-SK"/>
              </w:rPr>
              <w:t>.</w:t>
            </w:r>
          </w:p>
        </w:tc>
      </w:tr>
      <w:tr w:rsidR="002B133D" w:rsidRPr="00C83045" w14:paraId="32367C32" w14:textId="77777777" w:rsidTr="00BE6051">
        <w:trPr>
          <w:cantSplit/>
          <w:trHeight w:val="2496"/>
        </w:trPr>
        <w:tc>
          <w:tcPr>
            <w:tcW w:w="0" w:type="auto"/>
            <w:tcBorders>
              <w:top w:val="single" w:sz="6" w:space="0" w:color="auto"/>
              <w:left w:val="single" w:sz="6" w:space="0" w:color="auto"/>
              <w:right w:val="single" w:sz="6" w:space="0" w:color="auto"/>
            </w:tcBorders>
          </w:tcPr>
          <w:p w14:paraId="32367C2B" w14:textId="77777777" w:rsidR="002B133D" w:rsidRPr="00C83045" w:rsidRDefault="002B133D" w:rsidP="00D4304B">
            <w:pPr>
              <w:widowControl w:val="0"/>
              <w:ind w:left="0" w:firstLine="0"/>
              <w:rPr>
                <w:color w:val="000000"/>
                <w:szCs w:val="22"/>
              </w:rPr>
            </w:pPr>
            <w:r w:rsidRPr="00C83045">
              <w:rPr>
                <w:color w:val="000000"/>
                <w:szCs w:val="22"/>
              </w:rPr>
              <w:t xml:space="preserve">Akcelerovaná fáza CML a blastická kríza </w:t>
            </w:r>
            <w:r w:rsidR="009849BF" w:rsidRPr="00C83045">
              <w:rPr>
                <w:color w:val="000000"/>
                <w:szCs w:val="22"/>
              </w:rPr>
              <w:t>a Ph+ </w:t>
            </w:r>
            <w:smartTag w:uri="urn:schemas-microsoft-com:office:smarttags" w:element="stockticker">
              <w:r w:rsidR="009849BF" w:rsidRPr="00C83045">
                <w:rPr>
                  <w:color w:val="000000"/>
                  <w:szCs w:val="22"/>
                </w:rPr>
                <w:t>ALL</w:t>
              </w:r>
            </w:smartTag>
            <w:r w:rsidR="009849BF" w:rsidRPr="00C83045">
              <w:rPr>
                <w:color w:val="000000"/>
                <w:szCs w:val="22"/>
              </w:rPr>
              <w:t xml:space="preserve"> </w:t>
            </w:r>
            <w:r w:rsidRPr="00C83045">
              <w:rPr>
                <w:color w:val="000000"/>
                <w:szCs w:val="22"/>
              </w:rPr>
              <w:t>(začiatočná dávka 600 mg)</w:t>
            </w:r>
          </w:p>
        </w:tc>
        <w:tc>
          <w:tcPr>
            <w:tcW w:w="0" w:type="auto"/>
            <w:tcBorders>
              <w:top w:val="single" w:sz="6" w:space="0" w:color="auto"/>
              <w:left w:val="single" w:sz="6" w:space="0" w:color="auto"/>
              <w:right w:val="single" w:sz="6" w:space="0" w:color="auto"/>
            </w:tcBorders>
          </w:tcPr>
          <w:p w14:paraId="32367C2C" w14:textId="77777777" w:rsidR="002B133D" w:rsidRPr="00C83045" w:rsidRDefault="002B133D" w:rsidP="00D4304B">
            <w:pPr>
              <w:widowControl w:val="0"/>
              <w:ind w:left="67" w:firstLine="0"/>
              <w:rPr>
                <w:color w:val="000000"/>
                <w:szCs w:val="22"/>
              </w:rPr>
            </w:pPr>
            <w:r w:rsidRPr="00C83045">
              <w:rPr>
                <w:color w:val="000000"/>
                <w:szCs w:val="22"/>
                <w:vertAlign w:val="superscript"/>
              </w:rPr>
              <w:t>a</w:t>
            </w:r>
            <w:r w:rsidRPr="00C83045">
              <w:rPr>
                <w:color w:val="000000"/>
                <w:szCs w:val="22"/>
              </w:rPr>
              <w:t>ANC &lt; 0,5 x 10</w:t>
            </w:r>
            <w:r w:rsidRPr="00C83045">
              <w:rPr>
                <w:color w:val="000000"/>
                <w:szCs w:val="22"/>
                <w:vertAlign w:val="superscript"/>
              </w:rPr>
              <w:t>9</w:t>
            </w:r>
            <w:r w:rsidRPr="00C83045">
              <w:rPr>
                <w:color w:val="000000"/>
                <w:szCs w:val="22"/>
              </w:rPr>
              <w:t>/l</w:t>
            </w:r>
          </w:p>
          <w:p w14:paraId="32367C2D" w14:textId="77777777" w:rsidR="002B133D" w:rsidRPr="00C83045" w:rsidRDefault="002B133D" w:rsidP="00D4304B">
            <w:pPr>
              <w:widowControl w:val="0"/>
              <w:ind w:left="67" w:firstLine="0"/>
              <w:rPr>
                <w:color w:val="000000"/>
                <w:szCs w:val="22"/>
              </w:rPr>
            </w:pPr>
            <w:r w:rsidRPr="00C83045">
              <w:rPr>
                <w:color w:val="000000"/>
                <w:szCs w:val="22"/>
              </w:rPr>
              <w:t>a/alebo počet trombocytov &lt; 10 x 10</w:t>
            </w:r>
            <w:r w:rsidRPr="00C83045">
              <w:rPr>
                <w:color w:val="000000"/>
                <w:szCs w:val="22"/>
                <w:vertAlign w:val="superscript"/>
              </w:rPr>
              <w:t>9</w:t>
            </w:r>
            <w:r w:rsidRPr="00C83045">
              <w:rPr>
                <w:color w:val="000000"/>
                <w:szCs w:val="22"/>
              </w:rPr>
              <w:t>/l</w:t>
            </w:r>
          </w:p>
        </w:tc>
        <w:tc>
          <w:tcPr>
            <w:tcW w:w="0" w:type="auto"/>
            <w:tcBorders>
              <w:top w:val="single" w:sz="6" w:space="0" w:color="auto"/>
              <w:left w:val="single" w:sz="6" w:space="0" w:color="auto"/>
              <w:right w:val="single" w:sz="6" w:space="0" w:color="auto"/>
            </w:tcBorders>
          </w:tcPr>
          <w:p w14:paraId="32367C2E" w14:textId="77777777" w:rsidR="002B133D" w:rsidRPr="00C83045" w:rsidRDefault="000328DA" w:rsidP="00D4304B">
            <w:pPr>
              <w:widowControl w:val="0"/>
              <w:ind w:left="526" w:hanging="478"/>
              <w:rPr>
                <w:color w:val="000000"/>
                <w:szCs w:val="22"/>
              </w:rPr>
            </w:pPr>
            <w:r w:rsidRPr="00C83045">
              <w:rPr>
                <w:color w:val="000000"/>
                <w:szCs w:val="22"/>
              </w:rPr>
              <w:t>1.</w:t>
            </w:r>
            <w:r w:rsidRPr="00C83045">
              <w:rPr>
                <w:color w:val="000000"/>
                <w:szCs w:val="22"/>
              </w:rPr>
              <w:tab/>
            </w:r>
            <w:r w:rsidR="002B133D" w:rsidRPr="00C83045">
              <w:rPr>
                <w:color w:val="000000"/>
                <w:szCs w:val="22"/>
              </w:rPr>
              <w:t>Overiť, či cytopénia súvisí s leukémiou (punkcia alebo biopsia kostnej drene).</w:t>
            </w:r>
          </w:p>
          <w:p w14:paraId="32367C2F" w14:textId="77777777" w:rsidR="002B133D" w:rsidRPr="00C83045" w:rsidRDefault="000328DA" w:rsidP="00D4304B">
            <w:pPr>
              <w:widowControl w:val="0"/>
              <w:ind w:left="526" w:hanging="478"/>
              <w:rPr>
                <w:color w:val="000000"/>
                <w:szCs w:val="22"/>
              </w:rPr>
            </w:pPr>
            <w:r w:rsidRPr="00C83045">
              <w:rPr>
                <w:color w:val="000000"/>
                <w:szCs w:val="22"/>
              </w:rPr>
              <w:t>2.</w:t>
            </w:r>
            <w:r w:rsidRPr="00C83045">
              <w:rPr>
                <w:color w:val="000000"/>
                <w:szCs w:val="22"/>
              </w:rPr>
              <w:tab/>
            </w:r>
            <w:r w:rsidR="002B133D" w:rsidRPr="00C83045">
              <w:rPr>
                <w:color w:val="000000"/>
                <w:szCs w:val="22"/>
              </w:rPr>
              <w:t>Ak cytopénia nesúvisí s leukémiou, znížiť dávku Glivecu na 400 mg.</w:t>
            </w:r>
          </w:p>
          <w:p w14:paraId="32367C30" w14:textId="77777777" w:rsidR="002B133D" w:rsidRPr="00C83045" w:rsidRDefault="000328DA" w:rsidP="00D4304B">
            <w:pPr>
              <w:widowControl w:val="0"/>
              <w:ind w:left="526" w:hanging="478"/>
              <w:rPr>
                <w:color w:val="000000"/>
                <w:szCs w:val="22"/>
              </w:rPr>
            </w:pPr>
            <w:r w:rsidRPr="00C83045">
              <w:rPr>
                <w:color w:val="000000"/>
                <w:szCs w:val="22"/>
              </w:rPr>
              <w:t>3.</w:t>
            </w:r>
            <w:r w:rsidRPr="00C83045">
              <w:rPr>
                <w:color w:val="000000"/>
                <w:szCs w:val="22"/>
              </w:rPr>
              <w:tab/>
            </w:r>
            <w:r w:rsidR="002B133D" w:rsidRPr="00C83045">
              <w:rPr>
                <w:color w:val="000000"/>
                <w:szCs w:val="22"/>
              </w:rPr>
              <w:t>Ak cytopénia pretrváva počas 2 týždňov, znížiť dávku ďalej na 300 mg.</w:t>
            </w:r>
          </w:p>
          <w:p w14:paraId="32367C31" w14:textId="77777777" w:rsidR="002B133D" w:rsidRPr="00C83045" w:rsidRDefault="000328DA" w:rsidP="00D4304B">
            <w:pPr>
              <w:widowControl w:val="0"/>
              <w:ind w:left="526" w:hanging="478"/>
              <w:rPr>
                <w:color w:val="000000"/>
                <w:szCs w:val="22"/>
              </w:rPr>
            </w:pPr>
            <w:r w:rsidRPr="00C83045">
              <w:rPr>
                <w:color w:val="000000"/>
                <w:szCs w:val="22"/>
              </w:rPr>
              <w:t>4.</w:t>
            </w:r>
            <w:r w:rsidRPr="00C83045">
              <w:rPr>
                <w:color w:val="000000"/>
                <w:szCs w:val="22"/>
              </w:rPr>
              <w:tab/>
            </w:r>
            <w:r w:rsidR="002B133D" w:rsidRPr="00C83045">
              <w:rPr>
                <w:color w:val="000000"/>
                <w:szCs w:val="22"/>
              </w:rPr>
              <w:t xml:space="preserve">Ak cytopénia pretrváva počas 4 týždňov a ešte stále nesúvisí s leukémiou, vysadiť Glivec, kým ANC </w:t>
            </w:r>
            <w:r w:rsidR="002B133D" w:rsidRPr="00C83045">
              <w:rPr>
                <w:color w:val="000000"/>
                <w:szCs w:val="22"/>
              </w:rPr>
              <w:sym w:font="Symbol" w:char="F0B3"/>
            </w:r>
            <w:r w:rsidR="002B133D" w:rsidRPr="00C83045">
              <w:rPr>
                <w:color w:val="000000"/>
                <w:szCs w:val="22"/>
              </w:rPr>
              <w:t> 1 x 10</w:t>
            </w:r>
            <w:r w:rsidR="002B133D" w:rsidRPr="00C83045">
              <w:rPr>
                <w:color w:val="000000"/>
                <w:szCs w:val="22"/>
                <w:vertAlign w:val="superscript"/>
              </w:rPr>
              <w:t>9</w:t>
            </w:r>
            <w:r w:rsidR="002B133D" w:rsidRPr="00C83045">
              <w:rPr>
                <w:color w:val="000000"/>
                <w:szCs w:val="22"/>
              </w:rPr>
              <w:t xml:space="preserve">/l a počet trombo-cytov </w:t>
            </w:r>
            <w:r w:rsidR="002B133D" w:rsidRPr="00C83045">
              <w:rPr>
                <w:color w:val="000000"/>
                <w:szCs w:val="22"/>
              </w:rPr>
              <w:sym w:font="Symbol" w:char="F0B3"/>
            </w:r>
            <w:r w:rsidR="002B133D" w:rsidRPr="00C83045">
              <w:rPr>
                <w:color w:val="000000"/>
                <w:szCs w:val="22"/>
              </w:rPr>
              <w:t> 20 x 10</w:t>
            </w:r>
            <w:r w:rsidR="002B133D" w:rsidRPr="00C83045">
              <w:rPr>
                <w:color w:val="000000"/>
                <w:szCs w:val="22"/>
                <w:vertAlign w:val="superscript"/>
              </w:rPr>
              <w:t>9</w:t>
            </w:r>
            <w:r w:rsidR="002B133D" w:rsidRPr="00C83045">
              <w:rPr>
                <w:color w:val="000000"/>
                <w:szCs w:val="22"/>
              </w:rPr>
              <w:t>/l, potom pokračovať v liečbe Glivecom dávkou 300 mg.</w:t>
            </w:r>
          </w:p>
        </w:tc>
      </w:tr>
      <w:tr w:rsidR="002B133D" w:rsidRPr="00C83045" w14:paraId="32367C3A" w14:textId="77777777" w:rsidTr="00BE6051">
        <w:trPr>
          <w:cantSplit/>
          <w:trHeight w:val="2496"/>
        </w:trPr>
        <w:tc>
          <w:tcPr>
            <w:tcW w:w="0" w:type="auto"/>
            <w:tcBorders>
              <w:top w:val="single" w:sz="6" w:space="0" w:color="auto"/>
              <w:left w:val="single" w:sz="6" w:space="0" w:color="auto"/>
              <w:right w:val="single" w:sz="6" w:space="0" w:color="auto"/>
            </w:tcBorders>
          </w:tcPr>
          <w:p w14:paraId="32367C33" w14:textId="77777777" w:rsidR="002B133D" w:rsidRPr="00C83045" w:rsidRDefault="002B133D" w:rsidP="00D4304B">
            <w:pPr>
              <w:widowControl w:val="0"/>
              <w:ind w:left="0" w:firstLine="0"/>
              <w:rPr>
                <w:color w:val="000000"/>
                <w:szCs w:val="22"/>
              </w:rPr>
            </w:pPr>
            <w:r w:rsidRPr="00C83045">
              <w:rPr>
                <w:color w:val="000000"/>
                <w:szCs w:val="22"/>
              </w:rPr>
              <w:lastRenderedPageBreak/>
              <w:t>Akcelerovaná fáza CML a blastická kríza u detí (začiatočná dávka 340 mg/m</w:t>
            </w:r>
            <w:r w:rsidRPr="00C83045">
              <w:rPr>
                <w:color w:val="000000"/>
                <w:szCs w:val="22"/>
                <w:vertAlign w:val="superscript"/>
              </w:rPr>
              <w:t>2</w:t>
            </w:r>
            <w:r w:rsidRPr="00C83045">
              <w:rPr>
                <w:color w:val="000000"/>
                <w:szCs w:val="22"/>
              </w:rPr>
              <w:t>)</w:t>
            </w:r>
          </w:p>
        </w:tc>
        <w:tc>
          <w:tcPr>
            <w:tcW w:w="0" w:type="auto"/>
            <w:tcBorders>
              <w:top w:val="single" w:sz="6" w:space="0" w:color="auto"/>
              <w:left w:val="single" w:sz="6" w:space="0" w:color="auto"/>
              <w:right w:val="single" w:sz="6" w:space="0" w:color="auto"/>
            </w:tcBorders>
          </w:tcPr>
          <w:p w14:paraId="32367C34" w14:textId="77777777" w:rsidR="002B133D" w:rsidRPr="00C83045" w:rsidRDefault="002B133D" w:rsidP="00D4304B">
            <w:pPr>
              <w:pStyle w:val="Table"/>
              <w:keepNext w:val="0"/>
              <w:keepLines w:val="0"/>
              <w:widowControl w:val="0"/>
              <w:spacing w:before="0" w:after="0"/>
              <w:ind w:left="67"/>
              <w:rPr>
                <w:rFonts w:ascii="Times New Roman" w:hAnsi="Times New Roman"/>
                <w:color w:val="000000"/>
                <w:sz w:val="22"/>
                <w:szCs w:val="22"/>
                <w:lang w:val="sk-SK"/>
              </w:rPr>
            </w:pPr>
            <w:r w:rsidRPr="00C83045">
              <w:rPr>
                <w:rFonts w:ascii="Times New Roman" w:hAnsi="Times New Roman"/>
                <w:color w:val="000000"/>
                <w:sz w:val="22"/>
                <w:szCs w:val="22"/>
                <w:vertAlign w:val="superscript"/>
                <w:lang w:val="sk-SK"/>
              </w:rPr>
              <w:t>a</w:t>
            </w:r>
            <w:r w:rsidRPr="00C83045">
              <w:rPr>
                <w:rFonts w:ascii="Times New Roman" w:hAnsi="Times New Roman"/>
                <w:color w:val="000000"/>
                <w:sz w:val="22"/>
                <w:szCs w:val="22"/>
                <w:lang w:val="sk-SK"/>
              </w:rPr>
              <w:t>ANC &lt; 0,5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w:t>
            </w:r>
          </w:p>
          <w:p w14:paraId="32367C35" w14:textId="77777777" w:rsidR="002B133D" w:rsidRPr="00C83045" w:rsidRDefault="002B133D" w:rsidP="00D4304B">
            <w:pPr>
              <w:widowControl w:val="0"/>
              <w:ind w:left="67" w:firstLine="0"/>
              <w:rPr>
                <w:color w:val="000000"/>
                <w:szCs w:val="22"/>
                <w:vertAlign w:val="superscript"/>
              </w:rPr>
            </w:pPr>
            <w:r w:rsidRPr="00C83045">
              <w:rPr>
                <w:color w:val="000000"/>
                <w:szCs w:val="22"/>
              </w:rPr>
              <w:t>a/alebo počet trombocytov &lt; 10 x 10</w:t>
            </w:r>
            <w:r w:rsidRPr="00C83045">
              <w:rPr>
                <w:color w:val="000000"/>
                <w:szCs w:val="22"/>
                <w:vertAlign w:val="superscript"/>
              </w:rPr>
              <w:t>9</w:t>
            </w:r>
            <w:r w:rsidRPr="00C83045">
              <w:rPr>
                <w:color w:val="000000"/>
                <w:szCs w:val="22"/>
              </w:rPr>
              <w:t>/l</w:t>
            </w:r>
          </w:p>
        </w:tc>
        <w:tc>
          <w:tcPr>
            <w:tcW w:w="0" w:type="auto"/>
            <w:tcBorders>
              <w:top w:val="single" w:sz="6" w:space="0" w:color="auto"/>
              <w:left w:val="single" w:sz="6" w:space="0" w:color="auto"/>
              <w:right w:val="single" w:sz="6" w:space="0" w:color="auto"/>
            </w:tcBorders>
          </w:tcPr>
          <w:p w14:paraId="32367C36" w14:textId="77777777" w:rsidR="002B133D" w:rsidRPr="00C83045" w:rsidRDefault="000328DA" w:rsidP="00D4304B">
            <w:pPr>
              <w:pStyle w:val="Table"/>
              <w:keepNext w:val="0"/>
              <w:keepLines w:val="0"/>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1.</w:t>
            </w:r>
            <w:r w:rsidRPr="00C83045">
              <w:rPr>
                <w:rFonts w:ascii="Times New Roman" w:hAnsi="Times New Roman"/>
                <w:color w:val="000000"/>
                <w:sz w:val="22"/>
                <w:szCs w:val="22"/>
                <w:lang w:val="sk-SK"/>
              </w:rPr>
              <w:tab/>
            </w:r>
            <w:r w:rsidR="002B133D" w:rsidRPr="00C83045">
              <w:rPr>
                <w:rFonts w:ascii="Times New Roman" w:hAnsi="Times New Roman"/>
                <w:color w:val="000000"/>
                <w:sz w:val="22"/>
                <w:szCs w:val="22"/>
                <w:lang w:val="sk-SK"/>
              </w:rPr>
              <w:t>Overiť, či cytopénia súvisí s leukémiou (punkcia alebo biopsia kostnej drene).</w:t>
            </w:r>
          </w:p>
          <w:p w14:paraId="32367C37" w14:textId="77777777" w:rsidR="002B133D" w:rsidRPr="00C83045" w:rsidRDefault="000328DA" w:rsidP="00D4304B">
            <w:pPr>
              <w:pStyle w:val="Table"/>
              <w:keepNext w:val="0"/>
              <w:keepLines w:val="0"/>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2.</w:t>
            </w:r>
            <w:r w:rsidRPr="00C83045">
              <w:rPr>
                <w:rFonts w:ascii="Times New Roman" w:hAnsi="Times New Roman"/>
                <w:color w:val="000000"/>
                <w:sz w:val="22"/>
                <w:szCs w:val="22"/>
                <w:lang w:val="sk-SK"/>
              </w:rPr>
              <w:tab/>
            </w:r>
            <w:r w:rsidR="002B133D" w:rsidRPr="00C83045">
              <w:rPr>
                <w:rFonts w:ascii="Times New Roman" w:hAnsi="Times New Roman"/>
                <w:color w:val="000000"/>
                <w:sz w:val="22"/>
                <w:szCs w:val="22"/>
                <w:lang w:val="sk-SK"/>
              </w:rPr>
              <w:t>Ak cytopénia nesúvisí s leukémiou, znížiť dávku Glivecu na 260 mg/m</w:t>
            </w:r>
            <w:r w:rsidR="002B133D" w:rsidRPr="00C83045">
              <w:rPr>
                <w:rFonts w:ascii="Times New Roman" w:hAnsi="Times New Roman"/>
                <w:color w:val="000000"/>
                <w:sz w:val="22"/>
                <w:szCs w:val="22"/>
                <w:vertAlign w:val="superscript"/>
                <w:lang w:val="sk-SK"/>
              </w:rPr>
              <w:t>2</w:t>
            </w:r>
            <w:r w:rsidR="002B133D" w:rsidRPr="00C83045">
              <w:rPr>
                <w:rFonts w:ascii="Times New Roman" w:hAnsi="Times New Roman"/>
                <w:color w:val="000000"/>
                <w:sz w:val="22"/>
                <w:szCs w:val="22"/>
                <w:lang w:val="sk-SK"/>
              </w:rPr>
              <w:t>.</w:t>
            </w:r>
          </w:p>
          <w:p w14:paraId="32367C38" w14:textId="77777777" w:rsidR="002B133D" w:rsidRPr="00C83045" w:rsidRDefault="000328DA" w:rsidP="00D4304B">
            <w:pPr>
              <w:pStyle w:val="Table"/>
              <w:keepNext w:val="0"/>
              <w:keepLines w:val="0"/>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3.</w:t>
            </w:r>
            <w:r w:rsidRPr="00C83045">
              <w:rPr>
                <w:rFonts w:ascii="Times New Roman" w:hAnsi="Times New Roman"/>
                <w:color w:val="000000"/>
                <w:sz w:val="22"/>
                <w:szCs w:val="22"/>
                <w:lang w:val="sk-SK"/>
              </w:rPr>
              <w:tab/>
            </w:r>
            <w:r w:rsidR="002B133D" w:rsidRPr="00C83045">
              <w:rPr>
                <w:rFonts w:ascii="Times New Roman" w:hAnsi="Times New Roman"/>
                <w:color w:val="000000"/>
                <w:sz w:val="22"/>
                <w:szCs w:val="22"/>
                <w:lang w:val="sk-SK"/>
              </w:rPr>
              <w:t>Ak cytopénia pretrváva počas 2 týždňov, znížiť dávku ďalej na 200 mg/m</w:t>
            </w:r>
            <w:r w:rsidR="002B133D" w:rsidRPr="00C83045">
              <w:rPr>
                <w:rFonts w:ascii="Times New Roman" w:hAnsi="Times New Roman"/>
                <w:color w:val="000000"/>
                <w:sz w:val="22"/>
                <w:szCs w:val="22"/>
                <w:vertAlign w:val="superscript"/>
                <w:lang w:val="sk-SK"/>
              </w:rPr>
              <w:t>2</w:t>
            </w:r>
            <w:r w:rsidR="002B133D" w:rsidRPr="00C83045">
              <w:rPr>
                <w:rFonts w:ascii="Times New Roman" w:hAnsi="Times New Roman"/>
                <w:color w:val="000000"/>
                <w:sz w:val="22"/>
                <w:szCs w:val="22"/>
                <w:lang w:val="sk-SK"/>
              </w:rPr>
              <w:t>.</w:t>
            </w:r>
          </w:p>
          <w:p w14:paraId="32367C39" w14:textId="77777777" w:rsidR="002B133D" w:rsidRPr="00C83045" w:rsidRDefault="000328DA" w:rsidP="00D4304B">
            <w:pPr>
              <w:pStyle w:val="Table"/>
              <w:keepNext w:val="0"/>
              <w:keepLines w:val="0"/>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4.</w:t>
            </w:r>
            <w:r w:rsidRPr="00C83045">
              <w:rPr>
                <w:rFonts w:ascii="Times New Roman" w:hAnsi="Times New Roman"/>
                <w:color w:val="000000"/>
                <w:sz w:val="22"/>
                <w:szCs w:val="22"/>
                <w:lang w:val="sk-SK"/>
              </w:rPr>
              <w:tab/>
            </w:r>
            <w:r w:rsidR="002B133D" w:rsidRPr="00C83045">
              <w:rPr>
                <w:rFonts w:ascii="Times New Roman" w:hAnsi="Times New Roman"/>
                <w:color w:val="000000"/>
                <w:sz w:val="22"/>
                <w:szCs w:val="22"/>
                <w:lang w:val="sk-SK"/>
              </w:rPr>
              <w:t xml:space="preserve">Ak cytopénia pretrváva počas 4 týždňov a ešte stále </w:t>
            </w:r>
            <w:r w:rsidR="002B133D" w:rsidRPr="00C83045">
              <w:rPr>
                <w:rFonts w:ascii="Times New Roman" w:hAnsi="Times New Roman"/>
                <w:color w:val="000000"/>
                <w:sz w:val="22"/>
                <w:szCs w:val="22"/>
                <w:lang w:val="sk-SK" w:eastAsia="sk-SK"/>
              </w:rPr>
              <w:t xml:space="preserve">nesúvisí s leukémiou, vysadiť Glivec, kým ANC </w:t>
            </w:r>
            <w:r w:rsidR="002B133D" w:rsidRPr="00C83045">
              <w:rPr>
                <w:rFonts w:ascii="Times New Roman" w:hAnsi="Times New Roman"/>
                <w:color w:val="000000"/>
                <w:sz w:val="22"/>
                <w:szCs w:val="22"/>
                <w:lang w:val="sk-SK"/>
              </w:rPr>
              <w:sym w:font="Symbol" w:char="F0B3"/>
            </w:r>
            <w:r w:rsidR="002B133D" w:rsidRPr="00C83045">
              <w:rPr>
                <w:rFonts w:ascii="Times New Roman" w:hAnsi="Times New Roman"/>
                <w:color w:val="000000"/>
                <w:sz w:val="22"/>
                <w:szCs w:val="22"/>
                <w:lang w:val="sk-SK"/>
              </w:rPr>
              <w:t> 1 x 10</w:t>
            </w:r>
            <w:r w:rsidR="002B133D" w:rsidRPr="00C83045">
              <w:rPr>
                <w:rFonts w:ascii="Times New Roman" w:hAnsi="Times New Roman"/>
                <w:color w:val="000000"/>
                <w:sz w:val="22"/>
                <w:szCs w:val="22"/>
                <w:vertAlign w:val="superscript"/>
                <w:lang w:val="sk-SK"/>
              </w:rPr>
              <w:t>9</w:t>
            </w:r>
            <w:r w:rsidR="002B133D" w:rsidRPr="00C83045">
              <w:rPr>
                <w:rFonts w:ascii="Times New Roman" w:hAnsi="Times New Roman"/>
                <w:color w:val="000000"/>
                <w:sz w:val="22"/>
                <w:szCs w:val="22"/>
                <w:lang w:val="sk-SK"/>
              </w:rPr>
              <w:t xml:space="preserve">/l a počet trombocytov </w:t>
            </w:r>
            <w:r w:rsidR="002B133D" w:rsidRPr="00C83045">
              <w:rPr>
                <w:rFonts w:ascii="Times New Roman" w:hAnsi="Times New Roman"/>
                <w:color w:val="000000"/>
                <w:sz w:val="22"/>
                <w:szCs w:val="22"/>
                <w:lang w:val="sk-SK"/>
              </w:rPr>
              <w:sym w:font="Symbol" w:char="F0B3"/>
            </w:r>
            <w:r w:rsidR="002B133D" w:rsidRPr="00C83045">
              <w:rPr>
                <w:rFonts w:ascii="Times New Roman" w:hAnsi="Times New Roman"/>
                <w:color w:val="000000"/>
                <w:sz w:val="22"/>
                <w:szCs w:val="22"/>
                <w:lang w:val="sk-SK"/>
              </w:rPr>
              <w:t> 20 x 10</w:t>
            </w:r>
            <w:r w:rsidR="002B133D" w:rsidRPr="00C83045">
              <w:rPr>
                <w:rFonts w:ascii="Times New Roman" w:hAnsi="Times New Roman"/>
                <w:color w:val="000000"/>
                <w:sz w:val="22"/>
                <w:szCs w:val="22"/>
                <w:vertAlign w:val="superscript"/>
                <w:lang w:val="sk-SK"/>
              </w:rPr>
              <w:t>9</w:t>
            </w:r>
            <w:r w:rsidR="002B133D" w:rsidRPr="00C83045">
              <w:rPr>
                <w:rFonts w:ascii="Times New Roman" w:hAnsi="Times New Roman"/>
                <w:color w:val="000000"/>
                <w:sz w:val="22"/>
                <w:szCs w:val="22"/>
                <w:lang w:val="sk-SK"/>
              </w:rPr>
              <w:t>/l, potom pokračovať v liečbe dávkou 200 mg/m</w:t>
            </w:r>
            <w:r w:rsidR="002B133D" w:rsidRPr="00C83045">
              <w:rPr>
                <w:rFonts w:ascii="Times New Roman" w:hAnsi="Times New Roman"/>
                <w:color w:val="000000"/>
                <w:sz w:val="22"/>
                <w:szCs w:val="22"/>
                <w:vertAlign w:val="superscript"/>
                <w:lang w:val="sk-SK"/>
              </w:rPr>
              <w:t>2</w:t>
            </w:r>
            <w:r w:rsidR="002B133D" w:rsidRPr="00C83045">
              <w:rPr>
                <w:rFonts w:ascii="Times New Roman" w:hAnsi="Times New Roman"/>
                <w:color w:val="000000"/>
                <w:sz w:val="22"/>
                <w:szCs w:val="22"/>
                <w:lang w:val="sk-SK"/>
              </w:rPr>
              <w:t>.</w:t>
            </w:r>
          </w:p>
        </w:tc>
      </w:tr>
      <w:tr w:rsidR="00347124" w:rsidRPr="00C83045" w14:paraId="32367C43" w14:textId="77777777" w:rsidTr="00BE6051">
        <w:trPr>
          <w:cantSplit/>
          <w:trHeight w:val="1869"/>
        </w:trPr>
        <w:tc>
          <w:tcPr>
            <w:tcW w:w="0" w:type="auto"/>
            <w:tcBorders>
              <w:top w:val="single" w:sz="6" w:space="0" w:color="auto"/>
              <w:left w:val="single" w:sz="6" w:space="0" w:color="auto"/>
              <w:right w:val="single" w:sz="6" w:space="0" w:color="auto"/>
            </w:tcBorders>
          </w:tcPr>
          <w:p w14:paraId="32367C3B" w14:textId="77777777" w:rsidR="00347124" w:rsidRPr="00C83045" w:rsidRDefault="00347124" w:rsidP="00D4304B">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DFSP</w:t>
            </w:r>
          </w:p>
          <w:p w14:paraId="32367C3C" w14:textId="77777777" w:rsidR="00347124" w:rsidRPr="00C83045" w:rsidRDefault="00347124" w:rsidP="00D4304B">
            <w:pPr>
              <w:keepNext/>
              <w:keepLines/>
              <w:widowControl w:val="0"/>
              <w:ind w:left="0" w:firstLine="0"/>
              <w:rPr>
                <w:color w:val="000000"/>
                <w:szCs w:val="22"/>
              </w:rPr>
            </w:pPr>
            <w:r w:rsidRPr="00C83045">
              <w:rPr>
                <w:color w:val="000000"/>
                <w:szCs w:val="22"/>
              </w:rPr>
              <w:t>(pri dávke 800 mg)</w:t>
            </w:r>
          </w:p>
        </w:tc>
        <w:tc>
          <w:tcPr>
            <w:tcW w:w="0" w:type="auto"/>
            <w:tcBorders>
              <w:top w:val="single" w:sz="6" w:space="0" w:color="auto"/>
              <w:left w:val="single" w:sz="6" w:space="0" w:color="auto"/>
              <w:right w:val="single" w:sz="6" w:space="0" w:color="auto"/>
            </w:tcBorders>
          </w:tcPr>
          <w:p w14:paraId="32367C3D" w14:textId="77777777" w:rsidR="00347124" w:rsidRPr="00C83045" w:rsidRDefault="00347124" w:rsidP="00D4304B">
            <w:pPr>
              <w:pStyle w:val="Table"/>
              <w:widowControl w:val="0"/>
              <w:spacing w:before="0" w:after="0"/>
              <w:ind w:left="67"/>
              <w:rPr>
                <w:rFonts w:ascii="Times New Roman" w:hAnsi="Times New Roman"/>
                <w:color w:val="000000"/>
                <w:sz w:val="22"/>
                <w:szCs w:val="22"/>
                <w:lang w:val="sk-SK"/>
              </w:rPr>
            </w:pPr>
            <w:r w:rsidRPr="00C83045">
              <w:rPr>
                <w:rFonts w:ascii="Times New Roman" w:hAnsi="Times New Roman"/>
                <w:color w:val="000000"/>
                <w:sz w:val="22"/>
                <w:szCs w:val="22"/>
                <w:lang w:val="sk-SK"/>
              </w:rPr>
              <w:t>ANC &lt; 1,0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w:t>
            </w:r>
          </w:p>
          <w:p w14:paraId="32367C3E" w14:textId="77777777" w:rsidR="00347124" w:rsidRPr="00C83045" w:rsidRDefault="00347124" w:rsidP="00D4304B">
            <w:pPr>
              <w:pStyle w:val="Table"/>
              <w:widowControl w:val="0"/>
              <w:spacing w:before="0" w:after="0"/>
              <w:ind w:left="67"/>
              <w:rPr>
                <w:rFonts w:ascii="Times New Roman" w:hAnsi="Times New Roman"/>
                <w:color w:val="000000"/>
                <w:sz w:val="22"/>
                <w:szCs w:val="22"/>
                <w:lang w:val="sk-SK"/>
              </w:rPr>
            </w:pPr>
            <w:r w:rsidRPr="00C83045">
              <w:rPr>
                <w:rFonts w:ascii="Times New Roman" w:hAnsi="Times New Roman"/>
                <w:color w:val="000000"/>
                <w:sz w:val="22"/>
                <w:szCs w:val="22"/>
                <w:lang w:val="sk-SK"/>
              </w:rPr>
              <w:t>a/alebo</w:t>
            </w:r>
          </w:p>
          <w:p w14:paraId="32367C3F" w14:textId="77777777" w:rsidR="00347124" w:rsidRPr="00C83045" w:rsidRDefault="00347124" w:rsidP="00D4304B">
            <w:pPr>
              <w:pStyle w:val="Table"/>
              <w:widowControl w:val="0"/>
              <w:spacing w:before="0" w:after="0"/>
              <w:ind w:left="67"/>
              <w:rPr>
                <w:rFonts w:ascii="Times New Roman" w:hAnsi="Times New Roman"/>
                <w:color w:val="000000"/>
                <w:sz w:val="22"/>
                <w:szCs w:val="22"/>
                <w:vertAlign w:val="superscript"/>
                <w:lang w:val="sk-SK"/>
              </w:rPr>
            </w:pPr>
            <w:r w:rsidRPr="00C83045">
              <w:rPr>
                <w:rFonts w:ascii="Times New Roman" w:hAnsi="Times New Roman"/>
                <w:color w:val="000000"/>
                <w:sz w:val="22"/>
                <w:szCs w:val="22"/>
                <w:lang w:val="sk-SK"/>
              </w:rPr>
              <w:t>počet trombocytov &lt; 50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w:t>
            </w:r>
          </w:p>
        </w:tc>
        <w:tc>
          <w:tcPr>
            <w:tcW w:w="0" w:type="auto"/>
            <w:tcBorders>
              <w:top w:val="single" w:sz="6" w:space="0" w:color="auto"/>
              <w:left w:val="single" w:sz="6" w:space="0" w:color="auto"/>
              <w:right w:val="single" w:sz="6" w:space="0" w:color="auto"/>
            </w:tcBorders>
          </w:tcPr>
          <w:p w14:paraId="32367C40" w14:textId="77777777" w:rsidR="00347124" w:rsidRPr="00C83045" w:rsidRDefault="000328DA" w:rsidP="00D4304B">
            <w:pPr>
              <w:pStyle w:val="Table"/>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1.</w:t>
            </w:r>
            <w:r w:rsidRPr="00C83045">
              <w:rPr>
                <w:rFonts w:ascii="Times New Roman" w:hAnsi="Times New Roman"/>
                <w:color w:val="000000"/>
                <w:sz w:val="22"/>
                <w:szCs w:val="22"/>
                <w:lang w:val="sk-SK"/>
              </w:rPr>
              <w:tab/>
            </w:r>
            <w:r w:rsidR="00347124" w:rsidRPr="00C83045">
              <w:rPr>
                <w:rFonts w:ascii="Times New Roman" w:hAnsi="Times New Roman"/>
                <w:color w:val="000000"/>
                <w:sz w:val="22"/>
                <w:szCs w:val="22"/>
                <w:lang w:val="sk-SK"/>
              </w:rPr>
              <w:t xml:space="preserve">Prerušiť podávanie Glivecu, kým ANC </w:t>
            </w:r>
            <w:r w:rsidR="00347124" w:rsidRPr="00C83045">
              <w:rPr>
                <w:rFonts w:ascii="Times New Roman" w:hAnsi="Times New Roman"/>
                <w:color w:val="000000"/>
                <w:sz w:val="22"/>
                <w:szCs w:val="22"/>
                <w:lang w:val="sk-SK"/>
              </w:rPr>
              <w:sym w:font="Symbol" w:char="F0B3"/>
            </w:r>
            <w:r w:rsidR="00347124" w:rsidRPr="00C83045">
              <w:rPr>
                <w:rFonts w:ascii="Times New Roman" w:hAnsi="Times New Roman"/>
                <w:color w:val="000000"/>
                <w:sz w:val="22"/>
                <w:szCs w:val="22"/>
                <w:lang w:val="sk-SK"/>
              </w:rPr>
              <w:t> 1,5 x 10</w:t>
            </w:r>
            <w:r w:rsidR="00347124" w:rsidRPr="00C83045">
              <w:rPr>
                <w:rFonts w:ascii="Times New Roman" w:hAnsi="Times New Roman"/>
                <w:color w:val="000000"/>
                <w:sz w:val="22"/>
                <w:szCs w:val="22"/>
                <w:vertAlign w:val="superscript"/>
                <w:lang w:val="sk-SK"/>
              </w:rPr>
              <w:t>9</w:t>
            </w:r>
            <w:r w:rsidR="00347124" w:rsidRPr="00C83045">
              <w:rPr>
                <w:rFonts w:ascii="Times New Roman" w:hAnsi="Times New Roman"/>
                <w:color w:val="000000"/>
                <w:sz w:val="22"/>
                <w:szCs w:val="22"/>
                <w:lang w:val="sk-SK"/>
              </w:rPr>
              <w:t xml:space="preserve">/l a počet trombocytov </w:t>
            </w:r>
            <w:r w:rsidR="00347124" w:rsidRPr="00C83045">
              <w:rPr>
                <w:rFonts w:ascii="Times New Roman" w:hAnsi="Times New Roman"/>
                <w:color w:val="000000"/>
                <w:sz w:val="22"/>
                <w:szCs w:val="22"/>
                <w:lang w:val="sk-SK"/>
              </w:rPr>
              <w:sym w:font="Symbol" w:char="F0B3"/>
            </w:r>
            <w:r w:rsidR="00347124" w:rsidRPr="00C83045">
              <w:rPr>
                <w:rFonts w:ascii="Times New Roman" w:hAnsi="Times New Roman"/>
                <w:color w:val="000000"/>
                <w:sz w:val="22"/>
                <w:szCs w:val="22"/>
                <w:lang w:val="sk-SK"/>
              </w:rPr>
              <w:t> 75 x 10</w:t>
            </w:r>
            <w:r w:rsidR="00347124" w:rsidRPr="00C83045">
              <w:rPr>
                <w:rFonts w:ascii="Times New Roman" w:hAnsi="Times New Roman"/>
                <w:color w:val="000000"/>
                <w:sz w:val="22"/>
                <w:szCs w:val="22"/>
                <w:vertAlign w:val="superscript"/>
                <w:lang w:val="sk-SK"/>
              </w:rPr>
              <w:t>9</w:t>
            </w:r>
            <w:r w:rsidR="00347124" w:rsidRPr="00C83045">
              <w:rPr>
                <w:rFonts w:ascii="Times New Roman" w:hAnsi="Times New Roman"/>
                <w:color w:val="000000"/>
                <w:sz w:val="22"/>
                <w:szCs w:val="22"/>
                <w:lang w:val="sk-SK"/>
              </w:rPr>
              <w:t>/l.</w:t>
            </w:r>
          </w:p>
          <w:p w14:paraId="32367C41" w14:textId="77777777" w:rsidR="00347124" w:rsidRPr="00C83045" w:rsidRDefault="000328DA" w:rsidP="00D4304B">
            <w:pPr>
              <w:pStyle w:val="Table"/>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2.</w:t>
            </w:r>
            <w:r w:rsidRPr="00C83045">
              <w:rPr>
                <w:rFonts w:ascii="Times New Roman" w:hAnsi="Times New Roman"/>
                <w:color w:val="000000"/>
                <w:sz w:val="22"/>
                <w:szCs w:val="22"/>
                <w:lang w:val="sk-SK"/>
              </w:rPr>
              <w:tab/>
            </w:r>
            <w:r w:rsidR="00347124" w:rsidRPr="00C83045">
              <w:rPr>
                <w:rFonts w:ascii="Times New Roman" w:hAnsi="Times New Roman"/>
                <w:color w:val="000000"/>
                <w:sz w:val="22"/>
                <w:szCs w:val="22"/>
                <w:lang w:val="sk-SK"/>
              </w:rPr>
              <w:t>Pokračovať v liečbe Glivecom dávkou 600 mg.</w:t>
            </w:r>
          </w:p>
          <w:p w14:paraId="32367C42" w14:textId="77777777" w:rsidR="00347124" w:rsidRPr="00C83045" w:rsidRDefault="000328DA" w:rsidP="00D4304B">
            <w:pPr>
              <w:pStyle w:val="Table"/>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3.</w:t>
            </w:r>
            <w:r w:rsidRPr="00C83045">
              <w:rPr>
                <w:rFonts w:ascii="Times New Roman" w:hAnsi="Times New Roman"/>
                <w:color w:val="000000"/>
                <w:sz w:val="22"/>
                <w:szCs w:val="22"/>
                <w:lang w:val="sk-SK"/>
              </w:rPr>
              <w:tab/>
            </w:r>
            <w:r w:rsidR="00347124" w:rsidRPr="00C83045">
              <w:rPr>
                <w:rFonts w:ascii="Times New Roman" w:hAnsi="Times New Roman"/>
                <w:color w:val="000000"/>
                <w:sz w:val="22"/>
                <w:szCs w:val="22"/>
                <w:lang w:val="sk-SK"/>
              </w:rPr>
              <w:t>Pri opakovanom poklese ANC &lt; 1,0 x 10</w:t>
            </w:r>
            <w:r w:rsidR="00347124" w:rsidRPr="00C83045">
              <w:rPr>
                <w:rFonts w:ascii="Times New Roman" w:hAnsi="Times New Roman"/>
                <w:color w:val="000000"/>
                <w:sz w:val="22"/>
                <w:szCs w:val="22"/>
                <w:vertAlign w:val="superscript"/>
                <w:lang w:val="sk-SK"/>
              </w:rPr>
              <w:t>9</w:t>
            </w:r>
            <w:r w:rsidR="00347124" w:rsidRPr="00C83045">
              <w:rPr>
                <w:rFonts w:ascii="Times New Roman" w:hAnsi="Times New Roman"/>
                <w:color w:val="000000"/>
                <w:sz w:val="22"/>
                <w:szCs w:val="22"/>
                <w:lang w:val="sk-SK"/>
              </w:rPr>
              <w:t>/l a/alebo počtu trombocytov &lt; 50 x 10</w:t>
            </w:r>
            <w:r w:rsidR="00347124" w:rsidRPr="00C83045">
              <w:rPr>
                <w:rFonts w:ascii="Times New Roman" w:hAnsi="Times New Roman"/>
                <w:color w:val="000000"/>
                <w:sz w:val="22"/>
                <w:szCs w:val="22"/>
                <w:vertAlign w:val="superscript"/>
                <w:lang w:val="sk-SK"/>
              </w:rPr>
              <w:t>9</w:t>
            </w:r>
            <w:r w:rsidR="00347124" w:rsidRPr="00C83045">
              <w:rPr>
                <w:rFonts w:ascii="Times New Roman" w:hAnsi="Times New Roman"/>
                <w:color w:val="000000"/>
                <w:sz w:val="22"/>
                <w:szCs w:val="22"/>
                <w:lang w:val="sk-SK"/>
              </w:rPr>
              <w:t>/l zopakovať krok 1 a pokračovať v liečbe Glivecom zníženou dávkou 400 mg.</w:t>
            </w:r>
          </w:p>
        </w:tc>
      </w:tr>
      <w:tr w:rsidR="002B133D" w:rsidRPr="00C83045" w14:paraId="32367C46" w14:textId="77777777" w:rsidTr="00BE6051">
        <w:trPr>
          <w:cantSplit/>
        </w:trPr>
        <w:tc>
          <w:tcPr>
            <w:tcW w:w="0" w:type="auto"/>
            <w:gridSpan w:val="3"/>
            <w:tcBorders>
              <w:top w:val="single" w:sz="6" w:space="0" w:color="auto"/>
              <w:left w:val="single" w:sz="6" w:space="0" w:color="auto"/>
              <w:bottom w:val="single" w:sz="6" w:space="0" w:color="auto"/>
              <w:right w:val="single" w:sz="6" w:space="0" w:color="auto"/>
            </w:tcBorders>
          </w:tcPr>
          <w:p w14:paraId="32367C44" w14:textId="77777777" w:rsidR="002B133D" w:rsidRPr="00C83045" w:rsidRDefault="002B133D" w:rsidP="00D4304B">
            <w:pPr>
              <w:pStyle w:val="BodyText"/>
              <w:keepNext/>
              <w:keepLines/>
              <w:widowControl w:val="0"/>
              <w:autoSpaceDE/>
              <w:autoSpaceDN/>
              <w:rPr>
                <w:color w:val="000000"/>
                <w:sz w:val="22"/>
                <w:szCs w:val="22"/>
              </w:rPr>
            </w:pPr>
            <w:r w:rsidRPr="00C83045">
              <w:rPr>
                <w:color w:val="000000"/>
                <w:sz w:val="22"/>
                <w:szCs w:val="22"/>
              </w:rPr>
              <w:t>ANC = absolútny počet neutrofilov</w:t>
            </w:r>
          </w:p>
          <w:p w14:paraId="32367C45" w14:textId="77777777" w:rsidR="002B133D" w:rsidRPr="00C83045" w:rsidRDefault="002B133D" w:rsidP="00D4304B">
            <w:pPr>
              <w:keepNext/>
              <w:keepLines/>
              <w:widowControl w:val="0"/>
              <w:ind w:left="0" w:firstLine="0"/>
              <w:rPr>
                <w:color w:val="000000"/>
                <w:szCs w:val="22"/>
              </w:rPr>
            </w:pPr>
            <w:r w:rsidRPr="00C83045">
              <w:rPr>
                <w:color w:val="000000"/>
                <w:szCs w:val="22"/>
                <w:vertAlign w:val="superscript"/>
              </w:rPr>
              <w:t>a</w:t>
            </w:r>
            <w:r w:rsidRPr="00C83045">
              <w:rPr>
                <w:color w:val="000000"/>
                <w:szCs w:val="22"/>
              </w:rPr>
              <w:t xml:space="preserve"> výskyt po najmenej 1 mesiaci liečby</w:t>
            </w:r>
          </w:p>
        </w:tc>
      </w:tr>
    </w:tbl>
    <w:p w14:paraId="32367C47" w14:textId="77777777" w:rsidR="002B133D" w:rsidRPr="00C83045" w:rsidRDefault="002B133D" w:rsidP="00D4304B">
      <w:pPr>
        <w:widowControl w:val="0"/>
        <w:ind w:left="0" w:firstLine="0"/>
        <w:rPr>
          <w:color w:val="000000"/>
          <w:szCs w:val="22"/>
        </w:rPr>
      </w:pPr>
    </w:p>
    <w:p w14:paraId="32367C48" w14:textId="77777777" w:rsidR="004815A1" w:rsidRPr="00C83045" w:rsidRDefault="004815A1" w:rsidP="00D4304B">
      <w:pPr>
        <w:keepNext/>
        <w:widowControl w:val="0"/>
        <w:ind w:left="0" w:firstLine="0"/>
        <w:rPr>
          <w:color w:val="000000"/>
          <w:szCs w:val="22"/>
          <w:u w:val="single"/>
        </w:rPr>
      </w:pPr>
      <w:r w:rsidRPr="00C83045">
        <w:rPr>
          <w:color w:val="000000"/>
          <w:szCs w:val="22"/>
          <w:u w:val="single"/>
        </w:rPr>
        <w:t xml:space="preserve">Osobitné </w:t>
      </w:r>
      <w:r w:rsidR="0061243F" w:rsidRPr="00C83045">
        <w:rPr>
          <w:color w:val="000000"/>
          <w:szCs w:val="22"/>
          <w:u w:val="single"/>
        </w:rPr>
        <w:t>skupiny pacientov</w:t>
      </w:r>
    </w:p>
    <w:p w14:paraId="32367C49" w14:textId="77777777" w:rsidR="00347124" w:rsidRPr="00C83045" w:rsidRDefault="00847D15" w:rsidP="00D4304B">
      <w:pPr>
        <w:widowControl w:val="0"/>
        <w:ind w:left="0" w:firstLine="0"/>
        <w:rPr>
          <w:noProof/>
          <w:color w:val="000000"/>
          <w:szCs w:val="22"/>
        </w:rPr>
      </w:pPr>
      <w:r w:rsidRPr="00C83045">
        <w:rPr>
          <w:i/>
          <w:color w:val="000000"/>
          <w:szCs w:val="22"/>
        </w:rPr>
        <w:t>Použitie u detí:</w:t>
      </w:r>
      <w:r w:rsidRPr="00C83045">
        <w:rPr>
          <w:b/>
          <w:i/>
          <w:color w:val="000000"/>
          <w:szCs w:val="22"/>
        </w:rPr>
        <w:t xml:space="preserve"> </w:t>
      </w:r>
      <w:r w:rsidR="00347124" w:rsidRPr="00C83045">
        <w:rPr>
          <w:noProof/>
          <w:color w:val="000000"/>
          <w:szCs w:val="22"/>
        </w:rPr>
        <w:t>Nie sú žiadne skúsenosti s použitím u</w:t>
      </w:r>
      <w:r w:rsidR="0029077C" w:rsidRPr="00C83045">
        <w:rPr>
          <w:noProof/>
          <w:color w:val="000000"/>
          <w:szCs w:val="22"/>
        </w:rPr>
        <w:t> </w:t>
      </w:r>
      <w:r w:rsidR="00347124" w:rsidRPr="00C83045">
        <w:rPr>
          <w:noProof/>
          <w:color w:val="000000"/>
          <w:szCs w:val="22"/>
        </w:rPr>
        <w:t>detí</w:t>
      </w:r>
      <w:r w:rsidR="0029077C" w:rsidRPr="00C83045">
        <w:rPr>
          <w:noProof/>
          <w:color w:val="000000"/>
          <w:szCs w:val="22"/>
        </w:rPr>
        <w:t xml:space="preserve"> s CML mladších ako 2-ročných </w:t>
      </w:r>
      <w:r w:rsidR="00440AC8" w:rsidRPr="00C83045">
        <w:rPr>
          <w:color w:val="000000"/>
          <w:szCs w:val="22"/>
        </w:rPr>
        <w:t>a s Ph+ALL mladších ako 1</w:t>
      </w:r>
      <w:r w:rsidR="00176776" w:rsidRPr="00C83045">
        <w:rPr>
          <w:color w:val="000000"/>
          <w:szCs w:val="22"/>
        </w:rPr>
        <w:t> </w:t>
      </w:r>
      <w:r w:rsidR="00440AC8" w:rsidRPr="00C83045">
        <w:rPr>
          <w:color w:val="000000"/>
          <w:szCs w:val="22"/>
        </w:rPr>
        <w:t xml:space="preserve">rok </w:t>
      </w:r>
      <w:r w:rsidR="0029077C" w:rsidRPr="00C83045">
        <w:rPr>
          <w:noProof/>
          <w:color w:val="000000"/>
          <w:szCs w:val="22"/>
        </w:rPr>
        <w:t xml:space="preserve">(pozri časť 5.1). </w:t>
      </w:r>
      <w:r w:rsidR="0029077C" w:rsidRPr="00C83045">
        <w:rPr>
          <w:color w:val="000000"/>
          <w:szCs w:val="22"/>
        </w:rPr>
        <w:t xml:space="preserve">Skúsenosti </w:t>
      </w:r>
      <w:r w:rsidR="001E34CE" w:rsidRPr="00C83045">
        <w:rPr>
          <w:color w:val="000000"/>
          <w:szCs w:val="22"/>
        </w:rPr>
        <w:t xml:space="preserve">s použitím u detí s </w:t>
      </w:r>
      <w:smartTag w:uri="urn:schemas-microsoft-com:office:smarttags" w:element="stockticker">
        <w:r w:rsidR="001E34CE" w:rsidRPr="00C83045">
          <w:rPr>
            <w:color w:val="000000"/>
            <w:szCs w:val="22"/>
          </w:rPr>
          <w:t>MDS</w:t>
        </w:r>
      </w:smartTag>
      <w:r w:rsidR="001E34CE" w:rsidRPr="00C83045">
        <w:rPr>
          <w:color w:val="000000"/>
          <w:szCs w:val="22"/>
        </w:rPr>
        <w:t>/MPD</w:t>
      </w:r>
      <w:r w:rsidR="00327E6E" w:rsidRPr="00C83045">
        <w:rPr>
          <w:color w:val="000000"/>
          <w:szCs w:val="22"/>
        </w:rPr>
        <w:t xml:space="preserve">, </w:t>
      </w:r>
      <w:r w:rsidR="001E34CE" w:rsidRPr="00C83045">
        <w:rPr>
          <w:color w:val="000000"/>
          <w:szCs w:val="22"/>
        </w:rPr>
        <w:t>DFSP</w:t>
      </w:r>
      <w:r w:rsidR="00327E6E" w:rsidRPr="00C83045">
        <w:rPr>
          <w:color w:val="000000"/>
          <w:szCs w:val="22"/>
        </w:rPr>
        <w:t>, GIST a H</w:t>
      </w:r>
      <w:smartTag w:uri="urn:schemas-microsoft-com:office:smarttags" w:element="PersonName">
        <w:r w:rsidR="00327E6E" w:rsidRPr="00C83045">
          <w:rPr>
            <w:color w:val="000000"/>
            <w:szCs w:val="22"/>
          </w:rPr>
          <w:t>ES</w:t>
        </w:r>
      </w:smartTag>
      <w:r w:rsidR="00327E6E" w:rsidRPr="00C83045">
        <w:rPr>
          <w:color w:val="000000"/>
          <w:szCs w:val="22"/>
        </w:rPr>
        <w:t xml:space="preserve">/CEL </w:t>
      </w:r>
      <w:r w:rsidR="001E34CE" w:rsidRPr="00C83045">
        <w:rPr>
          <w:color w:val="000000"/>
          <w:szCs w:val="22"/>
        </w:rPr>
        <w:t>sú veľmi obmedzené</w:t>
      </w:r>
      <w:r w:rsidR="0029077C" w:rsidRPr="00C83045">
        <w:rPr>
          <w:color w:val="000000"/>
          <w:szCs w:val="22"/>
        </w:rPr>
        <w:t>.</w:t>
      </w:r>
    </w:p>
    <w:p w14:paraId="32367C4A" w14:textId="77777777" w:rsidR="0029077C" w:rsidRPr="00C83045" w:rsidRDefault="0029077C" w:rsidP="00D4304B">
      <w:pPr>
        <w:widowControl w:val="0"/>
        <w:ind w:left="0" w:firstLine="0"/>
        <w:rPr>
          <w:color w:val="000000"/>
          <w:szCs w:val="22"/>
        </w:rPr>
      </w:pPr>
    </w:p>
    <w:p w14:paraId="32367C4B" w14:textId="77777777" w:rsidR="00327E6E" w:rsidRPr="00C83045" w:rsidRDefault="00327E6E" w:rsidP="00D4304B">
      <w:pPr>
        <w:widowControl w:val="0"/>
        <w:ind w:left="0" w:firstLine="0"/>
        <w:rPr>
          <w:color w:val="000000"/>
          <w:szCs w:val="22"/>
        </w:rPr>
      </w:pPr>
      <w:r w:rsidRPr="00C83045">
        <w:rPr>
          <w:color w:val="000000"/>
          <w:szCs w:val="22"/>
        </w:rPr>
        <w:t xml:space="preserve">Bezpečnosť a účinnosť imatinibu u detí s MDS/MPD, DFSP, GIST a HES/CEL vo veku menej ako 18 rokov </w:t>
      </w:r>
      <w:r w:rsidR="00A4246B" w:rsidRPr="00C83045">
        <w:rPr>
          <w:color w:val="000000"/>
          <w:szCs w:val="22"/>
        </w:rPr>
        <w:t>neboli stanovené</w:t>
      </w:r>
      <w:r w:rsidRPr="00C83045">
        <w:rPr>
          <w:color w:val="000000"/>
          <w:szCs w:val="22"/>
        </w:rPr>
        <w:t xml:space="preserve"> v klinických skúšaniach. V súčasnosti dostupné publikované údaje </w:t>
      </w:r>
      <w:r w:rsidR="00A4246B" w:rsidRPr="00C83045">
        <w:rPr>
          <w:color w:val="000000"/>
          <w:szCs w:val="22"/>
        </w:rPr>
        <w:t xml:space="preserve">sú </w:t>
      </w:r>
      <w:r w:rsidRPr="00C83045">
        <w:rPr>
          <w:color w:val="000000"/>
          <w:szCs w:val="22"/>
        </w:rPr>
        <w:t xml:space="preserve">zhrnuté v časti 5.1, ale </w:t>
      </w:r>
      <w:r w:rsidR="00A4246B" w:rsidRPr="00C83045">
        <w:rPr>
          <w:noProof/>
        </w:rPr>
        <w:t>neumožňujú uviesť odporúčania pre dávkovanie.</w:t>
      </w:r>
    </w:p>
    <w:p w14:paraId="32367C4C" w14:textId="77777777" w:rsidR="00327E6E" w:rsidRPr="00C83045" w:rsidRDefault="00327E6E" w:rsidP="00D4304B">
      <w:pPr>
        <w:widowControl w:val="0"/>
        <w:ind w:left="0" w:firstLine="0"/>
        <w:rPr>
          <w:color w:val="000000"/>
          <w:szCs w:val="22"/>
        </w:rPr>
      </w:pPr>
    </w:p>
    <w:p w14:paraId="32367C4D" w14:textId="77777777" w:rsidR="00847D15" w:rsidRPr="00C83045" w:rsidRDefault="00847D15" w:rsidP="00D4304B">
      <w:pPr>
        <w:widowControl w:val="0"/>
        <w:ind w:left="0" w:firstLine="0"/>
        <w:rPr>
          <w:color w:val="000000"/>
          <w:szCs w:val="22"/>
        </w:rPr>
      </w:pPr>
      <w:r w:rsidRPr="00C83045">
        <w:rPr>
          <w:i/>
          <w:color w:val="000000"/>
          <w:szCs w:val="22"/>
        </w:rPr>
        <w:t>Insuficiencia pečene:</w:t>
      </w:r>
      <w:r w:rsidRPr="00C83045">
        <w:rPr>
          <w:b/>
          <w:i/>
          <w:color w:val="000000"/>
          <w:szCs w:val="22"/>
        </w:rPr>
        <w:t xml:space="preserve"> </w:t>
      </w:r>
      <w:r w:rsidR="002A49E8" w:rsidRPr="00C83045">
        <w:rPr>
          <w:color w:val="000000"/>
          <w:szCs w:val="22"/>
        </w:rPr>
        <w:t>I</w:t>
      </w:r>
      <w:r w:rsidRPr="00C83045">
        <w:rPr>
          <w:color w:val="000000"/>
          <w:szCs w:val="22"/>
        </w:rPr>
        <w:t>matinib sa metabolizuje hlavne v</w:t>
      </w:r>
      <w:r w:rsidR="002A49E8" w:rsidRPr="00C83045">
        <w:rPr>
          <w:color w:val="000000"/>
          <w:szCs w:val="22"/>
        </w:rPr>
        <w:t> </w:t>
      </w:r>
      <w:r w:rsidRPr="00C83045">
        <w:rPr>
          <w:color w:val="000000"/>
          <w:szCs w:val="22"/>
        </w:rPr>
        <w:t>pečeni</w:t>
      </w:r>
      <w:r w:rsidR="002A49E8" w:rsidRPr="00C83045">
        <w:rPr>
          <w:color w:val="000000"/>
          <w:szCs w:val="22"/>
        </w:rPr>
        <w:t xml:space="preserve">. </w:t>
      </w:r>
      <w:r w:rsidR="00A51AF5" w:rsidRPr="00C83045">
        <w:rPr>
          <w:color w:val="000000"/>
          <w:szCs w:val="22"/>
        </w:rPr>
        <w:t xml:space="preserve">Pacientom s ľahkou, stredne ťažkou alebo ťažkou poruchou funkcie pečene sa má podávať </w:t>
      </w:r>
      <w:r w:rsidR="00BD6ADA" w:rsidRPr="00C83045">
        <w:rPr>
          <w:color w:val="000000"/>
          <w:szCs w:val="22"/>
        </w:rPr>
        <w:t>najnižšia</w:t>
      </w:r>
      <w:r w:rsidR="00724898" w:rsidRPr="00C83045">
        <w:rPr>
          <w:color w:val="000000"/>
          <w:szCs w:val="22"/>
        </w:rPr>
        <w:t xml:space="preserve"> </w:t>
      </w:r>
      <w:r w:rsidR="00BD6ADA" w:rsidRPr="00C83045">
        <w:rPr>
          <w:color w:val="000000"/>
          <w:szCs w:val="22"/>
        </w:rPr>
        <w:t xml:space="preserve">odporúčaná dávka 400 mg denne. Dávku možno znížiť, ak </w:t>
      </w:r>
      <w:r w:rsidR="001A7767" w:rsidRPr="00C83045">
        <w:rPr>
          <w:color w:val="000000"/>
          <w:szCs w:val="22"/>
        </w:rPr>
        <w:t>nie je tolerovaná</w:t>
      </w:r>
      <w:r w:rsidRPr="00C83045">
        <w:rPr>
          <w:color w:val="000000"/>
          <w:szCs w:val="22"/>
        </w:rPr>
        <w:t xml:space="preserve"> (pozri časti 4.4</w:t>
      </w:r>
      <w:r w:rsidR="00724898" w:rsidRPr="00C83045">
        <w:rPr>
          <w:color w:val="000000"/>
          <w:szCs w:val="22"/>
        </w:rPr>
        <w:t>,</w:t>
      </w:r>
      <w:r w:rsidRPr="00C83045">
        <w:rPr>
          <w:color w:val="000000"/>
          <w:szCs w:val="22"/>
        </w:rPr>
        <w:t xml:space="preserve"> 4.8</w:t>
      </w:r>
      <w:r w:rsidR="00724898" w:rsidRPr="00C83045">
        <w:rPr>
          <w:color w:val="000000"/>
          <w:szCs w:val="22"/>
        </w:rPr>
        <w:t xml:space="preserve"> a 5.2</w:t>
      </w:r>
      <w:r w:rsidRPr="00C83045">
        <w:rPr>
          <w:color w:val="000000"/>
          <w:szCs w:val="22"/>
        </w:rPr>
        <w:t>).</w:t>
      </w:r>
    </w:p>
    <w:p w14:paraId="32367C4E" w14:textId="77777777" w:rsidR="00351946" w:rsidRPr="00C83045" w:rsidRDefault="00351946" w:rsidP="00D4304B">
      <w:pPr>
        <w:widowControl w:val="0"/>
        <w:ind w:left="0" w:firstLine="0"/>
        <w:rPr>
          <w:color w:val="000000"/>
          <w:szCs w:val="22"/>
        </w:rPr>
      </w:pPr>
    </w:p>
    <w:p w14:paraId="32367C4F" w14:textId="77777777" w:rsidR="00351946" w:rsidRPr="00C83045" w:rsidRDefault="00BC6FFF" w:rsidP="00D4304B">
      <w:pPr>
        <w:pStyle w:val="Text"/>
        <w:keepNext/>
        <w:widowControl w:val="0"/>
        <w:spacing w:before="0"/>
        <w:jc w:val="left"/>
        <w:rPr>
          <w:color w:val="000000"/>
          <w:sz w:val="22"/>
          <w:szCs w:val="22"/>
          <w:lang w:val="sk-SK"/>
        </w:rPr>
      </w:pPr>
      <w:r w:rsidRPr="00C83045">
        <w:rPr>
          <w:color w:val="000000"/>
          <w:sz w:val="22"/>
          <w:szCs w:val="22"/>
          <w:lang w:val="sk-SK"/>
        </w:rPr>
        <w:t xml:space="preserve">Hodnotenie </w:t>
      </w:r>
      <w:r w:rsidR="004350BA" w:rsidRPr="00C83045">
        <w:rPr>
          <w:color w:val="000000"/>
          <w:sz w:val="22"/>
          <w:szCs w:val="22"/>
          <w:lang w:val="sk-SK"/>
        </w:rPr>
        <w:t xml:space="preserve">poruchy </w:t>
      </w:r>
      <w:r w:rsidRPr="00C83045">
        <w:rPr>
          <w:color w:val="000000"/>
          <w:sz w:val="22"/>
          <w:szCs w:val="22"/>
          <w:lang w:val="sk-SK"/>
        </w:rPr>
        <w:t>funkcie pečene</w:t>
      </w:r>
      <w:r w:rsidR="007D6480" w:rsidRPr="00C83045">
        <w:rPr>
          <w:color w:val="000000"/>
          <w:sz w:val="22"/>
          <w:szCs w:val="22"/>
          <w:lang w:val="sk-SK"/>
        </w:rPr>
        <w:t>:</w:t>
      </w:r>
    </w:p>
    <w:p w14:paraId="32367C50" w14:textId="77777777" w:rsidR="00351946" w:rsidRPr="00C83045" w:rsidRDefault="00351946" w:rsidP="00D4304B">
      <w:pPr>
        <w:pStyle w:val="Text"/>
        <w:keepNext/>
        <w:widowControl w:val="0"/>
        <w:spacing w:before="0"/>
        <w:jc w:val="left"/>
        <w:rPr>
          <w:color w:val="000000"/>
          <w:sz w:val="22"/>
          <w:szCs w:val="22"/>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8"/>
        <w:gridCol w:w="5773"/>
      </w:tblGrid>
      <w:tr w:rsidR="00351946" w:rsidRPr="00C83045" w14:paraId="32367C53" w14:textId="77777777" w:rsidTr="00D4304B">
        <w:trPr>
          <w:cantSplit/>
        </w:trPr>
        <w:tc>
          <w:tcPr>
            <w:tcW w:w="3369" w:type="dxa"/>
          </w:tcPr>
          <w:p w14:paraId="32367C51" w14:textId="77777777" w:rsidR="00351946" w:rsidRPr="00C83045" w:rsidRDefault="00BC6FFF" w:rsidP="00D4304B">
            <w:pPr>
              <w:pStyle w:val="Text"/>
              <w:keepNext/>
              <w:keepLines/>
              <w:widowControl w:val="0"/>
              <w:tabs>
                <w:tab w:val="left" w:pos="567"/>
              </w:tabs>
              <w:spacing w:before="0"/>
              <w:jc w:val="left"/>
              <w:rPr>
                <w:color w:val="000000"/>
                <w:sz w:val="22"/>
                <w:szCs w:val="22"/>
                <w:lang w:val="sk-SK"/>
              </w:rPr>
            </w:pPr>
            <w:r w:rsidRPr="00C83045">
              <w:rPr>
                <w:color w:val="000000"/>
                <w:sz w:val="22"/>
                <w:szCs w:val="22"/>
                <w:lang w:val="sk-SK"/>
              </w:rPr>
              <w:t>Porucha funkcie pečene</w:t>
            </w:r>
          </w:p>
        </w:tc>
        <w:tc>
          <w:tcPr>
            <w:tcW w:w="5918" w:type="dxa"/>
          </w:tcPr>
          <w:p w14:paraId="32367C52" w14:textId="77777777" w:rsidR="00351946" w:rsidRPr="00C83045" w:rsidRDefault="00BC6FFF" w:rsidP="00D4304B">
            <w:pPr>
              <w:pStyle w:val="Text"/>
              <w:keepNext/>
              <w:keepLines/>
              <w:widowControl w:val="0"/>
              <w:tabs>
                <w:tab w:val="left" w:pos="567"/>
              </w:tabs>
              <w:spacing w:before="0"/>
              <w:jc w:val="left"/>
              <w:rPr>
                <w:color w:val="000000"/>
                <w:sz w:val="22"/>
                <w:szCs w:val="22"/>
                <w:lang w:val="sk-SK"/>
              </w:rPr>
            </w:pPr>
            <w:r w:rsidRPr="00C83045">
              <w:rPr>
                <w:color w:val="000000"/>
                <w:sz w:val="22"/>
                <w:szCs w:val="22"/>
                <w:lang w:val="sk-SK"/>
              </w:rPr>
              <w:t>Testy funkcie pečene</w:t>
            </w:r>
          </w:p>
        </w:tc>
      </w:tr>
      <w:tr w:rsidR="00351946" w:rsidRPr="00C83045" w14:paraId="32367C57" w14:textId="77777777" w:rsidTr="00D4304B">
        <w:trPr>
          <w:cantSplit/>
        </w:trPr>
        <w:tc>
          <w:tcPr>
            <w:tcW w:w="3369" w:type="dxa"/>
          </w:tcPr>
          <w:p w14:paraId="32367C54" w14:textId="77777777" w:rsidR="00351946" w:rsidRPr="00C83045" w:rsidRDefault="004F0653" w:rsidP="00D4304B">
            <w:pPr>
              <w:pStyle w:val="Text"/>
              <w:keepNext/>
              <w:keepLines/>
              <w:widowControl w:val="0"/>
              <w:tabs>
                <w:tab w:val="left" w:pos="567"/>
              </w:tabs>
              <w:spacing w:before="0"/>
              <w:jc w:val="left"/>
              <w:rPr>
                <w:color w:val="000000"/>
                <w:sz w:val="22"/>
                <w:szCs w:val="22"/>
                <w:lang w:val="sk-SK"/>
              </w:rPr>
            </w:pPr>
            <w:r w:rsidRPr="00C83045">
              <w:rPr>
                <w:color w:val="000000"/>
                <w:sz w:val="22"/>
                <w:szCs w:val="22"/>
                <w:lang w:val="sk-SK"/>
              </w:rPr>
              <w:t>Ľahká</w:t>
            </w:r>
          </w:p>
        </w:tc>
        <w:tc>
          <w:tcPr>
            <w:tcW w:w="5918" w:type="dxa"/>
          </w:tcPr>
          <w:p w14:paraId="32367C55" w14:textId="77777777" w:rsidR="004F0653" w:rsidRPr="00C83045" w:rsidRDefault="004F0653" w:rsidP="00D4304B">
            <w:pPr>
              <w:keepNext/>
              <w:keepLines/>
              <w:widowControl w:val="0"/>
              <w:tabs>
                <w:tab w:val="left" w:pos="567"/>
              </w:tabs>
              <w:rPr>
                <w:snapToGrid w:val="0"/>
                <w:color w:val="000000"/>
                <w:szCs w:val="22"/>
              </w:rPr>
            </w:pPr>
            <w:r w:rsidRPr="00C83045">
              <w:rPr>
                <w:snapToGrid w:val="0"/>
                <w:color w:val="000000"/>
                <w:szCs w:val="22"/>
              </w:rPr>
              <w:t>Celkový bilirubín: = 1,5 ULN</w:t>
            </w:r>
          </w:p>
          <w:p w14:paraId="32367C56" w14:textId="77777777" w:rsidR="00351946" w:rsidRPr="00C83045" w:rsidRDefault="004F0653" w:rsidP="00D4304B">
            <w:pPr>
              <w:pStyle w:val="Text"/>
              <w:keepNext/>
              <w:keepLines/>
              <w:widowControl w:val="0"/>
              <w:tabs>
                <w:tab w:val="left" w:pos="567"/>
              </w:tabs>
              <w:spacing w:before="0"/>
              <w:jc w:val="left"/>
              <w:rPr>
                <w:color w:val="000000"/>
                <w:sz w:val="22"/>
                <w:szCs w:val="22"/>
                <w:lang w:val="sk-SK"/>
              </w:rPr>
            </w:pPr>
            <w:r w:rsidRPr="00C83045">
              <w:rPr>
                <w:snapToGrid w:val="0"/>
                <w:color w:val="000000"/>
                <w:sz w:val="22"/>
                <w:szCs w:val="22"/>
                <w:lang w:val="sk-SK"/>
              </w:rPr>
              <w:t>AST: &gt;</w:t>
            </w:r>
            <w:r w:rsidR="004324C4" w:rsidRPr="00C83045">
              <w:rPr>
                <w:snapToGrid w:val="0"/>
                <w:color w:val="000000"/>
                <w:sz w:val="22"/>
                <w:szCs w:val="22"/>
                <w:lang w:val="sk-SK"/>
              </w:rPr>
              <w:t> </w:t>
            </w:r>
            <w:r w:rsidRPr="00C83045">
              <w:rPr>
                <w:snapToGrid w:val="0"/>
                <w:color w:val="000000"/>
                <w:sz w:val="22"/>
                <w:szCs w:val="22"/>
                <w:lang w:val="sk-SK"/>
              </w:rPr>
              <w:t>ULN (hodnota môže byť normálna alebo &lt;</w:t>
            </w:r>
            <w:r w:rsidR="004324C4" w:rsidRPr="00C83045">
              <w:rPr>
                <w:snapToGrid w:val="0"/>
                <w:color w:val="000000"/>
                <w:sz w:val="22"/>
                <w:szCs w:val="22"/>
                <w:lang w:val="sk-SK"/>
              </w:rPr>
              <w:t> </w:t>
            </w:r>
            <w:r w:rsidRPr="00C83045">
              <w:rPr>
                <w:snapToGrid w:val="0"/>
                <w:color w:val="000000"/>
                <w:sz w:val="22"/>
                <w:szCs w:val="22"/>
                <w:lang w:val="sk-SK"/>
              </w:rPr>
              <w:t>ULN, ak celkový bilirubín je &gt;</w:t>
            </w:r>
            <w:r w:rsidR="004324C4" w:rsidRPr="00C83045">
              <w:rPr>
                <w:snapToGrid w:val="0"/>
                <w:color w:val="000000"/>
                <w:sz w:val="22"/>
                <w:szCs w:val="22"/>
                <w:lang w:val="sk-SK"/>
              </w:rPr>
              <w:t> </w:t>
            </w:r>
            <w:r w:rsidRPr="00C83045">
              <w:rPr>
                <w:snapToGrid w:val="0"/>
                <w:color w:val="000000"/>
                <w:sz w:val="22"/>
                <w:szCs w:val="22"/>
                <w:lang w:val="sk-SK"/>
              </w:rPr>
              <w:t>ULN)</w:t>
            </w:r>
          </w:p>
        </w:tc>
      </w:tr>
      <w:tr w:rsidR="00351946" w:rsidRPr="00C83045" w14:paraId="32367C5B" w14:textId="77777777" w:rsidTr="00D4304B">
        <w:trPr>
          <w:cantSplit/>
        </w:trPr>
        <w:tc>
          <w:tcPr>
            <w:tcW w:w="3369" w:type="dxa"/>
          </w:tcPr>
          <w:p w14:paraId="32367C58" w14:textId="77777777" w:rsidR="00351946" w:rsidRPr="00C83045" w:rsidRDefault="004F0653" w:rsidP="00D4304B">
            <w:pPr>
              <w:pStyle w:val="Text"/>
              <w:keepNext/>
              <w:keepLines/>
              <w:widowControl w:val="0"/>
              <w:tabs>
                <w:tab w:val="left" w:pos="567"/>
              </w:tabs>
              <w:spacing w:before="0"/>
              <w:jc w:val="left"/>
              <w:rPr>
                <w:color w:val="000000"/>
                <w:sz w:val="22"/>
                <w:szCs w:val="22"/>
                <w:lang w:val="sk-SK"/>
              </w:rPr>
            </w:pPr>
            <w:r w:rsidRPr="00C83045">
              <w:rPr>
                <w:color w:val="000000"/>
                <w:sz w:val="22"/>
                <w:szCs w:val="22"/>
                <w:lang w:val="sk-SK"/>
              </w:rPr>
              <w:t>Stredne ťažká</w:t>
            </w:r>
          </w:p>
        </w:tc>
        <w:tc>
          <w:tcPr>
            <w:tcW w:w="5918" w:type="dxa"/>
          </w:tcPr>
          <w:p w14:paraId="32367C59" w14:textId="77777777" w:rsidR="004F0653" w:rsidRPr="00C83045" w:rsidRDefault="004F0653" w:rsidP="00D4304B">
            <w:pPr>
              <w:keepNext/>
              <w:keepLines/>
              <w:widowControl w:val="0"/>
              <w:tabs>
                <w:tab w:val="left" w:pos="567"/>
              </w:tabs>
              <w:rPr>
                <w:snapToGrid w:val="0"/>
                <w:color w:val="000000"/>
                <w:szCs w:val="22"/>
              </w:rPr>
            </w:pPr>
            <w:r w:rsidRPr="00C83045">
              <w:rPr>
                <w:snapToGrid w:val="0"/>
                <w:color w:val="000000"/>
                <w:szCs w:val="22"/>
              </w:rPr>
              <w:t>Celkový bilirubín: &gt;</w:t>
            </w:r>
            <w:r w:rsidR="004324C4" w:rsidRPr="00C83045">
              <w:rPr>
                <w:snapToGrid w:val="0"/>
                <w:color w:val="000000"/>
                <w:szCs w:val="22"/>
              </w:rPr>
              <w:t> </w:t>
            </w:r>
            <w:r w:rsidRPr="00C83045">
              <w:rPr>
                <w:snapToGrid w:val="0"/>
                <w:color w:val="000000"/>
                <w:szCs w:val="22"/>
              </w:rPr>
              <w:t>1,5</w:t>
            </w:r>
            <w:r w:rsidRPr="00C83045">
              <w:rPr>
                <w:color w:val="000000"/>
                <w:szCs w:val="22"/>
              </w:rPr>
              <w:t>–</w:t>
            </w:r>
            <w:r w:rsidRPr="00C83045">
              <w:rPr>
                <w:snapToGrid w:val="0"/>
                <w:color w:val="000000"/>
                <w:szCs w:val="22"/>
              </w:rPr>
              <w:t>3,0 ULN</w:t>
            </w:r>
          </w:p>
          <w:p w14:paraId="32367C5A" w14:textId="77777777" w:rsidR="00351946" w:rsidRPr="00C83045" w:rsidRDefault="004F0653" w:rsidP="00D4304B">
            <w:pPr>
              <w:pStyle w:val="Text"/>
              <w:keepNext/>
              <w:keepLines/>
              <w:widowControl w:val="0"/>
              <w:tabs>
                <w:tab w:val="left" w:pos="567"/>
              </w:tabs>
              <w:spacing w:before="0"/>
              <w:jc w:val="left"/>
              <w:rPr>
                <w:color w:val="000000"/>
                <w:sz w:val="22"/>
                <w:szCs w:val="22"/>
                <w:lang w:val="sk-SK"/>
              </w:rPr>
            </w:pPr>
            <w:r w:rsidRPr="00C83045">
              <w:rPr>
                <w:snapToGrid w:val="0"/>
                <w:color w:val="000000"/>
                <w:sz w:val="22"/>
                <w:szCs w:val="22"/>
                <w:lang w:val="sk-SK"/>
              </w:rPr>
              <w:t>AST: akákoľvek hodnota</w:t>
            </w:r>
          </w:p>
        </w:tc>
      </w:tr>
      <w:tr w:rsidR="00351946" w:rsidRPr="00C83045" w14:paraId="32367C5F" w14:textId="77777777" w:rsidTr="00D4304B">
        <w:trPr>
          <w:cantSplit/>
        </w:trPr>
        <w:tc>
          <w:tcPr>
            <w:tcW w:w="3369" w:type="dxa"/>
          </w:tcPr>
          <w:p w14:paraId="32367C5C" w14:textId="77777777" w:rsidR="00351946" w:rsidRPr="00C83045" w:rsidRDefault="004F0653" w:rsidP="00D4304B">
            <w:pPr>
              <w:pStyle w:val="Text"/>
              <w:keepNext/>
              <w:keepLines/>
              <w:widowControl w:val="0"/>
              <w:tabs>
                <w:tab w:val="left" w:pos="567"/>
              </w:tabs>
              <w:spacing w:before="0"/>
              <w:jc w:val="left"/>
              <w:rPr>
                <w:color w:val="000000"/>
                <w:sz w:val="22"/>
                <w:szCs w:val="22"/>
                <w:lang w:val="sk-SK"/>
              </w:rPr>
            </w:pPr>
            <w:r w:rsidRPr="00C83045">
              <w:rPr>
                <w:color w:val="000000"/>
                <w:sz w:val="22"/>
                <w:szCs w:val="22"/>
                <w:lang w:val="sk-SK"/>
              </w:rPr>
              <w:t>Ťažká</w:t>
            </w:r>
          </w:p>
        </w:tc>
        <w:tc>
          <w:tcPr>
            <w:tcW w:w="5918" w:type="dxa"/>
          </w:tcPr>
          <w:p w14:paraId="32367C5D" w14:textId="77777777" w:rsidR="004F0653" w:rsidRPr="00C83045" w:rsidRDefault="004F0653" w:rsidP="00D4304B">
            <w:pPr>
              <w:keepNext/>
              <w:keepLines/>
              <w:widowControl w:val="0"/>
              <w:tabs>
                <w:tab w:val="left" w:pos="567"/>
              </w:tabs>
              <w:rPr>
                <w:snapToGrid w:val="0"/>
                <w:color w:val="000000"/>
                <w:szCs w:val="22"/>
              </w:rPr>
            </w:pPr>
            <w:r w:rsidRPr="00C83045">
              <w:rPr>
                <w:snapToGrid w:val="0"/>
                <w:color w:val="000000"/>
                <w:szCs w:val="22"/>
              </w:rPr>
              <w:t>Celkový bilirubín: &gt;</w:t>
            </w:r>
            <w:r w:rsidR="004324C4" w:rsidRPr="00C83045">
              <w:rPr>
                <w:snapToGrid w:val="0"/>
                <w:color w:val="000000"/>
                <w:szCs w:val="22"/>
              </w:rPr>
              <w:t> </w:t>
            </w:r>
            <w:r w:rsidRPr="00C83045">
              <w:rPr>
                <w:snapToGrid w:val="0"/>
                <w:color w:val="000000"/>
                <w:szCs w:val="22"/>
              </w:rPr>
              <w:t>3</w:t>
            </w:r>
            <w:r w:rsidRPr="00C83045">
              <w:rPr>
                <w:color w:val="000000"/>
                <w:szCs w:val="22"/>
              </w:rPr>
              <w:t>–</w:t>
            </w:r>
            <w:r w:rsidRPr="00C83045">
              <w:rPr>
                <w:snapToGrid w:val="0"/>
                <w:color w:val="000000"/>
                <w:szCs w:val="22"/>
              </w:rPr>
              <w:t>10 ULN</w:t>
            </w:r>
          </w:p>
          <w:p w14:paraId="32367C5E" w14:textId="77777777" w:rsidR="00351946" w:rsidRPr="00C83045" w:rsidRDefault="004F0653" w:rsidP="00D4304B">
            <w:pPr>
              <w:pStyle w:val="Text"/>
              <w:keepNext/>
              <w:keepLines/>
              <w:widowControl w:val="0"/>
              <w:tabs>
                <w:tab w:val="left" w:pos="567"/>
              </w:tabs>
              <w:spacing w:before="0"/>
              <w:jc w:val="left"/>
              <w:rPr>
                <w:color w:val="000000"/>
                <w:sz w:val="22"/>
                <w:szCs w:val="22"/>
                <w:lang w:val="sk-SK"/>
              </w:rPr>
            </w:pPr>
            <w:r w:rsidRPr="00C83045">
              <w:rPr>
                <w:snapToGrid w:val="0"/>
                <w:color w:val="000000"/>
                <w:sz w:val="22"/>
                <w:szCs w:val="22"/>
                <w:lang w:val="sk-SK"/>
              </w:rPr>
              <w:t>AST: akákoľvek hodnota</w:t>
            </w:r>
          </w:p>
        </w:tc>
      </w:tr>
    </w:tbl>
    <w:p w14:paraId="32367C60" w14:textId="77777777" w:rsidR="00351946" w:rsidRPr="00C83045" w:rsidRDefault="00351946" w:rsidP="00D4304B">
      <w:pPr>
        <w:pStyle w:val="Text"/>
        <w:keepNext/>
        <w:keepLines/>
        <w:widowControl w:val="0"/>
        <w:spacing w:before="0"/>
        <w:jc w:val="left"/>
        <w:rPr>
          <w:color w:val="000000"/>
          <w:sz w:val="22"/>
          <w:szCs w:val="22"/>
          <w:lang w:val="sk-SK"/>
        </w:rPr>
      </w:pPr>
      <w:r w:rsidRPr="00C83045">
        <w:rPr>
          <w:color w:val="000000"/>
          <w:sz w:val="22"/>
          <w:szCs w:val="22"/>
          <w:lang w:val="sk-SK"/>
        </w:rPr>
        <w:t xml:space="preserve">ULN = </w:t>
      </w:r>
      <w:r w:rsidR="007B21BE" w:rsidRPr="00C83045">
        <w:rPr>
          <w:color w:val="000000"/>
          <w:sz w:val="22"/>
          <w:szCs w:val="22"/>
          <w:lang w:val="sk-SK"/>
        </w:rPr>
        <w:t>horná hranica normálneho rozmedzia</w:t>
      </w:r>
      <w:r w:rsidR="002D3E25" w:rsidRPr="00C83045">
        <w:rPr>
          <w:color w:val="000000"/>
          <w:sz w:val="22"/>
          <w:szCs w:val="22"/>
          <w:lang w:val="sk-SK"/>
        </w:rPr>
        <w:t xml:space="preserve"> </w:t>
      </w:r>
      <w:r w:rsidR="00F93517" w:rsidRPr="00C83045">
        <w:rPr>
          <w:color w:val="000000"/>
          <w:sz w:val="22"/>
          <w:szCs w:val="22"/>
          <w:lang w:val="sk-SK"/>
        </w:rPr>
        <w:t>zdravotníck</w:t>
      </w:r>
      <w:r w:rsidR="00A26EEB" w:rsidRPr="00C83045">
        <w:rPr>
          <w:color w:val="000000"/>
          <w:sz w:val="22"/>
          <w:szCs w:val="22"/>
          <w:lang w:val="sk-SK"/>
        </w:rPr>
        <w:t>eho</w:t>
      </w:r>
      <w:r w:rsidR="00F93517" w:rsidRPr="00C83045">
        <w:rPr>
          <w:color w:val="000000"/>
          <w:sz w:val="22"/>
          <w:szCs w:val="22"/>
          <w:lang w:val="sk-SK"/>
        </w:rPr>
        <w:t xml:space="preserve"> zariaden</w:t>
      </w:r>
      <w:r w:rsidR="00A26EEB" w:rsidRPr="00C83045">
        <w:rPr>
          <w:color w:val="000000"/>
          <w:sz w:val="22"/>
          <w:szCs w:val="22"/>
          <w:lang w:val="sk-SK"/>
        </w:rPr>
        <w:t>ia</w:t>
      </w:r>
    </w:p>
    <w:p w14:paraId="32367C61" w14:textId="77777777" w:rsidR="00351946" w:rsidRPr="00C83045" w:rsidRDefault="00351946" w:rsidP="00D4304B">
      <w:pPr>
        <w:widowControl w:val="0"/>
        <w:autoSpaceDE w:val="0"/>
        <w:autoSpaceDN w:val="0"/>
        <w:adjustRightInd w:val="0"/>
        <w:ind w:left="993" w:hanging="993"/>
        <w:rPr>
          <w:rFonts w:eastAsia="MS Mincho"/>
          <w:bCs/>
          <w:color w:val="000000"/>
          <w:szCs w:val="22"/>
          <w:lang w:eastAsia="ja-JP"/>
        </w:rPr>
      </w:pPr>
      <w:r w:rsidRPr="00C83045">
        <w:rPr>
          <w:rFonts w:eastAsia="MS Mincho"/>
          <w:bCs/>
          <w:color w:val="000000"/>
          <w:szCs w:val="22"/>
          <w:lang w:eastAsia="ja-JP"/>
        </w:rPr>
        <w:t xml:space="preserve">AST = </w:t>
      </w:r>
      <w:r w:rsidRPr="00C83045">
        <w:rPr>
          <w:color w:val="000000"/>
          <w:szCs w:val="22"/>
        </w:rPr>
        <w:t>aspart</w:t>
      </w:r>
      <w:r w:rsidR="00BF65D9" w:rsidRPr="00C83045">
        <w:rPr>
          <w:color w:val="000000"/>
          <w:szCs w:val="22"/>
        </w:rPr>
        <w:t>átaminotransferáza</w:t>
      </w:r>
    </w:p>
    <w:p w14:paraId="32367C62" w14:textId="77777777" w:rsidR="00847D15" w:rsidRPr="00C83045" w:rsidRDefault="00847D15" w:rsidP="00D4304B">
      <w:pPr>
        <w:widowControl w:val="0"/>
        <w:ind w:left="0" w:firstLine="0"/>
        <w:rPr>
          <w:color w:val="000000"/>
          <w:szCs w:val="22"/>
        </w:rPr>
      </w:pPr>
    </w:p>
    <w:p w14:paraId="32367C63" w14:textId="77777777" w:rsidR="004815A1" w:rsidRPr="00C83045" w:rsidRDefault="004815A1" w:rsidP="00D4304B">
      <w:pPr>
        <w:widowControl w:val="0"/>
        <w:ind w:left="0" w:firstLine="0"/>
        <w:rPr>
          <w:color w:val="000000"/>
          <w:szCs w:val="22"/>
        </w:rPr>
      </w:pPr>
      <w:r w:rsidRPr="00C83045">
        <w:rPr>
          <w:i/>
          <w:color w:val="000000"/>
          <w:szCs w:val="22"/>
        </w:rPr>
        <w:t>Insuficiencia obličiek:</w:t>
      </w:r>
      <w:r w:rsidRPr="00C83045">
        <w:rPr>
          <w:color w:val="000000"/>
          <w:szCs w:val="22"/>
        </w:rPr>
        <w:t xml:space="preserve"> Pacientom s poruchou funkcie obličiek alebo dialyzovaným pacientom sa má ako začiatočná dávka podávať najnižšia odporúčaná dávka 400 mg denne. U týchto pacientov sa však odporúča opatrnosť. Dávku možno znížiť, ak nie je tolerovaná. Ak je dávka tolerovaná, možno ju zvýšiť pri nedostatočnej účinnosti (pozri časti 4.4 a 5.2).</w:t>
      </w:r>
    </w:p>
    <w:p w14:paraId="32367C64" w14:textId="77777777" w:rsidR="005D6FC6" w:rsidRPr="00C83045" w:rsidRDefault="005D6FC6" w:rsidP="00D4304B">
      <w:pPr>
        <w:widowControl w:val="0"/>
        <w:ind w:left="0" w:firstLine="0"/>
        <w:rPr>
          <w:color w:val="000000"/>
          <w:szCs w:val="22"/>
        </w:rPr>
      </w:pPr>
    </w:p>
    <w:p w14:paraId="32367C65" w14:textId="77777777" w:rsidR="00847D15" w:rsidRPr="00C83045" w:rsidRDefault="00847D15" w:rsidP="00D4304B">
      <w:pPr>
        <w:widowControl w:val="0"/>
        <w:ind w:left="0" w:firstLine="0"/>
        <w:rPr>
          <w:color w:val="000000"/>
          <w:szCs w:val="22"/>
        </w:rPr>
      </w:pPr>
      <w:r w:rsidRPr="00C83045">
        <w:rPr>
          <w:i/>
          <w:color w:val="000000"/>
          <w:szCs w:val="22"/>
        </w:rPr>
        <w:t xml:space="preserve">Starší </w:t>
      </w:r>
      <w:r w:rsidR="00736A83" w:rsidRPr="00C83045">
        <w:rPr>
          <w:i/>
          <w:color w:val="000000"/>
          <w:szCs w:val="22"/>
        </w:rPr>
        <w:t>ľudia</w:t>
      </w:r>
      <w:r w:rsidRPr="00C83045">
        <w:rPr>
          <w:i/>
          <w:color w:val="000000"/>
          <w:szCs w:val="22"/>
        </w:rPr>
        <w:t xml:space="preserve">: </w:t>
      </w:r>
      <w:r w:rsidRPr="00C83045">
        <w:rPr>
          <w:color w:val="000000"/>
          <w:szCs w:val="22"/>
        </w:rPr>
        <w:t xml:space="preserve">Farmakokinetika imatinibu sa nesledovala osobitne u starších </w:t>
      </w:r>
      <w:r w:rsidR="00736A83" w:rsidRPr="00C83045">
        <w:rPr>
          <w:color w:val="000000"/>
          <w:szCs w:val="22"/>
        </w:rPr>
        <w:t>ľudí</w:t>
      </w:r>
      <w:r w:rsidRPr="00C83045">
        <w:rPr>
          <w:color w:val="000000"/>
          <w:szCs w:val="22"/>
        </w:rPr>
        <w:t xml:space="preserve">. V klinických skúšaniach s dospelými pacientmi, z ktorých viac ako 20% bolo 65-ročných a starších, sa nepozorovali významné rozdiely vo farmakokinetike súvisiace s vekom. Nie je potrebné osobitné odporúčanie pre dávkovanie u starších </w:t>
      </w:r>
      <w:r w:rsidR="00736A83" w:rsidRPr="00C83045">
        <w:rPr>
          <w:color w:val="000000"/>
          <w:szCs w:val="22"/>
        </w:rPr>
        <w:t>ľudí</w:t>
      </w:r>
      <w:r w:rsidRPr="00C83045">
        <w:rPr>
          <w:color w:val="000000"/>
          <w:szCs w:val="22"/>
        </w:rPr>
        <w:t>.</w:t>
      </w:r>
    </w:p>
    <w:p w14:paraId="32367C66" w14:textId="77777777" w:rsidR="00847D15" w:rsidRPr="00C83045" w:rsidRDefault="00847D15" w:rsidP="00D4304B">
      <w:pPr>
        <w:widowControl w:val="0"/>
        <w:rPr>
          <w:color w:val="000000"/>
          <w:szCs w:val="22"/>
        </w:rPr>
      </w:pPr>
    </w:p>
    <w:p w14:paraId="32367C67" w14:textId="77777777" w:rsidR="00847D15" w:rsidRPr="00C83045" w:rsidRDefault="00847D15" w:rsidP="00D4304B">
      <w:pPr>
        <w:keepNext/>
        <w:keepLines/>
        <w:widowControl w:val="0"/>
        <w:rPr>
          <w:b/>
          <w:bCs/>
          <w:color w:val="000000"/>
          <w:szCs w:val="22"/>
        </w:rPr>
      </w:pPr>
      <w:r w:rsidRPr="00C83045">
        <w:rPr>
          <w:b/>
          <w:bCs/>
          <w:color w:val="000000"/>
          <w:szCs w:val="22"/>
        </w:rPr>
        <w:t>4.3</w:t>
      </w:r>
      <w:r w:rsidRPr="00C83045">
        <w:rPr>
          <w:b/>
          <w:bCs/>
          <w:color w:val="000000"/>
          <w:szCs w:val="22"/>
        </w:rPr>
        <w:tab/>
        <w:t>Kontraindikácie</w:t>
      </w:r>
    </w:p>
    <w:p w14:paraId="32367C68" w14:textId="77777777" w:rsidR="00847D15" w:rsidRPr="00C83045" w:rsidRDefault="00847D15" w:rsidP="00D4304B">
      <w:pPr>
        <w:keepNext/>
        <w:keepLines/>
        <w:widowControl w:val="0"/>
        <w:rPr>
          <w:color w:val="000000"/>
          <w:szCs w:val="22"/>
        </w:rPr>
      </w:pPr>
    </w:p>
    <w:p w14:paraId="32367C69" w14:textId="77777777" w:rsidR="00847D15" w:rsidRPr="00C83045" w:rsidRDefault="00847D15" w:rsidP="00D4304B">
      <w:pPr>
        <w:widowControl w:val="0"/>
        <w:rPr>
          <w:color w:val="000000"/>
          <w:szCs w:val="22"/>
        </w:rPr>
      </w:pPr>
      <w:r w:rsidRPr="00C83045">
        <w:rPr>
          <w:color w:val="000000"/>
          <w:szCs w:val="22"/>
        </w:rPr>
        <w:t xml:space="preserve">Precitlivenosť na liečivo alebo na </w:t>
      </w:r>
      <w:r w:rsidR="00BA0631" w:rsidRPr="00C83045">
        <w:rPr>
          <w:noProof/>
          <w:color w:val="000000"/>
          <w:szCs w:val="22"/>
        </w:rPr>
        <w:t>ktorúkoľvek</w:t>
      </w:r>
      <w:r w:rsidRPr="00C83045">
        <w:rPr>
          <w:color w:val="000000"/>
          <w:szCs w:val="22"/>
        </w:rPr>
        <w:t xml:space="preserve"> z pomocných látok</w:t>
      </w:r>
      <w:r w:rsidR="007001C5" w:rsidRPr="00C83045">
        <w:rPr>
          <w:color w:val="000000"/>
          <w:szCs w:val="22"/>
        </w:rPr>
        <w:t xml:space="preserve"> </w:t>
      </w:r>
      <w:r w:rsidR="007001C5" w:rsidRPr="00C83045">
        <w:rPr>
          <w:noProof/>
        </w:rPr>
        <w:t>uvedených v časti 6.1</w:t>
      </w:r>
      <w:r w:rsidRPr="00C83045">
        <w:rPr>
          <w:color w:val="000000"/>
          <w:szCs w:val="22"/>
        </w:rPr>
        <w:t>.</w:t>
      </w:r>
    </w:p>
    <w:p w14:paraId="32367C6A" w14:textId="77777777" w:rsidR="00847D15" w:rsidRPr="00C83045" w:rsidRDefault="00847D15" w:rsidP="00D4304B">
      <w:pPr>
        <w:widowControl w:val="0"/>
        <w:tabs>
          <w:tab w:val="left" w:pos="0"/>
        </w:tabs>
        <w:rPr>
          <w:bCs/>
          <w:color w:val="000000"/>
          <w:szCs w:val="22"/>
        </w:rPr>
      </w:pPr>
    </w:p>
    <w:p w14:paraId="32367C6B" w14:textId="77777777" w:rsidR="00847D15" w:rsidRPr="00C83045" w:rsidRDefault="00847D15" w:rsidP="00D4304B">
      <w:pPr>
        <w:keepNext/>
        <w:widowControl w:val="0"/>
        <w:rPr>
          <w:b/>
          <w:color w:val="000000"/>
          <w:szCs w:val="22"/>
        </w:rPr>
      </w:pPr>
      <w:r w:rsidRPr="00C83045">
        <w:rPr>
          <w:b/>
          <w:color w:val="000000"/>
          <w:szCs w:val="22"/>
        </w:rPr>
        <w:t>4.4</w:t>
      </w:r>
      <w:r w:rsidRPr="00C83045">
        <w:rPr>
          <w:b/>
          <w:color w:val="000000"/>
          <w:szCs w:val="22"/>
        </w:rPr>
        <w:tab/>
        <w:t>Osobitné upozornenia a opatrenia pri používaní</w:t>
      </w:r>
    </w:p>
    <w:p w14:paraId="32367C6C" w14:textId="77777777" w:rsidR="00847D15" w:rsidRPr="00C83045" w:rsidRDefault="00847D15" w:rsidP="00D4304B">
      <w:pPr>
        <w:keepNext/>
        <w:widowControl w:val="0"/>
        <w:tabs>
          <w:tab w:val="left" w:pos="360"/>
        </w:tabs>
        <w:rPr>
          <w:color w:val="000000"/>
          <w:szCs w:val="22"/>
        </w:rPr>
      </w:pPr>
    </w:p>
    <w:p w14:paraId="32367C6D" w14:textId="77777777" w:rsidR="00847D15" w:rsidRPr="00C83045" w:rsidRDefault="00847D15" w:rsidP="00D4304B">
      <w:pPr>
        <w:widowControl w:val="0"/>
        <w:ind w:left="0" w:firstLine="0"/>
        <w:rPr>
          <w:color w:val="000000"/>
          <w:szCs w:val="22"/>
        </w:rPr>
      </w:pPr>
      <w:r w:rsidRPr="00C83045">
        <w:rPr>
          <w:color w:val="000000"/>
          <w:szCs w:val="22"/>
        </w:rPr>
        <w:t>Ak sa Glivec podáva súčasne s inými liekmi, sú možné liekové interakcie.</w:t>
      </w:r>
      <w:r w:rsidR="00800CA0" w:rsidRPr="00C83045">
        <w:rPr>
          <w:color w:val="000000"/>
          <w:szCs w:val="22"/>
        </w:rPr>
        <w:t xml:space="preserve"> Opatrnosť je potrebná pri užívaní Glivecu s</w:t>
      </w:r>
      <w:r w:rsidR="008A3B8A" w:rsidRPr="00C83045">
        <w:rPr>
          <w:color w:val="000000"/>
          <w:szCs w:val="22"/>
        </w:rPr>
        <w:t xml:space="preserve"> inhibítormi proteáz, azolovými antimykotikami, niektorými makrolidmi (pozri časť 4.5), </w:t>
      </w:r>
      <w:r w:rsidR="00800CA0" w:rsidRPr="00C83045">
        <w:t xml:space="preserve">substrátmi </w:t>
      </w:r>
      <w:smartTag w:uri="urn:schemas-microsoft-com:office:smarttags" w:element="PersonName">
        <w:r w:rsidR="00800CA0" w:rsidRPr="00C83045">
          <w:t>CY</w:t>
        </w:r>
      </w:smartTag>
      <w:r w:rsidR="00800CA0" w:rsidRPr="00C83045">
        <w:t>P3A4 s úzkym terapeutickým oknom (napr. cyklosporínom</w:t>
      </w:r>
      <w:r w:rsidR="008A3B8A" w:rsidRPr="00C83045">
        <w:t>,</w:t>
      </w:r>
      <w:r w:rsidR="00800CA0" w:rsidRPr="00C83045">
        <w:t xml:space="preserve"> pimozidom</w:t>
      </w:r>
      <w:r w:rsidR="008A3B8A" w:rsidRPr="00C83045">
        <w:t>, takrolimom, sirolimom, ergotamínom, diergotamínom, fentanylom, alfentanilom, terfenadínom, bortezomibom, docetaxelom, chinidínom</w:t>
      </w:r>
      <w:r w:rsidR="00800CA0" w:rsidRPr="00C83045">
        <w:t>) alebo warfarínom a inými kumarínovými derivátmi (pozri časť 4.5).</w:t>
      </w:r>
    </w:p>
    <w:p w14:paraId="32367C6E" w14:textId="77777777" w:rsidR="00847D15" w:rsidRPr="00C83045" w:rsidRDefault="00847D15" w:rsidP="00D4304B">
      <w:pPr>
        <w:widowControl w:val="0"/>
        <w:ind w:left="0" w:firstLine="0"/>
        <w:rPr>
          <w:color w:val="000000"/>
          <w:szCs w:val="22"/>
        </w:rPr>
      </w:pPr>
    </w:p>
    <w:p w14:paraId="32367C6F" w14:textId="77777777" w:rsidR="00847D15" w:rsidRPr="00C83045" w:rsidRDefault="00847D15" w:rsidP="00D4304B">
      <w:pPr>
        <w:widowControl w:val="0"/>
        <w:ind w:left="0" w:firstLine="0"/>
        <w:rPr>
          <w:color w:val="000000"/>
          <w:szCs w:val="22"/>
        </w:rPr>
      </w:pPr>
      <w:r w:rsidRPr="00C83045">
        <w:rPr>
          <w:color w:val="000000"/>
          <w:szCs w:val="22"/>
        </w:rPr>
        <w:t xml:space="preserve">Súčasné užívanie imatinibu a liekov, ktoré indukujú CYP3A4 (napr. dexametazón, fenytoín, karbamazepín, rifampicín, fenobarbital alebo </w:t>
      </w:r>
      <w:r w:rsidRPr="00C83045">
        <w:rPr>
          <w:i/>
          <w:color w:val="000000"/>
          <w:szCs w:val="22"/>
        </w:rPr>
        <w:t>Hypericum perforatum</w:t>
      </w:r>
      <w:r w:rsidRPr="00C83045">
        <w:rPr>
          <w:color w:val="000000"/>
          <w:szCs w:val="22"/>
        </w:rPr>
        <w:t xml:space="preserve"> – ľubovník bodkovaný) môže významne znížiť expozíciu Glivecu a tým prípadne zvýšiť riziko zlyhania liečby. Preto </w:t>
      </w:r>
      <w:r w:rsidR="008F1681" w:rsidRPr="00C83045">
        <w:rPr>
          <w:color w:val="000000"/>
          <w:szCs w:val="22"/>
        </w:rPr>
        <w:t xml:space="preserve">je potrebné </w:t>
      </w:r>
      <w:r w:rsidRPr="00C83045">
        <w:rPr>
          <w:color w:val="000000"/>
          <w:szCs w:val="22"/>
        </w:rPr>
        <w:t xml:space="preserve">vyhnúť </w:t>
      </w:r>
      <w:r w:rsidR="008F1681" w:rsidRPr="00C83045">
        <w:rPr>
          <w:color w:val="000000"/>
          <w:szCs w:val="22"/>
        </w:rPr>
        <w:t xml:space="preserve">sa </w:t>
      </w:r>
      <w:r w:rsidRPr="00C83045">
        <w:rPr>
          <w:color w:val="000000"/>
          <w:szCs w:val="22"/>
        </w:rPr>
        <w:t>súčasnému podávaniu silných induktorov CYP3A4 a imatinibu (pozri časť 4.5).</w:t>
      </w:r>
    </w:p>
    <w:p w14:paraId="32367C70" w14:textId="77777777" w:rsidR="007001C5" w:rsidRPr="00C83045" w:rsidRDefault="007001C5" w:rsidP="00D4304B">
      <w:pPr>
        <w:widowControl w:val="0"/>
        <w:ind w:left="0" w:firstLine="0"/>
        <w:rPr>
          <w:color w:val="000000"/>
          <w:szCs w:val="22"/>
        </w:rPr>
      </w:pPr>
    </w:p>
    <w:p w14:paraId="32367C71" w14:textId="77777777" w:rsidR="007001C5" w:rsidRPr="00C83045" w:rsidRDefault="007001C5" w:rsidP="00D4304B">
      <w:pPr>
        <w:keepNext/>
        <w:widowControl w:val="0"/>
        <w:ind w:left="0" w:firstLine="0"/>
        <w:rPr>
          <w:color w:val="000000"/>
          <w:szCs w:val="22"/>
          <w:u w:val="single"/>
        </w:rPr>
      </w:pPr>
      <w:r w:rsidRPr="00C83045">
        <w:rPr>
          <w:color w:val="000000"/>
          <w:szCs w:val="22"/>
          <w:u w:val="single"/>
        </w:rPr>
        <w:t>Hypotyreóza</w:t>
      </w:r>
    </w:p>
    <w:p w14:paraId="32367C72" w14:textId="77777777" w:rsidR="00E62EDC" w:rsidRPr="00C83045" w:rsidRDefault="00E62EDC" w:rsidP="00D4304B">
      <w:pPr>
        <w:widowControl w:val="0"/>
        <w:ind w:left="0" w:firstLine="0"/>
        <w:rPr>
          <w:color w:val="000000"/>
          <w:szCs w:val="22"/>
        </w:rPr>
      </w:pPr>
      <w:r w:rsidRPr="00C83045">
        <w:rPr>
          <w:color w:val="000000"/>
          <w:szCs w:val="22"/>
        </w:rPr>
        <w:t>Klinické prípady hypotyreózy sa zaznamenali u pacientov po tyreoidektómii, ktorí počas liečby Glivecom dostávali ako substitúciu levotyroxín</w:t>
      </w:r>
      <w:r w:rsidR="004B5E5E" w:rsidRPr="00C83045">
        <w:rPr>
          <w:color w:val="000000"/>
          <w:szCs w:val="22"/>
        </w:rPr>
        <w:t xml:space="preserve"> (pozri časť 4.5)</w:t>
      </w:r>
      <w:r w:rsidRPr="00C83045">
        <w:rPr>
          <w:color w:val="000000"/>
          <w:szCs w:val="22"/>
        </w:rPr>
        <w:t xml:space="preserve">. U takýchto pacientov sa majú dôsledne monitorovať hladiny </w:t>
      </w:r>
      <w:r w:rsidR="00800CA0" w:rsidRPr="00C83045">
        <w:rPr>
          <w:color w:val="000000"/>
          <w:szCs w:val="22"/>
        </w:rPr>
        <w:t>tyreotropínu (</w:t>
      </w:r>
      <w:r w:rsidRPr="00C83045">
        <w:rPr>
          <w:color w:val="000000"/>
          <w:szCs w:val="22"/>
        </w:rPr>
        <w:t>TSH</w:t>
      </w:r>
      <w:r w:rsidR="00AE15C5" w:rsidRPr="00C83045">
        <w:rPr>
          <w:color w:val="000000"/>
          <w:szCs w:val="22"/>
        </w:rPr>
        <w:t>)</w:t>
      </w:r>
      <w:r w:rsidRPr="00C83045">
        <w:rPr>
          <w:color w:val="000000"/>
          <w:szCs w:val="22"/>
        </w:rPr>
        <w:t>.</w:t>
      </w:r>
    </w:p>
    <w:p w14:paraId="32367C73" w14:textId="77777777" w:rsidR="00197911" w:rsidRPr="00C83045" w:rsidRDefault="00197911" w:rsidP="00D4304B">
      <w:pPr>
        <w:widowControl w:val="0"/>
        <w:ind w:left="0" w:firstLine="0"/>
        <w:rPr>
          <w:color w:val="000000"/>
          <w:szCs w:val="22"/>
        </w:rPr>
      </w:pPr>
    </w:p>
    <w:p w14:paraId="32367C74" w14:textId="77777777" w:rsidR="007001C5" w:rsidRPr="00C83045" w:rsidRDefault="007001C5" w:rsidP="00D4304B">
      <w:pPr>
        <w:keepNext/>
        <w:widowControl w:val="0"/>
        <w:ind w:left="0" w:firstLine="0"/>
        <w:rPr>
          <w:color w:val="000000"/>
          <w:szCs w:val="22"/>
          <w:u w:val="single"/>
        </w:rPr>
      </w:pPr>
      <w:r w:rsidRPr="00C83045">
        <w:rPr>
          <w:color w:val="000000"/>
          <w:szCs w:val="22"/>
          <w:u w:val="single"/>
        </w:rPr>
        <w:t>Hepatotoxicita</w:t>
      </w:r>
    </w:p>
    <w:p w14:paraId="32367C75" w14:textId="77777777" w:rsidR="00847D15" w:rsidRPr="00C83045" w:rsidRDefault="00847D15" w:rsidP="00D4304B">
      <w:pPr>
        <w:widowControl w:val="0"/>
        <w:ind w:left="0" w:firstLine="0"/>
        <w:rPr>
          <w:color w:val="000000"/>
          <w:szCs w:val="22"/>
        </w:rPr>
      </w:pPr>
      <w:r w:rsidRPr="00C83045">
        <w:rPr>
          <w:color w:val="000000"/>
          <w:szCs w:val="22"/>
        </w:rPr>
        <w:t xml:space="preserve">Glivec sa metabolizuje hlavne v pečeni a iba 13% sa vylučuje obličkami. </w:t>
      </w:r>
      <w:r w:rsidR="00E759A8" w:rsidRPr="00C83045">
        <w:rPr>
          <w:color w:val="000000"/>
          <w:szCs w:val="22"/>
        </w:rPr>
        <w:t>U pacientov s poruchou funkcie pečene (ľahkou, stredne ťažkou a ťažkou)</w:t>
      </w:r>
      <w:r w:rsidRPr="00C83045">
        <w:rPr>
          <w:color w:val="000000"/>
          <w:szCs w:val="22"/>
        </w:rPr>
        <w:t xml:space="preserve"> </w:t>
      </w:r>
      <w:r w:rsidR="00F37198" w:rsidRPr="00C83045">
        <w:rPr>
          <w:color w:val="000000"/>
          <w:szCs w:val="22"/>
        </w:rPr>
        <w:t xml:space="preserve">sa majú </w:t>
      </w:r>
      <w:r w:rsidRPr="00C83045">
        <w:rPr>
          <w:color w:val="000000"/>
          <w:szCs w:val="22"/>
        </w:rPr>
        <w:t>dôsledne monitorovať periférny krvný obraz a pečeňové enzýmy (pozri časti 4.2</w:t>
      </w:r>
      <w:r w:rsidR="00E759A8" w:rsidRPr="00C83045">
        <w:rPr>
          <w:color w:val="000000"/>
          <w:szCs w:val="22"/>
        </w:rPr>
        <w:t>,</w:t>
      </w:r>
      <w:r w:rsidRPr="00C83045">
        <w:rPr>
          <w:color w:val="000000"/>
          <w:szCs w:val="22"/>
        </w:rPr>
        <w:t xml:space="preserve"> 4.8</w:t>
      </w:r>
      <w:r w:rsidR="00E759A8" w:rsidRPr="00C83045">
        <w:rPr>
          <w:color w:val="000000"/>
          <w:szCs w:val="22"/>
        </w:rPr>
        <w:t xml:space="preserve"> a 5.2</w:t>
      </w:r>
      <w:r w:rsidRPr="00C83045">
        <w:rPr>
          <w:color w:val="000000"/>
          <w:szCs w:val="22"/>
        </w:rPr>
        <w:t xml:space="preserve">). </w:t>
      </w:r>
      <w:r w:rsidR="00F37198" w:rsidRPr="00C83045">
        <w:rPr>
          <w:color w:val="000000"/>
          <w:szCs w:val="22"/>
        </w:rPr>
        <w:t>Musí sa</w:t>
      </w:r>
      <w:r w:rsidRPr="00C83045">
        <w:rPr>
          <w:color w:val="000000"/>
          <w:szCs w:val="22"/>
        </w:rPr>
        <w:t xml:space="preserve"> vziať do úvahy, že pacienti s GIST môžu mať v pečeni metastázy, ktoré môžu spôsobiť zhoršenie funkcie pečene.</w:t>
      </w:r>
    </w:p>
    <w:p w14:paraId="32367C76" w14:textId="77777777" w:rsidR="00847D15" w:rsidRPr="00C83045" w:rsidRDefault="00847D15" w:rsidP="00D4304B">
      <w:pPr>
        <w:widowControl w:val="0"/>
        <w:ind w:left="0" w:firstLine="0"/>
        <w:rPr>
          <w:color w:val="000000"/>
          <w:szCs w:val="22"/>
        </w:rPr>
      </w:pPr>
    </w:p>
    <w:p w14:paraId="32367C77" w14:textId="77777777" w:rsidR="0081705D" w:rsidRPr="00C83045" w:rsidRDefault="000F663C" w:rsidP="00D4304B">
      <w:pPr>
        <w:widowControl w:val="0"/>
        <w:ind w:left="0" w:firstLine="0"/>
        <w:rPr>
          <w:color w:val="000000"/>
          <w:szCs w:val="22"/>
        </w:rPr>
      </w:pPr>
      <w:r w:rsidRPr="00C83045">
        <w:rPr>
          <w:color w:val="000000"/>
          <w:szCs w:val="22"/>
        </w:rPr>
        <w:t xml:space="preserve">Pri imatinibe sa pozorovali prípady poškodenia pečene vrátane zlyhania pečene a nekrózy pečene. </w:t>
      </w:r>
      <w:r w:rsidR="000824A8" w:rsidRPr="00C83045">
        <w:rPr>
          <w:color w:val="000000"/>
          <w:szCs w:val="22"/>
        </w:rPr>
        <w:t>Pri kombinovaní</w:t>
      </w:r>
      <w:r w:rsidR="0081705D" w:rsidRPr="00C83045">
        <w:rPr>
          <w:color w:val="000000"/>
          <w:szCs w:val="22"/>
        </w:rPr>
        <w:t xml:space="preserve"> imatinib</w:t>
      </w:r>
      <w:r w:rsidR="000824A8" w:rsidRPr="00C83045">
        <w:rPr>
          <w:color w:val="000000"/>
          <w:szCs w:val="22"/>
        </w:rPr>
        <w:t>u</w:t>
      </w:r>
      <w:r w:rsidR="0081705D" w:rsidRPr="00C83045">
        <w:rPr>
          <w:color w:val="000000"/>
          <w:szCs w:val="22"/>
        </w:rPr>
        <w:t xml:space="preserve"> s režimami vysokých dávok chemoterapie</w:t>
      </w:r>
      <w:r w:rsidR="000824A8" w:rsidRPr="00C83045">
        <w:rPr>
          <w:color w:val="000000"/>
          <w:szCs w:val="22"/>
        </w:rPr>
        <w:t xml:space="preserve"> sa</w:t>
      </w:r>
      <w:r w:rsidRPr="00C83045">
        <w:rPr>
          <w:color w:val="000000"/>
          <w:szCs w:val="22"/>
        </w:rPr>
        <w:t xml:space="preserve"> pozorovalo zvýšenie závažných reakcií pečene. F</w:t>
      </w:r>
      <w:r w:rsidR="0081705D" w:rsidRPr="00C83045">
        <w:rPr>
          <w:color w:val="000000"/>
          <w:szCs w:val="22"/>
        </w:rPr>
        <w:t>unkci</w:t>
      </w:r>
      <w:r w:rsidRPr="00C83045">
        <w:rPr>
          <w:color w:val="000000"/>
          <w:szCs w:val="22"/>
        </w:rPr>
        <w:t>a</w:t>
      </w:r>
      <w:r w:rsidR="0081705D" w:rsidRPr="00C83045">
        <w:rPr>
          <w:color w:val="000000"/>
          <w:szCs w:val="22"/>
        </w:rPr>
        <w:t xml:space="preserve"> pečene sa má </w:t>
      </w:r>
      <w:r w:rsidRPr="00C83045">
        <w:rPr>
          <w:color w:val="000000"/>
          <w:szCs w:val="22"/>
        </w:rPr>
        <w:t xml:space="preserve">starostlivo monitorovať </w:t>
      </w:r>
      <w:r w:rsidR="0081705D" w:rsidRPr="00C83045">
        <w:rPr>
          <w:color w:val="000000"/>
          <w:szCs w:val="22"/>
        </w:rPr>
        <w:t xml:space="preserve">v prípade, keď sa imatinib kombinuje s režimami chemoterapie, o ktorých je tiež známe, že sa spájajú s poruchou funkcie pečene (pozri časti </w:t>
      </w:r>
      <w:smartTag w:uri="urn:schemas-microsoft-com:office:smarttags" w:element="metricconverter">
        <w:smartTagPr>
          <w:attr w:name="ProductID" w:val="4.5 a"/>
        </w:smartTagPr>
        <w:r w:rsidR="0081705D" w:rsidRPr="00C83045">
          <w:rPr>
            <w:color w:val="000000"/>
            <w:szCs w:val="22"/>
          </w:rPr>
          <w:t>4.5 a</w:t>
        </w:r>
      </w:smartTag>
      <w:r w:rsidR="0081705D" w:rsidRPr="00C83045">
        <w:rPr>
          <w:color w:val="000000"/>
          <w:szCs w:val="22"/>
        </w:rPr>
        <w:t xml:space="preserve"> 4.8).</w:t>
      </w:r>
    </w:p>
    <w:p w14:paraId="32367C78" w14:textId="77777777" w:rsidR="0081705D" w:rsidRPr="00C83045" w:rsidRDefault="0081705D" w:rsidP="00D4304B">
      <w:pPr>
        <w:widowControl w:val="0"/>
        <w:ind w:left="0" w:firstLine="0"/>
        <w:rPr>
          <w:color w:val="000000"/>
          <w:szCs w:val="22"/>
        </w:rPr>
      </w:pPr>
    </w:p>
    <w:p w14:paraId="32367C79" w14:textId="77777777" w:rsidR="007001C5" w:rsidRPr="00C83045" w:rsidRDefault="007001C5" w:rsidP="00D4304B">
      <w:pPr>
        <w:keepNext/>
        <w:widowControl w:val="0"/>
        <w:ind w:left="0" w:firstLine="0"/>
        <w:rPr>
          <w:color w:val="000000"/>
          <w:szCs w:val="22"/>
          <w:u w:val="single"/>
        </w:rPr>
      </w:pPr>
      <w:r w:rsidRPr="00C83045">
        <w:rPr>
          <w:color w:val="000000"/>
          <w:szCs w:val="22"/>
          <w:u w:val="single"/>
        </w:rPr>
        <w:t>Zadržiavanie tekutiny</w:t>
      </w:r>
    </w:p>
    <w:p w14:paraId="32367C7A" w14:textId="77777777" w:rsidR="00847D15" w:rsidRPr="00C83045" w:rsidRDefault="00847D15" w:rsidP="00D4304B">
      <w:pPr>
        <w:widowControl w:val="0"/>
        <w:ind w:left="0" w:firstLine="0"/>
        <w:rPr>
          <w:color w:val="000000"/>
          <w:szCs w:val="22"/>
        </w:rPr>
      </w:pPr>
      <w:r w:rsidRPr="00C83045">
        <w:rPr>
          <w:color w:val="000000"/>
          <w:szCs w:val="22"/>
        </w:rPr>
        <w:t>Závažné zadržiavanie tekutiny (pleurálny výpotok, edém, pľúcny edém, ascites</w:t>
      </w:r>
      <w:r w:rsidR="004B5E5E" w:rsidRPr="00C83045">
        <w:rPr>
          <w:color w:val="000000"/>
          <w:szCs w:val="22"/>
        </w:rPr>
        <w:t>, povrchový edém</w:t>
      </w:r>
      <w:r w:rsidRPr="00C83045">
        <w:rPr>
          <w:color w:val="000000"/>
          <w:szCs w:val="22"/>
        </w:rPr>
        <w:t>) sa zaznamenalo u približne 2</w:t>
      </w:r>
      <w:r w:rsidR="00796099" w:rsidRPr="00C83045">
        <w:rPr>
          <w:color w:val="000000"/>
          <w:szCs w:val="22"/>
        </w:rPr>
        <w:t>,5</w:t>
      </w:r>
      <w:r w:rsidRPr="00C83045">
        <w:rPr>
          <w:color w:val="000000"/>
          <w:szCs w:val="22"/>
        </w:rPr>
        <w:t xml:space="preserve">% pacientov </w:t>
      </w:r>
      <w:r w:rsidR="00832DCF" w:rsidRPr="00C83045">
        <w:rPr>
          <w:color w:val="000000"/>
          <w:szCs w:val="22"/>
        </w:rPr>
        <w:t xml:space="preserve">s novodiagnostikovanou CML </w:t>
      </w:r>
      <w:r w:rsidRPr="00C83045">
        <w:rPr>
          <w:color w:val="000000"/>
          <w:szCs w:val="22"/>
        </w:rPr>
        <w:t xml:space="preserve">užívajúcich Glivec. Preto sa naliehavo odporúča pravidelne kontrolovať hmotnosť pacientov. Neočakávané rýchle zvýšenie hmotnosti </w:t>
      </w:r>
      <w:r w:rsidR="00F37198" w:rsidRPr="00C83045">
        <w:rPr>
          <w:color w:val="000000"/>
          <w:szCs w:val="22"/>
        </w:rPr>
        <w:t xml:space="preserve">sa má </w:t>
      </w:r>
      <w:r w:rsidRPr="00C83045">
        <w:rPr>
          <w:color w:val="000000"/>
          <w:szCs w:val="22"/>
        </w:rPr>
        <w:t xml:space="preserve">dôsledne vyšetriť a ak je to potrebné, má sa začať s primeranou podpornou starostlivosťou a liečebnými opatreniami. V klinických skúšaniach bol zvýšený výskyt týchto udalostí u starších </w:t>
      </w:r>
      <w:r w:rsidR="00554502" w:rsidRPr="00C83045">
        <w:rPr>
          <w:color w:val="000000"/>
          <w:szCs w:val="22"/>
        </w:rPr>
        <w:t>ľudí</w:t>
      </w:r>
      <w:r w:rsidRPr="00C83045">
        <w:rPr>
          <w:color w:val="000000"/>
          <w:szCs w:val="22"/>
        </w:rPr>
        <w:t xml:space="preserve"> a pacientov s ochorením srdca v anamnéze. Preto </w:t>
      </w:r>
      <w:r w:rsidR="00F37198" w:rsidRPr="00C83045">
        <w:rPr>
          <w:color w:val="000000"/>
          <w:szCs w:val="22"/>
        </w:rPr>
        <w:t xml:space="preserve">sa má </w:t>
      </w:r>
      <w:r w:rsidRPr="00C83045">
        <w:rPr>
          <w:color w:val="000000"/>
          <w:szCs w:val="22"/>
        </w:rPr>
        <w:t>postupovať opatrne u pacientov s poruchou funkcie srdca.</w:t>
      </w:r>
    </w:p>
    <w:p w14:paraId="32367C7B" w14:textId="77777777" w:rsidR="001E34CE" w:rsidRPr="00C83045" w:rsidRDefault="001E34CE" w:rsidP="00D4304B">
      <w:pPr>
        <w:widowControl w:val="0"/>
        <w:ind w:left="0" w:firstLine="0"/>
        <w:rPr>
          <w:color w:val="000000"/>
          <w:szCs w:val="22"/>
        </w:rPr>
      </w:pPr>
    </w:p>
    <w:p w14:paraId="32367C7C" w14:textId="77777777" w:rsidR="007001C5" w:rsidRPr="00C83045" w:rsidRDefault="007001C5" w:rsidP="00D4304B">
      <w:pPr>
        <w:keepNext/>
        <w:widowControl w:val="0"/>
        <w:ind w:left="0" w:firstLine="0"/>
        <w:rPr>
          <w:color w:val="000000"/>
          <w:szCs w:val="22"/>
          <w:u w:val="single"/>
        </w:rPr>
      </w:pPr>
      <w:r w:rsidRPr="00C83045">
        <w:rPr>
          <w:color w:val="000000"/>
          <w:szCs w:val="22"/>
          <w:u w:val="single"/>
        </w:rPr>
        <w:t>Pacienti s ochorením srdca</w:t>
      </w:r>
    </w:p>
    <w:p w14:paraId="32367C7D" w14:textId="77777777" w:rsidR="001E34CE" w:rsidRPr="00C83045" w:rsidRDefault="001E34CE" w:rsidP="00D4304B">
      <w:pPr>
        <w:widowControl w:val="0"/>
        <w:ind w:left="0" w:firstLine="0"/>
        <w:rPr>
          <w:color w:val="000000"/>
          <w:szCs w:val="22"/>
        </w:rPr>
      </w:pPr>
      <w:r w:rsidRPr="00C83045">
        <w:rPr>
          <w:color w:val="000000"/>
          <w:szCs w:val="22"/>
        </w:rPr>
        <w:t>Pacientov s ochorením srdca</w:t>
      </w:r>
      <w:r w:rsidR="007858F2" w:rsidRPr="00C83045">
        <w:rPr>
          <w:color w:val="000000"/>
          <w:szCs w:val="22"/>
        </w:rPr>
        <w:t xml:space="preserve">, </w:t>
      </w:r>
      <w:r w:rsidRPr="00C83045">
        <w:rPr>
          <w:color w:val="000000"/>
          <w:szCs w:val="22"/>
        </w:rPr>
        <w:t xml:space="preserve">rizikovými faktormi pre zlyhanie srdca </w:t>
      </w:r>
      <w:r w:rsidR="007858F2" w:rsidRPr="00C83045">
        <w:rPr>
          <w:color w:val="000000"/>
          <w:szCs w:val="22"/>
        </w:rPr>
        <w:t xml:space="preserve">alebo zlyhaním obličiek v anamnéze </w:t>
      </w:r>
      <w:r w:rsidRPr="00C83045">
        <w:rPr>
          <w:color w:val="000000"/>
          <w:szCs w:val="22"/>
        </w:rPr>
        <w:t xml:space="preserve">je potrebné starostlivo sledovať a každého pacienta s príznakmi alebo prejavmi poukazujúcimi na </w:t>
      </w:r>
      <w:r w:rsidR="00596003" w:rsidRPr="00C83045">
        <w:rPr>
          <w:color w:val="000000"/>
          <w:szCs w:val="22"/>
        </w:rPr>
        <w:t>zlyhanie srdca</w:t>
      </w:r>
      <w:r w:rsidR="007858F2" w:rsidRPr="00C83045">
        <w:rPr>
          <w:color w:val="000000"/>
          <w:szCs w:val="22"/>
        </w:rPr>
        <w:t xml:space="preserve"> alebo obličiek</w:t>
      </w:r>
      <w:r w:rsidR="00596003" w:rsidRPr="00C83045">
        <w:rPr>
          <w:color w:val="000000"/>
          <w:szCs w:val="22"/>
        </w:rPr>
        <w:t xml:space="preserve"> je potrebné vy</w:t>
      </w:r>
      <w:r w:rsidR="006D21EE" w:rsidRPr="00C83045">
        <w:rPr>
          <w:color w:val="000000"/>
          <w:szCs w:val="22"/>
        </w:rPr>
        <w:t xml:space="preserve">šetriť </w:t>
      </w:r>
      <w:r w:rsidR="00596003" w:rsidRPr="00C83045">
        <w:rPr>
          <w:color w:val="000000"/>
          <w:szCs w:val="22"/>
        </w:rPr>
        <w:t>a liečiť.</w:t>
      </w:r>
    </w:p>
    <w:p w14:paraId="32367C7E" w14:textId="77777777" w:rsidR="00596003" w:rsidRPr="00C83045" w:rsidRDefault="00596003" w:rsidP="00D4304B">
      <w:pPr>
        <w:widowControl w:val="0"/>
        <w:ind w:left="0" w:firstLine="0"/>
        <w:rPr>
          <w:color w:val="000000"/>
          <w:szCs w:val="22"/>
        </w:rPr>
      </w:pPr>
    </w:p>
    <w:p w14:paraId="32367C7F" w14:textId="77777777" w:rsidR="00DD3484" w:rsidRPr="00C83045" w:rsidRDefault="001E34CE" w:rsidP="00D4304B">
      <w:pPr>
        <w:widowControl w:val="0"/>
        <w:ind w:left="0" w:firstLine="0"/>
        <w:rPr>
          <w:color w:val="000000"/>
          <w:szCs w:val="22"/>
        </w:rPr>
      </w:pPr>
      <w:r w:rsidRPr="00C83045">
        <w:rPr>
          <w:color w:val="000000"/>
          <w:szCs w:val="22"/>
        </w:rPr>
        <w:t>U pacientov s </w:t>
      </w:r>
      <w:r w:rsidR="00CE63A2" w:rsidRPr="00C83045">
        <w:rPr>
          <w:color w:val="000000"/>
          <w:szCs w:val="22"/>
        </w:rPr>
        <w:t>hypereozinofiln</w:t>
      </w:r>
      <w:r w:rsidRPr="00C83045">
        <w:rPr>
          <w:color w:val="000000"/>
          <w:szCs w:val="22"/>
        </w:rPr>
        <w:t xml:space="preserve">ým syndrómom (HES) </w:t>
      </w:r>
      <w:r w:rsidR="00DD3484" w:rsidRPr="00C83045">
        <w:rPr>
          <w:color w:val="000000"/>
          <w:szCs w:val="22"/>
        </w:rPr>
        <w:t xml:space="preserve">s okultnou infiltráciou </w:t>
      </w:r>
      <w:r w:rsidR="00756E6E" w:rsidRPr="00C83045">
        <w:rPr>
          <w:color w:val="000000"/>
          <w:szCs w:val="22"/>
        </w:rPr>
        <w:t xml:space="preserve">myokardu </w:t>
      </w:r>
      <w:r w:rsidR="00DD3484" w:rsidRPr="00C83045">
        <w:rPr>
          <w:color w:val="000000"/>
          <w:szCs w:val="22"/>
        </w:rPr>
        <w:t>bun</w:t>
      </w:r>
      <w:r w:rsidR="00756E6E" w:rsidRPr="00C83045">
        <w:rPr>
          <w:color w:val="000000"/>
          <w:szCs w:val="22"/>
        </w:rPr>
        <w:t>kami HES</w:t>
      </w:r>
      <w:r w:rsidRPr="00C83045">
        <w:rPr>
          <w:color w:val="000000"/>
          <w:szCs w:val="22"/>
        </w:rPr>
        <w:t xml:space="preserve"> sa </w:t>
      </w:r>
      <w:r w:rsidR="00C345D3" w:rsidRPr="00C83045">
        <w:rPr>
          <w:color w:val="000000"/>
          <w:szCs w:val="22"/>
        </w:rPr>
        <w:t xml:space="preserve">pri </w:t>
      </w:r>
      <w:r w:rsidRPr="00C83045">
        <w:rPr>
          <w:color w:val="000000"/>
          <w:szCs w:val="22"/>
        </w:rPr>
        <w:t>začatí liečby imatinibom spájali ojedinelé prípady kardiogénneho šoku/poruchy funkcie ľavej komory</w:t>
      </w:r>
      <w:r w:rsidR="00DD3484" w:rsidRPr="00C83045">
        <w:rPr>
          <w:color w:val="000000"/>
          <w:szCs w:val="22"/>
        </w:rPr>
        <w:t xml:space="preserve"> s degranuláciou buniek HES</w:t>
      </w:r>
      <w:r w:rsidRPr="00C83045">
        <w:rPr>
          <w:color w:val="000000"/>
          <w:szCs w:val="22"/>
        </w:rPr>
        <w:t xml:space="preserve">. Po podaní systémových steroidov, opatreniach na podporu </w:t>
      </w:r>
      <w:r w:rsidR="006D21EE" w:rsidRPr="00C83045">
        <w:rPr>
          <w:color w:val="000000"/>
          <w:szCs w:val="22"/>
        </w:rPr>
        <w:t>cirkulácie</w:t>
      </w:r>
      <w:r w:rsidRPr="00C83045">
        <w:rPr>
          <w:color w:val="000000"/>
          <w:szCs w:val="22"/>
        </w:rPr>
        <w:t xml:space="preserve"> a dočasnom vysadení imatinibu bolo ochorenie podľa hlásení reverzibilné. </w:t>
      </w:r>
      <w:r w:rsidR="00F02F63" w:rsidRPr="00C83045">
        <w:rPr>
          <w:color w:val="000000"/>
          <w:szCs w:val="22"/>
        </w:rPr>
        <w:t xml:space="preserve">Pretože </w:t>
      </w:r>
      <w:r w:rsidR="00B63794" w:rsidRPr="00C83045">
        <w:rPr>
          <w:color w:val="000000"/>
          <w:szCs w:val="22"/>
        </w:rPr>
        <w:t xml:space="preserve">pri imatinibe boli menej často </w:t>
      </w:r>
      <w:r w:rsidR="00F02F63" w:rsidRPr="00C83045">
        <w:rPr>
          <w:color w:val="000000"/>
          <w:szCs w:val="22"/>
        </w:rPr>
        <w:t>hlásen</w:t>
      </w:r>
      <w:r w:rsidR="00B63794" w:rsidRPr="00C83045">
        <w:rPr>
          <w:color w:val="000000"/>
          <w:szCs w:val="22"/>
        </w:rPr>
        <w:t>é</w:t>
      </w:r>
      <w:r w:rsidR="00F02F63" w:rsidRPr="00C83045">
        <w:rPr>
          <w:color w:val="000000"/>
          <w:szCs w:val="22"/>
        </w:rPr>
        <w:t xml:space="preserve"> nežiaduc</w:t>
      </w:r>
      <w:r w:rsidR="00B63794" w:rsidRPr="00C83045">
        <w:rPr>
          <w:color w:val="000000"/>
          <w:szCs w:val="22"/>
        </w:rPr>
        <w:t>e</w:t>
      </w:r>
      <w:r w:rsidR="00F02F63" w:rsidRPr="00C83045">
        <w:rPr>
          <w:color w:val="000000"/>
          <w:szCs w:val="22"/>
        </w:rPr>
        <w:t xml:space="preserve"> </w:t>
      </w:r>
      <w:r w:rsidR="00C237A9" w:rsidRPr="00C83045">
        <w:rPr>
          <w:color w:val="000000"/>
          <w:szCs w:val="22"/>
        </w:rPr>
        <w:t xml:space="preserve">účinky na </w:t>
      </w:r>
      <w:r w:rsidR="00F02F63" w:rsidRPr="00C83045">
        <w:rPr>
          <w:color w:val="000000"/>
          <w:szCs w:val="22"/>
        </w:rPr>
        <w:t>srdc</w:t>
      </w:r>
      <w:r w:rsidR="00C237A9" w:rsidRPr="00C83045">
        <w:rPr>
          <w:color w:val="000000"/>
          <w:szCs w:val="22"/>
        </w:rPr>
        <w:t>e</w:t>
      </w:r>
      <w:r w:rsidR="00F02F63" w:rsidRPr="00C83045">
        <w:rPr>
          <w:color w:val="000000"/>
          <w:szCs w:val="22"/>
        </w:rPr>
        <w:t>, má sa u pacientov s HES/</w:t>
      </w:r>
      <w:smartTag w:uri="urn:schemas-microsoft-com:office:smarttags" w:element="stockticker">
        <w:r w:rsidR="00F02F63" w:rsidRPr="00C83045">
          <w:rPr>
            <w:color w:val="000000"/>
            <w:szCs w:val="22"/>
          </w:rPr>
          <w:t>CEL</w:t>
        </w:r>
      </w:smartTag>
      <w:r w:rsidR="00F02F63" w:rsidRPr="00C83045">
        <w:rPr>
          <w:color w:val="000000"/>
          <w:szCs w:val="22"/>
        </w:rPr>
        <w:t xml:space="preserve"> pred začatím liečby </w:t>
      </w:r>
      <w:r w:rsidR="007A1BB3" w:rsidRPr="00C83045">
        <w:rPr>
          <w:color w:val="000000"/>
          <w:szCs w:val="22"/>
        </w:rPr>
        <w:t>zvážiť dôkladné</w:t>
      </w:r>
      <w:r w:rsidR="00F02F63" w:rsidRPr="00C83045">
        <w:rPr>
          <w:color w:val="000000"/>
          <w:szCs w:val="22"/>
        </w:rPr>
        <w:t xml:space="preserve"> </w:t>
      </w:r>
      <w:r w:rsidR="007A1BB3" w:rsidRPr="00C83045">
        <w:rPr>
          <w:color w:val="000000"/>
          <w:szCs w:val="22"/>
        </w:rPr>
        <w:t>vyhodnotenie</w:t>
      </w:r>
      <w:r w:rsidR="00F02F63" w:rsidRPr="00C83045">
        <w:rPr>
          <w:color w:val="000000"/>
          <w:szCs w:val="22"/>
        </w:rPr>
        <w:t xml:space="preserve"> pomeru jej prínosu a rizika.</w:t>
      </w:r>
    </w:p>
    <w:p w14:paraId="32367C80" w14:textId="77777777" w:rsidR="00DD3484" w:rsidRPr="00C83045" w:rsidRDefault="00DD3484" w:rsidP="00D4304B">
      <w:pPr>
        <w:widowControl w:val="0"/>
        <w:ind w:left="0" w:firstLine="0"/>
        <w:rPr>
          <w:color w:val="000000"/>
          <w:szCs w:val="22"/>
        </w:rPr>
      </w:pPr>
    </w:p>
    <w:p w14:paraId="32367C81" w14:textId="77777777" w:rsidR="001E34CE" w:rsidRPr="00C83045" w:rsidRDefault="001E34CE" w:rsidP="00D4304B">
      <w:pPr>
        <w:widowControl w:val="0"/>
        <w:ind w:left="0" w:firstLine="0"/>
        <w:rPr>
          <w:color w:val="000000"/>
          <w:szCs w:val="22"/>
        </w:rPr>
      </w:pPr>
      <w:r w:rsidRPr="00C83045">
        <w:rPr>
          <w:color w:val="000000"/>
          <w:szCs w:val="22"/>
        </w:rPr>
        <w:lastRenderedPageBreak/>
        <w:t xml:space="preserve">Myelodysplastické/myeloproliferatívne ochorenia </w:t>
      </w:r>
      <w:r w:rsidR="007A1BB3" w:rsidRPr="00C83045">
        <w:rPr>
          <w:color w:val="000000"/>
          <w:szCs w:val="22"/>
        </w:rPr>
        <w:t xml:space="preserve">s preskupeniami génu PDFR by </w:t>
      </w:r>
      <w:r w:rsidRPr="00C83045">
        <w:rPr>
          <w:color w:val="000000"/>
          <w:szCs w:val="22"/>
        </w:rPr>
        <w:t>sa m</w:t>
      </w:r>
      <w:r w:rsidR="007A1BB3" w:rsidRPr="00C83045">
        <w:rPr>
          <w:color w:val="000000"/>
          <w:szCs w:val="22"/>
        </w:rPr>
        <w:t>ohli</w:t>
      </w:r>
      <w:r w:rsidRPr="00C83045">
        <w:rPr>
          <w:color w:val="000000"/>
          <w:szCs w:val="22"/>
        </w:rPr>
        <w:t xml:space="preserve"> spájať s vysokými hladinami eozinofilov. </w:t>
      </w:r>
      <w:r w:rsidR="007A1BB3" w:rsidRPr="00C83045">
        <w:rPr>
          <w:color w:val="000000"/>
          <w:szCs w:val="22"/>
        </w:rPr>
        <w:t xml:space="preserve">Pred podaním imatinibu </w:t>
      </w:r>
      <w:r w:rsidR="00B63794" w:rsidRPr="00C83045">
        <w:rPr>
          <w:color w:val="000000"/>
          <w:szCs w:val="22"/>
        </w:rPr>
        <w:t>sa má preto zvážiť vyhodnotenie stavu kardiológom, echokardiografické vyšetreni</w:t>
      </w:r>
      <w:r w:rsidR="00AB490F" w:rsidRPr="00C83045">
        <w:rPr>
          <w:color w:val="000000"/>
          <w:szCs w:val="22"/>
        </w:rPr>
        <w:t>e</w:t>
      </w:r>
      <w:r w:rsidR="00B63794" w:rsidRPr="00C83045">
        <w:rPr>
          <w:color w:val="000000"/>
          <w:szCs w:val="22"/>
        </w:rPr>
        <w:t xml:space="preserve"> a stanovenie sérového troponínu u pacientov s HES/</w:t>
      </w:r>
      <w:smartTag w:uri="urn:schemas-microsoft-com:office:smarttags" w:element="stockticker">
        <w:r w:rsidR="00B63794" w:rsidRPr="00C83045">
          <w:rPr>
            <w:color w:val="000000"/>
            <w:szCs w:val="22"/>
          </w:rPr>
          <w:t>CEL</w:t>
        </w:r>
      </w:smartTag>
      <w:r w:rsidR="00B63794" w:rsidRPr="00C83045">
        <w:rPr>
          <w:color w:val="000000"/>
          <w:szCs w:val="22"/>
        </w:rPr>
        <w:t xml:space="preserve"> a u</w:t>
      </w:r>
      <w:r w:rsidRPr="00C83045">
        <w:rPr>
          <w:color w:val="000000"/>
          <w:szCs w:val="22"/>
        </w:rPr>
        <w:t> pacientov s </w:t>
      </w:r>
      <w:smartTag w:uri="urn:schemas-microsoft-com:office:smarttags" w:element="stockticker">
        <w:r w:rsidRPr="00C83045">
          <w:rPr>
            <w:color w:val="000000"/>
            <w:szCs w:val="22"/>
          </w:rPr>
          <w:t>MDS</w:t>
        </w:r>
      </w:smartTag>
      <w:r w:rsidRPr="00C83045">
        <w:rPr>
          <w:color w:val="000000"/>
          <w:szCs w:val="22"/>
        </w:rPr>
        <w:t>/MPD</w:t>
      </w:r>
      <w:r w:rsidR="00B63794" w:rsidRPr="00C83045">
        <w:rPr>
          <w:color w:val="000000"/>
          <w:szCs w:val="22"/>
        </w:rPr>
        <w:t xml:space="preserve"> spojenými</w:t>
      </w:r>
      <w:r w:rsidRPr="00C83045">
        <w:rPr>
          <w:color w:val="000000"/>
          <w:szCs w:val="22"/>
        </w:rPr>
        <w:t xml:space="preserve"> s vysokými hladinami eozinofilov. Ak je niektorý nález abnormálny, má sa na začiatku liečby uvážiť </w:t>
      </w:r>
      <w:r w:rsidR="00B63794" w:rsidRPr="00C83045">
        <w:rPr>
          <w:color w:val="000000"/>
          <w:szCs w:val="22"/>
        </w:rPr>
        <w:t xml:space="preserve">sledovanie kardiológom a </w:t>
      </w:r>
      <w:r w:rsidRPr="00C83045">
        <w:rPr>
          <w:color w:val="000000"/>
          <w:szCs w:val="22"/>
        </w:rPr>
        <w:t>profylaktické použitie systémových steroidov (1</w:t>
      </w:r>
      <w:r w:rsidR="00686913" w:rsidRPr="00C83045">
        <w:rPr>
          <w:color w:val="000000"/>
          <w:szCs w:val="22"/>
        </w:rPr>
        <w:noBreakHyphen/>
      </w:r>
      <w:r w:rsidRPr="00C83045">
        <w:rPr>
          <w:color w:val="000000"/>
          <w:szCs w:val="22"/>
        </w:rPr>
        <w:t>2 mg/kg) počas jedného až dvoch týždňov súčasne s imatinibom.</w:t>
      </w:r>
    </w:p>
    <w:p w14:paraId="32367C82" w14:textId="77777777" w:rsidR="00847D15" w:rsidRPr="00C83045" w:rsidRDefault="00847D15" w:rsidP="00D4304B">
      <w:pPr>
        <w:widowControl w:val="0"/>
        <w:ind w:left="0" w:firstLine="0"/>
        <w:rPr>
          <w:color w:val="000000"/>
          <w:szCs w:val="22"/>
        </w:rPr>
      </w:pPr>
    </w:p>
    <w:p w14:paraId="32367C83" w14:textId="77777777" w:rsidR="00C6653A" w:rsidRPr="00C83045" w:rsidRDefault="00C6653A" w:rsidP="00D4304B">
      <w:pPr>
        <w:keepNext/>
        <w:widowControl w:val="0"/>
        <w:ind w:left="0" w:firstLine="0"/>
        <w:rPr>
          <w:color w:val="000000"/>
          <w:szCs w:val="22"/>
          <w:u w:val="single"/>
        </w:rPr>
      </w:pPr>
      <w:r w:rsidRPr="00C83045">
        <w:rPr>
          <w:color w:val="000000"/>
          <w:szCs w:val="22"/>
          <w:u w:val="single"/>
        </w:rPr>
        <w:t>Gastrointestinálne krvácanie</w:t>
      </w:r>
    </w:p>
    <w:p w14:paraId="32367C84" w14:textId="77777777" w:rsidR="00A84CE2" w:rsidRPr="000F36E0" w:rsidRDefault="00A271C2" w:rsidP="00D4304B">
      <w:pPr>
        <w:pStyle w:val="EndnoteText"/>
        <w:widowControl w:val="0"/>
        <w:tabs>
          <w:tab w:val="clear" w:pos="567"/>
        </w:tabs>
        <w:rPr>
          <w:snapToGrid w:val="0"/>
          <w:szCs w:val="22"/>
          <w:lang w:val="sk-SK"/>
        </w:rPr>
      </w:pPr>
      <w:r w:rsidRPr="000F36E0">
        <w:rPr>
          <w:color w:val="000000"/>
          <w:szCs w:val="22"/>
          <w:lang w:val="sk-SK"/>
        </w:rPr>
        <w:t>V klinickom skúšaní s pacientmi s neresekovateľným a/alebo metastazujúcim GIST</w:t>
      </w:r>
      <w:r w:rsidR="00847D15" w:rsidRPr="000F36E0">
        <w:rPr>
          <w:color w:val="000000"/>
          <w:szCs w:val="22"/>
          <w:lang w:val="sk-SK"/>
        </w:rPr>
        <w:t xml:space="preserve"> sa zaznamenalo gastrointestinálne krvácanie aj krvácanie vo vnútri nádoru (pozri časť 4.8). Na základe dostupných údajov sa nezistili predisponujúce faktory (napr. veľkosť nádoru, lokalizácia nádoru, poruchy zrážania krvi), ktoré by u pacientov s GIST zvyšovali riziko niektorého z uvedených typov krvácania. Pretože zvýšená vaskularita a náchylnosť na krvácanie sú charakteristickou črtou a súčasťou klinického priebehu GIST, majú sa u všetkých pacientov používať štandardné postupy monitorovania a liečby krvácania.</w:t>
      </w:r>
    </w:p>
    <w:p w14:paraId="32367C85" w14:textId="77777777" w:rsidR="00A84CE2" w:rsidRPr="000F36E0" w:rsidRDefault="00A84CE2" w:rsidP="00D4304B">
      <w:pPr>
        <w:pStyle w:val="EndnoteText"/>
        <w:widowControl w:val="0"/>
        <w:tabs>
          <w:tab w:val="clear" w:pos="567"/>
        </w:tabs>
        <w:rPr>
          <w:snapToGrid w:val="0"/>
          <w:szCs w:val="22"/>
          <w:lang w:val="sk-SK"/>
        </w:rPr>
      </w:pPr>
    </w:p>
    <w:p w14:paraId="32367C86" w14:textId="77777777" w:rsidR="00847D15" w:rsidRPr="00C83045" w:rsidRDefault="00A84CE2" w:rsidP="00D4304B">
      <w:pPr>
        <w:widowControl w:val="0"/>
        <w:ind w:left="0" w:firstLine="0"/>
        <w:rPr>
          <w:color w:val="000000"/>
          <w:szCs w:val="22"/>
        </w:rPr>
      </w:pPr>
      <w:r w:rsidRPr="00C83045">
        <w:t>Okrem toho bola po uvedení lieku na trh u pacientov s CML, ALL a inými ochoreniami (pozri časť 4.8) zaznamenaná gastrická antrálna vaskulárna ektázia (GAVE), zriedkavá príčina gastrointestinálneho krvácania. V prípade potreby sa má zvážiť ukončenie liečby Glivecom.</w:t>
      </w:r>
    </w:p>
    <w:p w14:paraId="32367C87" w14:textId="77777777" w:rsidR="00C43DF9" w:rsidRPr="00C83045" w:rsidRDefault="00C43DF9" w:rsidP="00D4304B">
      <w:pPr>
        <w:widowControl w:val="0"/>
        <w:ind w:left="0" w:firstLine="0"/>
        <w:rPr>
          <w:color w:val="000000"/>
          <w:szCs w:val="22"/>
        </w:rPr>
      </w:pPr>
    </w:p>
    <w:p w14:paraId="32367C88" w14:textId="77777777" w:rsidR="00C6653A" w:rsidRPr="00C83045" w:rsidRDefault="00C6653A" w:rsidP="00D4304B">
      <w:pPr>
        <w:keepNext/>
        <w:widowControl w:val="0"/>
        <w:ind w:left="0" w:firstLine="0"/>
        <w:rPr>
          <w:color w:val="000000"/>
          <w:szCs w:val="22"/>
          <w:u w:val="single"/>
        </w:rPr>
      </w:pPr>
      <w:r w:rsidRPr="00C83045">
        <w:rPr>
          <w:color w:val="000000"/>
          <w:szCs w:val="22"/>
          <w:u w:val="single"/>
        </w:rPr>
        <w:t>Syndróm z rozpadu nádoru</w:t>
      </w:r>
    </w:p>
    <w:p w14:paraId="32367C89" w14:textId="77777777" w:rsidR="00C43DF9" w:rsidRDefault="00C43DF9" w:rsidP="00D4304B">
      <w:pPr>
        <w:widowControl w:val="0"/>
        <w:ind w:left="0" w:firstLine="0"/>
        <w:rPr>
          <w:color w:val="000000"/>
          <w:szCs w:val="22"/>
        </w:rPr>
      </w:pPr>
      <w:r w:rsidRPr="00C83045">
        <w:rPr>
          <w:color w:val="000000"/>
          <w:szCs w:val="22"/>
        </w:rPr>
        <w:t>Vzhľadom na možný výskyt syndr</w:t>
      </w:r>
      <w:r w:rsidR="001F5E8B" w:rsidRPr="00C83045">
        <w:rPr>
          <w:color w:val="000000"/>
          <w:szCs w:val="22"/>
        </w:rPr>
        <w:t>ómu z rozpadu</w:t>
      </w:r>
      <w:r w:rsidRPr="00C83045">
        <w:rPr>
          <w:color w:val="000000"/>
          <w:szCs w:val="22"/>
        </w:rPr>
        <w:t xml:space="preserve"> nádoru (TLS) sa pred začatím liečby Glivecom odporúča úprava klinicky významnej dehydratácie a liečba vysokých hladín kyseliny močovej (pozri časť 4.8).</w:t>
      </w:r>
    </w:p>
    <w:p w14:paraId="32367C8A" w14:textId="77777777" w:rsidR="00060B0E" w:rsidRPr="00C83045" w:rsidRDefault="00060B0E" w:rsidP="00D4304B">
      <w:pPr>
        <w:widowControl w:val="0"/>
        <w:ind w:left="0" w:firstLine="0"/>
        <w:rPr>
          <w:color w:val="000000"/>
          <w:szCs w:val="22"/>
        </w:rPr>
      </w:pPr>
    </w:p>
    <w:p w14:paraId="32367C8B" w14:textId="77777777" w:rsidR="00060B0E" w:rsidRPr="00060B0E" w:rsidRDefault="00060B0E" w:rsidP="00D4304B">
      <w:pPr>
        <w:keepNext/>
        <w:widowControl w:val="0"/>
        <w:ind w:left="0" w:firstLine="0"/>
        <w:rPr>
          <w:color w:val="000000"/>
          <w:szCs w:val="22"/>
          <w:u w:val="single"/>
        </w:rPr>
      </w:pPr>
      <w:r w:rsidRPr="00060B0E">
        <w:rPr>
          <w:color w:val="000000"/>
          <w:szCs w:val="22"/>
          <w:u w:val="single"/>
        </w:rPr>
        <w:t>Reaktivácia hepatitídy</w:t>
      </w:r>
      <w:r w:rsidR="00F1077D">
        <w:rPr>
          <w:color w:val="000000"/>
          <w:szCs w:val="22"/>
          <w:u w:val="single"/>
        </w:rPr>
        <w:t> </w:t>
      </w:r>
      <w:r w:rsidRPr="00060B0E">
        <w:rPr>
          <w:color w:val="000000"/>
          <w:szCs w:val="22"/>
          <w:u w:val="single"/>
        </w:rPr>
        <w:t>B</w:t>
      </w:r>
    </w:p>
    <w:p w14:paraId="32367C8C" w14:textId="77777777" w:rsidR="00060B0E" w:rsidRPr="00060B0E" w:rsidRDefault="00F1077D" w:rsidP="00D4304B">
      <w:pPr>
        <w:widowControl w:val="0"/>
        <w:ind w:left="0" w:firstLine="0"/>
        <w:rPr>
          <w:color w:val="000000"/>
          <w:szCs w:val="22"/>
        </w:rPr>
      </w:pPr>
      <w:r>
        <w:rPr>
          <w:color w:val="000000"/>
          <w:szCs w:val="22"/>
        </w:rPr>
        <w:t>Reaktivácia hepatitídy </w:t>
      </w:r>
      <w:r w:rsidR="00060B0E" w:rsidRPr="00060B0E">
        <w:rPr>
          <w:color w:val="000000"/>
          <w:szCs w:val="22"/>
        </w:rPr>
        <w:t>B u pacientov, ktorí sú chronickými prenášačmi tohto vírusu, sa vyskytla v prípade, že títo pacienti užívali inhibítory BCR-ABL-tyrozínkinázy. Niektoré prípady viedli k akútnemu zlyhaniu pečene alebo k fulminantnej hepatitíde, ktorých výsledkom bola transplantácia pečene alebo úmrtie.</w:t>
      </w:r>
    </w:p>
    <w:p w14:paraId="32367C8D" w14:textId="77777777" w:rsidR="00060B0E" w:rsidRPr="00060B0E" w:rsidRDefault="00060B0E" w:rsidP="00D4304B">
      <w:pPr>
        <w:widowControl w:val="0"/>
        <w:ind w:left="0" w:firstLine="0"/>
        <w:rPr>
          <w:color w:val="000000"/>
          <w:szCs w:val="22"/>
        </w:rPr>
      </w:pPr>
    </w:p>
    <w:p w14:paraId="32367C8E" w14:textId="77777777" w:rsidR="00060B0E" w:rsidRPr="00583DD0" w:rsidRDefault="00060B0E" w:rsidP="00D4304B">
      <w:pPr>
        <w:widowControl w:val="0"/>
        <w:ind w:left="0" w:firstLine="0"/>
        <w:rPr>
          <w:color w:val="000000"/>
          <w:szCs w:val="22"/>
        </w:rPr>
      </w:pPr>
      <w:r w:rsidRPr="00060B0E">
        <w:rPr>
          <w:color w:val="000000"/>
          <w:szCs w:val="22"/>
        </w:rPr>
        <w:t xml:space="preserve">Pacienti majú byť vyšetrení na HBV infekciu pred začatím liečby liekom </w:t>
      </w:r>
      <w:r>
        <w:rPr>
          <w:color w:val="000000"/>
          <w:szCs w:val="22"/>
        </w:rPr>
        <w:t>Glivec</w:t>
      </w:r>
      <w:r w:rsidRPr="00060B0E">
        <w:rPr>
          <w:color w:val="000000"/>
          <w:szCs w:val="22"/>
        </w:rPr>
        <w:t>. Pred začatím liečby u pacientov s pozitívnym sérologickým testom na hepatitídu</w:t>
      </w:r>
      <w:r w:rsidR="00F1077D">
        <w:rPr>
          <w:color w:val="000000"/>
          <w:szCs w:val="22"/>
        </w:rPr>
        <w:t> </w:t>
      </w:r>
      <w:r w:rsidRPr="00060B0E">
        <w:rPr>
          <w:color w:val="000000"/>
          <w:szCs w:val="22"/>
        </w:rPr>
        <w:t>B (vrátane pacientov s aktívnym ochorením) a u pacientov s pozitívnym testom na HBV infekciu počas liečby je potrebné konzultovať s odborníkmi na ochorenia pečene a liečbu hepatitídy</w:t>
      </w:r>
      <w:r w:rsidR="00F1077D">
        <w:rPr>
          <w:color w:val="000000"/>
          <w:szCs w:val="22"/>
        </w:rPr>
        <w:t> </w:t>
      </w:r>
      <w:r w:rsidRPr="00060B0E">
        <w:rPr>
          <w:color w:val="000000"/>
          <w:szCs w:val="22"/>
        </w:rPr>
        <w:t xml:space="preserve">B. Prenášači vírusu HBV, ktorí potrebujú liečbu liekom </w:t>
      </w:r>
      <w:r>
        <w:rPr>
          <w:color w:val="000000"/>
          <w:szCs w:val="22"/>
        </w:rPr>
        <w:t>Glivec</w:t>
      </w:r>
      <w:r w:rsidRPr="00060B0E">
        <w:rPr>
          <w:color w:val="000000"/>
          <w:szCs w:val="22"/>
        </w:rPr>
        <w:t xml:space="preserve">, majú byť pozorne sledovaní na prejavy a symptómy aktívnej HBV infekcie počas celej liečby a </w:t>
      </w:r>
      <w:r w:rsidRPr="00583DD0">
        <w:rPr>
          <w:color w:val="000000"/>
          <w:szCs w:val="22"/>
        </w:rPr>
        <w:t>niekoľko mesiacov po ukončení liečby (pozri časť</w:t>
      </w:r>
      <w:r w:rsidR="009528EE" w:rsidRPr="00583DD0">
        <w:rPr>
          <w:color w:val="000000"/>
          <w:szCs w:val="22"/>
        </w:rPr>
        <w:t> </w:t>
      </w:r>
      <w:r w:rsidRPr="00583DD0">
        <w:rPr>
          <w:color w:val="000000"/>
          <w:szCs w:val="22"/>
        </w:rPr>
        <w:t>4.8).</w:t>
      </w:r>
    </w:p>
    <w:p w14:paraId="32367C8F" w14:textId="77777777" w:rsidR="00082B51" w:rsidRPr="00583DD0" w:rsidRDefault="00082B51" w:rsidP="00D4304B">
      <w:pPr>
        <w:widowControl w:val="0"/>
        <w:ind w:left="0" w:firstLine="0"/>
        <w:rPr>
          <w:snapToGrid w:val="0"/>
          <w:color w:val="000000"/>
          <w:szCs w:val="22"/>
          <w:u w:val="single"/>
          <w:lang w:eastAsia="en-US"/>
        </w:rPr>
      </w:pPr>
    </w:p>
    <w:p w14:paraId="32367C90" w14:textId="77777777" w:rsidR="00082B51" w:rsidRPr="00583DD0" w:rsidRDefault="00082B51" w:rsidP="00D4304B">
      <w:pPr>
        <w:keepNext/>
        <w:widowControl w:val="0"/>
        <w:ind w:left="0" w:firstLine="0"/>
        <w:rPr>
          <w:color w:val="000000"/>
          <w:szCs w:val="22"/>
          <w:u w:val="single"/>
        </w:rPr>
      </w:pPr>
      <w:r w:rsidRPr="00583DD0">
        <w:rPr>
          <w:color w:val="000000"/>
          <w:szCs w:val="22"/>
          <w:u w:val="single"/>
        </w:rPr>
        <w:t>Fototoxicita</w:t>
      </w:r>
    </w:p>
    <w:p w14:paraId="32367C91" w14:textId="77777777" w:rsidR="00082B51" w:rsidRDefault="00082B51" w:rsidP="00D4304B">
      <w:pPr>
        <w:widowControl w:val="0"/>
        <w:ind w:left="0" w:firstLine="0"/>
        <w:rPr>
          <w:color w:val="000000"/>
          <w:szCs w:val="22"/>
        </w:rPr>
      </w:pPr>
      <w:r w:rsidRPr="00583DD0">
        <w:rPr>
          <w:color w:val="000000"/>
          <w:szCs w:val="22"/>
        </w:rPr>
        <w:t>V dôsledku rizika fototoxicity spojenej s liečbou imatinibom sa má vyhnúť alebo minimalizovať vystavenie slnečnému žiareniu. Pacienti majú byť poučení použiť opatrenia ako ochranný odev a opaľovací krém s</w:t>
      </w:r>
      <w:r w:rsidR="00D333C9" w:rsidRPr="00583DD0">
        <w:rPr>
          <w:color w:val="000000"/>
          <w:szCs w:val="22"/>
        </w:rPr>
        <w:t> </w:t>
      </w:r>
      <w:r w:rsidRPr="00583DD0">
        <w:rPr>
          <w:color w:val="000000"/>
          <w:szCs w:val="22"/>
        </w:rPr>
        <w:t>vy</w:t>
      </w:r>
      <w:r w:rsidR="00D333C9" w:rsidRPr="00583DD0">
        <w:rPr>
          <w:color w:val="000000"/>
          <w:szCs w:val="22"/>
        </w:rPr>
        <w:t>sokým</w:t>
      </w:r>
      <w:r w:rsidR="00D333C9">
        <w:rPr>
          <w:color w:val="000000"/>
          <w:szCs w:val="22"/>
        </w:rPr>
        <w:t xml:space="preserve"> ochranným faktorom</w:t>
      </w:r>
      <w:r w:rsidR="004A10D4">
        <w:rPr>
          <w:color w:val="000000"/>
          <w:szCs w:val="22"/>
        </w:rPr>
        <w:t xml:space="preserve"> pred slnečným žiarením</w:t>
      </w:r>
      <w:r w:rsidR="00D333C9">
        <w:rPr>
          <w:color w:val="000000"/>
          <w:szCs w:val="22"/>
        </w:rPr>
        <w:t xml:space="preserve"> (SPF, </w:t>
      </w:r>
      <w:r w:rsidR="00D333C9" w:rsidRPr="00D333C9">
        <w:rPr>
          <w:color w:val="000000"/>
          <w:szCs w:val="22"/>
        </w:rPr>
        <w:t>sun protection factor</w:t>
      </w:r>
      <w:r w:rsidR="00D333C9">
        <w:rPr>
          <w:color w:val="000000"/>
          <w:szCs w:val="22"/>
        </w:rPr>
        <w:t>).</w:t>
      </w:r>
    </w:p>
    <w:p w14:paraId="32367C92" w14:textId="77777777" w:rsidR="000D7AAD" w:rsidRPr="00514B7B" w:rsidRDefault="000D7AAD" w:rsidP="00D4304B">
      <w:pPr>
        <w:pStyle w:val="EndnoteText"/>
        <w:widowControl w:val="0"/>
        <w:tabs>
          <w:tab w:val="clear" w:pos="567"/>
        </w:tabs>
        <w:rPr>
          <w:snapToGrid w:val="0"/>
          <w:color w:val="000000"/>
          <w:szCs w:val="22"/>
          <w:lang w:val="sk-SK"/>
        </w:rPr>
      </w:pPr>
    </w:p>
    <w:p w14:paraId="32367C93" w14:textId="77777777" w:rsidR="007461F8" w:rsidRPr="00514B7B" w:rsidRDefault="007461F8" w:rsidP="00D4304B">
      <w:pPr>
        <w:pStyle w:val="EndnoteText"/>
        <w:keepNext/>
        <w:widowControl w:val="0"/>
        <w:tabs>
          <w:tab w:val="clear" w:pos="567"/>
        </w:tabs>
        <w:rPr>
          <w:rFonts w:ascii="TimesNewRomanPSMT" w:hAnsi="TimesNewRomanPSMT" w:cs="TimesNewRomanPSMT"/>
          <w:szCs w:val="22"/>
          <w:u w:val="single"/>
          <w:lang w:val="sk-SK"/>
        </w:rPr>
      </w:pPr>
      <w:r w:rsidRPr="00514B7B">
        <w:rPr>
          <w:rFonts w:ascii="TimesNewRomanPSMT" w:hAnsi="TimesNewRomanPSMT" w:cs="TimesNewRomanPSMT"/>
          <w:szCs w:val="22"/>
          <w:u w:val="single"/>
          <w:lang w:val="sk-SK"/>
        </w:rPr>
        <w:t>Trombotická mikroangiopatia</w:t>
      </w:r>
    </w:p>
    <w:p w14:paraId="32367C94" w14:textId="77777777" w:rsidR="000D7AAD" w:rsidRPr="00514B7B" w:rsidRDefault="00CF7775" w:rsidP="00D4304B">
      <w:pPr>
        <w:pStyle w:val="EndnoteText"/>
        <w:widowControl w:val="0"/>
        <w:tabs>
          <w:tab w:val="clear" w:pos="567"/>
        </w:tabs>
        <w:rPr>
          <w:color w:val="000000"/>
          <w:szCs w:val="22"/>
          <w:lang w:val="sk-SK"/>
        </w:rPr>
      </w:pPr>
      <w:r>
        <w:rPr>
          <w:color w:val="000000"/>
          <w:szCs w:val="22"/>
          <w:lang w:val="sk-SK"/>
        </w:rPr>
        <w:t>I</w:t>
      </w:r>
      <w:r w:rsidR="007461F8" w:rsidRPr="00514B7B">
        <w:rPr>
          <w:color w:val="000000"/>
          <w:szCs w:val="22"/>
          <w:lang w:val="sk-SK"/>
        </w:rPr>
        <w:t xml:space="preserve">nhibítory </w:t>
      </w:r>
      <w:r w:rsidRPr="00514B7B">
        <w:rPr>
          <w:color w:val="000000"/>
          <w:szCs w:val="22"/>
          <w:lang w:val="sk-SK"/>
        </w:rPr>
        <w:t xml:space="preserve">BCR-ABL </w:t>
      </w:r>
      <w:r w:rsidR="007461F8" w:rsidRPr="00514B7B">
        <w:rPr>
          <w:color w:val="000000"/>
          <w:szCs w:val="22"/>
          <w:lang w:val="sk-SK"/>
        </w:rPr>
        <w:t xml:space="preserve">tyrozínkinázy (TKIs, tyrosine kinase inhibitors) </w:t>
      </w:r>
      <w:r w:rsidR="00590BB1" w:rsidRPr="00514B7B">
        <w:rPr>
          <w:color w:val="000000"/>
          <w:szCs w:val="22"/>
          <w:lang w:val="sk-SK"/>
        </w:rPr>
        <w:t xml:space="preserve">boli </w:t>
      </w:r>
      <w:r w:rsidRPr="00514B7B">
        <w:rPr>
          <w:color w:val="000000"/>
          <w:szCs w:val="22"/>
          <w:lang w:val="sk-SK"/>
        </w:rPr>
        <w:t>asociované</w:t>
      </w:r>
      <w:r w:rsidR="00590BB1" w:rsidRPr="00514B7B">
        <w:rPr>
          <w:color w:val="000000"/>
          <w:szCs w:val="22"/>
          <w:lang w:val="sk-SK"/>
        </w:rPr>
        <w:t xml:space="preserve"> s trombotickou mikroangiopatiou (TMA, </w:t>
      </w:r>
      <w:r w:rsidR="000D7AAD" w:rsidRPr="00514B7B">
        <w:rPr>
          <w:color w:val="000000"/>
          <w:szCs w:val="22"/>
          <w:lang w:val="sk-SK"/>
        </w:rPr>
        <w:t>thrombotic microangiopathy</w:t>
      </w:r>
      <w:r w:rsidR="00590BB1" w:rsidRPr="00514B7B">
        <w:rPr>
          <w:color w:val="000000"/>
          <w:szCs w:val="22"/>
          <w:lang w:val="sk-SK"/>
        </w:rPr>
        <w:t xml:space="preserve">) vrátane individuálnych hlásení </w:t>
      </w:r>
      <w:r w:rsidR="00626B2E" w:rsidRPr="00514B7B">
        <w:rPr>
          <w:color w:val="000000"/>
          <w:szCs w:val="22"/>
          <w:lang w:val="sk-SK"/>
        </w:rPr>
        <w:t xml:space="preserve">pre Glivec </w:t>
      </w:r>
      <w:r w:rsidRPr="00514B7B">
        <w:rPr>
          <w:color w:val="000000"/>
          <w:szCs w:val="22"/>
          <w:lang w:val="sk-SK"/>
        </w:rPr>
        <w:t>(pozri časť 4.8)</w:t>
      </w:r>
      <w:r w:rsidR="009F6E6B" w:rsidRPr="00514B7B">
        <w:rPr>
          <w:color w:val="000000"/>
          <w:szCs w:val="22"/>
          <w:lang w:val="sk-SK"/>
        </w:rPr>
        <w:t>.</w:t>
      </w:r>
      <w:r w:rsidR="000D7AAD" w:rsidRPr="00514B7B">
        <w:rPr>
          <w:color w:val="000000"/>
          <w:szCs w:val="22"/>
          <w:lang w:val="sk-SK"/>
        </w:rPr>
        <w:t xml:space="preserve"> </w:t>
      </w:r>
      <w:r w:rsidR="009F6E6B" w:rsidRPr="00514B7B">
        <w:rPr>
          <w:color w:val="000000"/>
          <w:szCs w:val="22"/>
          <w:lang w:val="sk-SK"/>
        </w:rPr>
        <w:t xml:space="preserve">Ak sa u pacienta užívajúceho Glivec vyskytnú laboratórne alebo klinické príznaky </w:t>
      </w:r>
      <w:r w:rsidR="00146A3F" w:rsidRPr="00514B7B">
        <w:rPr>
          <w:color w:val="000000"/>
          <w:szCs w:val="22"/>
          <w:lang w:val="sk-SK"/>
        </w:rPr>
        <w:t>súvisiace</w:t>
      </w:r>
      <w:r w:rsidRPr="00514B7B">
        <w:rPr>
          <w:color w:val="000000"/>
          <w:szCs w:val="22"/>
          <w:lang w:val="sk-SK"/>
        </w:rPr>
        <w:t xml:space="preserve"> s TMA, liečba sa má prerušiť a má sa uskutočniť </w:t>
      </w:r>
      <w:r w:rsidR="00E16B75" w:rsidRPr="00514B7B">
        <w:rPr>
          <w:color w:val="000000"/>
          <w:szCs w:val="22"/>
          <w:lang w:val="sk-SK"/>
        </w:rPr>
        <w:t>dôkladné hodnotenie TMA</w:t>
      </w:r>
      <w:r w:rsidR="000D3842" w:rsidRPr="00514B7B">
        <w:rPr>
          <w:color w:val="000000"/>
          <w:szCs w:val="22"/>
          <w:lang w:val="sk-SK"/>
        </w:rPr>
        <w:t>,</w:t>
      </w:r>
      <w:r w:rsidR="00E16B75" w:rsidRPr="00514B7B">
        <w:rPr>
          <w:color w:val="000000"/>
          <w:szCs w:val="22"/>
          <w:lang w:val="sk-SK"/>
        </w:rPr>
        <w:t xml:space="preserve"> vrátane aktivity </w:t>
      </w:r>
      <w:r w:rsidR="000D7AAD" w:rsidRPr="00514B7B">
        <w:rPr>
          <w:color w:val="000000"/>
          <w:szCs w:val="22"/>
          <w:lang w:val="sk-SK"/>
        </w:rPr>
        <w:t>ADAMTS13</w:t>
      </w:r>
      <w:r w:rsidR="00E16B75" w:rsidRPr="00514B7B">
        <w:rPr>
          <w:color w:val="000000"/>
          <w:szCs w:val="22"/>
          <w:lang w:val="sk-SK"/>
        </w:rPr>
        <w:t xml:space="preserve"> a </w:t>
      </w:r>
      <w:r w:rsidR="00796278" w:rsidRPr="00514B7B">
        <w:rPr>
          <w:color w:val="000000"/>
          <w:szCs w:val="22"/>
          <w:lang w:val="sk-SK"/>
        </w:rPr>
        <w:t>stanovenia anti</w:t>
      </w:r>
      <w:r w:rsidR="00146A3F" w:rsidRPr="00514B7B">
        <w:rPr>
          <w:color w:val="000000"/>
          <w:szCs w:val="22"/>
          <w:lang w:val="sk-SK"/>
        </w:rPr>
        <w:t>-</w:t>
      </w:r>
      <w:r w:rsidR="00796278" w:rsidRPr="00514B7B">
        <w:rPr>
          <w:color w:val="000000"/>
          <w:szCs w:val="22"/>
          <w:lang w:val="sk-SK"/>
        </w:rPr>
        <w:t>ADAMTS13 protilátok. Ak sú protilátky anti</w:t>
      </w:r>
      <w:r w:rsidR="00146A3F" w:rsidRPr="00514B7B">
        <w:rPr>
          <w:color w:val="000000"/>
          <w:szCs w:val="22"/>
          <w:lang w:val="sk-SK"/>
        </w:rPr>
        <w:t>-</w:t>
      </w:r>
      <w:r w:rsidR="00796278" w:rsidRPr="00514B7B">
        <w:rPr>
          <w:color w:val="000000"/>
          <w:szCs w:val="22"/>
          <w:lang w:val="sk-SK"/>
        </w:rPr>
        <w:t xml:space="preserve">ADAMTS13 zvýšené v spojení s nízkou </w:t>
      </w:r>
      <w:r w:rsidR="006B324E" w:rsidRPr="00514B7B">
        <w:rPr>
          <w:color w:val="000000"/>
          <w:szCs w:val="22"/>
          <w:lang w:val="sk-SK"/>
        </w:rPr>
        <w:t xml:space="preserve">aktivitou </w:t>
      </w:r>
      <w:r w:rsidR="00796278" w:rsidRPr="00514B7B">
        <w:rPr>
          <w:color w:val="000000"/>
          <w:szCs w:val="22"/>
          <w:lang w:val="sk-SK"/>
        </w:rPr>
        <w:t>ADAMTS</w:t>
      </w:r>
      <w:r w:rsidR="006B324E" w:rsidRPr="00514B7B">
        <w:rPr>
          <w:color w:val="000000"/>
          <w:szCs w:val="22"/>
          <w:lang w:val="sk-SK"/>
        </w:rPr>
        <w:t>13, liečba Glivecom</w:t>
      </w:r>
      <w:r w:rsidR="00146A3F" w:rsidRPr="00514B7B">
        <w:rPr>
          <w:color w:val="000000"/>
          <w:szCs w:val="22"/>
          <w:lang w:val="sk-SK"/>
        </w:rPr>
        <w:t xml:space="preserve"> sa nemá obnoviť</w:t>
      </w:r>
      <w:r w:rsidR="000D7AAD" w:rsidRPr="00514B7B">
        <w:rPr>
          <w:color w:val="000000"/>
          <w:szCs w:val="22"/>
          <w:lang w:val="sk-SK"/>
        </w:rPr>
        <w:t>.</w:t>
      </w:r>
    </w:p>
    <w:p w14:paraId="32367C95" w14:textId="77777777" w:rsidR="00847D15" w:rsidRPr="00C83045" w:rsidRDefault="00847D15" w:rsidP="00D4304B">
      <w:pPr>
        <w:widowControl w:val="0"/>
        <w:ind w:left="0" w:firstLine="0"/>
        <w:rPr>
          <w:color w:val="000000"/>
          <w:szCs w:val="22"/>
        </w:rPr>
      </w:pPr>
    </w:p>
    <w:p w14:paraId="32367C96" w14:textId="77777777" w:rsidR="00847D15" w:rsidRPr="00C83045" w:rsidRDefault="00847D15" w:rsidP="00D4304B">
      <w:pPr>
        <w:pStyle w:val="Heading1"/>
        <w:widowControl w:val="0"/>
        <w:autoSpaceDE/>
        <w:autoSpaceDN/>
        <w:rPr>
          <w:i w:val="0"/>
          <w:color w:val="000000"/>
          <w:sz w:val="22"/>
          <w:szCs w:val="22"/>
          <w:u w:val="single"/>
        </w:rPr>
      </w:pPr>
      <w:r w:rsidRPr="00C83045">
        <w:rPr>
          <w:i w:val="0"/>
          <w:color w:val="000000"/>
          <w:sz w:val="22"/>
          <w:szCs w:val="22"/>
          <w:u w:val="single"/>
        </w:rPr>
        <w:t>Laboratórne vyšetrenia</w:t>
      </w:r>
    </w:p>
    <w:p w14:paraId="32367C97" w14:textId="77777777" w:rsidR="00847D15" w:rsidRPr="00C83045" w:rsidRDefault="00847D15" w:rsidP="00D4304B">
      <w:pPr>
        <w:widowControl w:val="0"/>
        <w:ind w:left="0" w:firstLine="0"/>
        <w:rPr>
          <w:color w:val="000000"/>
          <w:szCs w:val="22"/>
        </w:rPr>
      </w:pPr>
      <w:r w:rsidRPr="00C83045">
        <w:rPr>
          <w:color w:val="000000"/>
          <w:szCs w:val="22"/>
        </w:rPr>
        <w:t>Počas liečby Glivecom sa musia pravidelne vykonávať kontroly kompletného krvného obrazu. Liečba Glivecom sa u pacientov s CML spájala s neutropéniou alebo trombocytopéniou. Výskyt týchto cytopénií však pravdepodobne súvisí s fázou liečeného ochorenia a je častejší u pacientov v akcelerovanej fáze CML alebo blastickej kríze ako u pacientov v chronickej fáze CML. Liečbu Glivecom možno prerušiť alebo možno znížiť dávku, ako sa odporúča v časti 4.2.</w:t>
      </w:r>
    </w:p>
    <w:p w14:paraId="32367C98" w14:textId="77777777" w:rsidR="00847D15" w:rsidRPr="00C83045" w:rsidRDefault="00847D15" w:rsidP="00D4304B">
      <w:pPr>
        <w:widowControl w:val="0"/>
        <w:ind w:left="0" w:firstLine="0"/>
        <w:rPr>
          <w:color w:val="000000"/>
          <w:szCs w:val="22"/>
        </w:rPr>
      </w:pPr>
    </w:p>
    <w:p w14:paraId="32367C99" w14:textId="77777777" w:rsidR="00847D15" w:rsidRPr="00C83045" w:rsidRDefault="00847D15" w:rsidP="00D4304B">
      <w:pPr>
        <w:widowControl w:val="0"/>
        <w:ind w:left="0" w:firstLine="0"/>
        <w:rPr>
          <w:color w:val="000000"/>
          <w:szCs w:val="22"/>
        </w:rPr>
      </w:pPr>
      <w:r w:rsidRPr="00C83045">
        <w:rPr>
          <w:color w:val="000000"/>
          <w:szCs w:val="22"/>
        </w:rPr>
        <w:t xml:space="preserve">U pacientov, ktorí dostávajú Glivec, </w:t>
      </w:r>
      <w:r w:rsidR="00F37198" w:rsidRPr="00C83045">
        <w:rPr>
          <w:color w:val="000000"/>
          <w:szCs w:val="22"/>
        </w:rPr>
        <w:t>sa majú</w:t>
      </w:r>
      <w:r w:rsidRPr="00C83045">
        <w:rPr>
          <w:color w:val="000000"/>
          <w:szCs w:val="22"/>
        </w:rPr>
        <w:t xml:space="preserve"> pravidelne vykonávať testy funkcie pečene (aminotransferázy, bilirubín, alkalická fosfatáza).</w:t>
      </w:r>
    </w:p>
    <w:p w14:paraId="32367C9A" w14:textId="77777777" w:rsidR="00847D15" w:rsidRPr="00C83045" w:rsidRDefault="00847D15" w:rsidP="00D4304B">
      <w:pPr>
        <w:widowControl w:val="0"/>
        <w:ind w:left="0" w:firstLine="0"/>
        <w:rPr>
          <w:color w:val="000000"/>
          <w:szCs w:val="22"/>
        </w:rPr>
      </w:pPr>
    </w:p>
    <w:p w14:paraId="32367C9B" w14:textId="77777777" w:rsidR="00847D15" w:rsidRPr="00C83045" w:rsidRDefault="003F310C" w:rsidP="00D4304B">
      <w:pPr>
        <w:widowControl w:val="0"/>
        <w:ind w:left="0" w:firstLine="0"/>
        <w:rPr>
          <w:color w:val="000000"/>
          <w:szCs w:val="22"/>
        </w:rPr>
      </w:pPr>
      <w:r w:rsidRPr="00C83045">
        <w:rPr>
          <w:color w:val="000000"/>
          <w:szCs w:val="22"/>
        </w:rPr>
        <w:t>U pacientov so zhoršenou funkciou obličiek sa expozícia imatinibu v plazme zdá byť vyššia ako u pacientov s normálnou funkciou obličiek, pravdepodobne ako následok zvýšenej plazmatickej hladiny alfa-kyslého glykoproteínu (AGP), bielkoviny viažucej imatinib u</w:t>
      </w:r>
      <w:r w:rsidR="004B5E5E" w:rsidRPr="00C83045">
        <w:rPr>
          <w:color w:val="000000"/>
          <w:szCs w:val="22"/>
        </w:rPr>
        <w:t xml:space="preserve"> týchto </w:t>
      </w:r>
      <w:r w:rsidRPr="00C83045">
        <w:rPr>
          <w:color w:val="000000"/>
          <w:szCs w:val="22"/>
        </w:rPr>
        <w:t xml:space="preserve">pacientov. </w:t>
      </w:r>
      <w:r w:rsidR="00AC5D40" w:rsidRPr="00C83045">
        <w:rPr>
          <w:color w:val="000000"/>
          <w:szCs w:val="22"/>
        </w:rPr>
        <w:t>Pacientom so zhoršenou funkciou obličiek sa má podať najnižšia začiatočná dávka. Pri liečbe pacientov s ťažkým poškodením funkcie obličiek je potre</w:t>
      </w:r>
      <w:r w:rsidR="009863AB" w:rsidRPr="00C83045">
        <w:rPr>
          <w:color w:val="000000"/>
          <w:szCs w:val="22"/>
        </w:rPr>
        <w:t>b</w:t>
      </w:r>
      <w:r w:rsidR="00AC5D40" w:rsidRPr="00C83045">
        <w:rPr>
          <w:color w:val="000000"/>
          <w:szCs w:val="22"/>
        </w:rPr>
        <w:t>ná opatrnosť. Dávku možno znížiť, ak nie je tolerovaná (pozri časti 4.5 a 5.2).</w:t>
      </w:r>
    </w:p>
    <w:p w14:paraId="32367C9C" w14:textId="77777777" w:rsidR="00CA4577" w:rsidRDefault="00CA4577" w:rsidP="00D4304B">
      <w:pPr>
        <w:widowControl w:val="0"/>
        <w:ind w:left="0" w:firstLine="0"/>
        <w:rPr>
          <w:color w:val="000000"/>
          <w:szCs w:val="22"/>
        </w:rPr>
      </w:pPr>
    </w:p>
    <w:p w14:paraId="32367C9D" w14:textId="77777777" w:rsidR="00E755DB" w:rsidRDefault="00CA4577" w:rsidP="00D4304B">
      <w:pPr>
        <w:widowControl w:val="0"/>
        <w:ind w:left="0" w:firstLine="0"/>
        <w:rPr>
          <w:color w:val="000000"/>
          <w:szCs w:val="22"/>
        </w:rPr>
      </w:pPr>
      <w:r>
        <w:rPr>
          <w:color w:val="000000"/>
          <w:szCs w:val="22"/>
        </w:rPr>
        <w:t>Dlhodobá liečba imatinibom môže byť spojená s klinicky významným poklesom funkcie obličiek</w:t>
      </w:r>
      <w:r w:rsidRPr="00633EAB">
        <w:rPr>
          <w:color w:val="000000"/>
          <w:szCs w:val="22"/>
        </w:rPr>
        <w:t>.</w:t>
      </w:r>
      <w:r w:rsidR="009B7E96">
        <w:rPr>
          <w:color w:val="000000"/>
          <w:szCs w:val="22"/>
        </w:rPr>
        <w:t xml:space="preserve"> </w:t>
      </w:r>
      <w:r>
        <w:rPr>
          <w:color w:val="000000"/>
          <w:szCs w:val="22"/>
        </w:rPr>
        <w:t>Pred začatím liečby imatinibom je preto potrebné vyšetriť funkciu obličiek a dôkladne ju kontrolovať počas liečby</w:t>
      </w:r>
      <w:r w:rsidRPr="00633EAB">
        <w:rPr>
          <w:color w:val="000000"/>
          <w:szCs w:val="22"/>
        </w:rPr>
        <w:t xml:space="preserve">, </w:t>
      </w:r>
      <w:r w:rsidR="009B7E96">
        <w:rPr>
          <w:color w:val="000000"/>
          <w:szCs w:val="22"/>
        </w:rPr>
        <w:t>osobitnú pozornosť treba venovať pacientom vykazujúcim rizikové faktory pre renálnu dysfunkciu</w:t>
      </w:r>
      <w:r w:rsidRPr="00633EAB">
        <w:rPr>
          <w:color w:val="000000"/>
          <w:szCs w:val="22"/>
        </w:rPr>
        <w:t xml:space="preserve">. </w:t>
      </w:r>
      <w:r w:rsidR="009B7E96">
        <w:rPr>
          <w:color w:val="000000"/>
          <w:szCs w:val="22"/>
        </w:rPr>
        <w:t>Ak sa zistí renálna dysfunkcia</w:t>
      </w:r>
      <w:r w:rsidRPr="00633EAB">
        <w:rPr>
          <w:color w:val="000000"/>
          <w:szCs w:val="22"/>
        </w:rPr>
        <w:t xml:space="preserve">, </w:t>
      </w:r>
      <w:r w:rsidR="008B5F33">
        <w:rPr>
          <w:color w:val="000000"/>
          <w:szCs w:val="22"/>
        </w:rPr>
        <w:t>je potrebné</w:t>
      </w:r>
      <w:r w:rsidR="009B7E96">
        <w:rPr>
          <w:color w:val="000000"/>
          <w:szCs w:val="22"/>
        </w:rPr>
        <w:t xml:space="preserve"> predpísa</w:t>
      </w:r>
      <w:r w:rsidR="008B5F33">
        <w:rPr>
          <w:color w:val="000000"/>
          <w:szCs w:val="22"/>
        </w:rPr>
        <w:t>ť</w:t>
      </w:r>
      <w:r w:rsidR="009B7E96">
        <w:rPr>
          <w:color w:val="000000"/>
          <w:szCs w:val="22"/>
        </w:rPr>
        <w:t xml:space="preserve"> adekvátn</w:t>
      </w:r>
      <w:r w:rsidR="008B5F33">
        <w:rPr>
          <w:color w:val="000000"/>
          <w:szCs w:val="22"/>
        </w:rPr>
        <w:t>u</w:t>
      </w:r>
      <w:r w:rsidR="009B7E96">
        <w:rPr>
          <w:color w:val="000000"/>
          <w:szCs w:val="22"/>
        </w:rPr>
        <w:t xml:space="preserve"> liečb</w:t>
      </w:r>
      <w:r w:rsidR="008B5F33">
        <w:rPr>
          <w:color w:val="000000"/>
          <w:szCs w:val="22"/>
        </w:rPr>
        <w:t>u</w:t>
      </w:r>
      <w:r w:rsidR="009B7E96">
        <w:rPr>
          <w:color w:val="000000"/>
          <w:szCs w:val="22"/>
        </w:rPr>
        <w:t xml:space="preserve"> a starostlivosť v súlade so štadardnýmí </w:t>
      </w:r>
      <w:r w:rsidR="009C3DD7">
        <w:rPr>
          <w:color w:val="000000"/>
          <w:szCs w:val="22"/>
        </w:rPr>
        <w:t xml:space="preserve">klinickými </w:t>
      </w:r>
      <w:r w:rsidR="008B5F33">
        <w:rPr>
          <w:color w:val="000000"/>
          <w:szCs w:val="22"/>
        </w:rPr>
        <w:t>postupmi</w:t>
      </w:r>
      <w:r>
        <w:rPr>
          <w:color w:val="000000"/>
          <w:szCs w:val="22"/>
        </w:rPr>
        <w:t>.</w:t>
      </w:r>
    </w:p>
    <w:p w14:paraId="32367C9E" w14:textId="77777777" w:rsidR="00CA4577" w:rsidRPr="00C83045" w:rsidRDefault="00CA4577" w:rsidP="00D4304B">
      <w:pPr>
        <w:widowControl w:val="0"/>
        <w:ind w:left="0" w:firstLine="0"/>
        <w:rPr>
          <w:color w:val="000000"/>
          <w:szCs w:val="22"/>
        </w:rPr>
      </w:pPr>
    </w:p>
    <w:p w14:paraId="32367C9F" w14:textId="77777777" w:rsidR="00E755DB" w:rsidRPr="00C83045" w:rsidRDefault="00682286" w:rsidP="00D4304B">
      <w:pPr>
        <w:keepNext/>
        <w:widowControl w:val="0"/>
        <w:ind w:left="0" w:firstLine="0"/>
        <w:rPr>
          <w:color w:val="000000"/>
          <w:szCs w:val="22"/>
          <w:u w:val="single"/>
        </w:rPr>
      </w:pPr>
      <w:r w:rsidRPr="00C83045">
        <w:rPr>
          <w:noProof/>
          <w:szCs w:val="22"/>
          <w:u w:val="single"/>
        </w:rPr>
        <w:t>Pediatrická populácia</w:t>
      </w:r>
    </w:p>
    <w:p w14:paraId="32367CA0" w14:textId="77777777" w:rsidR="00847D15" w:rsidRPr="00C83045" w:rsidRDefault="00E755DB" w:rsidP="00D4304B">
      <w:pPr>
        <w:widowControl w:val="0"/>
        <w:ind w:left="0" w:firstLine="0"/>
        <w:rPr>
          <w:color w:val="000000"/>
          <w:szCs w:val="22"/>
        </w:rPr>
      </w:pPr>
      <w:r w:rsidRPr="00C83045">
        <w:rPr>
          <w:color w:val="000000"/>
          <w:szCs w:val="22"/>
        </w:rPr>
        <w:t>Zaznamenali sa hlásenia o prípadoch spomalenia rastu u detí a</w:t>
      </w:r>
      <w:r w:rsidR="00344360" w:rsidRPr="00C83045">
        <w:rPr>
          <w:color w:val="000000"/>
          <w:szCs w:val="22"/>
        </w:rPr>
        <w:t> </w:t>
      </w:r>
      <w:r w:rsidRPr="00C83045">
        <w:rPr>
          <w:color w:val="000000"/>
          <w:szCs w:val="22"/>
        </w:rPr>
        <w:t>pre</w:t>
      </w:r>
      <w:r w:rsidR="00344360" w:rsidRPr="00C83045">
        <w:rPr>
          <w:color w:val="000000"/>
          <w:szCs w:val="22"/>
        </w:rPr>
        <w:t>pubertálnych detí</w:t>
      </w:r>
      <w:r w:rsidRPr="00C83045">
        <w:rPr>
          <w:color w:val="000000"/>
          <w:szCs w:val="22"/>
        </w:rPr>
        <w:t>, ktor</w:t>
      </w:r>
      <w:r w:rsidR="00344360" w:rsidRPr="00C83045">
        <w:rPr>
          <w:color w:val="000000"/>
          <w:szCs w:val="22"/>
        </w:rPr>
        <w:t>é</w:t>
      </w:r>
      <w:r w:rsidRPr="00C83045">
        <w:rPr>
          <w:color w:val="000000"/>
          <w:szCs w:val="22"/>
        </w:rPr>
        <w:t xml:space="preserve"> dostávali imatinib. </w:t>
      </w:r>
      <w:r w:rsidR="009F4A93">
        <w:rPr>
          <w:color w:val="000000"/>
          <w:szCs w:val="22"/>
        </w:rPr>
        <w:t>V pozorovacej štúdii v pediatrickej populácii s CML</w:t>
      </w:r>
      <w:r w:rsidR="009F4A93">
        <w:rPr>
          <w:szCs w:val="22"/>
          <w:lang w:bidi="kn-IN"/>
        </w:rPr>
        <w:t xml:space="preserve"> sa po 12 a 24</w:t>
      </w:r>
      <w:r w:rsidR="00AD1906">
        <w:rPr>
          <w:szCs w:val="22"/>
          <w:lang w:bidi="kn-IN"/>
        </w:rPr>
        <w:t> </w:t>
      </w:r>
      <w:r w:rsidR="009F4A93">
        <w:rPr>
          <w:szCs w:val="22"/>
          <w:lang w:bidi="kn-IN"/>
        </w:rPr>
        <w:t xml:space="preserve">mesiacoch liečby zaznamenal nezávisle na stave dospievania alebo pohlavia v dvoch menších podskupinách </w:t>
      </w:r>
      <w:r w:rsidR="003F18F0">
        <w:rPr>
          <w:szCs w:val="22"/>
          <w:lang w:bidi="kn-IN"/>
        </w:rPr>
        <w:t>štatisticky významný pokles</w:t>
      </w:r>
      <w:r w:rsidR="009F4A93">
        <w:rPr>
          <w:szCs w:val="22"/>
          <w:lang w:bidi="kn-IN"/>
        </w:rPr>
        <w:t xml:space="preserve"> (</w:t>
      </w:r>
      <w:r w:rsidR="003F18F0">
        <w:rPr>
          <w:szCs w:val="22"/>
          <w:lang w:bidi="kn-IN"/>
        </w:rPr>
        <w:t>avšak s nejasným klinickým významom</w:t>
      </w:r>
      <w:r w:rsidR="009F4A93">
        <w:rPr>
          <w:szCs w:val="22"/>
          <w:lang w:bidi="kn-IN"/>
        </w:rPr>
        <w:t xml:space="preserve">) v </w:t>
      </w:r>
      <w:r w:rsidR="009F4A93" w:rsidRPr="009F4A93">
        <w:rPr>
          <w:szCs w:val="22"/>
          <w:lang w:bidi="kn-IN"/>
        </w:rPr>
        <w:t xml:space="preserve">skóre štandardnej odchýlky pre </w:t>
      </w:r>
      <w:r w:rsidR="009F4A93">
        <w:rPr>
          <w:szCs w:val="22"/>
          <w:lang w:bidi="kn-IN"/>
        </w:rPr>
        <w:t xml:space="preserve">priemernú </w:t>
      </w:r>
      <w:r w:rsidR="009F4A93" w:rsidRPr="009F4A93">
        <w:rPr>
          <w:szCs w:val="22"/>
          <w:lang w:bidi="kn-IN"/>
        </w:rPr>
        <w:t>výšku</w:t>
      </w:r>
      <w:r w:rsidR="009F4A93">
        <w:rPr>
          <w:szCs w:val="22"/>
          <w:lang w:bidi="kn-IN"/>
        </w:rPr>
        <w:t>.</w:t>
      </w:r>
      <w:r w:rsidR="00791001" w:rsidRPr="00C83045">
        <w:rPr>
          <w:color w:val="000000"/>
          <w:szCs w:val="22"/>
        </w:rPr>
        <w:t xml:space="preserve"> </w:t>
      </w:r>
      <w:r w:rsidR="009F4A93">
        <w:rPr>
          <w:color w:val="000000"/>
          <w:szCs w:val="22"/>
        </w:rPr>
        <w:t>P</w:t>
      </w:r>
      <w:r w:rsidR="00344360" w:rsidRPr="00C83045">
        <w:rPr>
          <w:color w:val="000000"/>
          <w:szCs w:val="22"/>
        </w:rPr>
        <w:t xml:space="preserve">očas liečby imatinibom </w:t>
      </w:r>
      <w:r w:rsidR="009F4A93">
        <w:rPr>
          <w:color w:val="000000"/>
          <w:szCs w:val="22"/>
        </w:rPr>
        <w:t xml:space="preserve">sa </w:t>
      </w:r>
      <w:r w:rsidR="00791001" w:rsidRPr="00C83045">
        <w:rPr>
          <w:color w:val="000000"/>
          <w:szCs w:val="22"/>
        </w:rPr>
        <w:t>odporúča dôsledné monitorovanie rastu u detí (pozri časť 4.8).</w:t>
      </w:r>
    </w:p>
    <w:p w14:paraId="32367CA1" w14:textId="77777777" w:rsidR="00E755DB" w:rsidRPr="00C83045" w:rsidRDefault="00E755DB" w:rsidP="00D4304B">
      <w:pPr>
        <w:widowControl w:val="0"/>
        <w:rPr>
          <w:color w:val="000000"/>
          <w:szCs w:val="22"/>
        </w:rPr>
      </w:pPr>
    </w:p>
    <w:p w14:paraId="32367CA2" w14:textId="77777777" w:rsidR="00847D15" w:rsidRPr="00C83045" w:rsidRDefault="00847D15" w:rsidP="00D4304B">
      <w:pPr>
        <w:keepNext/>
        <w:widowControl w:val="0"/>
        <w:rPr>
          <w:b/>
          <w:bCs/>
          <w:color w:val="000000"/>
          <w:szCs w:val="22"/>
        </w:rPr>
      </w:pPr>
      <w:r w:rsidRPr="00C83045">
        <w:rPr>
          <w:b/>
          <w:bCs/>
          <w:color w:val="000000"/>
          <w:szCs w:val="22"/>
        </w:rPr>
        <w:t>4.5</w:t>
      </w:r>
      <w:r w:rsidRPr="00C83045">
        <w:rPr>
          <w:b/>
          <w:bCs/>
          <w:color w:val="000000"/>
          <w:szCs w:val="22"/>
        </w:rPr>
        <w:tab/>
        <w:t>Liekové a iné interakcie</w:t>
      </w:r>
    </w:p>
    <w:p w14:paraId="32367CA3" w14:textId="77777777" w:rsidR="00847D15" w:rsidRPr="00C83045" w:rsidRDefault="00847D15" w:rsidP="00D4304B">
      <w:pPr>
        <w:keepNext/>
        <w:widowControl w:val="0"/>
        <w:rPr>
          <w:bCs/>
          <w:color w:val="000000"/>
          <w:szCs w:val="22"/>
        </w:rPr>
      </w:pPr>
    </w:p>
    <w:p w14:paraId="32367CA4" w14:textId="77777777" w:rsidR="00847D15" w:rsidRPr="00C83045" w:rsidRDefault="00847D15" w:rsidP="00D4304B">
      <w:pPr>
        <w:pStyle w:val="Heading2"/>
        <w:widowControl w:val="0"/>
        <w:autoSpaceDE/>
        <w:autoSpaceDN/>
        <w:rPr>
          <w:b w:val="0"/>
          <w:i w:val="0"/>
          <w:color w:val="000000"/>
          <w:sz w:val="22"/>
          <w:szCs w:val="22"/>
          <w:u w:val="single"/>
        </w:rPr>
      </w:pPr>
      <w:r w:rsidRPr="00C83045">
        <w:rPr>
          <w:b w:val="0"/>
          <w:i w:val="0"/>
          <w:color w:val="000000"/>
          <w:sz w:val="22"/>
          <w:szCs w:val="22"/>
          <w:u w:val="single"/>
        </w:rPr>
        <w:t xml:space="preserve">Liečivá, ktoré môžu </w:t>
      </w:r>
      <w:r w:rsidRPr="00C83045">
        <w:rPr>
          <w:i w:val="0"/>
          <w:color w:val="000000"/>
          <w:sz w:val="22"/>
          <w:szCs w:val="22"/>
          <w:u w:val="single"/>
        </w:rPr>
        <w:t>zvýšiť</w:t>
      </w:r>
      <w:r w:rsidRPr="00C83045">
        <w:rPr>
          <w:b w:val="0"/>
          <w:i w:val="0"/>
          <w:color w:val="000000"/>
          <w:sz w:val="22"/>
          <w:szCs w:val="22"/>
          <w:u w:val="single"/>
        </w:rPr>
        <w:t xml:space="preserve"> plazmatické koncentrácie imatinibu:</w:t>
      </w:r>
    </w:p>
    <w:p w14:paraId="32367CA5" w14:textId="77777777" w:rsidR="00847D15" w:rsidRPr="00C83045" w:rsidRDefault="00847D15" w:rsidP="00D4304B">
      <w:pPr>
        <w:widowControl w:val="0"/>
        <w:ind w:left="0" w:firstLine="0"/>
        <w:rPr>
          <w:color w:val="000000"/>
          <w:szCs w:val="22"/>
        </w:rPr>
      </w:pPr>
      <w:r w:rsidRPr="00C83045">
        <w:rPr>
          <w:color w:val="000000"/>
          <w:szCs w:val="22"/>
        </w:rPr>
        <w:t xml:space="preserve">Látky, ktoré inhibujú aktivitu izoenzýmu CYP3A4 cytochrómu P450 (napr. </w:t>
      </w:r>
      <w:r w:rsidR="004F038F" w:rsidRPr="00C83045">
        <w:rPr>
          <w:color w:val="000000"/>
          <w:szCs w:val="22"/>
        </w:rPr>
        <w:t>inhibítory proteáz ako indinavir, lopinavir/ritonavir, ritonavir, sa</w:t>
      </w:r>
      <w:r w:rsidR="00556D5F" w:rsidRPr="00C83045">
        <w:rPr>
          <w:color w:val="000000"/>
          <w:szCs w:val="22"/>
        </w:rPr>
        <w:t>ch</w:t>
      </w:r>
      <w:r w:rsidR="004F038F" w:rsidRPr="00C83045">
        <w:rPr>
          <w:color w:val="000000"/>
          <w:szCs w:val="22"/>
        </w:rPr>
        <w:t xml:space="preserve">inavir, telaprevir, nelfinavir, boceprevir; azolové antimykotiká vrátane </w:t>
      </w:r>
      <w:r w:rsidRPr="00C83045">
        <w:rPr>
          <w:color w:val="000000"/>
          <w:szCs w:val="22"/>
        </w:rPr>
        <w:t>ketokonazol</w:t>
      </w:r>
      <w:r w:rsidR="004F038F" w:rsidRPr="00C83045">
        <w:rPr>
          <w:color w:val="000000"/>
          <w:szCs w:val="22"/>
        </w:rPr>
        <w:t>u</w:t>
      </w:r>
      <w:r w:rsidRPr="00C83045">
        <w:rPr>
          <w:color w:val="000000"/>
          <w:szCs w:val="22"/>
        </w:rPr>
        <w:t>, itrakonazol</w:t>
      </w:r>
      <w:r w:rsidR="004F038F" w:rsidRPr="00C83045">
        <w:rPr>
          <w:color w:val="000000"/>
          <w:szCs w:val="22"/>
        </w:rPr>
        <w:t>u</w:t>
      </w:r>
      <w:r w:rsidRPr="00C83045">
        <w:rPr>
          <w:color w:val="000000"/>
          <w:szCs w:val="22"/>
        </w:rPr>
        <w:t xml:space="preserve">, </w:t>
      </w:r>
      <w:r w:rsidR="00556D5F" w:rsidRPr="00C83045">
        <w:rPr>
          <w:color w:val="000000"/>
          <w:szCs w:val="22"/>
        </w:rPr>
        <w:t xml:space="preserve">posakonazolu, vorikonazolu; niektoré makrolidy ako </w:t>
      </w:r>
      <w:r w:rsidRPr="00C83045">
        <w:rPr>
          <w:color w:val="000000"/>
          <w:szCs w:val="22"/>
        </w:rPr>
        <w:t>erytromycín, klaritromycín</w:t>
      </w:r>
      <w:r w:rsidR="00556D5F" w:rsidRPr="00C83045">
        <w:rPr>
          <w:color w:val="000000"/>
          <w:szCs w:val="22"/>
        </w:rPr>
        <w:t xml:space="preserve"> a telitromycín</w:t>
      </w:r>
      <w:r w:rsidRPr="00C83045">
        <w:rPr>
          <w:color w:val="000000"/>
          <w:szCs w:val="22"/>
        </w:rPr>
        <w:t>), môžu spomaliť metabolizmus a zvýšiť koncentrácie imatinibu. Expozícia imatinibu sa významne zvýšila (priemerná hodnota C</w:t>
      </w:r>
      <w:r w:rsidRPr="00C83045">
        <w:rPr>
          <w:color w:val="000000"/>
          <w:szCs w:val="22"/>
          <w:vertAlign w:val="subscript"/>
        </w:rPr>
        <w:t>max</w:t>
      </w:r>
      <w:r w:rsidRPr="00C83045">
        <w:rPr>
          <w:color w:val="000000"/>
          <w:szCs w:val="22"/>
        </w:rPr>
        <w:t xml:space="preserve"> imatinibu vzrástla o 26% a AUC o 40%) u zdravých osôb, keď sa imatinib podal súčasne s jednorazovou dávkou ketokonazolu (inhibítor CYP3A4). Opatrnosť je potrebná pri podávaní Glivecu s inhibítormi triedy CYP3A4.</w:t>
      </w:r>
    </w:p>
    <w:p w14:paraId="32367CA6" w14:textId="77777777" w:rsidR="00847D15" w:rsidRPr="00C83045" w:rsidRDefault="00847D15" w:rsidP="00D4304B">
      <w:pPr>
        <w:widowControl w:val="0"/>
        <w:ind w:left="0" w:firstLine="0"/>
        <w:rPr>
          <w:color w:val="000000"/>
          <w:szCs w:val="22"/>
        </w:rPr>
      </w:pPr>
    </w:p>
    <w:p w14:paraId="32367CA7" w14:textId="77777777" w:rsidR="00847D15" w:rsidRPr="00C83045" w:rsidRDefault="00847D15" w:rsidP="00D4304B">
      <w:pPr>
        <w:pStyle w:val="Heading2"/>
        <w:widowControl w:val="0"/>
        <w:autoSpaceDE/>
        <w:autoSpaceDN/>
        <w:rPr>
          <w:b w:val="0"/>
          <w:i w:val="0"/>
          <w:color w:val="000000"/>
          <w:sz w:val="22"/>
          <w:szCs w:val="22"/>
          <w:u w:val="single"/>
        </w:rPr>
      </w:pPr>
      <w:r w:rsidRPr="00C83045">
        <w:rPr>
          <w:b w:val="0"/>
          <w:i w:val="0"/>
          <w:color w:val="000000"/>
          <w:sz w:val="22"/>
          <w:szCs w:val="22"/>
          <w:u w:val="single"/>
        </w:rPr>
        <w:t xml:space="preserve">Liečivá, ktoré môžu </w:t>
      </w:r>
      <w:r w:rsidRPr="00C83045">
        <w:rPr>
          <w:i w:val="0"/>
          <w:color w:val="000000"/>
          <w:sz w:val="22"/>
          <w:szCs w:val="22"/>
          <w:u w:val="single"/>
        </w:rPr>
        <w:t>znížiť</w:t>
      </w:r>
      <w:r w:rsidRPr="00C83045">
        <w:rPr>
          <w:b w:val="0"/>
          <w:i w:val="0"/>
          <w:color w:val="000000"/>
          <w:sz w:val="22"/>
          <w:szCs w:val="22"/>
          <w:u w:val="single"/>
        </w:rPr>
        <w:t xml:space="preserve"> plazmatické koncentrácie imatinibu:</w:t>
      </w:r>
    </w:p>
    <w:p w14:paraId="32367CA8" w14:textId="77777777" w:rsidR="00847D15" w:rsidRPr="00C83045" w:rsidRDefault="00847D15" w:rsidP="00D4304B">
      <w:pPr>
        <w:widowControl w:val="0"/>
        <w:ind w:left="0" w:firstLine="0"/>
        <w:rPr>
          <w:color w:val="000000"/>
          <w:szCs w:val="22"/>
        </w:rPr>
      </w:pPr>
      <w:r w:rsidRPr="00C83045">
        <w:rPr>
          <w:color w:val="000000"/>
          <w:szCs w:val="22"/>
        </w:rPr>
        <w:t xml:space="preserve">Látky, ktoré indukujú aktivitu </w:t>
      </w:r>
      <w:smartTag w:uri="urn:schemas-microsoft-com:office:smarttags" w:element="PersonName">
        <w:r w:rsidRPr="00C83045">
          <w:rPr>
            <w:color w:val="000000"/>
            <w:szCs w:val="22"/>
          </w:rPr>
          <w:t>CY</w:t>
        </w:r>
      </w:smartTag>
      <w:r w:rsidRPr="00C83045">
        <w:rPr>
          <w:color w:val="000000"/>
          <w:szCs w:val="22"/>
        </w:rPr>
        <w:t>P3A4 (napr. dexametazón, fenytoín, karbamazepín, rifampicín, fenobarbital</w:t>
      </w:r>
      <w:r w:rsidR="00A85A31" w:rsidRPr="00C83045">
        <w:rPr>
          <w:color w:val="000000"/>
          <w:szCs w:val="22"/>
        </w:rPr>
        <w:t>, fosfenytoín, primidon</w:t>
      </w:r>
      <w:r w:rsidRPr="00C83045">
        <w:rPr>
          <w:color w:val="000000"/>
          <w:szCs w:val="22"/>
        </w:rPr>
        <w:t xml:space="preserve"> alebo </w:t>
      </w:r>
      <w:r w:rsidRPr="00C83045">
        <w:rPr>
          <w:i/>
          <w:color w:val="000000"/>
          <w:szCs w:val="22"/>
        </w:rPr>
        <w:t xml:space="preserve">Hypericum perforatum </w:t>
      </w:r>
      <w:r w:rsidRPr="00C83045">
        <w:rPr>
          <w:color w:val="000000"/>
          <w:szCs w:val="22"/>
        </w:rPr>
        <w:t>– ľubovník bodkovaný), môžu významne znížiť expozíciu Glivecu a tým prípadne zvýšiť riziko zlyhania liečby. Predchádzajúca liečba opakovaným podávaním 600 mg rifampicínu, po ktorej nasledovala jednorazová dávka 400 mg Glivecu, spôsobila pokles C</w:t>
      </w:r>
      <w:r w:rsidRPr="00C83045">
        <w:rPr>
          <w:color w:val="000000"/>
          <w:szCs w:val="22"/>
          <w:vertAlign w:val="subscript"/>
        </w:rPr>
        <w:t>max</w:t>
      </w:r>
      <w:r w:rsidRPr="00C83045">
        <w:rPr>
          <w:color w:val="000000"/>
          <w:szCs w:val="22"/>
        </w:rPr>
        <w:t xml:space="preserve"> o najmenej 54% a AUC</w:t>
      </w:r>
      <w:r w:rsidRPr="00C83045">
        <w:rPr>
          <w:color w:val="000000"/>
          <w:szCs w:val="22"/>
          <w:vertAlign w:val="subscript"/>
        </w:rPr>
        <w:t>(0-</w:t>
      </w:r>
      <w:r w:rsidRPr="00C83045">
        <w:rPr>
          <w:color w:val="000000"/>
          <w:szCs w:val="22"/>
          <w:vertAlign w:val="subscript"/>
        </w:rPr>
        <w:sym w:font="Symbol" w:char="F0A5"/>
      </w:r>
      <w:r w:rsidRPr="00C83045">
        <w:rPr>
          <w:color w:val="000000"/>
          <w:szCs w:val="22"/>
          <w:vertAlign w:val="subscript"/>
        </w:rPr>
        <w:t>)</w:t>
      </w:r>
      <w:r w:rsidRPr="00C83045">
        <w:rPr>
          <w:color w:val="000000"/>
          <w:szCs w:val="22"/>
        </w:rPr>
        <w:t xml:space="preserve"> o najmenej 74% oproti zodpovedajúcim hodnotám bez liečby rifampicínom. </w:t>
      </w:r>
      <w:r w:rsidR="00CA01BB" w:rsidRPr="00C83045">
        <w:rPr>
          <w:color w:val="000000"/>
          <w:szCs w:val="22"/>
        </w:rPr>
        <w:t xml:space="preserve">Podobné výsledky sa pozorovali u pacientov s malígnymi gliómami liečených Glivecom počas užívania antiepileptík indukujúcich enzýmy </w:t>
      </w:r>
      <w:r w:rsidR="00CA01BB" w:rsidRPr="00C83045">
        <w:rPr>
          <w:snapToGrid w:val="0"/>
          <w:color w:val="000000"/>
          <w:szCs w:val="22"/>
        </w:rPr>
        <w:t xml:space="preserve">(EIAED), napr. karbamazepínu, oxkarbazepínu a fenytoínu. Hodnota AUC imatinibu v plazme sa znížila o 73% </w:t>
      </w:r>
      <w:r w:rsidR="00B333BD" w:rsidRPr="00C83045">
        <w:rPr>
          <w:snapToGrid w:val="0"/>
          <w:color w:val="000000"/>
          <w:szCs w:val="22"/>
        </w:rPr>
        <w:t xml:space="preserve">v porovnaní s pacientmi, ktorí neužívali EIAED. </w:t>
      </w:r>
      <w:r w:rsidR="008F1681" w:rsidRPr="00C83045">
        <w:rPr>
          <w:color w:val="000000"/>
          <w:szCs w:val="22"/>
        </w:rPr>
        <w:t xml:space="preserve">Je potrebné </w:t>
      </w:r>
      <w:r w:rsidRPr="00C83045">
        <w:rPr>
          <w:color w:val="000000"/>
          <w:szCs w:val="22"/>
        </w:rPr>
        <w:t xml:space="preserve">vyhnúť </w:t>
      </w:r>
      <w:r w:rsidR="008F1681" w:rsidRPr="00C83045">
        <w:rPr>
          <w:color w:val="000000"/>
          <w:szCs w:val="22"/>
        </w:rPr>
        <w:t xml:space="preserve">sa </w:t>
      </w:r>
      <w:r w:rsidRPr="00C83045">
        <w:rPr>
          <w:color w:val="000000"/>
          <w:szCs w:val="22"/>
        </w:rPr>
        <w:t xml:space="preserve">súčasnému podávaniu silných induktorov </w:t>
      </w:r>
      <w:smartTag w:uri="urn:schemas-microsoft-com:office:smarttags" w:element="PersonName">
        <w:r w:rsidRPr="00C83045">
          <w:rPr>
            <w:color w:val="000000"/>
            <w:szCs w:val="22"/>
          </w:rPr>
          <w:t>CY</w:t>
        </w:r>
      </w:smartTag>
      <w:r w:rsidRPr="00C83045">
        <w:rPr>
          <w:color w:val="000000"/>
          <w:szCs w:val="22"/>
        </w:rPr>
        <w:t>P3A4 a imatinibu.</w:t>
      </w:r>
    </w:p>
    <w:p w14:paraId="32367CA9" w14:textId="77777777" w:rsidR="00847D15" w:rsidRPr="00C83045" w:rsidRDefault="00847D15" w:rsidP="00D4304B">
      <w:pPr>
        <w:widowControl w:val="0"/>
        <w:ind w:left="0" w:firstLine="0"/>
        <w:rPr>
          <w:color w:val="000000"/>
          <w:szCs w:val="22"/>
        </w:rPr>
      </w:pPr>
    </w:p>
    <w:p w14:paraId="32367CAA" w14:textId="77777777" w:rsidR="00847D15" w:rsidRPr="00C83045" w:rsidRDefault="00847D15" w:rsidP="00D4304B">
      <w:pPr>
        <w:pStyle w:val="Heading2"/>
        <w:widowControl w:val="0"/>
        <w:autoSpaceDE/>
        <w:autoSpaceDN/>
        <w:rPr>
          <w:i w:val="0"/>
          <w:color w:val="000000"/>
          <w:sz w:val="22"/>
          <w:szCs w:val="22"/>
        </w:rPr>
      </w:pPr>
      <w:r w:rsidRPr="00C83045">
        <w:rPr>
          <w:i w:val="0"/>
          <w:color w:val="000000"/>
          <w:sz w:val="22"/>
          <w:szCs w:val="22"/>
        </w:rPr>
        <w:t>Liečivá, ktorých plazmatické koncentrácie môže zmeniť Glivec</w:t>
      </w:r>
    </w:p>
    <w:p w14:paraId="32367CAB" w14:textId="77777777" w:rsidR="00847D15" w:rsidRPr="00C83045" w:rsidRDefault="00847D15" w:rsidP="00D4304B">
      <w:pPr>
        <w:pStyle w:val="Footer"/>
        <w:widowControl w:val="0"/>
        <w:ind w:left="0" w:firstLine="0"/>
        <w:rPr>
          <w:color w:val="000000"/>
          <w:szCs w:val="22"/>
        </w:rPr>
      </w:pPr>
      <w:r w:rsidRPr="00C83045">
        <w:rPr>
          <w:color w:val="000000"/>
          <w:szCs w:val="22"/>
        </w:rPr>
        <w:t>Imatinib zvyšuje priemernú hodnotu C</w:t>
      </w:r>
      <w:r w:rsidRPr="00C83045">
        <w:rPr>
          <w:color w:val="000000"/>
          <w:szCs w:val="22"/>
          <w:vertAlign w:val="subscript"/>
        </w:rPr>
        <w:t>max</w:t>
      </w:r>
      <w:r w:rsidRPr="00C83045">
        <w:rPr>
          <w:color w:val="000000"/>
          <w:szCs w:val="22"/>
        </w:rPr>
        <w:t xml:space="preserve"> simvastatínu (substrát CYP3A4) na 2-násobok a AUC na 3,5-násobok, čo poukazuje na inhibíciu CYP3A4 imatinibom. Preto sa odporúča opatrnosť pri podávaní Glivecu so substrátmi CYP3A4 s úzkym terapeutickým oknom (napr. cyklosporín</w:t>
      </w:r>
      <w:r w:rsidR="00C345D3" w:rsidRPr="00C83045">
        <w:rPr>
          <w:color w:val="000000"/>
          <w:szCs w:val="22"/>
        </w:rPr>
        <w:t>om</w:t>
      </w:r>
      <w:r w:rsidR="00556D5F" w:rsidRPr="00C83045">
        <w:rPr>
          <w:color w:val="000000"/>
          <w:szCs w:val="22"/>
        </w:rPr>
        <w:t>,</w:t>
      </w:r>
      <w:r w:rsidRPr="00C83045">
        <w:rPr>
          <w:color w:val="000000"/>
          <w:szCs w:val="22"/>
        </w:rPr>
        <w:t xml:space="preserve"> pimozid</w:t>
      </w:r>
      <w:r w:rsidR="00C345D3" w:rsidRPr="00C83045">
        <w:rPr>
          <w:color w:val="000000"/>
          <w:szCs w:val="22"/>
        </w:rPr>
        <w:t>om</w:t>
      </w:r>
      <w:r w:rsidR="00556D5F" w:rsidRPr="00C83045">
        <w:rPr>
          <w:color w:val="000000"/>
          <w:szCs w:val="22"/>
        </w:rPr>
        <w:t>, takrolim</w:t>
      </w:r>
      <w:r w:rsidR="00C345D3" w:rsidRPr="00C83045">
        <w:rPr>
          <w:color w:val="000000"/>
          <w:szCs w:val="22"/>
        </w:rPr>
        <w:t>om</w:t>
      </w:r>
      <w:r w:rsidR="00556D5F" w:rsidRPr="00C83045">
        <w:rPr>
          <w:color w:val="000000"/>
          <w:szCs w:val="22"/>
        </w:rPr>
        <w:t>, sirolim</w:t>
      </w:r>
      <w:r w:rsidR="00C345D3" w:rsidRPr="00C83045">
        <w:rPr>
          <w:color w:val="000000"/>
          <w:szCs w:val="22"/>
        </w:rPr>
        <w:t>om</w:t>
      </w:r>
      <w:r w:rsidR="00556D5F" w:rsidRPr="00C83045">
        <w:rPr>
          <w:color w:val="000000"/>
          <w:szCs w:val="22"/>
        </w:rPr>
        <w:t>, ergotamín</w:t>
      </w:r>
      <w:r w:rsidR="00C345D3" w:rsidRPr="00C83045">
        <w:rPr>
          <w:color w:val="000000"/>
          <w:szCs w:val="22"/>
        </w:rPr>
        <w:t>om</w:t>
      </w:r>
      <w:r w:rsidR="00556D5F" w:rsidRPr="00C83045">
        <w:rPr>
          <w:color w:val="000000"/>
          <w:szCs w:val="22"/>
        </w:rPr>
        <w:t>, diergotamín</w:t>
      </w:r>
      <w:r w:rsidR="00C345D3" w:rsidRPr="00C83045">
        <w:rPr>
          <w:color w:val="000000"/>
          <w:szCs w:val="22"/>
        </w:rPr>
        <w:t>om</w:t>
      </w:r>
      <w:r w:rsidR="00556D5F" w:rsidRPr="00C83045">
        <w:rPr>
          <w:color w:val="000000"/>
          <w:szCs w:val="22"/>
        </w:rPr>
        <w:t>, fentanyl</w:t>
      </w:r>
      <w:r w:rsidR="00C345D3" w:rsidRPr="00C83045">
        <w:rPr>
          <w:color w:val="000000"/>
          <w:szCs w:val="22"/>
        </w:rPr>
        <w:t>om</w:t>
      </w:r>
      <w:r w:rsidR="00556D5F" w:rsidRPr="00C83045">
        <w:rPr>
          <w:color w:val="000000"/>
          <w:szCs w:val="22"/>
        </w:rPr>
        <w:t>, alfentanil</w:t>
      </w:r>
      <w:r w:rsidR="00C345D3" w:rsidRPr="00C83045">
        <w:rPr>
          <w:color w:val="000000"/>
          <w:szCs w:val="22"/>
        </w:rPr>
        <w:t>om</w:t>
      </w:r>
      <w:r w:rsidR="00556D5F" w:rsidRPr="00C83045">
        <w:rPr>
          <w:color w:val="000000"/>
          <w:szCs w:val="22"/>
        </w:rPr>
        <w:t>, terfenadín</w:t>
      </w:r>
      <w:r w:rsidR="00C345D3" w:rsidRPr="00C83045">
        <w:rPr>
          <w:color w:val="000000"/>
          <w:szCs w:val="22"/>
        </w:rPr>
        <w:t>om</w:t>
      </w:r>
      <w:r w:rsidR="00556D5F" w:rsidRPr="00C83045">
        <w:rPr>
          <w:color w:val="000000"/>
          <w:szCs w:val="22"/>
        </w:rPr>
        <w:t>, bortezomib</w:t>
      </w:r>
      <w:r w:rsidR="00C345D3" w:rsidRPr="00C83045">
        <w:rPr>
          <w:color w:val="000000"/>
          <w:szCs w:val="22"/>
        </w:rPr>
        <w:t>om</w:t>
      </w:r>
      <w:r w:rsidR="00556D5F" w:rsidRPr="00C83045">
        <w:rPr>
          <w:color w:val="000000"/>
          <w:szCs w:val="22"/>
        </w:rPr>
        <w:t>, docetaxel</w:t>
      </w:r>
      <w:r w:rsidR="00C345D3" w:rsidRPr="00C83045">
        <w:rPr>
          <w:color w:val="000000"/>
          <w:szCs w:val="22"/>
        </w:rPr>
        <w:t>om</w:t>
      </w:r>
      <w:r w:rsidR="00556D5F" w:rsidRPr="00C83045">
        <w:rPr>
          <w:color w:val="000000"/>
          <w:szCs w:val="22"/>
        </w:rPr>
        <w:t xml:space="preserve"> a chinidín</w:t>
      </w:r>
      <w:r w:rsidR="00C345D3" w:rsidRPr="00C83045">
        <w:rPr>
          <w:color w:val="000000"/>
          <w:szCs w:val="22"/>
        </w:rPr>
        <w:t>om</w:t>
      </w:r>
      <w:r w:rsidRPr="00C83045">
        <w:rPr>
          <w:color w:val="000000"/>
          <w:szCs w:val="22"/>
        </w:rPr>
        <w:t xml:space="preserve">). Glivec môže zvyšovať plazmatickú koncentráciu iných liečiv metabolizovaných CYP3A4 (napr. triazolobenzodiazepíny, blokátory kalciových kanálov dihydropyridínového typu, niektoré inhibítory </w:t>
      </w:r>
      <w:smartTag w:uri="urn:schemas-microsoft-com:office:smarttags" w:element="stockticker">
        <w:r w:rsidRPr="00C83045">
          <w:rPr>
            <w:color w:val="000000"/>
            <w:szCs w:val="22"/>
          </w:rPr>
          <w:t>HMG</w:t>
        </w:r>
      </w:smartTag>
      <w:r w:rsidRPr="00C83045">
        <w:rPr>
          <w:color w:val="000000"/>
          <w:szCs w:val="22"/>
        </w:rPr>
        <w:t xml:space="preserve">-CoA-reduktázy, t.j. statíny </w:t>
      </w:r>
      <w:r w:rsidRPr="00C83045">
        <w:rPr>
          <w:color w:val="000000"/>
          <w:szCs w:val="22"/>
        </w:rPr>
        <w:lastRenderedPageBreak/>
        <w:t>atď.).</w:t>
      </w:r>
    </w:p>
    <w:p w14:paraId="32367CAC" w14:textId="77777777" w:rsidR="00847D15" w:rsidRPr="00C83045" w:rsidRDefault="00847D15" w:rsidP="00D4304B">
      <w:pPr>
        <w:pStyle w:val="Footer"/>
        <w:widowControl w:val="0"/>
        <w:ind w:left="0" w:firstLine="0"/>
        <w:rPr>
          <w:color w:val="000000"/>
          <w:szCs w:val="22"/>
        </w:rPr>
      </w:pPr>
    </w:p>
    <w:p w14:paraId="32367CAD" w14:textId="77777777" w:rsidR="00847D15" w:rsidRPr="00C83045" w:rsidRDefault="00847D15" w:rsidP="00D4304B">
      <w:pPr>
        <w:pStyle w:val="Footer"/>
        <w:widowControl w:val="0"/>
        <w:ind w:left="0" w:firstLine="0"/>
        <w:rPr>
          <w:color w:val="000000"/>
          <w:szCs w:val="22"/>
        </w:rPr>
      </w:pPr>
      <w:r w:rsidRPr="00C83045">
        <w:rPr>
          <w:color w:val="000000"/>
          <w:szCs w:val="22"/>
        </w:rPr>
        <w:t>Pre</w:t>
      </w:r>
      <w:r w:rsidR="0076344C" w:rsidRPr="00C83045">
        <w:rPr>
          <w:color w:val="000000"/>
          <w:szCs w:val="22"/>
        </w:rPr>
        <w:t xml:space="preserve"> známe zvýšené riziko krvácania spojené s použitím imatinibu (napr. hemorágie) </w:t>
      </w:r>
      <w:r w:rsidRPr="00C83045">
        <w:rPr>
          <w:color w:val="000000"/>
          <w:szCs w:val="22"/>
        </w:rPr>
        <w:t>m</w:t>
      </w:r>
      <w:r w:rsidR="00F37198" w:rsidRPr="00C83045">
        <w:rPr>
          <w:color w:val="000000"/>
          <w:szCs w:val="22"/>
        </w:rPr>
        <w:t>a</w:t>
      </w:r>
      <w:r w:rsidR="00C345D3" w:rsidRPr="00C83045">
        <w:rPr>
          <w:color w:val="000000"/>
          <w:szCs w:val="22"/>
        </w:rPr>
        <w:t>jú</w:t>
      </w:r>
      <w:r w:rsidR="00F37198" w:rsidRPr="00C83045">
        <w:rPr>
          <w:color w:val="000000"/>
          <w:szCs w:val="22"/>
        </w:rPr>
        <w:t xml:space="preserve"> </w:t>
      </w:r>
      <w:r w:rsidRPr="00C83045">
        <w:rPr>
          <w:color w:val="000000"/>
          <w:szCs w:val="22"/>
        </w:rPr>
        <w:t>pacienti, ktorí potrebujú antikoagulanciá, dostávať nízkomolekulový alebo štandardný heparín</w:t>
      </w:r>
      <w:r w:rsidR="0052682B" w:rsidRPr="00C83045">
        <w:rPr>
          <w:color w:val="000000"/>
          <w:szCs w:val="22"/>
        </w:rPr>
        <w:t xml:space="preserve"> namiesto kumarínových derivátov, </w:t>
      </w:r>
      <w:r w:rsidR="00C345D3" w:rsidRPr="00C83045">
        <w:rPr>
          <w:color w:val="000000"/>
          <w:szCs w:val="22"/>
        </w:rPr>
        <w:t>napr.</w:t>
      </w:r>
      <w:r w:rsidR="0052682B" w:rsidRPr="00C83045">
        <w:rPr>
          <w:color w:val="000000"/>
          <w:szCs w:val="22"/>
        </w:rPr>
        <w:t xml:space="preserve"> warfarín</w:t>
      </w:r>
      <w:r w:rsidR="00C345D3" w:rsidRPr="00C83045">
        <w:rPr>
          <w:color w:val="000000"/>
          <w:szCs w:val="22"/>
        </w:rPr>
        <w:t>u</w:t>
      </w:r>
      <w:r w:rsidRPr="00C83045">
        <w:rPr>
          <w:color w:val="000000"/>
          <w:szCs w:val="22"/>
        </w:rPr>
        <w:t>.</w:t>
      </w:r>
    </w:p>
    <w:p w14:paraId="32367CAE" w14:textId="77777777" w:rsidR="00847D15" w:rsidRPr="00C83045" w:rsidRDefault="00847D15" w:rsidP="00D4304B">
      <w:pPr>
        <w:pStyle w:val="Footer"/>
        <w:widowControl w:val="0"/>
        <w:ind w:left="0" w:firstLine="0"/>
        <w:rPr>
          <w:color w:val="000000"/>
          <w:szCs w:val="22"/>
        </w:rPr>
      </w:pPr>
    </w:p>
    <w:p w14:paraId="32367CAF" w14:textId="77777777" w:rsidR="00847D15" w:rsidRPr="00C83045" w:rsidRDefault="00847D15" w:rsidP="00D4304B">
      <w:pPr>
        <w:widowControl w:val="0"/>
        <w:ind w:left="0" w:firstLine="0"/>
        <w:rPr>
          <w:color w:val="000000"/>
          <w:szCs w:val="22"/>
        </w:rPr>
      </w:pPr>
      <w:r w:rsidRPr="00C83045">
        <w:rPr>
          <w:color w:val="000000"/>
          <w:szCs w:val="22"/>
        </w:rPr>
        <w:t xml:space="preserve">Glivec </w:t>
      </w:r>
      <w:r w:rsidRPr="00C83045">
        <w:rPr>
          <w:i/>
          <w:color w:val="000000"/>
          <w:szCs w:val="22"/>
        </w:rPr>
        <w:t>in vitro</w:t>
      </w:r>
      <w:r w:rsidRPr="00C83045">
        <w:rPr>
          <w:color w:val="000000"/>
          <w:szCs w:val="22"/>
        </w:rPr>
        <w:t xml:space="preserve"> inhibuje aktivitu izoenzýmu CYP2D6 cytochrómu P450 v podobných koncentráciách, aké ovplyvňujú aktivitu CYP3A4. </w:t>
      </w:r>
      <w:r w:rsidR="00A85A31" w:rsidRPr="00C83045">
        <w:rPr>
          <w:color w:val="000000"/>
          <w:szCs w:val="22"/>
        </w:rPr>
        <w:t>Imatinib v dávke 400 mg dvakrát denne mal inhibičný účinok na metabolizmus metoprololu sprostredkovaný CYP2D6</w:t>
      </w:r>
      <w:r w:rsidR="00D46C3F" w:rsidRPr="00C83045">
        <w:rPr>
          <w:color w:val="000000"/>
          <w:szCs w:val="22"/>
        </w:rPr>
        <w:t>, so zvýšením C</w:t>
      </w:r>
      <w:r w:rsidR="00D46C3F" w:rsidRPr="00C83045">
        <w:rPr>
          <w:color w:val="000000"/>
          <w:szCs w:val="22"/>
          <w:vertAlign w:val="subscript"/>
        </w:rPr>
        <w:t>max</w:t>
      </w:r>
      <w:r w:rsidR="00D46C3F" w:rsidRPr="00C83045">
        <w:rPr>
          <w:color w:val="000000"/>
          <w:szCs w:val="22"/>
        </w:rPr>
        <w:t xml:space="preserve"> a AUC metoprololu približne o 23% (90% CI [1,16</w:t>
      </w:r>
      <w:r w:rsidR="00D46C3F" w:rsidRPr="00C83045">
        <w:rPr>
          <w:color w:val="000000"/>
          <w:szCs w:val="22"/>
        </w:rPr>
        <w:noBreakHyphen/>
        <w:t xml:space="preserve">1,30]). Úprava dávky sa nezdá byť potrebná, keď sa imatinib podáva súčasne so substrátmi CYP2D6, pri substrátoch CYP2D6 s úzkym </w:t>
      </w:r>
      <w:r w:rsidR="00C31855" w:rsidRPr="00C83045">
        <w:rPr>
          <w:color w:val="000000"/>
          <w:szCs w:val="22"/>
        </w:rPr>
        <w:t>terapeutický</w:t>
      </w:r>
      <w:r w:rsidR="00D46C3F" w:rsidRPr="00C83045">
        <w:rPr>
          <w:color w:val="000000"/>
          <w:szCs w:val="22"/>
        </w:rPr>
        <w:t>m oknom, ako je metoprolol, sa však odporúča opatrnosť. U pacientov liečených metoprololom sa má zvážiť klinické monitorovanie.</w:t>
      </w:r>
    </w:p>
    <w:p w14:paraId="32367CB0" w14:textId="77777777" w:rsidR="004E3A9C" w:rsidRPr="00C83045" w:rsidRDefault="004E3A9C" w:rsidP="00D4304B">
      <w:pPr>
        <w:widowControl w:val="0"/>
        <w:ind w:left="0" w:firstLine="0"/>
        <w:rPr>
          <w:color w:val="000000"/>
          <w:szCs w:val="22"/>
        </w:rPr>
      </w:pPr>
    </w:p>
    <w:p w14:paraId="32367CB1" w14:textId="77777777" w:rsidR="004E3A9C" w:rsidRPr="00C83045" w:rsidRDefault="004E3A9C" w:rsidP="00D4304B">
      <w:pPr>
        <w:widowControl w:val="0"/>
        <w:ind w:left="0" w:firstLine="0"/>
        <w:rPr>
          <w:color w:val="000000"/>
          <w:szCs w:val="22"/>
        </w:rPr>
      </w:pPr>
      <w:r w:rsidRPr="00C83045">
        <w:rPr>
          <w:color w:val="000000"/>
          <w:szCs w:val="22"/>
        </w:rPr>
        <w:t xml:space="preserve">Glivec </w:t>
      </w:r>
      <w:r w:rsidRPr="00C83045">
        <w:rPr>
          <w:i/>
          <w:color w:val="000000"/>
          <w:szCs w:val="22"/>
        </w:rPr>
        <w:t>in vitro</w:t>
      </w:r>
      <w:r w:rsidRPr="00C83045">
        <w:rPr>
          <w:color w:val="000000"/>
          <w:szCs w:val="22"/>
        </w:rPr>
        <w:t xml:space="preserve"> inhibuje O-glukuronidáciu paracetamolu </w:t>
      </w:r>
      <w:r w:rsidR="00DB505C" w:rsidRPr="00C83045">
        <w:rPr>
          <w:color w:val="000000"/>
          <w:szCs w:val="22"/>
        </w:rPr>
        <w:t xml:space="preserve">s </w:t>
      </w:r>
      <w:r w:rsidRPr="00C83045">
        <w:rPr>
          <w:color w:val="000000"/>
          <w:szCs w:val="22"/>
        </w:rPr>
        <w:t>hodnot</w:t>
      </w:r>
      <w:r w:rsidR="00DB505C" w:rsidRPr="00C83045">
        <w:rPr>
          <w:color w:val="000000"/>
          <w:szCs w:val="22"/>
        </w:rPr>
        <w:t>ou</w:t>
      </w:r>
      <w:r w:rsidRPr="00C83045">
        <w:rPr>
          <w:color w:val="000000"/>
          <w:szCs w:val="22"/>
        </w:rPr>
        <w:t xml:space="preserve"> Ki 58,5 mikromol/l</w:t>
      </w:r>
      <w:r w:rsidR="00DB505C" w:rsidRPr="00C83045">
        <w:rPr>
          <w:color w:val="000000"/>
          <w:szCs w:val="22"/>
        </w:rPr>
        <w:t xml:space="preserve">. Táto inhibícia sa nepozorovala </w:t>
      </w:r>
      <w:r w:rsidR="00DB505C" w:rsidRPr="00C83045">
        <w:rPr>
          <w:i/>
          <w:color w:val="000000"/>
          <w:szCs w:val="22"/>
        </w:rPr>
        <w:t>in vivo</w:t>
      </w:r>
      <w:r w:rsidR="00DB505C" w:rsidRPr="00C83045">
        <w:rPr>
          <w:color w:val="000000"/>
          <w:szCs w:val="22"/>
        </w:rPr>
        <w:t xml:space="preserve"> po podaní Glivecu 400 mg a 1000 mg paracetamolu. Vyššie dávky </w:t>
      </w:r>
      <w:r w:rsidR="00687D71" w:rsidRPr="00C83045">
        <w:rPr>
          <w:color w:val="000000"/>
          <w:szCs w:val="22"/>
        </w:rPr>
        <w:t>Glivecu a paracetamolu sa nesledovali.</w:t>
      </w:r>
    </w:p>
    <w:p w14:paraId="32367CB2" w14:textId="77777777" w:rsidR="00DB505C" w:rsidRPr="00C83045" w:rsidRDefault="00DB505C" w:rsidP="00D4304B">
      <w:pPr>
        <w:widowControl w:val="0"/>
        <w:ind w:left="0" w:firstLine="0"/>
        <w:rPr>
          <w:color w:val="000000"/>
          <w:szCs w:val="22"/>
        </w:rPr>
      </w:pPr>
    </w:p>
    <w:p w14:paraId="32367CB3" w14:textId="77777777" w:rsidR="004E3A9C" w:rsidRPr="00C83045" w:rsidRDefault="004E3A9C" w:rsidP="00D4304B">
      <w:pPr>
        <w:widowControl w:val="0"/>
        <w:ind w:left="0" w:firstLine="0"/>
        <w:rPr>
          <w:color w:val="000000"/>
          <w:szCs w:val="22"/>
        </w:rPr>
      </w:pPr>
      <w:r w:rsidRPr="00C83045">
        <w:rPr>
          <w:color w:val="000000"/>
          <w:szCs w:val="22"/>
        </w:rPr>
        <w:t xml:space="preserve">Preto je potrebná opatrnosť pri súčasnom používaní </w:t>
      </w:r>
      <w:r w:rsidR="00687D71" w:rsidRPr="00C83045">
        <w:rPr>
          <w:color w:val="000000"/>
          <w:szCs w:val="22"/>
        </w:rPr>
        <w:t xml:space="preserve">vysokých dávok </w:t>
      </w:r>
      <w:r w:rsidRPr="00C83045">
        <w:rPr>
          <w:color w:val="000000"/>
          <w:szCs w:val="22"/>
        </w:rPr>
        <w:t>Glivecu a paracetamolu.</w:t>
      </w:r>
    </w:p>
    <w:p w14:paraId="32367CB4" w14:textId="77777777" w:rsidR="004E3A9C" w:rsidRPr="00C83045" w:rsidRDefault="004E3A9C" w:rsidP="00D4304B">
      <w:pPr>
        <w:widowControl w:val="0"/>
        <w:ind w:left="0" w:firstLine="0"/>
        <w:rPr>
          <w:color w:val="000000"/>
          <w:szCs w:val="22"/>
        </w:rPr>
      </w:pPr>
    </w:p>
    <w:p w14:paraId="32367CB5" w14:textId="77777777" w:rsidR="0081705D" w:rsidRPr="00C83045" w:rsidRDefault="004E3A9C" w:rsidP="00D4304B">
      <w:pPr>
        <w:widowControl w:val="0"/>
        <w:ind w:left="0" w:firstLine="0"/>
        <w:rPr>
          <w:color w:val="000000"/>
          <w:szCs w:val="22"/>
        </w:rPr>
      </w:pPr>
      <w:r w:rsidRPr="00C83045">
        <w:rPr>
          <w:color w:val="000000"/>
          <w:szCs w:val="22"/>
        </w:rPr>
        <w:t xml:space="preserve">U pacientov </w:t>
      </w:r>
      <w:r w:rsidR="00AC5D40" w:rsidRPr="00C83045">
        <w:rPr>
          <w:color w:val="000000"/>
          <w:szCs w:val="22"/>
        </w:rPr>
        <w:t xml:space="preserve">po tyreoidektómii, ktorí dostávajú levotyroxín, sa pri súčasnom podávaní Glivecu môže znížiť expozícia levotyroxínu v plazme (pozri časť 4.4). Preto sa odporúča opatrnosť. </w:t>
      </w:r>
      <w:r w:rsidR="00F14902" w:rsidRPr="00C83045">
        <w:rPr>
          <w:color w:val="000000"/>
          <w:szCs w:val="22"/>
        </w:rPr>
        <w:t>Mechanizmus pozorovanej interakcie však v súčasnosti nie je známy.</w:t>
      </w:r>
    </w:p>
    <w:p w14:paraId="32367CB6" w14:textId="77777777" w:rsidR="00F14902" w:rsidRPr="00C83045" w:rsidRDefault="00F14902" w:rsidP="00D4304B">
      <w:pPr>
        <w:widowControl w:val="0"/>
        <w:ind w:left="0" w:firstLine="0"/>
        <w:rPr>
          <w:color w:val="000000"/>
          <w:szCs w:val="22"/>
        </w:rPr>
      </w:pPr>
    </w:p>
    <w:p w14:paraId="32367CB7" w14:textId="77777777" w:rsidR="0081705D" w:rsidRPr="00C83045" w:rsidRDefault="0081705D" w:rsidP="00D4304B">
      <w:pPr>
        <w:widowControl w:val="0"/>
        <w:ind w:left="0" w:firstLine="0"/>
        <w:rPr>
          <w:color w:val="000000"/>
          <w:szCs w:val="22"/>
        </w:rPr>
      </w:pPr>
      <w:r w:rsidRPr="00C83045">
        <w:rPr>
          <w:color w:val="000000"/>
          <w:szCs w:val="22"/>
        </w:rPr>
        <w:t>Klinické skúsenosti so súčasným podávaním Glivecu a chemoterapie sú u pacientov s Ph+ </w:t>
      </w:r>
      <w:smartTag w:uri="urn:schemas-microsoft-com:office:smarttags" w:element="stockticker">
        <w:r w:rsidRPr="00C83045">
          <w:rPr>
            <w:color w:val="000000"/>
            <w:szCs w:val="22"/>
          </w:rPr>
          <w:t>ALL</w:t>
        </w:r>
      </w:smartTag>
      <w:r w:rsidRPr="00C83045">
        <w:rPr>
          <w:color w:val="000000"/>
          <w:szCs w:val="22"/>
        </w:rPr>
        <w:t xml:space="preserve"> (pozri časť 5.1), ale liekové interakcie medzi imatinibom a režimami chemoterapie nie sú uspokojivo opísané. Nežiaduce udalosti pri imatinibe, napr. hepatotoxicita, myelosupresia alebo iné, sa môžu zhoršiť a vyskytli sa správy o tom, že súčasné použitie s L-asparaginázou sa môže spájať so zvýšenou hepatotoxicitou (pozri časť 4.8). Preto použitie Glivecu v kombinácii vyžaduje mimoriadnu opatrnosť.</w:t>
      </w:r>
    </w:p>
    <w:p w14:paraId="32367CB8" w14:textId="77777777" w:rsidR="00847D15" w:rsidRPr="00C83045" w:rsidRDefault="00847D15" w:rsidP="00D4304B">
      <w:pPr>
        <w:widowControl w:val="0"/>
        <w:ind w:left="0" w:firstLine="0"/>
        <w:rPr>
          <w:color w:val="000000"/>
          <w:szCs w:val="22"/>
        </w:rPr>
      </w:pPr>
    </w:p>
    <w:p w14:paraId="32367CB9" w14:textId="77777777" w:rsidR="00847D15" w:rsidRPr="00C83045" w:rsidRDefault="00847D15" w:rsidP="00D4304B">
      <w:pPr>
        <w:keepNext/>
        <w:widowControl w:val="0"/>
        <w:rPr>
          <w:b/>
          <w:color w:val="000000"/>
          <w:szCs w:val="22"/>
        </w:rPr>
      </w:pPr>
      <w:r w:rsidRPr="00C83045">
        <w:rPr>
          <w:b/>
          <w:color w:val="000000"/>
          <w:szCs w:val="22"/>
        </w:rPr>
        <w:t>4.6</w:t>
      </w:r>
      <w:r w:rsidRPr="00C83045">
        <w:rPr>
          <w:b/>
          <w:color w:val="000000"/>
          <w:szCs w:val="22"/>
        </w:rPr>
        <w:tab/>
      </w:r>
      <w:r w:rsidR="005E3AFC" w:rsidRPr="00C83045">
        <w:rPr>
          <w:b/>
          <w:noProof/>
          <w:color w:val="000000"/>
          <w:szCs w:val="22"/>
        </w:rPr>
        <w:t>Fertilita, g</w:t>
      </w:r>
      <w:r w:rsidRPr="00C83045">
        <w:rPr>
          <w:b/>
          <w:color w:val="000000"/>
          <w:szCs w:val="22"/>
        </w:rPr>
        <w:t>ravidita a laktácia</w:t>
      </w:r>
    </w:p>
    <w:p w14:paraId="32367CBA" w14:textId="77777777" w:rsidR="00847D15" w:rsidRPr="00C83045" w:rsidRDefault="00847D15" w:rsidP="00D4304B">
      <w:pPr>
        <w:keepNext/>
        <w:widowControl w:val="0"/>
        <w:rPr>
          <w:color w:val="000000"/>
          <w:szCs w:val="22"/>
        </w:rPr>
      </w:pPr>
    </w:p>
    <w:p w14:paraId="32367CBB" w14:textId="77777777" w:rsidR="00B12DB5" w:rsidRPr="00C83045" w:rsidRDefault="00873C68" w:rsidP="00D4304B">
      <w:pPr>
        <w:pStyle w:val="EndnoteText"/>
        <w:keepNext/>
        <w:widowControl w:val="0"/>
        <w:rPr>
          <w:color w:val="000000"/>
          <w:szCs w:val="22"/>
          <w:u w:val="single"/>
          <w:lang w:val="sk-SK"/>
        </w:rPr>
      </w:pPr>
      <w:r w:rsidRPr="00C83045">
        <w:rPr>
          <w:color w:val="000000"/>
          <w:szCs w:val="22"/>
          <w:u w:val="single"/>
          <w:lang w:val="sk-SK"/>
        </w:rPr>
        <w:t>Ženy v</w:t>
      </w:r>
      <w:r w:rsidR="00A22B8F" w:rsidRPr="00C83045">
        <w:rPr>
          <w:color w:val="000000"/>
          <w:szCs w:val="22"/>
          <w:u w:val="single"/>
          <w:lang w:val="sk-SK"/>
        </w:rPr>
        <w:t>o fertilnom veku</w:t>
      </w:r>
    </w:p>
    <w:p w14:paraId="32367CBC" w14:textId="77777777" w:rsidR="00A22B8F" w:rsidRPr="00C83045" w:rsidRDefault="00A22B8F" w:rsidP="00D4304B">
      <w:pPr>
        <w:widowControl w:val="0"/>
        <w:ind w:left="0" w:firstLine="0"/>
        <w:rPr>
          <w:color w:val="000000"/>
          <w:szCs w:val="22"/>
        </w:rPr>
      </w:pPr>
      <w:r w:rsidRPr="00C83045">
        <w:rPr>
          <w:color w:val="000000"/>
          <w:szCs w:val="22"/>
        </w:rPr>
        <w:t xml:space="preserve">Ženy vo fertilnom veku je nutné poučiť, aby počas liečby </w:t>
      </w:r>
      <w:r w:rsidR="00811D25">
        <w:rPr>
          <w:color w:val="000000"/>
          <w:szCs w:val="22"/>
        </w:rPr>
        <w:t>a najmenej 15</w:t>
      </w:r>
      <w:r w:rsidR="004A2C12">
        <w:rPr>
          <w:color w:val="000000"/>
          <w:szCs w:val="22"/>
        </w:rPr>
        <w:t> </w:t>
      </w:r>
      <w:r w:rsidR="00811D25">
        <w:rPr>
          <w:color w:val="000000"/>
          <w:szCs w:val="22"/>
        </w:rPr>
        <w:t>dní po ukončení liečby Glivecom</w:t>
      </w:r>
      <w:r w:rsidR="00811D25" w:rsidRPr="00C83045">
        <w:rPr>
          <w:color w:val="000000"/>
          <w:szCs w:val="22"/>
        </w:rPr>
        <w:t xml:space="preserve"> </w:t>
      </w:r>
      <w:r w:rsidRPr="00C83045">
        <w:rPr>
          <w:color w:val="000000"/>
          <w:szCs w:val="22"/>
        </w:rPr>
        <w:t>používali účinnú antikoncepciu.</w:t>
      </w:r>
    </w:p>
    <w:p w14:paraId="32367CBD" w14:textId="77777777" w:rsidR="00B12DB5" w:rsidRPr="00C83045" w:rsidRDefault="00B12DB5" w:rsidP="00D4304B">
      <w:pPr>
        <w:pStyle w:val="Heading2"/>
        <w:keepNext w:val="0"/>
        <w:widowControl w:val="0"/>
        <w:autoSpaceDE/>
        <w:autoSpaceDN/>
        <w:rPr>
          <w:b w:val="0"/>
          <w:i w:val="0"/>
          <w:color w:val="000000"/>
          <w:sz w:val="22"/>
          <w:szCs w:val="22"/>
          <w:u w:val="single"/>
        </w:rPr>
      </w:pPr>
    </w:p>
    <w:p w14:paraId="32367CBE" w14:textId="77777777" w:rsidR="00847D15" w:rsidRPr="00C83045" w:rsidRDefault="00847D15" w:rsidP="00D4304B">
      <w:pPr>
        <w:pStyle w:val="Heading2"/>
        <w:widowControl w:val="0"/>
        <w:autoSpaceDE/>
        <w:autoSpaceDN/>
        <w:rPr>
          <w:b w:val="0"/>
          <w:i w:val="0"/>
          <w:color w:val="000000"/>
          <w:sz w:val="22"/>
          <w:szCs w:val="22"/>
          <w:u w:val="single"/>
        </w:rPr>
      </w:pPr>
      <w:r w:rsidRPr="00C83045">
        <w:rPr>
          <w:b w:val="0"/>
          <w:i w:val="0"/>
          <w:color w:val="000000"/>
          <w:sz w:val="22"/>
          <w:szCs w:val="22"/>
          <w:u w:val="single"/>
        </w:rPr>
        <w:t>Gravidita</w:t>
      </w:r>
    </w:p>
    <w:p w14:paraId="32367CBF" w14:textId="79F04A45" w:rsidR="006114B8" w:rsidRPr="00C83045" w:rsidRDefault="00B66136" w:rsidP="00D4304B">
      <w:pPr>
        <w:widowControl w:val="0"/>
        <w:ind w:left="0" w:firstLine="0"/>
        <w:rPr>
          <w:color w:val="000000"/>
          <w:szCs w:val="22"/>
        </w:rPr>
      </w:pPr>
      <w:r w:rsidRPr="00C83045">
        <w:rPr>
          <w:color w:val="000000"/>
          <w:szCs w:val="22"/>
        </w:rPr>
        <w:t>Ú</w:t>
      </w:r>
      <w:r w:rsidR="00C6653A" w:rsidRPr="00C83045">
        <w:rPr>
          <w:color w:val="000000"/>
          <w:szCs w:val="22"/>
        </w:rPr>
        <w:t>daje o použití imatinibu u gravidných žien</w:t>
      </w:r>
      <w:r w:rsidRPr="00C83045">
        <w:rPr>
          <w:color w:val="000000"/>
          <w:szCs w:val="22"/>
        </w:rPr>
        <w:t xml:space="preserve"> sú obmedzené</w:t>
      </w:r>
      <w:r w:rsidR="00C6653A" w:rsidRPr="00C83045">
        <w:rPr>
          <w:color w:val="000000"/>
          <w:szCs w:val="22"/>
        </w:rPr>
        <w:t xml:space="preserve">. </w:t>
      </w:r>
      <w:r w:rsidR="00CF2A8B">
        <w:rPr>
          <w:color w:val="000000"/>
          <w:szCs w:val="22"/>
        </w:rPr>
        <w:t>Po uvedení lieku na trh boli u žien užívajúcich Glivec zaznamenané spontánne potraty a vrodené anomálie detí</w:t>
      </w:r>
      <w:r w:rsidR="00CF2A8B">
        <w:t>.</w:t>
      </w:r>
      <w:r w:rsidR="00CF2A8B">
        <w:rPr>
          <w:color w:val="FF0000"/>
        </w:rPr>
        <w:t xml:space="preserve"> </w:t>
      </w:r>
      <w:r w:rsidR="00C6653A" w:rsidRPr="00C83045">
        <w:rPr>
          <w:color w:val="000000"/>
          <w:szCs w:val="22"/>
        </w:rPr>
        <w:t>Štúdie na zvieratách však preukázali reprodukčnú toxicitu (pozri časť</w:t>
      </w:r>
      <w:r w:rsidR="004A2C12">
        <w:rPr>
          <w:color w:val="000000"/>
          <w:szCs w:val="22"/>
        </w:rPr>
        <w:t> </w:t>
      </w:r>
      <w:r w:rsidR="00C6653A" w:rsidRPr="00C83045">
        <w:rPr>
          <w:color w:val="000000"/>
          <w:szCs w:val="22"/>
        </w:rPr>
        <w:t>5.3) a nie jen známe potenciálne riziko pre plod. Glivec sa nemá užívať počas gravidity, pokiaľ to nie je jednoznačne potrebné. Ak sa použije počas gravidity, pacientka sa musí oboznámiť s prípadným rizikom pre plod.</w:t>
      </w:r>
    </w:p>
    <w:p w14:paraId="32367CC0" w14:textId="77777777" w:rsidR="00847D15" w:rsidRPr="00C83045" w:rsidRDefault="00847D15" w:rsidP="00D4304B">
      <w:pPr>
        <w:widowControl w:val="0"/>
        <w:ind w:left="0" w:firstLine="0"/>
        <w:rPr>
          <w:color w:val="000000"/>
          <w:szCs w:val="22"/>
        </w:rPr>
      </w:pPr>
    </w:p>
    <w:p w14:paraId="32367CC1" w14:textId="77777777" w:rsidR="00847D15" w:rsidRPr="006F7F96" w:rsidRDefault="00EF2B45" w:rsidP="00D4304B">
      <w:pPr>
        <w:pStyle w:val="EndnoteText"/>
        <w:keepNext/>
        <w:widowControl w:val="0"/>
        <w:rPr>
          <w:color w:val="000000"/>
          <w:u w:val="single"/>
          <w:lang w:val="sk-SK"/>
        </w:rPr>
      </w:pPr>
      <w:r w:rsidRPr="006F7F96">
        <w:rPr>
          <w:color w:val="000000"/>
          <w:u w:val="single"/>
          <w:lang w:val="sk-SK"/>
        </w:rPr>
        <w:t>Dojčenie</w:t>
      </w:r>
    </w:p>
    <w:p w14:paraId="32367CC2" w14:textId="26A50431" w:rsidR="00B64392" w:rsidRPr="00C83045" w:rsidRDefault="00D81583" w:rsidP="00D4304B">
      <w:pPr>
        <w:widowControl w:val="0"/>
        <w:ind w:left="0" w:firstLine="0"/>
        <w:rPr>
          <w:color w:val="000000"/>
          <w:szCs w:val="22"/>
        </w:rPr>
      </w:pPr>
      <w:r w:rsidRPr="00C83045">
        <w:rPr>
          <w:color w:val="000000"/>
          <w:szCs w:val="22"/>
        </w:rPr>
        <w:t>Údaje o distribúcii imatinibu do ľudského mlieka sú obmedzené. Štúdie u dvoch dojčiacich žien ukázali, že i</w:t>
      </w:r>
      <w:r w:rsidR="00B64392" w:rsidRPr="00C83045">
        <w:rPr>
          <w:color w:val="000000"/>
          <w:szCs w:val="22"/>
        </w:rPr>
        <w:t xml:space="preserve">matinib aj jeho aktívny metabolit sa môžu distribuovať do ľudského mlieka. Stanovená hodnota pomeru v mlieku a plazme </w:t>
      </w:r>
      <w:r w:rsidRPr="00C83045">
        <w:rPr>
          <w:color w:val="000000"/>
          <w:szCs w:val="22"/>
        </w:rPr>
        <w:t xml:space="preserve">skúmaná u jednej pacientky </w:t>
      </w:r>
      <w:r w:rsidR="00B64392" w:rsidRPr="00C83045">
        <w:rPr>
          <w:color w:val="000000"/>
          <w:szCs w:val="22"/>
        </w:rPr>
        <w:t xml:space="preserve">bola 0,5 pre imatinib a 0,9 pre metabolit, čo naznačuje väčšiu distribúciu metabolitu do mlieka. </w:t>
      </w:r>
      <w:r w:rsidR="006C7491" w:rsidRPr="00C83045">
        <w:rPr>
          <w:color w:val="000000"/>
          <w:szCs w:val="22"/>
        </w:rPr>
        <w:t>Ak</w:t>
      </w:r>
      <w:r w:rsidR="00B64392" w:rsidRPr="00C83045">
        <w:rPr>
          <w:color w:val="000000"/>
          <w:szCs w:val="22"/>
        </w:rPr>
        <w:t xml:space="preserve"> sa </w:t>
      </w:r>
      <w:r w:rsidR="006C7491" w:rsidRPr="00C83045">
        <w:rPr>
          <w:color w:val="000000"/>
          <w:szCs w:val="22"/>
        </w:rPr>
        <w:t>z</w:t>
      </w:r>
      <w:r w:rsidR="00B64392" w:rsidRPr="00C83045">
        <w:rPr>
          <w:color w:val="000000"/>
          <w:szCs w:val="22"/>
        </w:rPr>
        <w:t>váži kombinovaná koncentrácia imatinibu a metabolitu a</w:t>
      </w:r>
      <w:r w:rsidR="002E04BC" w:rsidRPr="00C83045">
        <w:rPr>
          <w:color w:val="000000"/>
          <w:szCs w:val="22"/>
        </w:rPr>
        <w:t> </w:t>
      </w:r>
      <w:r w:rsidR="00B64392" w:rsidRPr="00C83045">
        <w:rPr>
          <w:color w:val="000000"/>
          <w:szCs w:val="22"/>
        </w:rPr>
        <w:t>maximáln</w:t>
      </w:r>
      <w:r w:rsidR="002E04BC" w:rsidRPr="00C83045">
        <w:rPr>
          <w:color w:val="000000"/>
          <w:szCs w:val="22"/>
        </w:rPr>
        <w:t xml:space="preserve">y denný príjem mlieka dojčatami, celková očakávaná expozícia by bola nízka (~10% </w:t>
      </w:r>
      <w:r w:rsidR="002E04BC" w:rsidRPr="00583DD0">
        <w:rPr>
          <w:color w:val="000000"/>
          <w:szCs w:val="22"/>
        </w:rPr>
        <w:t xml:space="preserve">terapeutickej dávky). Pretože účinky expozície dojčaťa nízkym dávkam imatinibu nie sú známe, ženy </w:t>
      </w:r>
      <w:r w:rsidR="00A64CDA" w:rsidRPr="00CD056A">
        <w:rPr>
          <w:color w:val="000000"/>
          <w:szCs w:val="22"/>
        </w:rPr>
        <w:t>počas</w:t>
      </w:r>
      <w:r w:rsidR="00A64CDA" w:rsidRPr="00583DD0">
        <w:rPr>
          <w:color w:val="000000"/>
          <w:szCs w:val="22"/>
        </w:rPr>
        <w:t xml:space="preserve"> liečby </w:t>
      </w:r>
      <w:r w:rsidR="00BC130B" w:rsidRPr="00583DD0">
        <w:rPr>
          <w:color w:val="000000"/>
          <w:szCs w:val="22"/>
        </w:rPr>
        <w:t>a najmenej 15</w:t>
      </w:r>
      <w:r w:rsidR="004A2C12" w:rsidRPr="00583DD0">
        <w:rPr>
          <w:color w:val="000000"/>
          <w:szCs w:val="22"/>
        </w:rPr>
        <w:t> </w:t>
      </w:r>
      <w:r w:rsidR="00BC130B" w:rsidRPr="00583DD0">
        <w:rPr>
          <w:color w:val="000000"/>
          <w:szCs w:val="22"/>
        </w:rPr>
        <w:t>dní po ukončení</w:t>
      </w:r>
      <w:r w:rsidR="00A64CDA" w:rsidRPr="00583DD0">
        <w:rPr>
          <w:color w:val="000000"/>
          <w:szCs w:val="22"/>
        </w:rPr>
        <w:t xml:space="preserve"> liečby Glivecom </w:t>
      </w:r>
      <w:r w:rsidR="002E04BC" w:rsidRPr="00583DD0">
        <w:rPr>
          <w:color w:val="000000"/>
          <w:szCs w:val="22"/>
        </w:rPr>
        <w:t>nemajú dojčiť.</w:t>
      </w:r>
    </w:p>
    <w:p w14:paraId="32367CC3" w14:textId="77777777" w:rsidR="00C6653A" w:rsidRPr="00C83045" w:rsidRDefault="00C6653A" w:rsidP="00D4304B">
      <w:pPr>
        <w:pStyle w:val="EndnoteText"/>
        <w:widowControl w:val="0"/>
        <w:rPr>
          <w:color w:val="000000"/>
          <w:u w:val="single"/>
          <w:lang w:val="sk-SK"/>
        </w:rPr>
      </w:pPr>
    </w:p>
    <w:p w14:paraId="32367CC4" w14:textId="77777777" w:rsidR="00C6653A" w:rsidRPr="00C83045" w:rsidRDefault="00C6653A" w:rsidP="00D4304B">
      <w:pPr>
        <w:pStyle w:val="EndnoteText"/>
        <w:keepNext/>
        <w:widowControl w:val="0"/>
        <w:rPr>
          <w:color w:val="000000"/>
          <w:u w:val="single"/>
          <w:lang w:val="sk-SK"/>
        </w:rPr>
      </w:pPr>
      <w:r w:rsidRPr="00C83045">
        <w:rPr>
          <w:color w:val="000000"/>
          <w:u w:val="single"/>
          <w:lang w:val="sk-SK"/>
        </w:rPr>
        <w:t>Fertilita</w:t>
      </w:r>
    </w:p>
    <w:p w14:paraId="32367CC5" w14:textId="239E886B" w:rsidR="00C6653A" w:rsidRPr="00C83045" w:rsidRDefault="006114B8" w:rsidP="00D4304B">
      <w:pPr>
        <w:widowControl w:val="0"/>
        <w:ind w:left="0" w:firstLine="0"/>
        <w:rPr>
          <w:color w:val="000000"/>
          <w:szCs w:val="22"/>
        </w:rPr>
      </w:pPr>
      <w:r w:rsidRPr="00C83045">
        <w:t>V predklinických štúdiách nebola ovplyvnená fertilita samcov a samíc potkana</w:t>
      </w:r>
      <w:r w:rsidR="00A64CDA">
        <w:t>, hoci boli pozorované účinky na reprodukčné parametre</w:t>
      </w:r>
      <w:r w:rsidRPr="00C83045">
        <w:t xml:space="preserve"> (pozri časť</w:t>
      </w:r>
      <w:r w:rsidR="004A2C12">
        <w:t> </w:t>
      </w:r>
      <w:r w:rsidRPr="00C83045">
        <w:t xml:space="preserve">5.3). </w:t>
      </w:r>
      <w:r w:rsidR="00403AC4" w:rsidRPr="00C83045">
        <w:t xml:space="preserve">Štúdie o pacientoch užívajúcich Glivec a jeho účinku na fertilitu a gametogenézu sa nevykonali. </w:t>
      </w:r>
      <w:r w:rsidR="00C6653A" w:rsidRPr="00C83045">
        <w:t>Pacienti, ktorých znepokojuje ich fertilita počas liečby Glivecom, sa majú poradiť so svojím lekárom.</w:t>
      </w:r>
    </w:p>
    <w:p w14:paraId="32367CC6" w14:textId="77777777" w:rsidR="00C6653A" w:rsidRPr="006F7F96" w:rsidRDefault="00C6653A" w:rsidP="00D4304B">
      <w:pPr>
        <w:widowControl w:val="0"/>
        <w:rPr>
          <w:bCs/>
          <w:color w:val="000000"/>
          <w:szCs w:val="22"/>
        </w:rPr>
      </w:pPr>
    </w:p>
    <w:p w14:paraId="32367CC7" w14:textId="77777777" w:rsidR="00847D15" w:rsidRPr="00C83045" w:rsidRDefault="00847D15" w:rsidP="00D4304B">
      <w:pPr>
        <w:keepNext/>
        <w:widowControl w:val="0"/>
        <w:rPr>
          <w:b/>
          <w:bCs/>
          <w:color w:val="000000"/>
          <w:szCs w:val="22"/>
        </w:rPr>
      </w:pPr>
      <w:r w:rsidRPr="00C83045">
        <w:rPr>
          <w:b/>
          <w:bCs/>
          <w:color w:val="000000"/>
          <w:szCs w:val="22"/>
        </w:rPr>
        <w:t>4.7</w:t>
      </w:r>
      <w:r w:rsidRPr="00C83045">
        <w:rPr>
          <w:b/>
          <w:bCs/>
          <w:color w:val="000000"/>
          <w:szCs w:val="22"/>
        </w:rPr>
        <w:tab/>
        <w:t>Ovplyvnenie schopnosti viesť vozidlá a obsluhovať stroje</w:t>
      </w:r>
    </w:p>
    <w:p w14:paraId="32367CC8" w14:textId="77777777" w:rsidR="00847D15" w:rsidRPr="00C83045" w:rsidRDefault="00847D15" w:rsidP="00D4304B">
      <w:pPr>
        <w:keepNext/>
        <w:widowControl w:val="0"/>
        <w:tabs>
          <w:tab w:val="left" w:pos="360"/>
        </w:tabs>
        <w:rPr>
          <w:bCs/>
          <w:color w:val="000000"/>
          <w:szCs w:val="22"/>
        </w:rPr>
      </w:pPr>
    </w:p>
    <w:p w14:paraId="32367CC9" w14:textId="77777777" w:rsidR="00C6653A" w:rsidRPr="00C83045" w:rsidRDefault="00C6653A" w:rsidP="00D4304B">
      <w:pPr>
        <w:widowControl w:val="0"/>
        <w:ind w:left="0" w:firstLine="0"/>
        <w:rPr>
          <w:color w:val="000000"/>
          <w:szCs w:val="22"/>
        </w:rPr>
      </w:pPr>
      <w:r w:rsidRPr="00C83045">
        <w:rPr>
          <w:color w:val="000000"/>
          <w:szCs w:val="22"/>
        </w:rPr>
        <w:t>Pacienti sa majú upozorniť na možný výskyt nežiaducich účinkov počas liečby imatinibom, ako sú závraty, neostré videnie alebo somnolencia. Preto sa odporúča opatrnosť pri vedení vozidla alebo obsluhe strojov.</w:t>
      </w:r>
    </w:p>
    <w:p w14:paraId="32367CCA" w14:textId="77777777" w:rsidR="00847D15" w:rsidRPr="00C83045" w:rsidRDefault="00847D15" w:rsidP="00D4304B">
      <w:pPr>
        <w:widowControl w:val="0"/>
        <w:rPr>
          <w:bCs/>
          <w:color w:val="000000"/>
          <w:szCs w:val="22"/>
        </w:rPr>
      </w:pPr>
    </w:p>
    <w:p w14:paraId="32367CCB" w14:textId="77777777" w:rsidR="00847D15" w:rsidRPr="00C83045" w:rsidRDefault="00847D15" w:rsidP="00D4304B">
      <w:pPr>
        <w:keepNext/>
        <w:widowControl w:val="0"/>
        <w:rPr>
          <w:b/>
          <w:bCs/>
          <w:color w:val="000000"/>
          <w:szCs w:val="22"/>
        </w:rPr>
      </w:pPr>
      <w:r w:rsidRPr="00C83045">
        <w:rPr>
          <w:b/>
          <w:bCs/>
          <w:color w:val="000000"/>
          <w:szCs w:val="22"/>
        </w:rPr>
        <w:t>4.8</w:t>
      </w:r>
      <w:r w:rsidRPr="00C83045">
        <w:rPr>
          <w:b/>
          <w:bCs/>
          <w:color w:val="000000"/>
          <w:szCs w:val="22"/>
        </w:rPr>
        <w:tab/>
        <w:t>Nežiaduce účinky</w:t>
      </w:r>
    </w:p>
    <w:p w14:paraId="32367CCC" w14:textId="77777777" w:rsidR="00847D15" w:rsidRPr="00C83045" w:rsidRDefault="00847D15" w:rsidP="00D4304B">
      <w:pPr>
        <w:keepNext/>
        <w:widowControl w:val="0"/>
        <w:rPr>
          <w:bCs/>
          <w:color w:val="000000"/>
          <w:szCs w:val="22"/>
        </w:rPr>
      </w:pPr>
    </w:p>
    <w:p w14:paraId="32367CCD" w14:textId="77777777" w:rsidR="00847D15" w:rsidRPr="00C83045" w:rsidRDefault="00847D15" w:rsidP="00D4304B">
      <w:pPr>
        <w:widowControl w:val="0"/>
        <w:ind w:left="0" w:firstLine="0"/>
        <w:rPr>
          <w:color w:val="000000"/>
          <w:szCs w:val="22"/>
        </w:rPr>
      </w:pPr>
      <w:r w:rsidRPr="00C83045">
        <w:rPr>
          <w:color w:val="000000"/>
          <w:szCs w:val="22"/>
        </w:rPr>
        <w:t xml:space="preserve">U pacientov v pokročilých štádiách </w:t>
      </w:r>
      <w:r w:rsidR="0081705D" w:rsidRPr="00C83045">
        <w:rPr>
          <w:color w:val="000000"/>
          <w:szCs w:val="22"/>
        </w:rPr>
        <w:t xml:space="preserve">malignít </w:t>
      </w:r>
      <w:r w:rsidRPr="00C83045">
        <w:rPr>
          <w:color w:val="000000"/>
          <w:szCs w:val="22"/>
        </w:rPr>
        <w:t xml:space="preserve">sa môže vyskytovať mnoho komplikovaných stavov, ktoré sťažujú stanovenie kauzality nežiaducich </w:t>
      </w:r>
      <w:r w:rsidR="00000764" w:rsidRPr="00C83045">
        <w:rPr>
          <w:color w:val="000000"/>
          <w:szCs w:val="22"/>
        </w:rPr>
        <w:t>reakcií</w:t>
      </w:r>
      <w:r w:rsidRPr="00C83045">
        <w:rPr>
          <w:color w:val="000000"/>
          <w:szCs w:val="22"/>
        </w:rPr>
        <w:t xml:space="preserve"> pre rôznorodosť príznakov súvisiacich so základným ochorením, progresiu základného ochorenia a súčasné podávanie početných liekov.</w:t>
      </w:r>
    </w:p>
    <w:p w14:paraId="32367CCE" w14:textId="77777777" w:rsidR="00847D15" w:rsidRPr="00C83045" w:rsidRDefault="00847D15" w:rsidP="00D4304B">
      <w:pPr>
        <w:widowControl w:val="0"/>
        <w:ind w:left="0" w:firstLine="0"/>
        <w:rPr>
          <w:color w:val="000000"/>
          <w:szCs w:val="22"/>
        </w:rPr>
      </w:pPr>
    </w:p>
    <w:p w14:paraId="32367CCF" w14:textId="77777777" w:rsidR="00847D15" w:rsidRPr="00C83045" w:rsidRDefault="00847D15" w:rsidP="00D4304B">
      <w:pPr>
        <w:widowControl w:val="0"/>
        <w:ind w:left="0" w:firstLine="0"/>
        <w:rPr>
          <w:color w:val="000000"/>
          <w:szCs w:val="22"/>
        </w:rPr>
      </w:pPr>
      <w:r w:rsidRPr="00C83045">
        <w:rPr>
          <w:color w:val="000000"/>
          <w:szCs w:val="22"/>
        </w:rPr>
        <w:t xml:space="preserve">V klinických skúšaniach </w:t>
      </w:r>
      <w:r w:rsidR="00000764" w:rsidRPr="00C83045">
        <w:rPr>
          <w:color w:val="000000"/>
          <w:szCs w:val="22"/>
        </w:rPr>
        <w:t xml:space="preserve">pri CML </w:t>
      </w:r>
      <w:r w:rsidRPr="00C83045">
        <w:rPr>
          <w:color w:val="000000"/>
          <w:szCs w:val="22"/>
        </w:rPr>
        <w:t>sa predčasné ukončenie liečby pre nežiaduce reakcie súvisiace s liekom pozorovalo u</w:t>
      </w:r>
      <w:r w:rsidR="001D2062" w:rsidRPr="00C83045">
        <w:rPr>
          <w:color w:val="000000"/>
          <w:szCs w:val="22"/>
        </w:rPr>
        <w:t> </w:t>
      </w:r>
      <w:r w:rsidR="00000764" w:rsidRPr="00C83045">
        <w:rPr>
          <w:color w:val="000000"/>
          <w:szCs w:val="22"/>
        </w:rPr>
        <w:t>2</w:t>
      </w:r>
      <w:r w:rsidR="001D2062" w:rsidRPr="00C83045">
        <w:rPr>
          <w:color w:val="000000"/>
          <w:szCs w:val="22"/>
        </w:rPr>
        <w:t>,4</w:t>
      </w:r>
      <w:r w:rsidRPr="00C83045">
        <w:rPr>
          <w:color w:val="000000"/>
          <w:szCs w:val="22"/>
        </w:rPr>
        <w:t xml:space="preserve">% </w:t>
      </w:r>
      <w:r w:rsidR="008F1724" w:rsidRPr="00C83045">
        <w:rPr>
          <w:color w:val="000000"/>
          <w:szCs w:val="22"/>
        </w:rPr>
        <w:t xml:space="preserve">novodiagnostikovaných pacientov, 4% </w:t>
      </w:r>
      <w:r w:rsidRPr="00C83045">
        <w:rPr>
          <w:color w:val="000000"/>
          <w:szCs w:val="22"/>
        </w:rPr>
        <w:t>pacientov v</w:t>
      </w:r>
      <w:r w:rsidR="008F1724" w:rsidRPr="00C83045">
        <w:rPr>
          <w:color w:val="000000"/>
          <w:szCs w:val="22"/>
        </w:rPr>
        <w:t xml:space="preserve"> neskorej </w:t>
      </w:r>
      <w:r w:rsidRPr="00C83045">
        <w:rPr>
          <w:color w:val="000000"/>
          <w:szCs w:val="22"/>
        </w:rPr>
        <w:t>chronickej fáze</w:t>
      </w:r>
      <w:r w:rsidR="008F1724" w:rsidRPr="00C83045">
        <w:rPr>
          <w:color w:val="000000"/>
          <w:szCs w:val="22"/>
        </w:rPr>
        <w:t xml:space="preserve"> po zlyhaní liečby interferónom</w:t>
      </w:r>
      <w:r w:rsidRPr="00C83045">
        <w:rPr>
          <w:color w:val="000000"/>
          <w:szCs w:val="22"/>
        </w:rPr>
        <w:t xml:space="preserve">, </w:t>
      </w:r>
      <w:r w:rsidR="008F1724" w:rsidRPr="00C83045">
        <w:rPr>
          <w:color w:val="000000"/>
          <w:szCs w:val="22"/>
        </w:rPr>
        <w:t>4</w:t>
      </w:r>
      <w:r w:rsidRPr="00C83045">
        <w:rPr>
          <w:color w:val="000000"/>
          <w:szCs w:val="22"/>
        </w:rPr>
        <w:t>% pacientov v akcelerovanej fáze</w:t>
      </w:r>
      <w:r w:rsidR="008F1724" w:rsidRPr="00C83045">
        <w:rPr>
          <w:color w:val="000000"/>
          <w:szCs w:val="22"/>
        </w:rPr>
        <w:t xml:space="preserve"> po zlyhaní liečby interferónom</w:t>
      </w:r>
      <w:r w:rsidRPr="00C83045">
        <w:rPr>
          <w:color w:val="000000"/>
          <w:szCs w:val="22"/>
        </w:rPr>
        <w:t xml:space="preserve"> a 5% pacientov v blastickej kríze</w:t>
      </w:r>
      <w:r w:rsidR="003E11BD" w:rsidRPr="00C83045">
        <w:rPr>
          <w:color w:val="000000"/>
          <w:szCs w:val="22"/>
        </w:rPr>
        <w:t xml:space="preserve"> po zlyhaní liečby interferónom</w:t>
      </w:r>
      <w:r w:rsidRPr="00C83045">
        <w:rPr>
          <w:color w:val="000000"/>
          <w:szCs w:val="22"/>
        </w:rPr>
        <w:t xml:space="preserve">. Pri GIST sa skúšaný liek vysadil pre nežiaduce reakcie súvisiace s liekom u </w:t>
      </w:r>
      <w:r w:rsidR="003E11BD" w:rsidRPr="00C83045">
        <w:rPr>
          <w:color w:val="000000"/>
          <w:szCs w:val="22"/>
        </w:rPr>
        <w:t>4</w:t>
      </w:r>
      <w:r w:rsidRPr="00C83045">
        <w:rPr>
          <w:color w:val="000000"/>
          <w:szCs w:val="22"/>
        </w:rPr>
        <w:t>% pacientov.</w:t>
      </w:r>
    </w:p>
    <w:p w14:paraId="32367CD0" w14:textId="77777777" w:rsidR="00847D15" w:rsidRPr="00C83045" w:rsidRDefault="00847D15" w:rsidP="00D4304B">
      <w:pPr>
        <w:widowControl w:val="0"/>
        <w:ind w:left="0" w:firstLine="0"/>
        <w:rPr>
          <w:color w:val="000000"/>
          <w:szCs w:val="22"/>
        </w:rPr>
      </w:pPr>
    </w:p>
    <w:p w14:paraId="32367CD1" w14:textId="77777777" w:rsidR="00847D15" w:rsidRPr="00C83045" w:rsidRDefault="00847D15" w:rsidP="00D4304B">
      <w:pPr>
        <w:widowControl w:val="0"/>
        <w:ind w:left="0" w:firstLine="0"/>
        <w:rPr>
          <w:color w:val="000000"/>
          <w:szCs w:val="22"/>
        </w:rPr>
      </w:pPr>
      <w:r w:rsidRPr="00C83045">
        <w:rPr>
          <w:color w:val="000000"/>
          <w:szCs w:val="22"/>
        </w:rPr>
        <w:t xml:space="preserve">Nežiaduce reakcie boli okrem dvoch výnimiek podobné </w:t>
      </w:r>
      <w:r w:rsidR="0081705D" w:rsidRPr="00C83045">
        <w:rPr>
          <w:color w:val="000000"/>
          <w:szCs w:val="22"/>
        </w:rPr>
        <w:t>pri všetkých indikáciách</w:t>
      </w:r>
      <w:r w:rsidRPr="00C83045">
        <w:rPr>
          <w:color w:val="000000"/>
          <w:szCs w:val="22"/>
        </w:rPr>
        <w:t xml:space="preserve">. Myelosupresia sa pozorovala vo väčšom rozsahu u pacientov s CML ako u pacientov s GIST, čo je pravdepodobne dôsledkom základného ochorenia. </w:t>
      </w:r>
      <w:r w:rsidR="00A271C2" w:rsidRPr="00C83045">
        <w:rPr>
          <w:color w:val="000000"/>
          <w:szCs w:val="22"/>
        </w:rPr>
        <w:t>V klinickom skúšaní s pacientmi s neresekovateľným a/alebo metastazujúcim GIST sa vyskytlo u 7 (5%)</w:t>
      </w:r>
      <w:r w:rsidRPr="00C83045">
        <w:rPr>
          <w:color w:val="000000"/>
          <w:szCs w:val="22"/>
        </w:rPr>
        <w:t xml:space="preserve"> pacientov krvácanie 3./4. stupňa podľa všeobecných kritérií toxicity</w:t>
      </w:r>
      <w:r w:rsidR="003A4342" w:rsidRPr="00C83045">
        <w:rPr>
          <w:color w:val="000000"/>
          <w:szCs w:val="22"/>
        </w:rPr>
        <w:t xml:space="preserve"> (</w:t>
      </w:r>
      <w:smartTag w:uri="urn:schemas-microsoft-com:office:smarttags" w:element="stockticker">
        <w:r w:rsidR="003A4342" w:rsidRPr="00C83045">
          <w:rPr>
            <w:color w:val="000000"/>
            <w:szCs w:val="22"/>
          </w:rPr>
          <w:t>CTC</w:t>
        </w:r>
      </w:smartTag>
      <w:r w:rsidR="003A4342" w:rsidRPr="00C83045">
        <w:rPr>
          <w:color w:val="000000"/>
          <w:szCs w:val="22"/>
        </w:rPr>
        <w:t>)</w:t>
      </w:r>
      <w:r w:rsidRPr="00C83045">
        <w:rPr>
          <w:color w:val="000000"/>
          <w:szCs w:val="22"/>
        </w:rPr>
        <w:t>, a to gastrointestinálne krvácanie (3 pacienti), krvácanie vo vnútri nádoru (3 pacienti), alebo oboje (1 pacient). Lokalizácia nádorov v gastrointestinálnom systéme mohla byť príčinou gastrointestinálneho krvácania (pozri časť 4.4). Gastrointestinálne krvácanie alebo krvácanie vo vnútri nádoru môže byť vážne a niekedy smrteľné. Najčastejšie zaznamenané (</w:t>
      </w:r>
      <w:r w:rsidRPr="00C83045">
        <w:rPr>
          <w:color w:val="000000"/>
          <w:szCs w:val="22"/>
        </w:rPr>
        <w:sym w:font="Symbol" w:char="F0B3"/>
      </w:r>
      <w:r w:rsidRPr="00C83045">
        <w:rPr>
          <w:color w:val="000000"/>
          <w:szCs w:val="22"/>
        </w:rPr>
        <w:t> 10%) nežiaduce reakcie súvisiace s liekom u oboch ochorení boli slabá nauzea, vracanie, hnačka, bolesť brucha, únava, bolesť svalov, svalové kŕče a exantém. Povrchové edémy boli častým nálezom vo všetkých klinických skúšaniach a popísali sa prevažne ako periorbitálne edémy alebo edémy dolných končatín. Tieto edémy však boli len zriedka závažné a možno ich zvládnuť diuretikami, inými podpornými opatreniami alebo znížením dávky Glivecu.</w:t>
      </w:r>
    </w:p>
    <w:p w14:paraId="32367CD2" w14:textId="77777777" w:rsidR="0081705D" w:rsidRPr="00C83045" w:rsidRDefault="0081705D" w:rsidP="00D4304B">
      <w:pPr>
        <w:widowControl w:val="0"/>
        <w:ind w:left="0" w:firstLine="0"/>
        <w:rPr>
          <w:color w:val="000000"/>
          <w:szCs w:val="22"/>
        </w:rPr>
      </w:pPr>
    </w:p>
    <w:p w14:paraId="32367CD3" w14:textId="77777777" w:rsidR="0081705D" w:rsidRPr="00C83045" w:rsidRDefault="0081705D" w:rsidP="00D4304B">
      <w:pPr>
        <w:pStyle w:val="Text"/>
        <w:widowControl w:val="0"/>
        <w:spacing w:before="0"/>
        <w:jc w:val="left"/>
        <w:rPr>
          <w:color w:val="000000"/>
          <w:szCs w:val="22"/>
          <w:lang w:val="sk-SK"/>
        </w:rPr>
      </w:pPr>
      <w:r w:rsidRPr="00C83045">
        <w:rPr>
          <w:color w:val="000000"/>
          <w:sz w:val="22"/>
          <w:szCs w:val="22"/>
          <w:lang w:val="sk-SK"/>
        </w:rPr>
        <w:t xml:space="preserve">Keď sa imatinib kombinoval s vysokými dávkami chemoterapie u pacientov s Ph+ </w:t>
      </w:r>
      <w:smartTag w:uri="urn:schemas-microsoft-com:office:smarttags" w:element="stockticker">
        <w:r w:rsidRPr="00C83045">
          <w:rPr>
            <w:color w:val="000000"/>
            <w:sz w:val="22"/>
            <w:szCs w:val="22"/>
            <w:lang w:val="sk-SK"/>
          </w:rPr>
          <w:t>ALL</w:t>
        </w:r>
      </w:smartTag>
      <w:r w:rsidRPr="00C83045">
        <w:rPr>
          <w:color w:val="000000"/>
          <w:sz w:val="22"/>
          <w:szCs w:val="22"/>
          <w:lang w:val="sk-SK"/>
        </w:rPr>
        <w:t>, pozorovali sa prechodné toxické účinky na pečeň vo forme zvýšenia aminotransferáz a hyperbilirubinémie.</w:t>
      </w:r>
      <w:r w:rsidR="0069464E" w:rsidRPr="00C83045">
        <w:rPr>
          <w:color w:val="000000"/>
          <w:sz w:val="22"/>
          <w:szCs w:val="22"/>
          <w:lang w:val="sk-SK"/>
        </w:rPr>
        <w:t xml:space="preserve"> </w:t>
      </w:r>
      <w:r w:rsidR="003525C7" w:rsidRPr="00C83045">
        <w:rPr>
          <w:color w:val="000000"/>
          <w:sz w:val="22"/>
          <w:szCs w:val="22"/>
          <w:lang w:val="sk-SK"/>
        </w:rPr>
        <w:t xml:space="preserve">S ohľadom na obmedzený súbor údajov o bezpečnosti boli doteraz hlásené nežiaduce účinky u detí zhodné so známym bezpečnostným profilom u dospelých s </w:t>
      </w:r>
      <w:r w:rsidR="0069464E" w:rsidRPr="00C83045">
        <w:rPr>
          <w:color w:val="000000"/>
          <w:sz w:val="22"/>
          <w:szCs w:val="22"/>
          <w:lang w:val="sk-SK"/>
        </w:rPr>
        <w:t xml:space="preserve">Ph+ ALL. </w:t>
      </w:r>
      <w:r w:rsidR="001D2A52" w:rsidRPr="00C83045">
        <w:rPr>
          <w:color w:val="000000"/>
          <w:sz w:val="22"/>
          <w:szCs w:val="22"/>
          <w:lang w:val="sk-SK"/>
        </w:rPr>
        <w:t>Hoci je bezpečnostná databáza detí s Ph+ALL limitovaná, neboli zaznamenané žiadne nové nežiaduce účinky</w:t>
      </w:r>
      <w:r w:rsidR="0069464E" w:rsidRPr="00C83045">
        <w:rPr>
          <w:color w:val="000000"/>
          <w:sz w:val="22"/>
          <w:szCs w:val="22"/>
          <w:lang w:val="sk-SK"/>
        </w:rPr>
        <w:t>.</w:t>
      </w:r>
    </w:p>
    <w:p w14:paraId="32367CD4" w14:textId="77777777" w:rsidR="00847D15" w:rsidRPr="00C83045" w:rsidRDefault="00847D15" w:rsidP="00D4304B">
      <w:pPr>
        <w:widowControl w:val="0"/>
        <w:ind w:left="0" w:firstLine="0"/>
        <w:rPr>
          <w:color w:val="000000"/>
          <w:szCs w:val="22"/>
        </w:rPr>
      </w:pPr>
    </w:p>
    <w:p w14:paraId="32367CD5" w14:textId="77777777" w:rsidR="00847D15" w:rsidRPr="00C83045" w:rsidRDefault="00847D15" w:rsidP="00D4304B">
      <w:pPr>
        <w:widowControl w:val="0"/>
        <w:ind w:left="0" w:firstLine="0"/>
        <w:rPr>
          <w:color w:val="000000"/>
          <w:szCs w:val="22"/>
        </w:rPr>
      </w:pPr>
      <w:r w:rsidRPr="00C83045">
        <w:rPr>
          <w:color w:val="000000"/>
          <w:szCs w:val="22"/>
        </w:rPr>
        <w:t xml:space="preserve">Rôzne nežiaduce reakcie, ako je pleurálny výpotok, ascites, pľúcny edém a rýchle zvýšenie hmotnosti s povrchovým edémom alebo bez neho, možno súhrnne opísať ako „zadržiavanie tekutiny“. Tieto reakcie sa zvyčajne dajú zvládnuť dočasným vysadením Glivecu a podávaním diuretík a inými vhodnými podpornými opatreniami. Niektoré z týchto </w:t>
      </w:r>
      <w:r w:rsidR="008C679E" w:rsidRPr="00C83045">
        <w:rPr>
          <w:color w:val="000000"/>
          <w:szCs w:val="22"/>
        </w:rPr>
        <w:t>reakcií</w:t>
      </w:r>
      <w:r w:rsidRPr="00C83045">
        <w:rPr>
          <w:color w:val="000000"/>
          <w:szCs w:val="22"/>
        </w:rPr>
        <w:t xml:space="preserve"> však môžu byť závažné alebo ohrozujúce život a niekoľko pacientov v blastickej kríze zomrelo po komplikovanom klinickom obraze pleurálneho výpotku, kongestívneho zlyhania srdca a zlyhania obličiek. V pediatrických klinických skúšaniach sa nezistili žiadne osobitné údaje týkajúce sa bezpečnosti.</w:t>
      </w:r>
    </w:p>
    <w:p w14:paraId="32367CD6" w14:textId="77777777" w:rsidR="00847D15" w:rsidRPr="00C83045" w:rsidRDefault="00847D15" w:rsidP="00D4304B">
      <w:pPr>
        <w:pStyle w:val="Heading3"/>
        <w:keepNext w:val="0"/>
        <w:widowControl w:val="0"/>
        <w:autoSpaceDE/>
        <w:autoSpaceDN/>
        <w:rPr>
          <w:color w:val="000000"/>
          <w:sz w:val="22"/>
          <w:szCs w:val="22"/>
        </w:rPr>
      </w:pPr>
    </w:p>
    <w:p w14:paraId="32367CD7" w14:textId="77777777" w:rsidR="00847D15" w:rsidRPr="00C83045" w:rsidRDefault="00847D15" w:rsidP="00D4304B">
      <w:pPr>
        <w:pStyle w:val="Heading3"/>
        <w:widowControl w:val="0"/>
        <w:autoSpaceDE/>
        <w:autoSpaceDN/>
        <w:rPr>
          <w:b/>
          <w:color w:val="000000"/>
          <w:sz w:val="22"/>
          <w:szCs w:val="22"/>
        </w:rPr>
      </w:pPr>
      <w:r w:rsidRPr="00C83045">
        <w:rPr>
          <w:b/>
          <w:color w:val="000000"/>
          <w:sz w:val="22"/>
          <w:szCs w:val="22"/>
        </w:rPr>
        <w:t>Nežiaduce reakcie</w:t>
      </w:r>
    </w:p>
    <w:p w14:paraId="32367CD8" w14:textId="77777777" w:rsidR="00847D15" w:rsidRPr="00C83045" w:rsidRDefault="00847D15" w:rsidP="00D4304B">
      <w:pPr>
        <w:widowControl w:val="0"/>
        <w:tabs>
          <w:tab w:val="left" w:pos="1680"/>
        </w:tabs>
        <w:ind w:left="0" w:firstLine="0"/>
        <w:rPr>
          <w:color w:val="000000"/>
          <w:szCs w:val="22"/>
        </w:rPr>
      </w:pPr>
      <w:r w:rsidRPr="00C83045">
        <w:rPr>
          <w:color w:val="000000"/>
          <w:szCs w:val="22"/>
        </w:rPr>
        <w:t xml:space="preserve">Nežiaduce reakcie, ktoré sa zaznamenali častejšie ako len v ojedinelých prípadoch, sa uvádzajú ďalej podľa orgánových systémov a frekvencie výskytu. </w:t>
      </w:r>
      <w:r w:rsidR="005E3AFC" w:rsidRPr="00C83045">
        <w:rPr>
          <w:color w:val="000000"/>
          <w:szCs w:val="22"/>
        </w:rPr>
        <w:t>Kategórie frekvencií sú</w:t>
      </w:r>
      <w:r w:rsidRPr="00C83045">
        <w:rPr>
          <w:color w:val="000000"/>
          <w:szCs w:val="22"/>
        </w:rPr>
        <w:t xml:space="preserve"> defin</w:t>
      </w:r>
      <w:r w:rsidR="005E3AFC" w:rsidRPr="00C83045">
        <w:rPr>
          <w:color w:val="000000"/>
          <w:szCs w:val="22"/>
        </w:rPr>
        <w:t>ované pomocou nasledujúcej konvencie:</w:t>
      </w:r>
      <w:r w:rsidR="002E631F" w:rsidRPr="00C83045">
        <w:rPr>
          <w:color w:val="000000"/>
          <w:szCs w:val="22"/>
        </w:rPr>
        <w:t xml:space="preserve"> </w:t>
      </w:r>
      <w:r w:rsidRPr="00C83045">
        <w:rPr>
          <w:color w:val="000000"/>
          <w:szCs w:val="22"/>
        </w:rPr>
        <w:t xml:space="preserve">veľmi </w:t>
      </w:r>
      <w:r w:rsidR="002E04BC" w:rsidRPr="00C83045">
        <w:rPr>
          <w:color w:val="000000"/>
          <w:szCs w:val="22"/>
        </w:rPr>
        <w:t xml:space="preserve">časté </w:t>
      </w:r>
      <w:r w:rsidRPr="00C83045">
        <w:rPr>
          <w:color w:val="000000"/>
          <w:szCs w:val="22"/>
        </w:rPr>
        <w:t>(</w:t>
      </w:r>
      <w:r w:rsidR="005E3AFC" w:rsidRPr="00C83045">
        <w:rPr>
          <w:color w:val="000000"/>
          <w:szCs w:val="22"/>
        </w:rPr>
        <w:t>≥</w:t>
      </w:r>
      <w:r w:rsidRPr="00C83045">
        <w:rPr>
          <w:color w:val="000000"/>
          <w:szCs w:val="22"/>
        </w:rPr>
        <w:t>1/10), čast</w:t>
      </w:r>
      <w:r w:rsidR="002E04BC" w:rsidRPr="00C83045">
        <w:rPr>
          <w:color w:val="000000"/>
          <w:szCs w:val="22"/>
        </w:rPr>
        <w:t>é</w:t>
      </w:r>
      <w:r w:rsidRPr="00C83045">
        <w:rPr>
          <w:color w:val="000000"/>
          <w:szCs w:val="22"/>
        </w:rPr>
        <w:t xml:space="preserve"> (</w:t>
      </w:r>
      <w:r w:rsidR="005E3AFC" w:rsidRPr="00C83045">
        <w:rPr>
          <w:color w:val="000000"/>
          <w:szCs w:val="22"/>
        </w:rPr>
        <w:t>≥</w:t>
      </w:r>
      <w:r w:rsidRPr="00C83045">
        <w:rPr>
          <w:color w:val="000000"/>
          <w:szCs w:val="22"/>
        </w:rPr>
        <w:t>1/100</w:t>
      </w:r>
      <w:r w:rsidR="005E3AFC" w:rsidRPr="00C83045">
        <w:rPr>
          <w:color w:val="000000"/>
          <w:szCs w:val="22"/>
        </w:rPr>
        <w:t xml:space="preserve"> až</w:t>
      </w:r>
      <w:r w:rsidRPr="00C83045">
        <w:rPr>
          <w:color w:val="000000"/>
          <w:szCs w:val="22"/>
        </w:rPr>
        <w:t xml:space="preserve"> </w:t>
      </w:r>
      <w:r w:rsidR="005E3AFC" w:rsidRPr="00C83045">
        <w:rPr>
          <w:color w:val="000000"/>
          <w:szCs w:val="22"/>
        </w:rPr>
        <w:t>&lt;</w:t>
      </w:r>
      <w:r w:rsidRPr="00C83045">
        <w:rPr>
          <w:color w:val="000000"/>
          <w:szCs w:val="22"/>
        </w:rPr>
        <w:t xml:space="preserve">1/10), menej </w:t>
      </w:r>
      <w:r w:rsidR="002E04BC" w:rsidRPr="00C83045">
        <w:rPr>
          <w:color w:val="000000"/>
          <w:szCs w:val="22"/>
        </w:rPr>
        <w:t xml:space="preserve">časté </w:t>
      </w:r>
      <w:r w:rsidRPr="00C83045">
        <w:rPr>
          <w:color w:val="000000"/>
          <w:szCs w:val="22"/>
        </w:rPr>
        <w:t>(</w:t>
      </w:r>
      <w:r w:rsidR="005E3AFC" w:rsidRPr="00C83045">
        <w:rPr>
          <w:color w:val="000000"/>
          <w:szCs w:val="22"/>
        </w:rPr>
        <w:t>≥</w:t>
      </w:r>
      <w:r w:rsidRPr="00C83045">
        <w:rPr>
          <w:color w:val="000000"/>
          <w:szCs w:val="22"/>
        </w:rPr>
        <w:t>1/1 000</w:t>
      </w:r>
      <w:r w:rsidR="005E3AFC" w:rsidRPr="00C83045">
        <w:rPr>
          <w:color w:val="000000"/>
          <w:szCs w:val="22"/>
        </w:rPr>
        <w:t xml:space="preserve"> až</w:t>
      </w:r>
      <w:r w:rsidRPr="00C83045">
        <w:rPr>
          <w:color w:val="000000"/>
          <w:szCs w:val="22"/>
        </w:rPr>
        <w:t xml:space="preserve"> </w:t>
      </w:r>
      <w:r w:rsidR="005E3AFC" w:rsidRPr="00C83045">
        <w:rPr>
          <w:color w:val="000000"/>
          <w:szCs w:val="22"/>
        </w:rPr>
        <w:t>&lt;</w:t>
      </w:r>
      <w:r w:rsidRPr="00C83045">
        <w:rPr>
          <w:color w:val="000000"/>
          <w:szCs w:val="22"/>
        </w:rPr>
        <w:t>1/100), zriedkav</w:t>
      </w:r>
      <w:r w:rsidR="002E04BC" w:rsidRPr="00C83045">
        <w:rPr>
          <w:color w:val="000000"/>
          <w:szCs w:val="22"/>
        </w:rPr>
        <w:t>é</w:t>
      </w:r>
      <w:r w:rsidRPr="00C83045">
        <w:rPr>
          <w:color w:val="000000"/>
          <w:szCs w:val="22"/>
        </w:rPr>
        <w:t xml:space="preserve"> (</w:t>
      </w:r>
      <w:r w:rsidR="005E3AFC" w:rsidRPr="00C83045">
        <w:rPr>
          <w:color w:val="000000"/>
          <w:szCs w:val="22"/>
        </w:rPr>
        <w:t>≥1/10 000 až &lt;</w:t>
      </w:r>
      <w:r w:rsidRPr="00C83045">
        <w:rPr>
          <w:color w:val="000000"/>
          <w:szCs w:val="22"/>
        </w:rPr>
        <w:t>1/1 000)</w:t>
      </w:r>
      <w:r w:rsidR="008C3CAF" w:rsidRPr="00C83045">
        <w:rPr>
          <w:color w:val="000000"/>
          <w:szCs w:val="22"/>
        </w:rPr>
        <w:t xml:space="preserve">, </w:t>
      </w:r>
      <w:r w:rsidR="005E3AFC" w:rsidRPr="00C83045">
        <w:rPr>
          <w:color w:val="000000"/>
          <w:szCs w:val="22"/>
        </w:rPr>
        <w:t xml:space="preserve">veľmi zriedkavé (&lt;1/10 000), </w:t>
      </w:r>
      <w:r w:rsidR="008C3CAF" w:rsidRPr="00C83045">
        <w:rPr>
          <w:color w:val="000000"/>
          <w:szCs w:val="22"/>
        </w:rPr>
        <w:t>neznáme (z dostupných údajov)</w:t>
      </w:r>
      <w:r w:rsidRPr="00C83045">
        <w:rPr>
          <w:color w:val="000000"/>
          <w:szCs w:val="22"/>
        </w:rPr>
        <w:t>.</w:t>
      </w:r>
    </w:p>
    <w:p w14:paraId="32367CD9" w14:textId="77777777" w:rsidR="00847D15" w:rsidRPr="00C83045" w:rsidRDefault="00847D15" w:rsidP="00D4304B">
      <w:pPr>
        <w:widowControl w:val="0"/>
        <w:rPr>
          <w:color w:val="000000"/>
          <w:szCs w:val="22"/>
        </w:rPr>
      </w:pPr>
    </w:p>
    <w:p w14:paraId="32367CDA" w14:textId="77777777" w:rsidR="00E5099D" w:rsidRPr="00C83045" w:rsidRDefault="00E5099D" w:rsidP="00D4304B">
      <w:pPr>
        <w:widowControl w:val="0"/>
        <w:ind w:left="0" w:firstLine="0"/>
        <w:rPr>
          <w:noProof/>
          <w:color w:val="000000"/>
          <w:szCs w:val="22"/>
        </w:rPr>
      </w:pPr>
      <w:r w:rsidRPr="00C83045">
        <w:rPr>
          <w:noProof/>
          <w:color w:val="000000"/>
          <w:szCs w:val="22"/>
        </w:rPr>
        <w:t xml:space="preserve">V rámci jednotlivých skupín frekvencií sú nežiaduce účinky usporiadané v poradí </w:t>
      </w:r>
      <w:r w:rsidR="00FC2B11" w:rsidRPr="00C83045">
        <w:rPr>
          <w:noProof/>
          <w:color w:val="000000"/>
          <w:szCs w:val="22"/>
        </w:rPr>
        <w:t>frekvencie, najčastejšie ako prvé</w:t>
      </w:r>
      <w:r w:rsidRPr="00C83045">
        <w:rPr>
          <w:noProof/>
          <w:color w:val="000000"/>
          <w:szCs w:val="22"/>
        </w:rPr>
        <w:t>.</w:t>
      </w:r>
    </w:p>
    <w:p w14:paraId="32367CDB" w14:textId="77777777" w:rsidR="00FC2B11" w:rsidRPr="00C83045" w:rsidRDefault="00FC2B11" w:rsidP="00D4304B">
      <w:pPr>
        <w:widowControl w:val="0"/>
        <w:ind w:left="0" w:firstLine="0"/>
        <w:rPr>
          <w:noProof/>
          <w:color w:val="000000"/>
          <w:szCs w:val="22"/>
        </w:rPr>
      </w:pPr>
    </w:p>
    <w:p w14:paraId="32367CDC" w14:textId="77777777" w:rsidR="00FC2B11" w:rsidRPr="00C83045" w:rsidRDefault="00FC2B11" w:rsidP="00D4304B">
      <w:pPr>
        <w:widowControl w:val="0"/>
        <w:ind w:left="0" w:firstLine="0"/>
        <w:rPr>
          <w:noProof/>
          <w:color w:val="000000"/>
          <w:szCs w:val="22"/>
        </w:rPr>
      </w:pPr>
      <w:r w:rsidRPr="00C83045">
        <w:rPr>
          <w:noProof/>
          <w:color w:val="000000"/>
          <w:szCs w:val="22"/>
        </w:rPr>
        <w:lastRenderedPageBreak/>
        <w:t xml:space="preserve">Nežiaduce reakcie a ich frekvencie </w:t>
      </w:r>
      <w:r w:rsidR="00CA07F8" w:rsidRPr="00C83045">
        <w:rPr>
          <w:noProof/>
          <w:color w:val="000000"/>
          <w:szCs w:val="22"/>
        </w:rPr>
        <w:t xml:space="preserve">sú </w:t>
      </w:r>
      <w:r w:rsidRPr="00C83045">
        <w:rPr>
          <w:noProof/>
          <w:color w:val="000000"/>
          <w:szCs w:val="22"/>
        </w:rPr>
        <w:t>uvedené v Tabuľke 1</w:t>
      </w:r>
      <w:r w:rsidR="007F3990" w:rsidRPr="00C83045">
        <w:rPr>
          <w:noProof/>
          <w:color w:val="000000"/>
          <w:szCs w:val="22"/>
        </w:rPr>
        <w:t>.</w:t>
      </w:r>
    </w:p>
    <w:p w14:paraId="32367CDD" w14:textId="77777777" w:rsidR="007F3990" w:rsidRPr="00C83045" w:rsidRDefault="007F3990" w:rsidP="00D4304B">
      <w:pPr>
        <w:widowControl w:val="0"/>
        <w:ind w:left="0" w:firstLine="0"/>
        <w:rPr>
          <w:noProof/>
          <w:color w:val="000000"/>
          <w:szCs w:val="22"/>
        </w:rPr>
      </w:pPr>
    </w:p>
    <w:p w14:paraId="32367CDE" w14:textId="77777777" w:rsidR="007F3990" w:rsidRPr="00E74085" w:rsidRDefault="007F3990" w:rsidP="00D4304B">
      <w:pPr>
        <w:keepNext/>
        <w:widowControl w:val="0"/>
        <w:tabs>
          <w:tab w:val="left" w:pos="1440"/>
        </w:tabs>
        <w:ind w:left="0" w:firstLine="0"/>
        <w:rPr>
          <w:b/>
          <w:color w:val="000000"/>
          <w:szCs w:val="22"/>
        </w:rPr>
      </w:pPr>
      <w:r w:rsidRPr="00C83045">
        <w:rPr>
          <w:b/>
          <w:color w:val="000000"/>
          <w:szCs w:val="22"/>
        </w:rPr>
        <w:t>Tabuľka </w:t>
      </w:r>
      <w:r w:rsidRPr="00E74085">
        <w:rPr>
          <w:b/>
          <w:color w:val="000000"/>
          <w:szCs w:val="22"/>
        </w:rPr>
        <w:t>1</w:t>
      </w:r>
      <w:r w:rsidRPr="00E74085">
        <w:rPr>
          <w:b/>
          <w:color w:val="000000"/>
          <w:szCs w:val="22"/>
        </w:rPr>
        <w:tab/>
      </w:r>
      <w:r w:rsidR="0091135C" w:rsidRPr="00E74085">
        <w:rPr>
          <w:b/>
          <w:color w:val="000000"/>
          <w:szCs w:val="22"/>
        </w:rPr>
        <w:t>Tabuľkový súhrn n</w:t>
      </w:r>
      <w:r w:rsidRPr="00E74085">
        <w:rPr>
          <w:b/>
          <w:color w:val="000000"/>
          <w:szCs w:val="22"/>
        </w:rPr>
        <w:t>ežiaduc</w:t>
      </w:r>
      <w:r w:rsidR="0091135C" w:rsidRPr="00E74085">
        <w:rPr>
          <w:b/>
          <w:color w:val="000000"/>
          <w:szCs w:val="22"/>
        </w:rPr>
        <w:t>ich</w:t>
      </w:r>
      <w:r w:rsidRPr="00E74085">
        <w:rPr>
          <w:b/>
          <w:color w:val="000000"/>
          <w:szCs w:val="22"/>
        </w:rPr>
        <w:t xml:space="preserve"> reakci</w:t>
      </w:r>
      <w:r w:rsidR="0091135C" w:rsidRPr="00E74085">
        <w:rPr>
          <w:b/>
          <w:color w:val="000000"/>
          <w:szCs w:val="22"/>
        </w:rPr>
        <w:t>í</w:t>
      </w:r>
    </w:p>
    <w:p w14:paraId="32367CDF" w14:textId="77777777" w:rsidR="007F3990" w:rsidRPr="00E74085" w:rsidRDefault="007F3990" w:rsidP="00D4304B">
      <w:pPr>
        <w:keepNext/>
        <w:widowControl w:val="0"/>
        <w:ind w:left="0" w:firstLine="0"/>
        <w:rPr>
          <w:color w:val="000000"/>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885763" w:rsidRPr="00E74085" w14:paraId="32367CE1" w14:textId="77777777" w:rsidTr="00D4304B">
        <w:trPr>
          <w:cantSplit/>
        </w:trPr>
        <w:tc>
          <w:tcPr>
            <w:tcW w:w="9322" w:type="dxa"/>
            <w:gridSpan w:val="2"/>
          </w:tcPr>
          <w:p w14:paraId="32367CE0" w14:textId="77777777" w:rsidR="00885763" w:rsidRPr="00E74085" w:rsidRDefault="00885763" w:rsidP="00D4304B">
            <w:pPr>
              <w:keepNext/>
              <w:widowControl w:val="0"/>
              <w:tabs>
                <w:tab w:val="left" w:pos="567"/>
              </w:tabs>
              <w:ind w:left="0" w:firstLine="0"/>
              <w:rPr>
                <w:b/>
                <w:color w:val="000000"/>
                <w:szCs w:val="22"/>
              </w:rPr>
            </w:pPr>
            <w:r w:rsidRPr="00E74085">
              <w:rPr>
                <w:b/>
                <w:color w:val="000000"/>
                <w:szCs w:val="22"/>
              </w:rPr>
              <w:t>Infekcie a</w:t>
            </w:r>
            <w:r w:rsidR="00FB2C0A" w:rsidRPr="00E74085">
              <w:rPr>
                <w:b/>
                <w:color w:val="000000"/>
                <w:szCs w:val="22"/>
              </w:rPr>
              <w:t> </w:t>
            </w:r>
            <w:r w:rsidRPr="00E74085">
              <w:rPr>
                <w:b/>
                <w:color w:val="000000"/>
                <w:szCs w:val="22"/>
              </w:rPr>
              <w:t>nákazy</w:t>
            </w:r>
          </w:p>
        </w:tc>
      </w:tr>
      <w:tr w:rsidR="00885763" w:rsidRPr="00C83045" w14:paraId="32367CE4" w14:textId="77777777" w:rsidTr="00D4304B">
        <w:trPr>
          <w:cantSplit/>
        </w:trPr>
        <w:tc>
          <w:tcPr>
            <w:tcW w:w="2235" w:type="dxa"/>
          </w:tcPr>
          <w:p w14:paraId="32367CE2" w14:textId="77777777" w:rsidR="00885763" w:rsidRPr="00E74085" w:rsidRDefault="00885763" w:rsidP="00D4304B">
            <w:pPr>
              <w:keepNext/>
              <w:widowControl w:val="0"/>
              <w:tabs>
                <w:tab w:val="left" w:pos="567"/>
              </w:tabs>
              <w:ind w:left="0" w:firstLine="0"/>
              <w:rPr>
                <w:i/>
                <w:color w:val="000000"/>
                <w:szCs w:val="22"/>
              </w:rPr>
            </w:pPr>
            <w:r w:rsidRPr="00E74085">
              <w:rPr>
                <w:i/>
                <w:color w:val="000000"/>
                <w:szCs w:val="22"/>
              </w:rPr>
              <w:t>Menej časté:</w:t>
            </w:r>
          </w:p>
        </w:tc>
        <w:tc>
          <w:tcPr>
            <w:tcW w:w="7087" w:type="dxa"/>
          </w:tcPr>
          <w:p w14:paraId="32367CE3" w14:textId="77777777" w:rsidR="00885763" w:rsidRPr="00C83045" w:rsidRDefault="00885763" w:rsidP="00D4304B">
            <w:pPr>
              <w:keepNext/>
              <w:widowControl w:val="0"/>
              <w:tabs>
                <w:tab w:val="left" w:pos="567"/>
              </w:tabs>
              <w:ind w:left="0" w:firstLine="0"/>
              <w:rPr>
                <w:color w:val="000000"/>
                <w:szCs w:val="22"/>
              </w:rPr>
            </w:pPr>
            <w:r w:rsidRPr="00E74085">
              <w:rPr>
                <w:color w:val="000000"/>
                <w:szCs w:val="22"/>
              </w:rPr>
              <w:t>Herpes zoster, herpes simplex, nazofaryngitída, pneumónia</w:t>
            </w:r>
            <w:r w:rsidR="00BB4D37" w:rsidRPr="00E74085">
              <w:rPr>
                <w:color w:val="000000"/>
                <w:szCs w:val="22"/>
                <w:vertAlign w:val="superscript"/>
              </w:rPr>
              <w:t>1</w:t>
            </w:r>
            <w:r w:rsidRPr="00E74085">
              <w:rPr>
                <w:color w:val="000000"/>
                <w:szCs w:val="22"/>
              </w:rPr>
              <w:t>, sinusitída, celulitída, infekcia horných dýchacích ciest, chrípka, infekcia močových ciest, gastroenteritída, sepsa</w:t>
            </w:r>
          </w:p>
        </w:tc>
      </w:tr>
      <w:tr w:rsidR="00885763" w:rsidRPr="00C83045" w14:paraId="32367CE7" w14:textId="77777777" w:rsidTr="00D4304B">
        <w:trPr>
          <w:cantSplit/>
        </w:trPr>
        <w:tc>
          <w:tcPr>
            <w:tcW w:w="2235" w:type="dxa"/>
          </w:tcPr>
          <w:p w14:paraId="32367CE5" w14:textId="77777777" w:rsidR="00885763" w:rsidRPr="00C83045" w:rsidRDefault="00885763" w:rsidP="00D4304B">
            <w:pPr>
              <w:keepNext/>
              <w:widowControl w:val="0"/>
              <w:tabs>
                <w:tab w:val="left" w:pos="567"/>
              </w:tabs>
              <w:ind w:left="0" w:firstLine="0"/>
              <w:rPr>
                <w:i/>
                <w:color w:val="000000"/>
                <w:szCs w:val="22"/>
              </w:rPr>
            </w:pPr>
            <w:r w:rsidRPr="00C83045">
              <w:rPr>
                <w:i/>
                <w:color w:val="000000"/>
                <w:szCs w:val="22"/>
              </w:rPr>
              <w:t>Zriedkavé:</w:t>
            </w:r>
          </w:p>
        </w:tc>
        <w:tc>
          <w:tcPr>
            <w:tcW w:w="7087" w:type="dxa"/>
          </w:tcPr>
          <w:p w14:paraId="32367CE6" w14:textId="77777777" w:rsidR="00885763" w:rsidRPr="00C83045" w:rsidRDefault="00885763" w:rsidP="00D4304B">
            <w:pPr>
              <w:keepNext/>
              <w:widowControl w:val="0"/>
              <w:tabs>
                <w:tab w:val="left" w:pos="567"/>
              </w:tabs>
              <w:ind w:left="0" w:firstLine="0"/>
              <w:rPr>
                <w:color w:val="000000"/>
                <w:szCs w:val="22"/>
              </w:rPr>
            </w:pPr>
            <w:r w:rsidRPr="00C83045">
              <w:rPr>
                <w:color w:val="000000"/>
                <w:szCs w:val="22"/>
              </w:rPr>
              <w:t>Hubová infekcia</w:t>
            </w:r>
          </w:p>
        </w:tc>
      </w:tr>
      <w:tr w:rsidR="005C10E5" w:rsidRPr="00C83045" w14:paraId="32367CEA" w14:textId="77777777" w:rsidTr="00D4304B">
        <w:trPr>
          <w:cantSplit/>
        </w:trPr>
        <w:tc>
          <w:tcPr>
            <w:tcW w:w="2235" w:type="dxa"/>
          </w:tcPr>
          <w:p w14:paraId="32367CE8" w14:textId="77777777" w:rsidR="005C10E5" w:rsidRPr="00C83045" w:rsidRDefault="005C10E5" w:rsidP="00D4304B">
            <w:pPr>
              <w:keepNext/>
              <w:widowControl w:val="0"/>
              <w:tabs>
                <w:tab w:val="left" w:pos="567"/>
              </w:tabs>
              <w:ind w:left="0" w:firstLine="0"/>
              <w:rPr>
                <w:i/>
                <w:color w:val="000000"/>
                <w:szCs w:val="22"/>
              </w:rPr>
            </w:pPr>
            <w:r w:rsidRPr="00C83045">
              <w:rPr>
                <w:i/>
                <w:color w:val="000000"/>
                <w:szCs w:val="22"/>
              </w:rPr>
              <w:t>Neznáme:</w:t>
            </w:r>
          </w:p>
        </w:tc>
        <w:tc>
          <w:tcPr>
            <w:tcW w:w="7087" w:type="dxa"/>
          </w:tcPr>
          <w:p w14:paraId="32367CE9" w14:textId="77777777" w:rsidR="005C10E5" w:rsidRPr="00C83045" w:rsidRDefault="005C10E5" w:rsidP="00D4304B">
            <w:pPr>
              <w:keepNext/>
              <w:widowControl w:val="0"/>
              <w:tabs>
                <w:tab w:val="left" w:pos="567"/>
              </w:tabs>
              <w:ind w:left="0" w:firstLine="0"/>
              <w:rPr>
                <w:color w:val="000000"/>
                <w:szCs w:val="22"/>
              </w:rPr>
            </w:pPr>
            <w:r>
              <w:rPr>
                <w:color w:val="000000"/>
              </w:rPr>
              <w:t>Reaktivácia h</w:t>
            </w:r>
            <w:r w:rsidRPr="007505E1">
              <w:rPr>
                <w:color w:val="000000"/>
              </w:rPr>
              <w:t>epatit</w:t>
            </w:r>
            <w:r>
              <w:rPr>
                <w:color w:val="000000"/>
              </w:rPr>
              <w:t>ídy</w:t>
            </w:r>
            <w:r w:rsidR="00F1077D">
              <w:rPr>
                <w:color w:val="000000"/>
              </w:rPr>
              <w:t> </w:t>
            </w:r>
            <w:r w:rsidRPr="007505E1">
              <w:rPr>
                <w:color w:val="000000"/>
              </w:rPr>
              <w:t>B</w:t>
            </w:r>
            <w:r w:rsidRPr="007505E1">
              <w:rPr>
                <w:color w:val="000000"/>
                <w:szCs w:val="22"/>
              </w:rPr>
              <w:t>*</w:t>
            </w:r>
          </w:p>
        </w:tc>
      </w:tr>
      <w:tr w:rsidR="00C43DF9" w:rsidRPr="00C83045" w14:paraId="32367CEC" w14:textId="77777777" w:rsidTr="00D4304B">
        <w:trPr>
          <w:cantSplit/>
        </w:trPr>
        <w:tc>
          <w:tcPr>
            <w:tcW w:w="9322" w:type="dxa"/>
            <w:gridSpan w:val="2"/>
          </w:tcPr>
          <w:p w14:paraId="32367CEB" w14:textId="77777777" w:rsidR="00C43DF9" w:rsidRPr="00C83045" w:rsidRDefault="00B701FA" w:rsidP="00D4304B">
            <w:pPr>
              <w:keepNext/>
              <w:widowControl w:val="0"/>
              <w:tabs>
                <w:tab w:val="left" w:pos="567"/>
              </w:tabs>
              <w:ind w:left="0" w:firstLine="0"/>
              <w:rPr>
                <w:b/>
                <w:color w:val="000000"/>
                <w:szCs w:val="22"/>
              </w:rPr>
            </w:pPr>
            <w:r w:rsidRPr="00C83045">
              <w:rPr>
                <w:b/>
              </w:rPr>
              <w:t>Benígne a malígne nádory, vrátane nešpecifikovaných novotvarov (cysty a polypy)</w:t>
            </w:r>
          </w:p>
        </w:tc>
      </w:tr>
      <w:tr w:rsidR="00C43DF9" w:rsidRPr="00C83045" w14:paraId="32367CEF" w14:textId="77777777" w:rsidTr="00D4304B">
        <w:trPr>
          <w:cantSplit/>
        </w:trPr>
        <w:tc>
          <w:tcPr>
            <w:tcW w:w="2235" w:type="dxa"/>
          </w:tcPr>
          <w:p w14:paraId="32367CED" w14:textId="77777777" w:rsidR="00C43DF9" w:rsidRPr="00C83045" w:rsidRDefault="00C43DF9" w:rsidP="00D4304B">
            <w:pPr>
              <w:keepNext/>
              <w:widowControl w:val="0"/>
              <w:tabs>
                <w:tab w:val="left" w:pos="567"/>
              </w:tabs>
              <w:ind w:left="0" w:firstLine="0"/>
              <w:rPr>
                <w:i/>
                <w:color w:val="000000"/>
                <w:szCs w:val="22"/>
              </w:rPr>
            </w:pPr>
            <w:r w:rsidRPr="00C83045">
              <w:rPr>
                <w:i/>
                <w:color w:val="000000"/>
                <w:szCs w:val="22"/>
              </w:rPr>
              <w:t>Zriedkavé:</w:t>
            </w:r>
          </w:p>
        </w:tc>
        <w:tc>
          <w:tcPr>
            <w:tcW w:w="7087" w:type="dxa"/>
          </w:tcPr>
          <w:p w14:paraId="32367CEE" w14:textId="77777777" w:rsidR="00C43DF9" w:rsidRPr="00C83045" w:rsidRDefault="00C43DF9" w:rsidP="00D4304B">
            <w:pPr>
              <w:keepNext/>
              <w:widowControl w:val="0"/>
              <w:tabs>
                <w:tab w:val="left" w:pos="567"/>
              </w:tabs>
              <w:ind w:left="0" w:firstLine="0"/>
              <w:rPr>
                <w:color w:val="000000"/>
                <w:szCs w:val="22"/>
              </w:rPr>
            </w:pPr>
            <w:r w:rsidRPr="00C83045">
              <w:rPr>
                <w:color w:val="000000"/>
                <w:szCs w:val="22"/>
              </w:rPr>
              <w:t xml:space="preserve">Syndróm </w:t>
            </w:r>
            <w:r w:rsidR="001F5E8B" w:rsidRPr="00C83045">
              <w:rPr>
                <w:color w:val="000000"/>
                <w:szCs w:val="22"/>
              </w:rPr>
              <w:t>z rozpadu</w:t>
            </w:r>
            <w:r w:rsidRPr="00C83045">
              <w:rPr>
                <w:color w:val="000000"/>
                <w:szCs w:val="22"/>
              </w:rPr>
              <w:t xml:space="preserve"> nádoru</w:t>
            </w:r>
          </w:p>
        </w:tc>
      </w:tr>
      <w:tr w:rsidR="00E57DA0" w:rsidRPr="00C83045" w14:paraId="32367CF2" w14:textId="77777777" w:rsidTr="00D4304B">
        <w:trPr>
          <w:cantSplit/>
        </w:trPr>
        <w:tc>
          <w:tcPr>
            <w:tcW w:w="2235" w:type="dxa"/>
          </w:tcPr>
          <w:p w14:paraId="32367CF0" w14:textId="77777777" w:rsidR="00E57DA0" w:rsidRPr="00C83045" w:rsidRDefault="00E57DA0"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7CF1" w14:textId="77777777" w:rsidR="00E57DA0" w:rsidRPr="00C83045" w:rsidRDefault="00E57DA0" w:rsidP="00D4304B">
            <w:pPr>
              <w:widowControl w:val="0"/>
              <w:tabs>
                <w:tab w:val="left" w:pos="567"/>
              </w:tabs>
              <w:ind w:left="0" w:firstLine="0"/>
              <w:rPr>
                <w:color w:val="000000"/>
                <w:szCs w:val="22"/>
              </w:rPr>
            </w:pPr>
            <w:r w:rsidRPr="00C83045">
              <w:rPr>
                <w:color w:val="000000"/>
                <w:szCs w:val="22"/>
              </w:rPr>
              <w:t>Krvácanie nádoru/nekróza nádoru*</w:t>
            </w:r>
          </w:p>
        </w:tc>
      </w:tr>
      <w:tr w:rsidR="0091135C" w:rsidRPr="00C83045" w14:paraId="32367CF4" w14:textId="77777777" w:rsidTr="00D4304B">
        <w:trPr>
          <w:cantSplit/>
        </w:trPr>
        <w:tc>
          <w:tcPr>
            <w:tcW w:w="9322" w:type="dxa"/>
            <w:gridSpan w:val="2"/>
          </w:tcPr>
          <w:p w14:paraId="32367CF3" w14:textId="77777777" w:rsidR="0091135C" w:rsidRPr="00C83045" w:rsidRDefault="0091135C" w:rsidP="00D4304B">
            <w:pPr>
              <w:keepNext/>
              <w:widowControl w:val="0"/>
              <w:tabs>
                <w:tab w:val="left" w:pos="567"/>
              </w:tabs>
              <w:ind w:left="0" w:firstLine="0"/>
              <w:rPr>
                <w:b/>
                <w:bCs/>
                <w:color w:val="000000"/>
                <w:szCs w:val="22"/>
              </w:rPr>
            </w:pPr>
            <w:r w:rsidRPr="00C83045">
              <w:rPr>
                <w:b/>
                <w:bCs/>
                <w:color w:val="000000"/>
                <w:szCs w:val="22"/>
              </w:rPr>
              <w:t>Poruchy imunitného systému</w:t>
            </w:r>
          </w:p>
        </w:tc>
      </w:tr>
      <w:tr w:rsidR="0047335C" w:rsidRPr="00C83045" w14:paraId="32367CF7" w14:textId="77777777" w:rsidTr="00D4304B">
        <w:trPr>
          <w:cantSplit/>
        </w:trPr>
        <w:tc>
          <w:tcPr>
            <w:tcW w:w="2235" w:type="dxa"/>
          </w:tcPr>
          <w:p w14:paraId="32367CF5" w14:textId="77777777" w:rsidR="0047335C" w:rsidRPr="00C83045" w:rsidRDefault="0047335C" w:rsidP="00D4304B">
            <w:pPr>
              <w:widowControl w:val="0"/>
              <w:tabs>
                <w:tab w:val="left" w:pos="567"/>
              </w:tabs>
              <w:ind w:left="0" w:firstLine="0"/>
              <w:rPr>
                <w:b/>
                <w:bCs/>
                <w:color w:val="000000"/>
                <w:szCs w:val="22"/>
              </w:rPr>
            </w:pPr>
            <w:r w:rsidRPr="00C83045">
              <w:rPr>
                <w:i/>
                <w:color w:val="000000"/>
                <w:szCs w:val="22"/>
              </w:rPr>
              <w:t>Neznáme:</w:t>
            </w:r>
          </w:p>
        </w:tc>
        <w:tc>
          <w:tcPr>
            <w:tcW w:w="7087" w:type="dxa"/>
          </w:tcPr>
          <w:p w14:paraId="32367CF6" w14:textId="77777777" w:rsidR="0047335C" w:rsidRPr="00C83045" w:rsidRDefault="0047335C" w:rsidP="00D4304B">
            <w:pPr>
              <w:widowControl w:val="0"/>
              <w:tabs>
                <w:tab w:val="left" w:pos="567"/>
              </w:tabs>
              <w:ind w:left="0" w:firstLine="0"/>
              <w:rPr>
                <w:b/>
                <w:color w:val="000000"/>
                <w:szCs w:val="22"/>
              </w:rPr>
            </w:pPr>
            <w:r w:rsidRPr="00C83045">
              <w:rPr>
                <w:color w:val="000000"/>
                <w:szCs w:val="22"/>
              </w:rPr>
              <w:t>Anafylaktický šok*</w:t>
            </w:r>
          </w:p>
        </w:tc>
      </w:tr>
      <w:tr w:rsidR="0047335C" w:rsidRPr="00C83045" w14:paraId="32367CF9" w14:textId="77777777" w:rsidTr="00D4304B">
        <w:trPr>
          <w:cantSplit/>
        </w:trPr>
        <w:tc>
          <w:tcPr>
            <w:tcW w:w="9322" w:type="dxa"/>
            <w:gridSpan w:val="2"/>
          </w:tcPr>
          <w:p w14:paraId="32367CF8" w14:textId="77777777" w:rsidR="0047335C" w:rsidRPr="00C83045" w:rsidRDefault="0047335C" w:rsidP="00D4304B">
            <w:pPr>
              <w:keepNext/>
              <w:widowControl w:val="0"/>
              <w:tabs>
                <w:tab w:val="left" w:pos="567"/>
              </w:tabs>
              <w:ind w:left="0" w:firstLine="0"/>
              <w:rPr>
                <w:b/>
                <w:color w:val="000000"/>
                <w:szCs w:val="22"/>
              </w:rPr>
            </w:pPr>
            <w:r w:rsidRPr="00C83045">
              <w:rPr>
                <w:b/>
                <w:bCs/>
                <w:color w:val="000000"/>
                <w:szCs w:val="22"/>
              </w:rPr>
              <w:t>Poruchy krvi a lymfatického systému</w:t>
            </w:r>
          </w:p>
        </w:tc>
      </w:tr>
      <w:tr w:rsidR="007F3990" w:rsidRPr="00C83045" w14:paraId="32367CFC" w14:textId="77777777" w:rsidTr="00D4304B">
        <w:trPr>
          <w:cantSplit/>
        </w:trPr>
        <w:tc>
          <w:tcPr>
            <w:tcW w:w="2235" w:type="dxa"/>
          </w:tcPr>
          <w:p w14:paraId="32367CFA"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Veľmi časté</w:t>
            </w:r>
            <w:r w:rsidR="007F3990" w:rsidRPr="00C83045">
              <w:rPr>
                <w:i/>
                <w:color w:val="000000"/>
                <w:szCs w:val="22"/>
              </w:rPr>
              <w:t>:</w:t>
            </w:r>
          </w:p>
        </w:tc>
        <w:tc>
          <w:tcPr>
            <w:tcW w:w="7087" w:type="dxa"/>
          </w:tcPr>
          <w:p w14:paraId="32367CFB" w14:textId="77777777" w:rsidR="007F3990" w:rsidRPr="00C83045" w:rsidRDefault="00043E47" w:rsidP="00D4304B">
            <w:pPr>
              <w:keepNext/>
              <w:widowControl w:val="0"/>
              <w:tabs>
                <w:tab w:val="left" w:pos="567"/>
              </w:tabs>
              <w:ind w:left="0" w:firstLine="0"/>
              <w:rPr>
                <w:color w:val="000000"/>
                <w:szCs w:val="22"/>
              </w:rPr>
            </w:pPr>
            <w:r w:rsidRPr="00C83045">
              <w:rPr>
                <w:color w:val="000000"/>
                <w:szCs w:val="22"/>
              </w:rPr>
              <w:t>Neutropé</w:t>
            </w:r>
            <w:r w:rsidR="007F3990" w:rsidRPr="00C83045">
              <w:rPr>
                <w:color w:val="000000"/>
                <w:szCs w:val="22"/>
              </w:rPr>
              <w:t>nia, t</w:t>
            </w:r>
            <w:r w:rsidRPr="00C83045">
              <w:rPr>
                <w:color w:val="000000"/>
                <w:szCs w:val="22"/>
              </w:rPr>
              <w:t>rombocytopé</w:t>
            </w:r>
            <w:r w:rsidR="007F3990" w:rsidRPr="00C83045">
              <w:rPr>
                <w:color w:val="000000"/>
                <w:szCs w:val="22"/>
              </w:rPr>
              <w:t>nia, an</w:t>
            </w:r>
            <w:r w:rsidRPr="00C83045">
              <w:rPr>
                <w:color w:val="000000"/>
                <w:szCs w:val="22"/>
              </w:rPr>
              <w:t>é</w:t>
            </w:r>
            <w:r w:rsidR="007F3990" w:rsidRPr="00C83045">
              <w:rPr>
                <w:color w:val="000000"/>
                <w:szCs w:val="22"/>
              </w:rPr>
              <w:t>mia</w:t>
            </w:r>
          </w:p>
        </w:tc>
      </w:tr>
      <w:tr w:rsidR="007F3990" w:rsidRPr="00C83045" w14:paraId="32367CFF" w14:textId="77777777" w:rsidTr="00D4304B">
        <w:trPr>
          <w:cantSplit/>
        </w:trPr>
        <w:tc>
          <w:tcPr>
            <w:tcW w:w="2235" w:type="dxa"/>
          </w:tcPr>
          <w:p w14:paraId="32367CFD"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Časté</w:t>
            </w:r>
            <w:r w:rsidR="007F3990" w:rsidRPr="00C83045">
              <w:rPr>
                <w:i/>
                <w:color w:val="000000"/>
                <w:szCs w:val="22"/>
              </w:rPr>
              <w:t>:</w:t>
            </w:r>
          </w:p>
        </w:tc>
        <w:tc>
          <w:tcPr>
            <w:tcW w:w="7087" w:type="dxa"/>
          </w:tcPr>
          <w:p w14:paraId="32367CFE" w14:textId="77777777" w:rsidR="007F3990" w:rsidRPr="00C83045" w:rsidRDefault="007F3990" w:rsidP="00D4304B">
            <w:pPr>
              <w:keepNext/>
              <w:widowControl w:val="0"/>
              <w:tabs>
                <w:tab w:val="left" w:pos="567"/>
              </w:tabs>
              <w:ind w:left="0" w:firstLine="0"/>
              <w:rPr>
                <w:color w:val="000000"/>
                <w:szCs w:val="22"/>
              </w:rPr>
            </w:pPr>
            <w:r w:rsidRPr="00C83045">
              <w:rPr>
                <w:color w:val="000000"/>
                <w:szCs w:val="22"/>
              </w:rPr>
              <w:t>Pancytop</w:t>
            </w:r>
            <w:r w:rsidR="00043E47" w:rsidRPr="00C83045">
              <w:rPr>
                <w:color w:val="000000"/>
                <w:szCs w:val="22"/>
              </w:rPr>
              <w:t>é</w:t>
            </w:r>
            <w:r w:rsidRPr="00C83045">
              <w:rPr>
                <w:color w:val="000000"/>
                <w:szCs w:val="22"/>
              </w:rPr>
              <w:t>nia, febril</w:t>
            </w:r>
            <w:r w:rsidR="00043E47" w:rsidRPr="00C83045">
              <w:rPr>
                <w:color w:val="000000"/>
                <w:szCs w:val="22"/>
              </w:rPr>
              <w:t>ná</w:t>
            </w:r>
            <w:r w:rsidRPr="00C83045">
              <w:rPr>
                <w:color w:val="000000"/>
                <w:szCs w:val="22"/>
              </w:rPr>
              <w:t xml:space="preserve"> neutrop</w:t>
            </w:r>
            <w:r w:rsidR="00043E47" w:rsidRPr="00C83045">
              <w:rPr>
                <w:color w:val="000000"/>
                <w:szCs w:val="22"/>
              </w:rPr>
              <w:t>é</w:t>
            </w:r>
            <w:r w:rsidRPr="00C83045">
              <w:rPr>
                <w:color w:val="000000"/>
                <w:szCs w:val="22"/>
              </w:rPr>
              <w:t>nia</w:t>
            </w:r>
          </w:p>
        </w:tc>
      </w:tr>
      <w:tr w:rsidR="007F3990" w:rsidRPr="00C83045" w14:paraId="32367D02" w14:textId="77777777" w:rsidTr="00D4304B">
        <w:trPr>
          <w:cantSplit/>
        </w:trPr>
        <w:tc>
          <w:tcPr>
            <w:tcW w:w="2235" w:type="dxa"/>
          </w:tcPr>
          <w:p w14:paraId="32367D00"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Menej časté</w:t>
            </w:r>
            <w:r w:rsidR="007F3990" w:rsidRPr="00C83045">
              <w:rPr>
                <w:i/>
                <w:color w:val="000000"/>
                <w:szCs w:val="22"/>
              </w:rPr>
              <w:t>:</w:t>
            </w:r>
          </w:p>
        </w:tc>
        <w:tc>
          <w:tcPr>
            <w:tcW w:w="7087" w:type="dxa"/>
          </w:tcPr>
          <w:p w14:paraId="32367D01" w14:textId="77777777" w:rsidR="007F3990" w:rsidRPr="00C83045" w:rsidRDefault="007F3990" w:rsidP="00D4304B">
            <w:pPr>
              <w:keepNext/>
              <w:widowControl w:val="0"/>
              <w:tabs>
                <w:tab w:val="left" w:pos="567"/>
              </w:tabs>
              <w:ind w:left="0" w:firstLine="0"/>
              <w:rPr>
                <w:color w:val="000000"/>
                <w:szCs w:val="22"/>
              </w:rPr>
            </w:pPr>
            <w:r w:rsidRPr="00C83045">
              <w:rPr>
                <w:color w:val="000000"/>
                <w:szCs w:val="22"/>
              </w:rPr>
              <w:t>Trombocyt</w:t>
            </w:r>
            <w:r w:rsidR="00043E47" w:rsidRPr="00C83045">
              <w:rPr>
                <w:color w:val="000000"/>
                <w:szCs w:val="22"/>
              </w:rPr>
              <w:t>émia, lymf</w:t>
            </w:r>
            <w:r w:rsidRPr="00C83045">
              <w:rPr>
                <w:color w:val="000000"/>
                <w:szCs w:val="22"/>
              </w:rPr>
              <w:t>op</w:t>
            </w:r>
            <w:r w:rsidR="00043E47" w:rsidRPr="00C83045">
              <w:rPr>
                <w:color w:val="000000"/>
                <w:szCs w:val="22"/>
              </w:rPr>
              <w:t>é</w:t>
            </w:r>
            <w:r w:rsidRPr="00C83045">
              <w:rPr>
                <w:color w:val="000000"/>
                <w:szCs w:val="22"/>
              </w:rPr>
              <w:t xml:space="preserve">nia, </w:t>
            </w:r>
            <w:r w:rsidR="00043E47" w:rsidRPr="00C83045">
              <w:rPr>
                <w:color w:val="000000"/>
                <w:szCs w:val="22"/>
              </w:rPr>
              <w:t xml:space="preserve">útlm kostnej drene, </w:t>
            </w:r>
            <w:r w:rsidRPr="00C83045">
              <w:rPr>
                <w:color w:val="000000"/>
                <w:szCs w:val="22"/>
              </w:rPr>
              <w:t>eo</w:t>
            </w:r>
            <w:r w:rsidR="00043E47" w:rsidRPr="00C83045">
              <w:rPr>
                <w:color w:val="000000"/>
                <w:szCs w:val="22"/>
              </w:rPr>
              <w:t>z</w:t>
            </w:r>
            <w:r w:rsidRPr="00C83045">
              <w:rPr>
                <w:color w:val="000000"/>
                <w:szCs w:val="22"/>
              </w:rPr>
              <w:t>ino</w:t>
            </w:r>
            <w:r w:rsidR="00043E47" w:rsidRPr="00C83045">
              <w:rPr>
                <w:color w:val="000000"/>
                <w:szCs w:val="22"/>
              </w:rPr>
              <w:t>fília</w:t>
            </w:r>
            <w:r w:rsidRPr="00C83045">
              <w:rPr>
                <w:color w:val="000000"/>
                <w:szCs w:val="22"/>
              </w:rPr>
              <w:t>, lym</w:t>
            </w:r>
            <w:r w:rsidR="00043E47" w:rsidRPr="00C83045">
              <w:rPr>
                <w:color w:val="000000"/>
                <w:szCs w:val="22"/>
              </w:rPr>
              <w:t>f</w:t>
            </w:r>
            <w:r w:rsidRPr="00C83045">
              <w:rPr>
                <w:color w:val="000000"/>
                <w:szCs w:val="22"/>
              </w:rPr>
              <w:t>adenopat</w:t>
            </w:r>
            <w:r w:rsidR="00043E47" w:rsidRPr="00C83045">
              <w:rPr>
                <w:color w:val="000000"/>
                <w:szCs w:val="22"/>
              </w:rPr>
              <w:t>ia</w:t>
            </w:r>
          </w:p>
        </w:tc>
      </w:tr>
      <w:tr w:rsidR="007F3990" w:rsidRPr="00C83045" w14:paraId="32367D05" w14:textId="77777777" w:rsidTr="00D4304B">
        <w:trPr>
          <w:cantSplit/>
        </w:trPr>
        <w:tc>
          <w:tcPr>
            <w:tcW w:w="2235" w:type="dxa"/>
          </w:tcPr>
          <w:p w14:paraId="32367D03" w14:textId="77777777" w:rsidR="007F3990" w:rsidRPr="00C83045" w:rsidRDefault="009C75EE" w:rsidP="00D4304B">
            <w:pPr>
              <w:widowControl w:val="0"/>
              <w:tabs>
                <w:tab w:val="left" w:pos="567"/>
              </w:tabs>
              <w:ind w:left="0" w:firstLine="0"/>
              <w:rPr>
                <w:i/>
                <w:color w:val="000000"/>
                <w:szCs w:val="22"/>
              </w:rPr>
            </w:pPr>
            <w:r w:rsidRPr="00C83045">
              <w:rPr>
                <w:i/>
                <w:color w:val="000000"/>
                <w:szCs w:val="22"/>
              </w:rPr>
              <w:t>Zriedkavé</w:t>
            </w:r>
            <w:r w:rsidR="007F3990" w:rsidRPr="00C83045">
              <w:rPr>
                <w:i/>
                <w:color w:val="000000"/>
                <w:szCs w:val="22"/>
              </w:rPr>
              <w:t>:</w:t>
            </w:r>
          </w:p>
        </w:tc>
        <w:tc>
          <w:tcPr>
            <w:tcW w:w="7087" w:type="dxa"/>
          </w:tcPr>
          <w:p w14:paraId="32367D04" w14:textId="77777777" w:rsidR="007F3990" w:rsidRPr="00514B7B" w:rsidRDefault="007F3990" w:rsidP="00D4304B">
            <w:pPr>
              <w:pStyle w:val="EndnoteText"/>
              <w:widowControl w:val="0"/>
              <w:tabs>
                <w:tab w:val="clear" w:pos="567"/>
              </w:tabs>
              <w:rPr>
                <w:rFonts w:ascii="TimesNewRomanPSMT" w:hAnsi="TimesNewRomanPSMT" w:cs="TimesNewRomanPSMT"/>
                <w:szCs w:val="22"/>
                <w:lang w:val="en-US"/>
              </w:rPr>
            </w:pPr>
            <w:r w:rsidRPr="00C83045">
              <w:rPr>
                <w:color w:val="000000"/>
                <w:szCs w:val="22"/>
              </w:rPr>
              <w:t>Hemolytic</w:t>
            </w:r>
            <w:r w:rsidR="00043E47" w:rsidRPr="00C83045">
              <w:rPr>
                <w:color w:val="000000"/>
                <w:szCs w:val="22"/>
              </w:rPr>
              <w:t>ká</w:t>
            </w:r>
            <w:r w:rsidRPr="00C83045">
              <w:rPr>
                <w:color w:val="000000"/>
                <w:szCs w:val="22"/>
              </w:rPr>
              <w:t xml:space="preserve"> an</w:t>
            </w:r>
            <w:r w:rsidR="00043E47" w:rsidRPr="00C83045">
              <w:rPr>
                <w:color w:val="000000"/>
                <w:szCs w:val="22"/>
              </w:rPr>
              <w:t>é</w:t>
            </w:r>
            <w:r w:rsidRPr="00C83045">
              <w:rPr>
                <w:color w:val="000000"/>
                <w:szCs w:val="22"/>
              </w:rPr>
              <w:t>mia</w:t>
            </w:r>
            <w:r w:rsidR="00276048">
              <w:rPr>
                <w:color w:val="000000"/>
                <w:szCs w:val="22"/>
              </w:rPr>
              <w:t xml:space="preserve">, </w:t>
            </w:r>
            <w:r w:rsidR="00276048">
              <w:rPr>
                <w:rFonts w:ascii="TimesNewRomanPSMT" w:hAnsi="TimesNewRomanPSMT" w:cs="TimesNewRomanPSMT"/>
                <w:szCs w:val="22"/>
                <w:lang w:val="en-US"/>
              </w:rPr>
              <w:t>trombotická mikroangiopatia</w:t>
            </w:r>
          </w:p>
        </w:tc>
      </w:tr>
      <w:tr w:rsidR="00D557D8" w:rsidRPr="00C83045" w14:paraId="32367D07" w14:textId="77777777" w:rsidTr="00D4304B">
        <w:trPr>
          <w:cantSplit/>
        </w:trPr>
        <w:tc>
          <w:tcPr>
            <w:tcW w:w="9322" w:type="dxa"/>
            <w:gridSpan w:val="2"/>
          </w:tcPr>
          <w:p w14:paraId="32367D06" w14:textId="77777777" w:rsidR="00D557D8" w:rsidRPr="00C83045" w:rsidRDefault="00D557D8" w:rsidP="00D4304B">
            <w:pPr>
              <w:keepNext/>
              <w:widowControl w:val="0"/>
              <w:tabs>
                <w:tab w:val="left" w:pos="567"/>
              </w:tabs>
              <w:ind w:left="0" w:firstLine="0"/>
              <w:rPr>
                <w:b/>
                <w:color w:val="000000"/>
                <w:szCs w:val="22"/>
              </w:rPr>
            </w:pPr>
            <w:r w:rsidRPr="00C83045">
              <w:rPr>
                <w:b/>
                <w:color w:val="000000"/>
                <w:szCs w:val="22"/>
              </w:rPr>
              <w:t>Poruchy metabolizmu a výživy</w:t>
            </w:r>
          </w:p>
        </w:tc>
      </w:tr>
      <w:tr w:rsidR="00D557D8" w:rsidRPr="00C83045" w14:paraId="32367D0A" w14:textId="77777777" w:rsidTr="00D4304B">
        <w:trPr>
          <w:cantSplit/>
        </w:trPr>
        <w:tc>
          <w:tcPr>
            <w:tcW w:w="2235" w:type="dxa"/>
          </w:tcPr>
          <w:p w14:paraId="32367D08" w14:textId="77777777" w:rsidR="00D557D8" w:rsidRPr="00C83045" w:rsidRDefault="00D557D8" w:rsidP="00D4304B">
            <w:pPr>
              <w:keepNext/>
              <w:widowControl w:val="0"/>
              <w:tabs>
                <w:tab w:val="left" w:pos="567"/>
              </w:tabs>
              <w:ind w:left="0" w:firstLine="0"/>
              <w:rPr>
                <w:i/>
                <w:color w:val="000000"/>
                <w:szCs w:val="22"/>
              </w:rPr>
            </w:pPr>
            <w:r w:rsidRPr="00C83045">
              <w:rPr>
                <w:i/>
                <w:color w:val="000000"/>
                <w:szCs w:val="22"/>
              </w:rPr>
              <w:t>Časté:</w:t>
            </w:r>
          </w:p>
        </w:tc>
        <w:tc>
          <w:tcPr>
            <w:tcW w:w="7087" w:type="dxa"/>
          </w:tcPr>
          <w:p w14:paraId="32367D09" w14:textId="77777777" w:rsidR="00D557D8" w:rsidRPr="00C83045" w:rsidRDefault="00D557D8" w:rsidP="00D4304B">
            <w:pPr>
              <w:keepNext/>
              <w:widowControl w:val="0"/>
              <w:tabs>
                <w:tab w:val="left" w:pos="567"/>
              </w:tabs>
              <w:ind w:left="0" w:firstLine="0"/>
              <w:rPr>
                <w:color w:val="000000"/>
                <w:szCs w:val="22"/>
              </w:rPr>
            </w:pPr>
            <w:r w:rsidRPr="00C83045">
              <w:rPr>
                <w:color w:val="000000"/>
                <w:szCs w:val="22"/>
              </w:rPr>
              <w:t>Anorexia</w:t>
            </w:r>
          </w:p>
        </w:tc>
      </w:tr>
      <w:tr w:rsidR="00D557D8" w:rsidRPr="00C83045" w14:paraId="32367D0D" w14:textId="77777777" w:rsidTr="00D4304B">
        <w:trPr>
          <w:cantSplit/>
        </w:trPr>
        <w:tc>
          <w:tcPr>
            <w:tcW w:w="2235" w:type="dxa"/>
          </w:tcPr>
          <w:p w14:paraId="32367D0B" w14:textId="77777777" w:rsidR="00D557D8" w:rsidRPr="00C83045" w:rsidRDefault="00D557D8" w:rsidP="00D4304B">
            <w:pPr>
              <w:keepNext/>
              <w:widowControl w:val="0"/>
              <w:tabs>
                <w:tab w:val="left" w:pos="567"/>
              </w:tabs>
              <w:ind w:left="0" w:firstLine="0"/>
              <w:rPr>
                <w:i/>
                <w:color w:val="000000"/>
                <w:szCs w:val="22"/>
              </w:rPr>
            </w:pPr>
            <w:r w:rsidRPr="00C83045">
              <w:rPr>
                <w:i/>
                <w:color w:val="000000"/>
                <w:szCs w:val="22"/>
              </w:rPr>
              <w:t>Menej časté:</w:t>
            </w:r>
          </w:p>
        </w:tc>
        <w:tc>
          <w:tcPr>
            <w:tcW w:w="7087" w:type="dxa"/>
          </w:tcPr>
          <w:p w14:paraId="32367D0C" w14:textId="77777777" w:rsidR="00D557D8" w:rsidRPr="00C83045" w:rsidRDefault="00D557D8" w:rsidP="00D4304B">
            <w:pPr>
              <w:keepNext/>
              <w:widowControl w:val="0"/>
              <w:tabs>
                <w:tab w:val="left" w:pos="567"/>
              </w:tabs>
              <w:ind w:left="0" w:firstLine="0"/>
              <w:rPr>
                <w:color w:val="000000"/>
                <w:szCs w:val="22"/>
              </w:rPr>
            </w:pPr>
            <w:r w:rsidRPr="00C83045">
              <w:rPr>
                <w:color w:val="000000"/>
                <w:szCs w:val="22"/>
              </w:rPr>
              <w:t>Hypokaliémia, zvýšenie chuti do jedenia, hypofosfatémia, zníženie chuti do jedenia, dehydratácia, dna, hyperurikémia, hyperkalciémia, hyperglykémia, hyponatriémia</w:t>
            </w:r>
          </w:p>
        </w:tc>
      </w:tr>
      <w:tr w:rsidR="00D557D8" w:rsidRPr="00C83045" w14:paraId="32367D10" w14:textId="77777777" w:rsidTr="00D4304B">
        <w:trPr>
          <w:cantSplit/>
        </w:trPr>
        <w:tc>
          <w:tcPr>
            <w:tcW w:w="2235" w:type="dxa"/>
          </w:tcPr>
          <w:p w14:paraId="32367D0E" w14:textId="77777777" w:rsidR="00D557D8" w:rsidRPr="00C83045" w:rsidRDefault="00D557D8" w:rsidP="00D4304B">
            <w:pPr>
              <w:widowControl w:val="0"/>
              <w:tabs>
                <w:tab w:val="left" w:pos="567"/>
              </w:tabs>
              <w:ind w:left="0" w:firstLine="0"/>
              <w:rPr>
                <w:i/>
                <w:color w:val="000000"/>
                <w:szCs w:val="22"/>
              </w:rPr>
            </w:pPr>
            <w:r w:rsidRPr="00C83045">
              <w:rPr>
                <w:i/>
                <w:color w:val="000000"/>
                <w:szCs w:val="22"/>
              </w:rPr>
              <w:t>Zriedkavé:</w:t>
            </w:r>
          </w:p>
        </w:tc>
        <w:tc>
          <w:tcPr>
            <w:tcW w:w="7087" w:type="dxa"/>
          </w:tcPr>
          <w:p w14:paraId="32367D0F" w14:textId="77777777" w:rsidR="00D557D8" w:rsidRPr="00C83045" w:rsidRDefault="00D557D8" w:rsidP="00D4304B">
            <w:pPr>
              <w:widowControl w:val="0"/>
              <w:tabs>
                <w:tab w:val="left" w:pos="567"/>
              </w:tabs>
              <w:ind w:left="0" w:firstLine="0"/>
              <w:rPr>
                <w:color w:val="000000"/>
                <w:szCs w:val="22"/>
              </w:rPr>
            </w:pPr>
            <w:r w:rsidRPr="00C83045">
              <w:rPr>
                <w:color w:val="000000"/>
                <w:szCs w:val="22"/>
              </w:rPr>
              <w:t>Hyperkaliémia, hypomagneziémia</w:t>
            </w:r>
          </w:p>
        </w:tc>
      </w:tr>
      <w:tr w:rsidR="00D557D8" w:rsidRPr="00C83045" w14:paraId="32367D12" w14:textId="77777777" w:rsidTr="00D4304B">
        <w:trPr>
          <w:cantSplit/>
        </w:trPr>
        <w:tc>
          <w:tcPr>
            <w:tcW w:w="9322" w:type="dxa"/>
            <w:gridSpan w:val="2"/>
          </w:tcPr>
          <w:p w14:paraId="32367D11" w14:textId="77777777" w:rsidR="00D557D8" w:rsidRPr="00C83045" w:rsidRDefault="00D557D8" w:rsidP="00D4304B">
            <w:pPr>
              <w:keepNext/>
              <w:widowControl w:val="0"/>
              <w:tabs>
                <w:tab w:val="left" w:pos="567"/>
              </w:tabs>
              <w:ind w:left="0" w:firstLine="0"/>
              <w:rPr>
                <w:b/>
                <w:color w:val="000000"/>
                <w:szCs w:val="22"/>
              </w:rPr>
            </w:pPr>
            <w:r w:rsidRPr="00C83045">
              <w:rPr>
                <w:b/>
                <w:bCs/>
                <w:color w:val="000000"/>
                <w:szCs w:val="22"/>
              </w:rPr>
              <w:t>Psychické poruchy</w:t>
            </w:r>
          </w:p>
        </w:tc>
      </w:tr>
      <w:tr w:rsidR="00D557D8" w:rsidRPr="00C83045" w14:paraId="32367D15" w14:textId="77777777" w:rsidTr="00D4304B">
        <w:trPr>
          <w:cantSplit/>
        </w:trPr>
        <w:tc>
          <w:tcPr>
            <w:tcW w:w="2235" w:type="dxa"/>
          </w:tcPr>
          <w:p w14:paraId="32367D13" w14:textId="77777777" w:rsidR="00D557D8" w:rsidRPr="00C83045" w:rsidRDefault="00D557D8" w:rsidP="00D4304B">
            <w:pPr>
              <w:keepNext/>
              <w:widowControl w:val="0"/>
              <w:tabs>
                <w:tab w:val="left" w:pos="567"/>
              </w:tabs>
              <w:ind w:left="0" w:firstLine="0"/>
              <w:rPr>
                <w:i/>
                <w:color w:val="000000"/>
                <w:szCs w:val="22"/>
              </w:rPr>
            </w:pPr>
            <w:r w:rsidRPr="00C83045">
              <w:rPr>
                <w:i/>
                <w:color w:val="000000"/>
                <w:szCs w:val="22"/>
              </w:rPr>
              <w:t>Časté:</w:t>
            </w:r>
          </w:p>
        </w:tc>
        <w:tc>
          <w:tcPr>
            <w:tcW w:w="7087" w:type="dxa"/>
          </w:tcPr>
          <w:p w14:paraId="32367D14" w14:textId="77777777" w:rsidR="00D557D8" w:rsidRPr="00C83045" w:rsidRDefault="00D557D8" w:rsidP="00D4304B">
            <w:pPr>
              <w:keepNext/>
              <w:widowControl w:val="0"/>
              <w:tabs>
                <w:tab w:val="left" w:pos="567"/>
              </w:tabs>
              <w:ind w:left="0" w:firstLine="0"/>
              <w:rPr>
                <w:color w:val="000000"/>
                <w:szCs w:val="22"/>
              </w:rPr>
            </w:pPr>
            <w:r w:rsidRPr="00C83045">
              <w:rPr>
                <w:color w:val="000000"/>
                <w:szCs w:val="22"/>
              </w:rPr>
              <w:t>Nespavosť</w:t>
            </w:r>
          </w:p>
        </w:tc>
      </w:tr>
      <w:tr w:rsidR="00D557D8" w:rsidRPr="00C83045" w14:paraId="32367D18" w14:textId="77777777" w:rsidTr="00D4304B">
        <w:trPr>
          <w:cantSplit/>
        </w:trPr>
        <w:tc>
          <w:tcPr>
            <w:tcW w:w="2235" w:type="dxa"/>
          </w:tcPr>
          <w:p w14:paraId="32367D16" w14:textId="77777777" w:rsidR="00D557D8" w:rsidRPr="00C83045" w:rsidRDefault="00D557D8" w:rsidP="00D4304B">
            <w:pPr>
              <w:keepNext/>
              <w:widowControl w:val="0"/>
              <w:tabs>
                <w:tab w:val="left" w:pos="567"/>
              </w:tabs>
              <w:ind w:left="0" w:firstLine="0"/>
              <w:rPr>
                <w:i/>
                <w:color w:val="000000"/>
                <w:szCs w:val="22"/>
              </w:rPr>
            </w:pPr>
            <w:r w:rsidRPr="00C83045">
              <w:rPr>
                <w:i/>
                <w:color w:val="000000"/>
                <w:szCs w:val="22"/>
              </w:rPr>
              <w:t>Menej časté:</w:t>
            </w:r>
          </w:p>
        </w:tc>
        <w:tc>
          <w:tcPr>
            <w:tcW w:w="7087" w:type="dxa"/>
          </w:tcPr>
          <w:p w14:paraId="32367D17" w14:textId="77777777" w:rsidR="00D557D8" w:rsidRPr="00C83045" w:rsidRDefault="00D557D8" w:rsidP="00D4304B">
            <w:pPr>
              <w:keepNext/>
              <w:widowControl w:val="0"/>
              <w:tabs>
                <w:tab w:val="left" w:pos="567"/>
              </w:tabs>
              <w:ind w:left="0" w:firstLine="0"/>
              <w:rPr>
                <w:color w:val="000000"/>
                <w:szCs w:val="22"/>
              </w:rPr>
            </w:pPr>
            <w:r w:rsidRPr="00C83045">
              <w:rPr>
                <w:color w:val="000000"/>
                <w:szCs w:val="22"/>
              </w:rPr>
              <w:t>Depresia, zníženie libida, úzkosť</w:t>
            </w:r>
          </w:p>
        </w:tc>
      </w:tr>
      <w:tr w:rsidR="00D557D8" w:rsidRPr="00C83045" w14:paraId="32367D1B" w14:textId="77777777" w:rsidTr="00D4304B">
        <w:trPr>
          <w:cantSplit/>
        </w:trPr>
        <w:tc>
          <w:tcPr>
            <w:tcW w:w="2235" w:type="dxa"/>
          </w:tcPr>
          <w:p w14:paraId="32367D19" w14:textId="77777777" w:rsidR="00D557D8" w:rsidRPr="00C83045" w:rsidRDefault="00D557D8" w:rsidP="00D4304B">
            <w:pPr>
              <w:widowControl w:val="0"/>
              <w:tabs>
                <w:tab w:val="left" w:pos="567"/>
              </w:tabs>
              <w:ind w:left="0" w:firstLine="0"/>
              <w:rPr>
                <w:i/>
                <w:color w:val="000000"/>
                <w:szCs w:val="22"/>
              </w:rPr>
            </w:pPr>
            <w:r w:rsidRPr="00C83045">
              <w:rPr>
                <w:i/>
                <w:color w:val="000000"/>
                <w:szCs w:val="22"/>
              </w:rPr>
              <w:t>Zriedkavé:</w:t>
            </w:r>
          </w:p>
        </w:tc>
        <w:tc>
          <w:tcPr>
            <w:tcW w:w="7087" w:type="dxa"/>
          </w:tcPr>
          <w:p w14:paraId="32367D1A" w14:textId="77777777" w:rsidR="00D557D8" w:rsidRPr="00C83045" w:rsidRDefault="00D557D8" w:rsidP="00D4304B">
            <w:pPr>
              <w:widowControl w:val="0"/>
              <w:tabs>
                <w:tab w:val="left" w:pos="567"/>
              </w:tabs>
              <w:ind w:left="0" w:firstLine="0"/>
              <w:rPr>
                <w:color w:val="000000"/>
                <w:szCs w:val="22"/>
              </w:rPr>
            </w:pPr>
            <w:r w:rsidRPr="00C83045">
              <w:rPr>
                <w:color w:val="000000"/>
                <w:szCs w:val="22"/>
              </w:rPr>
              <w:t>Zmätenosť</w:t>
            </w:r>
          </w:p>
        </w:tc>
      </w:tr>
      <w:tr w:rsidR="00043E47" w:rsidRPr="00C83045" w14:paraId="32367D1D" w14:textId="77777777" w:rsidTr="00D4304B">
        <w:trPr>
          <w:cantSplit/>
        </w:trPr>
        <w:tc>
          <w:tcPr>
            <w:tcW w:w="9322" w:type="dxa"/>
            <w:gridSpan w:val="2"/>
          </w:tcPr>
          <w:p w14:paraId="32367D1C" w14:textId="77777777" w:rsidR="00043E47" w:rsidRPr="00C83045" w:rsidRDefault="00043E47" w:rsidP="00D4304B">
            <w:pPr>
              <w:keepNext/>
              <w:widowControl w:val="0"/>
              <w:tabs>
                <w:tab w:val="left" w:pos="567"/>
              </w:tabs>
              <w:ind w:left="0" w:firstLine="0"/>
              <w:rPr>
                <w:color w:val="000000"/>
                <w:szCs w:val="22"/>
              </w:rPr>
            </w:pPr>
            <w:r w:rsidRPr="00C83045">
              <w:rPr>
                <w:b/>
                <w:color w:val="000000"/>
                <w:szCs w:val="22"/>
              </w:rPr>
              <w:t>Poruchy nervového systému</w:t>
            </w:r>
          </w:p>
        </w:tc>
      </w:tr>
      <w:tr w:rsidR="007F3990" w:rsidRPr="00C83045" w14:paraId="32367D20" w14:textId="77777777" w:rsidTr="00D4304B">
        <w:trPr>
          <w:cantSplit/>
        </w:trPr>
        <w:tc>
          <w:tcPr>
            <w:tcW w:w="2235" w:type="dxa"/>
          </w:tcPr>
          <w:p w14:paraId="32367D1E"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Veľmi časté</w:t>
            </w:r>
            <w:r w:rsidR="007F3990" w:rsidRPr="00C83045">
              <w:rPr>
                <w:i/>
                <w:color w:val="000000"/>
                <w:szCs w:val="22"/>
              </w:rPr>
              <w:t>:</w:t>
            </w:r>
          </w:p>
        </w:tc>
        <w:tc>
          <w:tcPr>
            <w:tcW w:w="7087" w:type="dxa"/>
          </w:tcPr>
          <w:p w14:paraId="32367D1F" w14:textId="77777777" w:rsidR="007F3990" w:rsidRPr="00C83045" w:rsidRDefault="00043E47" w:rsidP="00D4304B">
            <w:pPr>
              <w:keepNext/>
              <w:widowControl w:val="0"/>
              <w:tabs>
                <w:tab w:val="left" w:pos="567"/>
              </w:tabs>
              <w:ind w:left="0" w:firstLine="0"/>
              <w:rPr>
                <w:color w:val="000000"/>
                <w:szCs w:val="22"/>
              </w:rPr>
            </w:pPr>
            <w:r w:rsidRPr="00C83045">
              <w:rPr>
                <w:color w:val="000000"/>
                <w:szCs w:val="22"/>
              </w:rPr>
              <w:t>Bolesť hlavy</w:t>
            </w:r>
            <w:r w:rsidR="007F3990" w:rsidRPr="00C83045">
              <w:rPr>
                <w:color w:val="000000"/>
                <w:szCs w:val="22"/>
                <w:vertAlign w:val="superscript"/>
              </w:rPr>
              <w:t>2</w:t>
            </w:r>
          </w:p>
        </w:tc>
      </w:tr>
      <w:tr w:rsidR="007F3990" w:rsidRPr="00C83045" w14:paraId="32367D23" w14:textId="77777777" w:rsidTr="00D4304B">
        <w:trPr>
          <w:cantSplit/>
        </w:trPr>
        <w:tc>
          <w:tcPr>
            <w:tcW w:w="2235" w:type="dxa"/>
          </w:tcPr>
          <w:p w14:paraId="32367D21"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Časté</w:t>
            </w:r>
            <w:r w:rsidR="007F3990" w:rsidRPr="00C83045">
              <w:rPr>
                <w:i/>
                <w:color w:val="000000"/>
                <w:szCs w:val="22"/>
              </w:rPr>
              <w:t>:</w:t>
            </w:r>
          </w:p>
        </w:tc>
        <w:tc>
          <w:tcPr>
            <w:tcW w:w="7087" w:type="dxa"/>
          </w:tcPr>
          <w:p w14:paraId="32367D22" w14:textId="77777777" w:rsidR="007F3990" w:rsidRPr="00C83045" w:rsidRDefault="00F837CF" w:rsidP="00D4304B">
            <w:pPr>
              <w:keepNext/>
              <w:widowControl w:val="0"/>
              <w:tabs>
                <w:tab w:val="left" w:pos="567"/>
              </w:tabs>
              <w:ind w:left="0" w:firstLine="0"/>
              <w:rPr>
                <w:color w:val="000000"/>
                <w:szCs w:val="22"/>
              </w:rPr>
            </w:pPr>
            <w:r w:rsidRPr="00C83045">
              <w:rPr>
                <w:color w:val="000000"/>
                <w:szCs w:val="22"/>
              </w:rPr>
              <w:t xml:space="preserve">Závraty, parestézia, poruchy vnímania chuti, </w:t>
            </w:r>
            <w:r w:rsidR="007F3990" w:rsidRPr="00C83045">
              <w:rPr>
                <w:color w:val="000000"/>
                <w:szCs w:val="22"/>
              </w:rPr>
              <w:t>hypoest</w:t>
            </w:r>
            <w:r w:rsidRPr="00C83045">
              <w:rPr>
                <w:color w:val="000000"/>
                <w:szCs w:val="22"/>
              </w:rPr>
              <w:t>ézia</w:t>
            </w:r>
          </w:p>
        </w:tc>
      </w:tr>
      <w:tr w:rsidR="007F3990" w:rsidRPr="00C83045" w14:paraId="32367D26" w14:textId="77777777" w:rsidTr="00D4304B">
        <w:trPr>
          <w:cantSplit/>
        </w:trPr>
        <w:tc>
          <w:tcPr>
            <w:tcW w:w="2235" w:type="dxa"/>
          </w:tcPr>
          <w:p w14:paraId="32367D24"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Menej časté</w:t>
            </w:r>
            <w:r w:rsidR="007F3990" w:rsidRPr="00C83045">
              <w:rPr>
                <w:i/>
                <w:color w:val="000000"/>
                <w:szCs w:val="22"/>
              </w:rPr>
              <w:t>:</w:t>
            </w:r>
          </w:p>
        </w:tc>
        <w:tc>
          <w:tcPr>
            <w:tcW w:w="7087" w:type="dxa"/>
          </w:tcPr>
          <w:p w14:paraId="32367D25" w14:textId="77777777" w:rsidR="007F3990" w:rsidRPr="00C83045" w:rsidRDefault="00F837CF" w:rsidP="00D4304B">
            <w:pPr>
              <w:keepNext/>
              <w:widowControl w:val="0"/>
              <w:tabs>
                <w:tab w:val="left" w:pos="567"/>
              </w:tabs>
              <w:ind w:left="0" w:firstLine="0"/>
              <w:rPr>
                <w:color w:val="000000"/>
                <w:szCs w:val="22"/>
              </w:rPr>
            </w:pPr>
            <w:r w:rsidRPr="00C83045">
              <w:rPr>
                <w:color w:val="000000"/>
                <w:szCs w:val="22"/>
              </w:rPr>
              <w:t xml:space="preserve">Migréna, </w:t>
            </w:r>
            <w:r w:rsidR="007F3990" w:rsidRPr="00C83045">
              <w:rPr>
                <w:color w:val="000000"/>
                <w:szCs w:val="22"/>
              </w:rPr>
              <w:t>somnolenc</w:t>
            </w:r>
            <w:r w:rsidRPr="00C83045">
              <w:rPr>
                <w:color w:val="000000"/>
                <w:szCs w:val="22"/>
              </w:rPr>
              <w:t>ia</w:t>
            </w:r>
            <w:r w:rsidR="007F3990" w:rsidRPr="00C83045">
              <w:rPr>
                <w:color w:val="000000"/>
                <w:szCs w:val="22"/>
              </w:rPr>
              <w:t>, syn</w:t>
            </w:r>
            <w:r w:rsidRPr="00C83045">
              <w:rPr>
                <w:color w:val="000000"/>
                <w:szCs w:val="22"/>
              </w:rPr>
              <w:t>k</w:t>
            </w:r>
            <w:r w:rsidR="007F3990" w:rsidRPr="00C83045">
              <w:rPr>
                <w:color w:val="000000"/>
                <w:szCs w:val="22"/>
              </w:rPr>
              <w:t>op</w:t>
            </w:r>
            <w:r w:rsidRPr="00C83045">
              <w:rPr>
                <w:color w:val="000000"/>
                <w:szCs w:val="22"/>
              </w:rPr>
              <w:t>a</w:t>
            </w:r>
            <w:r w:rsidR="007F3990" w:rsidRPr="00C83045">
              <w:rPr>
                <w:color w:val="000000"/>
                <w:szCs w:val="22"/>
              </w:rPr>
              <w:t xml:space="preserve">, </w:t>
            </w:r>
            <w:r w:rsidRPr="00C83045">
              <w:rPr>
                <w:color w:val="000000"/>
                <w:szCs w:val="22"/>
              </w:rPr>
              <w:t>periférna neuropatia</w:t>
            </w:r>
            <w:r w:rsidR="007F3990" w:rsidRPr="00C83045">
              <w:rPr>
                <w:color w:val="000000"/>
                <w:szCs w:val="22"/>
              </w:rPr>
              <w:t xml:space="preserve">, </w:t>
            </w:r>
            <w:r w:rsidRPr="00C83045">
              <w:rPr>
                <w:color w:val="000000"/>
                <w:szCs w:val="22"/>
              </w:rPr>
              <w:t>zhoršenie pamäti</w:t>
            </w:r>
            <w:r w:rsidR="007F3990" w:rsidRPr="00C83045">
              <w:rPr>
                <w:color w:val="000000"/>
                <w:szCs w:val="22"/>
              </w:rPr>
              <w:t xml:space="preserve">, </w:t>
            </w:r>
            <w:r w:rsidRPr="00C83045">
              <w:rPr>
                <w:color w:val="000000"/>
                <w:szCs w:val="22"/>
              </w:rPr>
              <w:t xml:space="preserve">zápal sedacieho nervu, </w:t>
            </w:r>
            <w:r w:rsidR="007F3990" w:rsidRPr="00C83045">
              <w:rPr>
                <w:color w:val="000000"/>
                <w:szCs w:val="22"/>
              </w:rPr>
              <w:t>syndr</w:t>
            </w:r>
            <w:r w:rsidRPr="00C83045">
              <w:rPr>
                <w:color w:val="000000"/>
                <w:szCs w:val="22"/>
              </w:rPr>
              <w:t>ó</w:t>
            </w:r>
            <w:r w:rsidR="007F3990" w:rsidRPr="00C83045">
              <w:rPr>
                <w:color w:val="000000"/>
                <w:szCs w:val="22"/>
              </w:rPr>
              <w:t>m</w:t>
            </w:r>
            <w:r w:rsidRPr="00C83045">
              <w:rPr>
                <w:color w:val="000000"/>
                <w:szCs w:val="22"/>
              </w:rPr>
              <w:t xml:space="preserve"> nepokojných nôh, </w:t>
            </w:r>
            <w:r w:rsidR="007F3990" w:rsidRPr="00C83045">
              <w:rPr>
                <w:color w:val="000000"/>
                <w:szCs w:val="22"/>
              </w:rPr>
              <w:t xml:space="preserve">tremor, </w:t>
            </w:r>
            <w:r w:rsidRPr="00C83045">
              <w:rPr>
                <w:color w:val="000000"/>
                <w:szCs w:val="22"/>
              </w:rPr>
              <w:t>krvácanie do mozgu</w:t>
            </w:r>
          </w:p>
        </w:tc>
      </w:tr>
      <w:tr w:rsidR="007F3990" w:rsidRPr="00C83045" w14:paraId="32367D29" w14:textId="77777777" w:rsidTr="00D4304B">
        <w:trPr>
          <w:cantSplit/>
        </w:trPr>
        <w:tc>
          <w:tcPr>
            <w:tcW w:w="2235" w:type="dxa"/>
          </w:tcPr>
          <w:p w14:paraId="32367D27"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Zriedkavé</w:t>
            </w:r>
            <w:r w:rsidR="007F3990" w:rsidRPr="00C83045">
              <w:rPr>
                <w:i/>
                <w:color w:val="000000"/>
                <w:szCs w:val="22"/>
              </w:rPr>
              <w:t>:</w:t>
            </w:r>
          </w:p>
        </w:tc>
        <w:tc>
          <w:tcPr>
            <w:tcW w:w="7087" w:type="dxa"/>
          </w:tcPr>
          <w:p w14:paraId="32367D28" w14:textId="77777777" w:rsidR="007F3990" w:rsidRPr="00C83045" w:rsidRDefault="00D47B50" w:rsidP="00D4304B">
            <w:pPr>
              <w:keepNext/>
              <w:widowControl w:val="0"/>
              <w:tabs>
                <w:tab w:val="left" w:pos="567"/>
              </w:tabs>
              <w:ind w:left="0" w:firstLine="0"/>
              <w:rPr>
                <w:color w:val="000000"/>
                <w:szCs w:val="22"/>
              </w:rPr>
            </w:pPr>
            <w:r w:rsidRPr="00C83045">
              <w:rPr>
                <w:color w:val="000000"/>
                <w:szCs w:val="22"/>
              </w:rPr>
              <w:t>Zvýšenie vnútrolebkového tlaku, kŕče</w:t>
            </w:r>
            <w:r w:rsidR="007F3990" w:rsidRPr="00C83045">
              <w:rPr>
                <w:color w:val="000000"/>
                <w:szCs w:val="22"/>
              </w:rPr>
              <w:t>, neurit</w:t>
            </w:r>
            <w:r w:rsidRPr="00C83045">
              <w:rPr>
                <w:color w:val="000000"/>
                <w:szCs w:val="22"/>
              </w:rPr>
              <w:t>ída zrakového nervu</w:t>
            </w:r>
          </w:p>
        </w:tc>
      </w:tr>
      <w:tr w:rsidR="00011CBC" w:rsidRPr="00C83045" w14:paraId="32367D2C" w14:textId="77777777" w:rsidTr="00D4304B">
        <w:trPr>
          <w:cantSplit/>
        </w:trPr>
        <w:tc>
          <w:tcPr>
            <w:tcW w:w="2235" w:type="dxa"/>
          </w:tcPr>
          <w:p w14:paraId="32367D2A" w14:textId="77777777" w:rsidR="00011CBC" w:rsidRPr="00C83045" w:rsidRDefault="00011CBC"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7D2B" w14:textId="77777777" w:rsidR="00011CBC" w:rsidRPr="00C83045" w:rsidRDefault="00011CBC" w:rsidP="00D4304B">
            <w:pPr>
              <w:widowControl w:val="0"/>
              <w:tabs>
                <w:tab w:val="left" w:pos="567"/>
              </w:tabs>
              <w:ind w:left="0" w:firstLine="0"/>
              <w:rPr>
                <w:color w:val="000000"/>
                <w:szCs w:val="22"/>
              </w:rPr>
            </w:pPr>
            <w:r w:rsidRPr="00C83045">
              <w:rPr>
                <w:color w:val="000000"/>
                <w:szCs w:val="22"/>
              </w:rPr>
              <w:t>Cerebrálny edém*</w:t>
            </w:r>
          </w:p>
        </w:tc>
      </w:tr>
      <w:tr w:rsidR="007F3990" w:rsidRPr="00C83045" w14:paraId="32367D2E" w14:textId="77777777" w:rsidTr="00D4304B">
        <w:trPr>
          <w:cantSplit/>
        </w:trPr>
        <w:tc>
          <w:tcPr>
            <w:tcW w:w="9322" w:type="dxa"/>
            <w:gridSpan w:val="2"/>
          </w:tcPr>
          <w:p w14:paraId="32367D2D" w14:textId="77777777" w:rsidR="007F3990" w:rsidRPr="00C83045" w:rsidRDefault="00D7285B" w:rsidP="00D4304B">
            <w:pPr>
              <w:keepNext/>
              <w:widowControl w:val="0"/>
              <w:tabs>
                <w:tab w:val="left" w:pos="567"/>
              </w:tabs>
              <w:ind w:left="0" w:firstLine="0"/>
              <w:rPr>
                <w:color w:val="000000"/>
                <w:szCs w:val="22"/>
              </w:rPr>
            </w:pPr>
            <w:r w:rsidRPr="00C83045">
              <w:rPr>
                <w:b/>
                <w:bCs/>
                <w:color w:val="000000"/>
                <w:szCs w:val="22"/>
              </w:rPr>
              <w:t>Poruchy</w:t>
            </w:r>
            <w:r w:rsidR="00D47B50" w:rsidRPr="00C83045">
              <w:rPr>
                <w:b/>
                <w:color w:val="000000"/>
                <w:szCs w:val="22"/>
              </w:rPr>
              <w:t xml:space="preserve"> oka</w:t>
            </w:r>
          </w:p>
        </w:tc>
      </w:tr>
      <w:tr w:rsidR="007F3990" w:rsidRPr="00C83045" w14:paraId="32367D31" w14:textId="77777777" w:rsidTr="00D4304B">
        <w:trPr>
          <w:cantSplit/>
        </w:trPr>
        <w:tc>
          <w:tcPr>
            <w:tcW w:w="2235" w:type="dxa"/>
          </w:tcPr>
          <w:p w14:paraId="32367D2F"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Časté</w:t>
            </w:r>
            <w:r w:rsidR="007F3990" w:rsidRPr="00C83045">
              <w:rPr>
                <w:i/>
                <w:color w:val="000000"/>
                <w:szCs w:val="22"/>
              </w:rPr>
              <w:t>:</w:t>
            </w:r>
          </w:p>
        </w:tc>
        <w:tc>
          <w:tcPr>
            <w:tcW w:w="7087" w:type="dxa"/>
          </w:tcPr>
          <w:p w14:paraId="32367D30" w14:textId="77777777" w:rsidR="007F3990" w:rsidRPr="00C83045" w:rsidRDefault="007F3990" w:rsidP="00D4304B">
            <w:pPr>
              <w:keepNext/>
              <w:widowControl w:val="0"/>
              <w:tabs>
                <w:tab w:val="left" w:pos="567"/>
              </w:tabs>
              <w:ind w:left="0" w:firstLine="0"/>
              <w:rPr>
                <w:color w:val="000000"/>
                <w:szCs w:val="22"/>
              </w:rPr>
            </w:pPr>
            <w:r w:rsidRPr="00C83045">
              <w:rPr>
                <w:color w:val="000000"/>
                <w:szCs w:val="22"/>
              </w:rPr>
              <w:t>E</w:t>
            </w:r>
            <w:r w:rsidR="00D47B50" w:rsidRPr="00C83045">
              <w:rPr>
                <w:color w:val="000000"/>
                <w:szCs w:val="22"/>
              </w:rPr>
              <w:t>dém mihalnice, zvýšená lakrimácia</w:t>
            </w:r>
            <w:r w:rsidRPr="00C83045">
              <w:rPr>
                <w:color w:val="000000"/>
                <w:szCs w:val="22"/>
              </w:rPr>
              <w:t xml:space="preserve">, </w:t>
            </w:r>
            <w:r w:rsidR="00D47B50" w:rsidRPr="00C83045">
              <w:rPr>
                <w:color w:val="000000"/>
                <w:szCs w:val="22"/>
              </w:rPr>
              <w:t>krvácanie do spojoviek</w:t>
            </w:r>
            <w:r w:rsidRPr="00C83045">
              <w:rPr>
                <w:color w:val="000000"/>
                <w:szCs w:val="22"/>
              </w:rPr>
              <w:t xml:space="preserve">, </w:t>
            </w:r>
            <w:r w:rsidR="000350A6" w:rsidRPr="00C83045">
              <w:rPr>
                <w:color w:val="000000"/>
                <w:szCs w:val="22"/>
              </w:rPr>
              <w:t>k</w:t>
            </w:r>
            <w:r w:rsidR="00B73FAE" w:rsidRPr="00C83045">
              <w:rPr>
                <w:color w:val="000000"/>
                <w:szCs w:val="22"/>
              </w:rPr>
              <w:t>onjunktivitída</w:t>
            </w:r>
            <w:r w:rsidRPr="00C83045">
              <w:rPr>
                <w:color w:val="000000"/>
                <w:szCs w:val="22"/>
              </w:rPr>
              <w:t xml:space="preserve">, </w:t>
            </w:r>
            <w:r w:rsidR="00B73FAE" w:rsidRPr="00C83045">
              <w:rPr>
                <w:color w:val="000000"/>
                <w:szCs w:val="22"/>
              </w:rPr>
              <w:t>suchosť očí,</w:t>
            </w:r>
            <w:r w:rsidRPr="00C83045">
              <w:rPr>
                <w:color w:val="000000"/>
                <w:szCs w:val="22"/>
              </w:rPr>
              <w:t xml:space="preserve"> </w:t>
            </w:r>
            <w:r w:rsidR="00B73FAE" w:rsidRPr="00C83045">
              <w:rPr>
                <w:color w:val="000000"/>
                <w:szCs w:val="22"/>
              </w:rPr>
              <w:t>neostré videnie</w:t>
            </w:r>
          </w:p>
        </w:tc>
      </w:tr>
      <w:tr w:rsidR="007F3990" w:rsidRPr="00C83045" w14:paraId="32367D34" w14:textId="77777777" w:rsidTr="00D4304B">
        <w:trPr>
          <w:cantSplit/>
        </w:trPr>
        <w:tc>
          <w:tcPr>
            <w:tcW w:w="2235" w:type="dxa"/>
          </w:tcPr>
          <w:p w14:paraId="32367D32"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Menej časté</w:t>
            </w:r>
            <w:r w:rsidR="007F3990" w:rsidRPr="00C83045">
              <w:rPr>
                <w:i/>
                <w:color w:val="000000"/>
                <w:szCs w:val="22"/>
              </w:rPr>
              <w:t>:</w:t>
            </w:r>
          </w:p>
        </w:tc>
        <w:tc>
          <w:tcPr>
            <w:tcW w:w="7087" w:type="dxa"/>
          </w:tcPr>
          <w:p w14:paraId="32367D33" w14:textId="77777777" w:rsidR="007F3990" w:rsidRPr="00C83045" w:rsidRDefault="00B73FAE" w:rsidP="00D4304B">
            <w:pPr>
              <w:keepNext/>
              <w:widowControl w:val="0"/>
              <w:tabs>
                <w:tab w:val="left" w:pos="567"/>
              </w:tabs>
              <w:ind w:left="0" w:firstLine="0"/>
              <w:rPr>
                <w:color w:val="000000"/>
                <w:szCs w:val="22"/>
              </w:rPr>
            </w:pPr>
            <w:r w:rsidRPr="00C83045">
              <w:rPr>
                <w:color w:val="000000"/>
                <w:szCs w:val="22"/>
              </w:rPr>
              <w:t>Podráždenie očí</w:t>
            </w:r>
            <w:r w:rsidR="007F3990" w:rsidRPr="00C83045">
              <w:rPr>
                <w:color w:val="000000"/>
                <w:szCs w:val="22"/>
              </w:rPr>
              <w:t xml:space="preserve">, </w:t>
            </w:r>
            <w:r w:rsidRPr="00C83045">
              <w:rPr>
                <w:color w:val="000000"/>
                <w:szCs w:val="22"/>
              </w:rPr>
              <w:t>bolesť očí, orbitálny edém</w:t>
            </w:r>
            <w:r w:rsidR="007F3990" w:rsidRPr="00C83045">
              <w:rPr>
                <w:color w:val="000000"/>
                <w:szCs w:val="22"/>
              </w:rPr>
              <w:t xml:space="preserve">, </w:t>
            </w:r>
            <w:r w:rsidRPr="00C83045">
              <w:rPr>
                <w:color w:val="000000"/>
                <w:szCs w:val="22"/>
              </w:rPr>
              <w:t xml:space="preserve">krvácanie do </w:t>
            </w:r>
            <w:r w:rsidR="007F3990" w:rsidRPr="00C83045">
              <w:rPr>
                <w:color w:val="000000"/>
                <w:szCs w:val="22"/>
              </w:rPr>
              <w:t>s</w:t>
            </w:r>
            <w:r w:rsidRPr="00C83045">
              <w:rPr>
                <w:color w:val="000000"/>
                <w:szCs w:val="22"/>
              </w:rPr>
              <w:t>k</w:t>
            </w:r>
            <w:r w:rsidR="007F3990" w:rsidRPr="00C83045">
              <w:rPr>
                <w:color w:val="000000"/>
                <w:szCs w:val="22"/>
              </w:rPr>
              <w:t>l</w:t>
            </w:r>
            <w:r w:rsidRPr="00C83045">
              <w:rPr>
                <w:color w:val="000000"/>
                <w:szCs w:val="22"/>
              </w:rPr>
              <w:t>éry</w:t>
            </w:r>
            <w:r w:rsidR="007F3990" w:rsidRPr="00C83045">
              <w:rPr>
                <w:color w:val="000000"/>
                <w:szCs w:val="22"/>
              </w:rPr>
              <w:t xml:space="preserve">, </w:t>
            </w:r>
            <w:r w:rsidRPr="00C83045">
              <w:rPr>
                <w:color w:val="000000"/>
                <w:szCs w:val="22"/>
              </w:rPr>
              <w:t>krvácanie do sietnice</w:t>
            </w:r>
            <w:r w:rsidR="007F3990" w:rsidRPr="00C83045">
              <w:rPr>
                <w:color w:val="000000"/>
                <w:szCs w:val="22"/>
              </w:rPr>
              <w:t>, ble</w:t>
            </w:r>
            <w:r w:rsidRPr="00C83045">
              <w:rPr>
                <w:color w:val="000000"/>
                <w:szCs w:val="22"/>
              </w:rPr>
              <w:t>f</w:t>
            </w:r>
            <w:r w:rsidR="007F3990" w:rsidRPr="00C83045">
              <w:rPr>
                <w:color w:val="000000"/>
                <w:szCs w:val="22"/>
              </w:rPr>
              <w:t>arit</w:t>
            </w:r>
            <w:r w:rsidRPr="00C83045">
              <w:rPr>
                <w:color w:val="000000"/>
                <w:szCs w:val="22"/>
              </w:rPr>
              <w:t>ída</w:t>
            </w:r>
            <w:r w:rsidR="007F3990" w:rsidRPr="00C83045">
              <w:rPr>
                <w:color w:val="000000"/>
                <w:szCs w:val="22"/>
              </w:rPr>
              <w:t xml:space="preserve">, </w:t>
            </w:r>
            <w:r w:rsidRPr="00C83045">
              <w:rPr>
                <w:color w:val="000000"/>
                <w:szCs w:val="22"/>
              </w:rPr>
              <w:t>makulárny edém</w:t>
            </w:r>
          </w:p>
        </w:tc>
      </w:tr>
      <w:tr w:rsidR="007F3990" w:rsidRPr="00C83045" w14:paraId="32367D37" w14:textId="77777777" w:rsidTr="00D4304B">
        <w:trPr>
          <w:cantSplit/>
        </w:trPr>
        <w:tc>
          <w:tcPr>
            <w:tcW w:w="2235" w:type="dxa"/>
          </w:tcPr>
          <w:p w14:paraId="32367D35"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Zriedkavé</w:t>
            </w:r>
            <w:r w:rsidR="007F3990" w:rsidRPr="00C83045">
              <w:rPr>
                <w:i/>
                <w:color w:val="000000"/>
                <w:szCs w:val="22"/>
              </w:rPr>
              <w:t>:</w:t>
            </w:r>
          </w:p>
        </w:tc>
        <w:tc>
          <w:tcPr>
            <w:tcW w:w="7087" w:type="dxa"/>
          </w:tcPr>
          <w:p w14:paraId="32367D36" w14:textId="77777777" w:rsidR="007F3990" w:rsidRPr="00C83045" w:rsidRDefault="00B73FAE" w:rsidP="00D4304B">
            <w:pPr>
              <w:keepNext/>
              <w:widowControl w:val="0"/>
              <w:tabs>
                <w:tab w:val="left" w:pos="567"/>
              </w:tabs>
              <w:ind w:left="0" w:firstLine="0"/>
              <w:rPr>
                <w:color w:val="000000"/>
                <w:szCs w:val="22"/>
              </w:rPr>
            </w:pPr>
            <w:r w:rsidRPr="00C83045">
              <w:rPr>
                <w:color w:val="000000"/>
                <w:szCs w:val="22"/>
              </w:rPr>
              <w:t>K</w:t>
            </w:r>
            <w:r w:rsidR="007F3990" w:rsidRPr="00C83045">
              <w:rPr>
                <w:color w:val="000000"/>
                <w:szCs w:val="22"/>
              </w:rPr>
              <w:t>atara</w:t>
            </w:r>
            <w:r w:rsidRPr="00C83045">
              <w:rPr>
                <w:color w:val="000000"/>
                <w:szCs w:val="22"/>
              </w:rPr>
              <w:t>k</w:t>
            </w:r>
            <w:r w:rsidR="007F3990" w:rsidRPr="00C83045">
              <w:rPr>
                <w:color w:val="000000"/>
                <w:szCs w:val="22"/>
              </w:rPr>
              <w:t>t</w:t>
            </w:r>
            <w:r w:rsidRPr="00C83045">
              <w:rPr>
                <w:color w:val="000000"/>
                <w:szCs w:val="22"/>
              </w:rPr>
              <w:t>a</w:t>
            </w:r>
            <w:r w:rsidR="007F3990" w:rsidRPr="00C83045">
              <w:rPr>
                <w:color w:val="000000"/>
                <w:szCs w:val="22"/>
              </w:rPr>
              <w:t>, glau</w:t>
            </w:r>
            <w:r w:rsidRPr="00C83045">
              <w:rPr>
                <w:color w:val="000000"/>
                <w:szCs w:val="22"/>
              </w:rPr>
              <w:t>kóm</w:t>
            </w:r>
            <w:r w:rsidR="007F3990" w:rsidRPr="00C83045">
              <w:rPr>
                <w:color w:val="000000"/>
                <w:szCs w:val="22"/>
              </w:rPr>
              <w:t xml:space="preserve">, </w:t>
            </w:r>
            <w:r w:rsidRPr="00C83045">
              <w:rPr>
                <w:color w:val="000000"/>
                <w:szCs w:val="22"/>
              </w:rPr>
              <w:t>edém zrakovej papily</w:t>
            </w:r>
          </w:p>
        </w:tc>
      </w:tr>
      <w:tr w:rsidR="002D5791" w:rsidRPr="00C83045" w14:paraId="32367D3A" w14:textId="77777777" w:rsidTr="00D4304B">
        <w:trPr>
          <w:cantSplit/>
        </w:trPr>
        <w:tc>
          <w:tcPr>
            <w:tcW w:w="2235" w:type="dxa"/>
          </w:tcPr>
          <w:p w14:paraId="32367D38" w14:textId="77777777" w:rsidR="002D5791" w:rsidRPr="00C83045" w:rsidRDefault="002D5791"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7D39" w14:textId="77777777" w:rsidR="002D5791" w:rsidRPr="00C83045" w:rsidRDefault="002D5791" w:rsidP="00D4304B">
            <w:pPr>
              <w:widowControl w:val="0"/>
              <w:tabs>
                <w:tab w:val="left" w:pos="567"/>
              </w:tabs>
              <w:ind w:left="0" w:firstLine="0"/>
              <w:rPr>
                <w:color w:val="000000"/>
                <w:szCs w:val="22"/>
              </w:rPr>
            </w:pPr>
            <w:r w:rsidRPr="00C83045">
              <w:rPr>
                <w:color w:val="000000"/>
                <w:szCs w:val="22"/>
              </w:rPr>
              <w:t>Krvácanie do sklovca*</w:t>
            </w:r>
          </w:p>
        </w:tc>
      </w:tr>
      <w:tr w:rsidR="007F3990" w:rsidRPr="00C83045" w14:paraId="32367D3C" w14:textId="77777777" w:rsidTr="00D4304B">
        <w:trPr>
          <w:cantSplit/>
        </w:trPr>
        <w:tc>
          <w:tcPr>
            <w:tcW w:w="9322" w:type="dxa"/>
            <w:gridSpan w:val="2"/>
          </w:tcPr>
          <w:p w14:paraId="32367D3B" w14:textId="77777777" w:rsidR="007F3990" w:rsidRPr="00C83045" w:rsidRDefault="00D7285B" w:rsidP="00D4304B">
            <w:pPr>
              <w:keepNext/>
              <w:widowControl w:val="0"/>
              <w:tabs>
                <w:tab w:val="left" w:pos="567"/>
              </w:tabs>
              <w:ind w:left="0" w:firstLine="0"/>
              <w:rPr>
                <w:color w:val="000000"/>
                <w:szCs w:val="22"/>
              </w:rPr>
            </w:pPr>
            <w:r w:rsidRPr="00C83045">
              <w:rPr>
                <w:b/>
                <w:bCs/>
                <w:color w:val="000000"/>
                <w:szCs w:val="22"/>
              </w:rPr>
              <w:t>Poruchy</w:t>
            </w:r>
            <w:r w:rsidRPr="00C83045" w:rsidDel="00D7285B">
              <w:rPr>
                <w:b/>
                <w:bCs/>
                <w:color w:val="000000"/>
                <w:szCs w:val="22"/>
              </w:rPr>
              <w:t xml:space="preserve"> </w:t>
            </w:r>
            <w:r w:rsidR="00B73FAE" w:rsidRPr="00C83045">
              <w:rPr>
                <w:b/>
                <w:bCs/>
                <w:color w:val="000000"/>
                <w:szCs w:val="22"/>
              </w:rPr>
              <w:t>ucha a labyrintu</w:t>
            </w:r>
          </w:p>
        </w:tc>
      </w:tr>
      <w:tr w:rsidR="007F3990" w:rsidRPr="00C83045" w14:paraId="32367D3F" w14:textId="77777777" w:rsidTr="00D4304B">
        <w:trPr>
          <w:cantSplit/>
        </w:trPr>
        <w:tc>
          <w:tcPr>
            <w:tcW w:w="2235" w:type="dxa"/>
          </w:tcPr>
          <w:p w14:paraId="32367D3D" w14:textId="77777777" w:rsidR="007F3990" w:rsidRPr="00C83045" w:rsidRDefault="009C75EE" w:rsidP="00D4304B">
            <w:pPr>
              <w:widowControl w:val="0"/>
              <w:tabs>
                <w:tab w:val="left" w:pos="567"/>
              </w:tabs>
              <w:ind w:left="0" w:firstLine="0"/>
              <w:rPr>
                <w:color w:val="000000"/>
                <w:szCs w:val="22"/>
              </w:rPr>
            </w:pPr>
            <w:r w:rsidRPr="00C83045">
              <w:rPr>
                <w:i/>
                <w:color w:val="000000"/>
                <w:szCs w:val="22"/>
              </w:rPr>
              <w:t>Menej časté</w:t>
            </w:r>
            <w:r w:rsidR="007F3990" w:rsidRPr="00C83045">
              <w:rPr>
                <w:i/>
                <w:color w:val="000000"/>
                <w:szCs w:val="22"/>
              </w:rPr>
              <w:t>:</w:t>
            </w:r>
          </w:p>
        </w:tc>
        <w:tc>
          <w:tcPr>
            <w:tcW w:w="7087" w:type="dxa"/>
          </w:tcPr>
          <w:p w14:paraId="32367D3E" w14:textId="77777777" w:rsidR="007F3990" w:rsidRPr="00C83045" w:rsidRDefault="007F3990" w:rsidP="00D4304B">
            <w:pPr>
              <w:widowControl w:val="0"/>
              <w:tabs>
                <w:tab w:val="left" w:pos="567"/>
              </w:tabs>
              <w:ind w:left="0" w:firstLine="0"/>
              <w:rPr>
                <w:color w:val="000000"/>
                <w:szCs w:val="22"/>
              </w:rPr>
            </w:pPr>
            <w:r w:rsidRPr="00C83045">
              <w:rPr>
                <w:color w:val="000000"/>
                <w:szCs w:val="22"/>
              </w:rPr>
              <w:t xml:space="preserve">Vertigo, tinitus, </w:t>
            </w:r>
            <w:r w:rsidR="00B73FAE" w:rsidRPr="00C83045">
              <w:rPr>
                <w:color w:val="000000"/>
                <w:szCs w:val="22"/>
              </w:rPr>
              <w:t>strata sluchu</w:t>
            </w:r>
          </w:p>
        </w:tc>
      </w:tr>
      <w:tr w:rsidR="009A606C" w:rsidRPr="00C83045" w14:paraId="32367D41" w14:textId="77777777" w:rsidTr="00D4304B">
        <w:trPr>
          <w:cantSplit/>
        </w:trPr>
        <w:tc>
          <w:tcPr>
            <w:tcW w:w="9322" w:type="dxa"/>
            <w:gridSpan w:val="2"/>
          </w:tcPr>
          <w:p w14:paraId="32367D40" w14:textId="77777777" w:rsidR="009A606C" w:rsidRPr="00C83045" w:rsidRDefault="009A606C" w:rsidP="00D4304B">
            <w:pPr>
              <w:keepNext/>
              <w:widowControl w:val="0"/>
              <w:tabs>
                <w:tab w:val="left" w:pos="567"/>
              </w:tabs>
              <w:ind w:left="0" w:firstLine="0"/>
              <w:rPr>
                <w:color w:val="000000"/>
                <w:szCs w:val="22"/>
              </w:rPr>
            </w:pPr>
            <w:r w:rsidRPr="00C83045">
              <w:rPr>
                <w:b/>
                <w:bCs/>
                <w:color w:val="000000"/>
                <w:szCs w:val="22"/>
              </w:rPr>
              <w:t>Poruchy srdca a srdcovej činnosti</w:t>
            </w:r>
          </w:p>
        </w:tc>
      </w:tr>
      <w:tr w:rsidR="009A606C" w:rsidRPr="00C83045" w14:paraId="32367D44" w14:textId="77777777" w:rsidTr="00D4304B">
        <w:trPr>
          <w:cantSplit/>
        </w:trPr>
        <w:tc>
          <w:tcPr>
            <w:tcW w:w="2235" w:type="dxa"/>
          </w:tcPr>
          <w:p w14:paraId="32367D42" w14:textId="77777777" w:rsidR="009A606C" w:rsidRPr="00C83045" w:rsidRDefault="009A606C" w:rsidP="00D4304B">
            <w:pPr>
              <w:keepNext/>
              <w:widowControl w:val="0"/>
              <w:tabs>
                <w:tab w:val="left" w:pos="567"/>
              </w:tabs>
              <w:ind w:left="0" w:firstLine="0"/>
              <w:rPr>
                <w:color w:val="000000"/>
                <w:szCs w:val="22"/>
              </w:rPr>
            </w:pPr>
            <w:r w:rsidRPr="00C83045">
              <w:rPr>
                <w:i/>
                <w:color w:val="000000"/>
                <w:szCs w:val="22"/>
              </w:rPr>
              <w:t>Menej časté:</w:t>
            </w:r>
          </w:p>
        </w:tc>
        <w:tc>
          <w:tcPr>
            <w:tcW w:w="7087" w:type="dxa"/>
          </w:tcPr>
          <w:p w14:paraId="32367D43" w14:textId="77777777" w:rsidR="009A606C" w:rsidRPr="00C83045" w:rsidRDefault="009A606C" w:rsidP="00D4304B">
            <w:pPr>
              <w:keepNext/>
              <w:widowControl w:val="0"/>
              <w:tabs>
                <w:tab w:val="left" w:pos="567"/>
              </w:tabs>
              <w:ind w:left="0" w:firstLine="0"/>
              <w:rPr>
                <w:color w:val="000000"/>
                <w:szCs w:val="22"/>
              </w:rPr>
            </w:pPr>
            <w:r w:rsidRPr="00C83045">
              <w:rPr>
                <w:color w:val="000000"/>
                <w:szCs w:val="22"/>
              </w:rPr>
              <w:t>Palpitácie, tachykardia, kongestívne zlyhanie srdca</w:t>
            </w:r>
            <w:r w:rsidR="00BB4D37" w:rsidRPr="00C83045">
              <w:rPr>
                <w:color w:val="000000"/>
                <w:szCs w:val="22"/>
                <w:vertAlign w:val="superscript"/>
              </w:rPr>
              <w:t>3</w:t>
            </w:r>
            <w:r w:rsidRPr="00C83045">
              <w:rPr>
                <w:color w:val="000000"/>
                <w:szCs w:val="22"/>
              </w:rPr>
              <w:t>, pľúcny edém</w:t>
            </w:r>
          </w:p>
        </w:tc>
      </w:tr>
      <w:tr w:rsidR="009A606C" w:rsidRPr="00C83045" w14:paraId="32367D47" w14:textId="77777777" w:rsidTr="00D4304B">
        <w:trPr>
          <w:cantSplit/>
        </w:trPr>
        <w:tc>
          <w:tcPr>
            <w:tcW w:w="2235" w:type="dxa"/>
          </w:tcPr>
          <w:p w14:paraId="32367D45" w14:textId="77777777" w:rsidR="009A606C" w:rsidRPr="00C83045" w:rsidRDefault="009A606C" w:rsidP="00D4304B">
            <w:pPr>
              <w:keepNext/>
              <w:keepLines/>
              <w:widowControl w:val="0"/>
              <w:tabs>
                <w:tab w:val="left" w:pos="567"/>
              </w:tabs>
              <w:ind w:left="0" w:firstLine="0"/>
              <w:rPr>
                <w:color w:val="000000"/>
                <w:szCs w:val="22"/>
              </w:rPr>
            </w:pPr>
            <w:r w:rsidRPr="00C83045">
              <w:rPr>
                <w:i/>
                <w:color w:val="000000"/>
                <w:szCs w:val="22"/>
              </w:rPr>
              <w:t>Zriedkavé:</w:t>
            </w:r>
          </w:p>
        </w:tc>
        <w:tc>
          <w:tcPr>
            <w:tcW w:w="7087" w:type="dxa"/>
          </w:tcPr>
          <w:p w14:paraId="32367D46" w14:textId="77777777" w:rsidR="009A606C" w:rsidRPr="00C83045" w:rsidRDefault="009A606C" w:rsidP="00D4304B">
            <w:pPr>
              <w:keepNext/>
              <w:keepLines/>
              <w:widowControl w:val="0"/>
              <w:tabs>
                <w:tab w:val="left" w:pos="567"/>
              </w:tabs>
              <w:ind w:left="0" w:firstLine="0"/>
              <w:rPr>
                <w:color w:val="000000"/>
                <w:szCs w:val="22"/>
              </w:rPr>
            </w:pPr>
            <w:r w:rsidRPr="00C83045">
              <w:rPr>
                <w:color w:val="000000"/>
                <w:szCs w:val="22"/>
              </w:rPr>
              <w:t>Arytmia, fibrilácia predsiení, zastavenie srdca, infarkt myokardu, angina pectoris, perikardový výpotok</w:t>
            </w:r>
          </w:p>
        </w:tc>
      </w:tr>
      <w:tr w:rsidR="00713EC1" w:rsidRPr="00C83045" w14:paraId="32367D4A" w14:textId="77777777" w:rsidTr="00D4304B">
        <w:trPr>
          <w:cantSplit/>
        </w:trPr>
        <w:tc>
          <w:tcPr>
            <w:tcW w:w="2235" w:type="dxa"/>
          </w:tcPr>
          <w:p w14:paraId="32367D48" w14:textId="77777777" w:rsidR="00713EC1" w:rsidRPr="00C83045" w:rsidRDefault="00713EC1"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7D49" w14:textId="77777777" w:rsidR="00713EC1" w:rsidRPr="00C83045" w:rsidRDefault="00713EC1" w:rsidP="00D4304B">
            <w:pPr>
              <w:widowControl w:val="0"/>
              <w:tabs>
                <w:tab w:val="left" w:pos="567"/>
              </w:tabs>
              <w:ind w:left="0" w:firstLine="0"/>
              <w:rPr>
                <w:color w:val="000000"/>
                <w:szCs w:val="22"/>
              </w:rPr>
            </w:pPr>
            <w:r w:rsidRPr="00C83045">
              <w:rPr>
                <w:color w:val="000000"/>
                <w:szCs w:val="22"/>
              </w:rPr>
              <w:t>Perikarditída</w:t>
            </w:r>
            <w:r w:rsidR="00671273" w:rsidRPr="00C83045">
              <w:rPr>
                <w:color w:val="000000"/>
                <w:szCs w:val="22"/>
              </w:rPr>
              <w:t>*</w:t>
            </w:r>
            <w:r w:rsidRPr="00C83045">
              <w:rPr>
                <w:color w:val="000000"/>
                <w:szCs w:val="22"/>
              </w:rPr>
              <w:t>, tamponáda srdca*</w:t>
            </w:r>
          </w:p>
        </w:tc>
      </w:tr>
      <w:tr w:rsidR="00FD01F6" w:rsidRPr="00C83045" w14:paraId="32367D4C" w14:textId="77777777" w:rsidTr="00D4304B">
        <w:trPr>
          <w:cantSplit/>
        </w:trPr>
        <w:tc>
          <w:tcPr>
            <w:tcW w:w="9322" w:type="dxa"/>
            <w:gridSpan w:val="2"/>
          </w:tcPr>
          <w:p w14:paraId="32367D4B" w14:textId="77777777" w:rsidR="00FD01F6" w:rsidRPr="00C83045" w:rsidRDefault="00FD01F6" w:rsidP="00D4304B">
            <w:pPr>
              <w:keepNext/>
              <w:widowControl w:val="0"/>
              <w:tabs>
                <w:tab w:val="left" w:pos="567"/>
                <w:tab w:val="left" w:pos="6048"/>
              </w:tabs>
              <w:ind w:left="0" w:firstLine="0"/>
              <w:rPr>
                <w:color w:val="000000"/>
                <w:szCs w:val="22"/>
              </w:rPr>
            </w:pPr>
            <w:r w:rsidRPr="00C83045">
              <w:rPr>
                <w:b/>
                <w:color w:val="000000"/>
                <w:szCs w:val="22"/>
              </w:rPr>
              <w:lastRenderedPageBreak/>
              <w:t>Poruchy ciev</w:t>
            </w:r>
            <w:r w:rsidR="00BB4D37" w:rsidRPr="00C83045">
              <w:rPr>
                <w:b/>
                <w:color w:val="000000"/>
                <w:szCs w:val="22"/>
                <w:vertAlign w:val="superscript"/>
              </w:rPr>
              <w:t>4</w:t>
            </w:r>
          </w:p>
        </w:tc>
      </w:tr>
      <w:tr w:rsidR="009A606C" w:rsidRPr="00C83045" w14:paraId="32367D4F" w14:textId="77777777" w:rsidTr="00D4304B">
        <w:trPr>
          <w:cantSplit/>
        </w:trPr>
        <w:tc>
          <w:tcPr>
            <w:tcW w:w="2235" w:type="dxa"/>
          </w:tcPr>
          <w:p w14:paraId="32367D4D" w14:textId="77777777" w:rsidR="009A606C" w:rsidRPr="00C83045" w:rsidRDefault="009A606C" w:rsidP="00D4304B">
            <w:pPr>
              <w:keepNext/>
              <w:widowControl w:val="0"/>
              <w:tabs>
                <w:tab w:val="left" w:pos="567"/>
              </w:tabs>
              <w:ind w:left="0" w:firstLine="0"/>
              <w:rPr>
                <w:i/>
                <w:color w:val="000000"/>
                <w:szCs w:val="22"/>
              </w:rPr>
            </w:pPr>
            <w:r w:rsidRPr="00C83045">
              <w:rPr>
                <w:i/>
                <w:color w:val="000000"/>
                <w:szCs w:val="22"/>
              </w:rPr>
              <w:t>Časté:</w:t>
            </w:r>
          </w:p>
        </w:tc>
        <w:tc>
          <w:tcPr>
            <w:tcW w:w="7087" w:type="dxa"/>
          </w:tcPr>
          <w:p w14:paraId="32367D4E" w14:textId="77777777" w:rsidR="009A606C" w:rsidRPr="00C83045" w:rsidRDefault="009A606C" w:rsidP="00D4304B">
            <w:pPr>
              <w:keepNext/>
              <w:widowControl w:val="0"/>
              <w:tabs>
                <w:tab w:val="left" w:pos="567"/>
              </w:tabs>
              <w:ind w:left="0" w:firstLine="0"/>
              <w:rPr>
                <w:color w:val="000000"/>
                <w:szCs w:val="22"/>
              </w:rPr>
            </w:pPr>
            <w:r w:rsidRPr="00C83045">
              <w:rPr>
                <w:color w:val="000000"/>
                <w:szCs w:val="22"/>
              </w:rPr>
              <w:t>Návaly tepla, krvácanie</w:t>
            </w:r>
          </w:p>
        </w:tc>
      </w:tr>
      <w:tr w:rsidR="009A606C" w:rsidRPr="00C83045" w14:paraId="32367D52" w14:textId="77777777" w:rsidTr="00D4304B">
        <w:trPr>
          <w:cantSplit/>
        </w:trPr>
        <w:tc>
          <w:tcPr>
            <w:tcW w:w="2235" w:type="dxa"/>
          </w:tcPr>
          <w:p w14:paraId="32367D50" w14:textId="77777777" w:rsidR="009A606C" w:rsidRPr="00C83045" w:rsidDel="00655175" w:rsidRDefault="009A606C" w:rsidP="00D4304B">
            <w:pPr>
              <w:keepNext/>
              <w:widowControl w:val="0"/>
              <w:tabs>
                <w:tab w:val="left" w:pos="567"/>
              </w:tabs>
              <w:ind w:left="0" w:firstLine="0"/>
              <w:rPr>
                <w:i/>
                <w:color w:val="000000"/>
                <w:szCs w:val="22"/>
              </w:rPr>
            </w:pPr>
            <w:r w:rsidRPr="00C83045">
              <w:rPr>
                <w:i/>
                <w:color w:val="000000"/>
                <w:szCs w:val="22"/>
              </w:rPr>
              <w:t>Menej časté:</w:t>
            </w:r>
          </w:p>
        </w:tc>
        <w:tc>
          <w:tcPr>
            <w:tcW w:w="7087" w:type="dxa"/>
          </w:tcPr>
          <w:p w14:paraId="32367D51" w14:textId="77777777" w:rsidR="009A606C" w:rsidRPr="00C83045" w:rsidDel="00655175" w:rsidRDefault="009A606C" w:rsidP="00D4304B">
            <w:pPr>
              <w:keepNext/>
              <w:widowControl w:val="0"/>
              <w:tabs>
                <w:tab w:val="left" w:pos="567"/>
              </w:tabs>
              <w:ind w:left="0" w:firstLine="0"/>
              <w:rPr>
                <w:color w:val="000000"/>
                <w:szCs w:val="22"/>
              </w:rPr>
            </w:pPr>
            <w:r w:rsidRPr="00C83045">
              <w:rPr>
                <w:color w:val="000000"/>
                <w:szCs w:val="22"/>
              </w:rPr>
              <w:t xml:space="preserve">Hypertenzia, hematóm, </w:t>
            </w:r>
            <w:r w:rsidR="00046ED1" w:rsidRPr="00C83045">
              <w:rPr>
                <w:color w:val="000000"/>
                <w:szCs w:val="22"/>
              </w:rPr>
              <w:t xml:space="preserve">subdurálny hematóm, </w:t>
            </w:r>
            <w:r w:rsidRPr="00C83045">
              <w:rPr>
                <w:color w:val="000000"/>
                <w:szCs w:val="22"/>
              </w:rPr>
              <w:t>periférny pocit chladu, hypotenzia, Raynaudov fenomén</w:t>
            </w:r>
          </w:p>
        </w:tc>
      </w:tr>
      <w:tr w:rsidR="00B11977" w:rsidRPr="00C83045" w14:paraId="32367D55" w14:textId="77777777" w:rsidTr="00D4304B">
        <w:trPr>
          <w:cantSplit/>
        </w:trPr>
        <w:tc>
          <w:tcPr>
            <w:tcW w:w="2235" w:type="dxa"/>
          </w:tcPr>
          <w:p w14:paraId="32367D53" w14:textId="77777777" w:rsidR="00B11977" w:rsidRPr="00C83045" w:rsidRDefault="00B11977"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7D54" w14:textId="77777777" w:rsidR="00B11977" w:rsidRPr="00C83045" w:rsidRDefault="00B11977" w:rsidP="00D4304B">
            <w:pPr>
              <w:widowControl w:val="0"/>
              <w:tabs>
                <w:tab w:val="left" w:pos="567"/>
              </w:tabs>
              <w:ind w:left="0" w:firstLine="0"/>
              <w:rPr>
                <w:color w:val="000000"/>
                <w:szCs w:val="22"/>
              </w:rPr>
            </w:pPr>
            <w:r w:rsidRPr="00C83045">
              <w:rPr>
                <w:color w:val="000000"/>
                <w:szCs w:val="22"/>
              </w:rPr>
              <w:t>Trombóza, embolus*</w:t>
            </w:r>
          </w:p>
        </w:tc>
      </w:tr>
      <w:tr w:rsidR="007F3990" w:rsidRPr="00C83045" w14:paraId="32367D57" w14:textId="77777777" w:rsidTr="00D4304B">
        <w:trPr>
          <w:cantSplit/>
        </w:trPr>
        <w:tc>
          <w:tcPr>
            <w:tcW w:w="9322" w:type="dxa"/>
            <w:gridSpan w:val="2"/>
          </w:tcPr>
          <w:p w14:paraId="32367D56" w14:textId="77777777" w:rsidR="007F3990" w:rsidRPr="00C83045" w:rsidRDefault="00D7285B" w:rsidP="00D4304B">
            <w:pPr>
              <w:keepNext/>
              <w:widowControl w:val="0"/>
              <w:tabs>
                <w:tab w:val="left" w:pos="567"/>
              </w:tabs>
              <w:ind w:left="0" w:firstLine="0"/>
              <w:rPr>
                <w:color w:val="000000"/>
                <w:szCs w:val="22"/>
              </w:rPr>
            </w:pPr>
            <w:r w:rsidRPr="00C83045">
              <w:rPr>
                <w:b/>
                <w:bCs/>
                <w:color w:val="000000"/>
                <w:szCs w:val="22"/>
              </w:rPr>
              <w:t>Poruchy</w:t>
            </w:r>
            <w:r w:rsidR="00B73FAE" w:rsidRPr="00C83045">
              <w:rPr>
                <w:b/>
                <w:color w:val="000000"/>
                <w:szCs w:val="22"/>
              </w:rPr>
              <w:t xml:space="preserve"> dýchacej sústavy, hrudníka a mediastína</w:t>
            </w:r>
          </w:p>
        </w:tc>
      </w:tr>
      <w:tr w:rsidR="007F3990" w:rsidRPr="00C83045" w14:paraId="32367D5A" w14:textId="77777777" w:rsidTr="00D4304B">
        <w:trPr>
          <w:cantSplit/>
        </w:trPr>
        <w:tc>
          <w:tcPr>
            <w:tcW w:w="2235" w:type="dxa"/>
          </w:tcPr>
          <w:p w14:paraId="32367D58"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Časté</w:t>
            </w:r>
            <w:r w:rsidR="007F3990" w:rsidRPr="00C83045">
              <w:rPr>
                <w:i/>
                <w:color w:val="000000"/>
                <w:szCs w:val="22"/>
              </w:rPr>
              <w:t>:</w:t>
            </w:r>
          </w:p>
        </w:tc>
        <w:tc>
          <w:tcPr>
            <w:tcW w:w="7087" w:type="dxa"/>
          </w:tcPr>
          <w:p w14:paraId="32367D59" w14:textId="77777777" w:rsidR="007F3990" w:rsidRPr="00C83045" w:rsidRDefault="007F3990" w:rsidP="00D4304B">
            <w:pPr>
              <w:keepNext/>
              <w:widowControl w:val="0"/>
              <w:tabs>
                <w:tab w:val="left" w:pos="567"/>
              </w:tabs>
              <w:ind w:left="0" w:firstLine="0"/>
              <w:rPr>
                <w:color w:val="000000"/>
                <w:szCs w:val="22"/>
              </w:rPr>
            </w:pPr>
            <w:r w:rsidRPr="00C83045">
              <w:rPr>
                <w:color w:val="000000"/>
                <w:szCs w:val="22"/>
              </w:rPr>
              <w:t>Dyspnoe, epistax</w:t>
            </w:r>
            <w:r w:rsidR="00B73FAE" w:rsidRPr="00C83045">
              <w:rPr>
                <w:color w:val="000000"/>
                <w:szCs w:val="22"/>
              </w:rPr>
              <w:t>a</w:t>
            </w:r>
            <w:r w:rsidRPr="00C83045">
              <w:rPr>
                <w:color w:val="000000"/>
                <w:szCs w:val="22"/>
              </w:rPr>
              <w:t xml:space="preserve">, </w:t>
            </w:r>
            <w:r w:rsidR="00B73FAE" w:rsidRPr="00C83045">
              <w:rPr>
                <w:color w:val="000000"/>
                <w:szCs w:val="22"/>
              </w:rPr>
              <w:t>kašeľ</w:t>
            </w:r>
          </w:p>
        </w:tc>
      </w:tr>
      <w:tr w:rsidR="007F3990" w:rsidRPr="00C83045" w14:paraId="32367D5D" w14:textId="77777777" w:rsidTr="00D4304B">
        <w:trPr>
          <w:cantSplit/>
        </w:trPr>
        <w:tc>
          <w:tcPr>
            <w:tcW w:w="2235" w:type="dxa"/>
          </w:tcPr>
          <w:p w14:paraId="32367D5B"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Menej časté</w:t>
            </w:r>
            <w:r w:rsidR="007F3990" w:rsidRPr="00C83045">
              <w:rPr>
                <w:i/>
                <w:color w:val="000000"/>
                <w:szCs w:val="22"/>
              </w:rPr>
              <w:t>:</w:t>
            </w:r>
          </w:p>
        </w:tc>
        <w:tc>
          <w:tcPr>
            <w:tcW w:w="7087" w:type="dxa"/>
          </w:tcPr>
          <w:p w14:paraId="32367D5C" w14:textId="77777777" w:rsidR="007F3990" w:rsidRPr="00C83045" w:rsidRDefault="007F3990" w:rsidP="00D4304B">
            <w:pPr>
              <w:keepNext/>
              <w:widowControl w:val="0"/>
              <w:tabs>
                <w:tab w:val="left" w:pos="567"/>
              </w:tabs>
              <w:ind w:left="0" w:firstLine="0"/>
              <w:rPr>
                <w:color w:val="000000"/>
                <w:szCs w:val="22"/>
              </w:rPr>
            </w:pPr>
            <w:r w:rsidRPr="00C83045">
              <w:rPr>
                <w:color w:val="000000"/>
                <w:szCs w:val="22"/>
              </w:rPr>
              <w:t>Pleur</w:t>
            </w:r>
            <w:r w:rsidR="00B73FAE" w:rsidRPr="00C83045">
              <w:rPr>
                <w:color w:val="000000"/>
                <w:szCs w:val="22"/>
              </w:rPr>
              <w:t>álny výpotok</w:t>
            </w:r>
            <w:r w:rsidR="00BB4D37" w:rsidRPr="00C83045">
              <w:rPr>
                <w:color w:val="000000"/>
                <w:szCs w:val="22"/>
                <w:vertAlign w:val="superscript"/>
              </w:rPr>
              <w:t>5</w:t>
            </w:r>
            <w:r w:rsidRPr="00C83045">
              <w:rPr>
                <w:color w:val="000000"/>
                <w:szCs w:val="22"/>
              </w:rPr>
              <w:t xml:space="preserve">, </w:t>
            </w:r>
            <w:r w:rsidR="00B73FAE" w:rsidRPr="00C83045">
              <w:rPr>
                <w:color w:val="000000"/>
                <w:szCs w:val="22"/>
              </w:rPr>
              <w:t>bolesť hltana a hrtana</w:t>
            </w:r>
            <w:r w:rsidRPr="00C83045">
              <w:rPr>
                <w:color w:val="000000"/>
                <w:szCs w:val="22"/>
              </w:rPr>
              <w:t xml:space="preserve">, </w:t>
            </w:r>
            <w:r w:rsidR="00B73FAE" w:rsidRPr="00C83045">
              <w:rPr>
                <w:color w:val="000000"/>
                <w:szCs w:val="22"/>
              </w:rPr>
              <w:t>f</w:t>
            </w:r>
            <w:r w:rsidRPr="00C83045">
              <w:rPr>
                <w:color w:val="000000"/>
                <w:szCs w:val="22"/>
              </w:rPr>
              <w:t>aryngit</w:t>
            </w:r>
            <w:r w:rsidR="00B73FAE" w:rsidRPr="00C83045">
              <w:rPr>
                <w:color w:val="000000"/>
                <w:szCs w:val="22"/>
              </w:rPr>
              <w:t>ída</w:t>
            </w:r>
          </w:p>
        </w:tc>
      </w:tr>
      <w:tr w:rsidR="007F3990" w:rsidRPr="00C83045" w14:paraId="32367D60" w14:textId="77777777" w:rsidTr="00D4304B">
        <w:trPr>
          <w:cantSplit/>
        </w:trPr>
        <w:tc>
          <w:tcPr>
            <w:tcW w:w="2235" w:type="dxa"/>
          </w:tcPr>
          <w:p w14:paraId="32367D5E"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Zriedkavé</w:t>
            </w:r>
            <w:r w:rsidR="007F3990" w:rsidRPr="00C83045">
              <w:rPr>
                <w:i/>
                <w:color w:val="000000"/>
                <w:szCs w:val="22"/>
              </w:rPr>
              <w:t>:</w:t>
            </w:r>
          </w:p>
        </w:tc>
        <w:tc>
          <w:tcPr>
            <w:tcW w:w="7087" w:type="dxa"/>
          </w:tcPr>
          <w:p w14:paraId="32367D5F" w14:textId="77777777" w:rsidR="007F3990" w:rsidRPr="00C83045" w:rsidRDefault="000350A6" w:rsidP="00D4304B">
            <w:pPr>
              <w:keepNext/>
              <w:widowControl w:val="0"/>
              <w:tabs>
                <w:tab w:val="left" w:pos="567"/>
              </w:tabs>
              <w:ind w:left="0" w:firstLine="0"/>
              <w:rPr>
                <w:color w:val="000000"/>
                <w:szCs w:val="22"/>
              </w:rPr>
            </w:pPr>
            <w:r w:rsidRPr="00C83045">
              <w:rPr>
                <w:color w:val="000000"/>
                <w:szCs w:val="22"/>
              </w:rPr>
              <w:t>Bolesť pohrudnice</w:t>
            </w:r>
            <w:r w:rsidR="007F3990" w:rsidRPr="00C83045">
              <w:rPr>
                <w:color w:val="000000"/>
                <w:szCs w:val="22"/>
              </w:rPr>
              <w:t xml:space="preserve">, </w:t>
            </w:r>
            <w:r w:rsidRPr="00C83045">
              <w:rPr>
                <w:color w:val="000000"/>
                <w:szCs w:val="22"/>
              </w:rPr>
              <w:t>pľúcna fibróza,</w:t>
            </w:r>
            <w:r w:rsidR="007F3990" w:rsidRPr="00C83045">
              <w:rPr>
                <w:color w:val="000000"/>
                <w:szCs w:val="22"/>
              </w:rPr>
              <w:t xml:space="preserve"> p</w:t>
            </w:r>
            <w:r w:rsidRPr="00C83045">
              <w:rPr>
                <w:color w:val="000000"/>
                <w:szCs w:val="22"/>
              </w:rPr>
              <w:t xml:space="preserve">ľúcna </w:t>
            </w:r>
            <w:r w:rsidR="007F3990" w:rsidRPr="00C83045">
              <w:rPr>
                <w:color w:val="000000"/>
                <w:szCs w:val="22"/>
              </w:rPr>
              <w:t>hyperten</w:t>
            </w:r>
            <w:r w:rsidRPr="00C83045">
              <w:rPr>
                <w:color w:val="000000"/>
                <w:szCs w:val="22"/>
              </w:rPr>
              <w:t>z</w:t>
            </w:r>
            <w:r w:rsidR="007F3990" w:rsidRPr="00C83045">
              <w:rPr>
                <w:color w:val="000000"/>
                <w:szCs w:val="22"/>
              </w:rPr>
              <w:t>i</w:t>
            </w:r>
            <w:r w:rsidRPr="00C83045">
              <w:rPr>
                <w:color w:val="000000"/>
                <w:szCs w:val="22"/>
              </w:rPr>
              <w:t>a</w:t>
            </w:r>
            <w:r w:rsidR="007F3990" w:rsidRPr="00C83045">
              <w:rPr>
                <w:color w:val="000000"/>
                <w:szCs w:val="22"/>
              </w:rPr>
              <w:t xml:space="preserve">, </w:t>
            </w:r>
            <w:r w:rsidRPr="00C83045">
              <w:rPr>
                <w:color w:val="000000"/>
                <w:szCs w:val="22"/>
              </w:rPr>
              <w:t>krvácanie do pľúc</w:t>
            </w:r>
          </w:p>
        </w:tc>
      </w:tr>
      <w:tr w:rsidR="00BD1F07" w:rsidRPr="00C83045" w14:paraId="32367D63" w14:textId="77777777" w:rsidTr="00D4304B">
        <w:trPr>
          <w:cantSplit/>
        </w:trPr>
        <w:tc>
          <w:tcPr>
            <w:tcW w:w="2235" w:type="dxa"/>
          </w:tcPr>
          <w:p w14:paraId="32367D61" w14:textId="77777777" w:rsidR="00BD1F07" w:rsidRPr="00C83045" w:rsidRDefault="00BD1F07"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7D62" w14:textId="77777777" w:rsidR="00BD1F07" w:rsidRPr="00C83045" w:rsidRDefault="00BD1F07" w:rsidP="00D4304B">
            <w:pPr>
              <w:widowControl w:val="0"/>
              <w:tabs>
                <w:tab w:val="left" w:pos="567"/>
              </w:tabs>
              <w:ind w:left="0" w:firstLine="0"/>
              <w:rPr>
                <w:color w:val="000000"/>
                <w:szCs w:val="22"/>
              </w:rPr>
            </w:pPr>
            <w:r w:rsidRPr="00C83045">
              <w:rPr>
                <w:color w:val="000000"/>
                <w:szCs w:val="22"/>
              </w:rPr>
              <w:t>Akútne respiračné zlyhávanie</w:t>
            </w:r>
            <w:r w:rsidR="00075FEE">
              <w:rPr>
                <w:color w:val="000000"/>
                <w:szCs w:val="22"/>
                <w:vertAlign w:val="superscript"/>
              </w:rPr>
              <w:t>11</w:t>
            </w:r>
            <w:r w:rsidR="00671273" w:rsidRPr="00C83045">
              <w:rPr>
                <w:color w:val="000000"/>
                <w:szCs w:val="22"/>
              </w:rPr>
              <w:t>*</w:t>
            </w:r>
            <w:r w:rsidRPr="00C83045">
              <w:rPr>
                <w:color w:val="000000"/>
                <w:szCs w:val="22"/>
              </w:rPr>
              <w:t>, intersticiálna choroba pľúc*</w:t>
            </w:r>
          </w:p>
        </w:tc>
      </w:tr>
      <w:tr w:rsidR="007F3990" w:rsidRPr="00C83045" w14:paraId="32367D65" w14:textId="77777777" w:rsidTr="00D4304B">
        <w:trPr>
          <w:cantSplit/>
        </w:trPr>
        <w:tc>
          <w:tcPr>
            <w:tcW w:w="9322" w:type="dxa"/>
            <w:gridSpan w:val="2"/>
          </w:tcPr>
          <w:p w14:paraId="32367D64" w14:textId="77777777" w:rsidR="007F3990" w:rsidRPr="00C83045" w:rsidRDefault="000350A6" w:rsidP="00D4304B">
            <w:pPr>
              <w:keepNext/>
              <w:widowControl w:val="0"/>
              <w:tabs>
                <w:tab w:val="left" w:pos="567"/>
              </w:tabs>
              <w:ind w:left="0" w:firstLine="0"/>
              <w:rPr>
                <w:color w:val="000000"/>
                <w:szCs w:val="22"/>
              </w:rPr>
            </w:pPr>
            <w:r w:rsidRPr="00C83045">
              <w:rPr>
                <w:b/>
                <w:bCs/>
                <w:color w:val="000000"/>
                <w:szCs w:val="22"/>
              </w:rPr>
              <w:t>Poruchy gastrointestinálneho traktu</w:t>
            </w:r>
          </w:p>
        </w:tc>
      </w:tr>
      <w:tr w:rsidR="007F3990" w:rsidRPr="00C83045" w14:paraId="32367D68" w14:textId="77777777" w:rsidTr="00D4304B">
        <w:trPr>
          <w:cantSplit/>
        </w:trPr>
        <w:tc>
          <w:tcPr>
            <w:tcW w:w="2235" w:type="dxa"/>
          </w:tcPr>
          <w:p w14:paraId="32367D66"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Veľmi časté</w:t>
            </w:r>
            <w:r w:rsidR="007F3990" w:rsidRPr="00C83045">
              <w:rPr>
                <w:i/>
                <w:color w:val="000000"/>
                <w:szCs w:val="22"/>
              </w:rPr>
              <w:t>:</w:t>
            </w:r>
          </w:p>
        </w:tc>
        <w:tc>
          <w:tcPr>
            <w:tcW w:w="7087" w:type="dxa"/>
          </w:tcPr>
          <w:p w14:paraId="32367D67" w14:textId="77777777" w:rsidR="007F3990" w:rsidRPr="00C83045" w:rsidRDefault="000350A6" w:rsidP="00D4304B">
            <w:pPr>
              <w:keepNext/>
              <w:widowControl w:val="0"/>
              <w:tabs>
                <w:tab w:val="left" w:pos="567"/>
              </w:tabs>
              <w:ind w:left="0" w:firstLine="0"/>
              <w:rPr>
                <w:color w:val="000000"/>
                <w:szCs w:val="22"/>
              </w:rPr>
            </w:pPr>
            <w:r w:rsidRPr="00C83045">
              <w:rPr>
                <w:color w:val="000000"/>
                <w:szCs w:val="22"/>
              </w:rPr>
              <w:t>Nauz</w:t>
            </w:r>
            <w:r w:rsidR="007F3990" w:rsidRPr="00C83045">
              <w:rPr>
                <w:color w:val="000000"/>
                <w:szCs w:val="22"/>
              </w:rPr>
              <w:t xml:space="preserve">ea, </w:t>
            </w:r>
            <w:r w:rsidRPr="00C83045">
              <w:rPr>
                <w:color w:val="000000"/>
                <w:szCs w:val="22"/>
              </w:rPr>
              <w:t>hnačka,</w:t>
            </w:r>
            <w:r w:rsidR="007F3990" w:rsidRPr="00C83045">
              <w:rPr>
                <w:color w:val="000000"/>
                <w:szCs w:val="22"/>
              </w:rPr>
              <w:t xml:space="preserve"> </w:t>
            </w:r>
            <w:r w:rsidRPr="00C83045">
              <w:rPr>
                <w:color w:val="000000"/>
                <w:szCs w:val="22"/>
              </w:rPr>
              <w:t>vracanie</w:t>
            </w:r>
            <w:r w:rsidR="007F3990" w:rsidRPr="00C83045">
              <w:rPr>
                <w:color w:val="000000"/>
                <w:szCs w:val="22"/>
              </w:rPr>
              <w:t xml:space="preserve">, dyspepsia, </w:t>
            </w:r>
            <w:r w:rsidRPr="00C83045">
              <w:rPr>
                <w:color w:val="000000"/>
                <w:szCs w:val="22"/>
              </w:rPr>
              <w:t>bolesť brucha</w:t>
            </w:r>
            <w:r w:rsidR="00BB4D37" w:rsidRPr="00C83045">
              <w:rPr>
                <w:color w:val="000000"/>
                <w:szCs w:val="22"/>
                <w:vertAlign w:val="superscript"/>
              </w:rPr>
              <w:t>6</w:t>
            </w:r>
          </w:p>
        </w:tc>
      </w:tr>
      <w:tr w:rsidR="007F3990" w:rsidRPr="00C83045" w14:paraId="32367D6B" w14:textId="77777777" w:rsidTr="00D4304B">
        <w:trPr>
          <w:cantSplit/>
        </w:trPr>
        <w:tc>
          <w:tcPr>
            <w:tcW w:w="2235" w:type="dxa"/>
          </w:tcPr>
          <w:p w14:paraId="32367D69"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Časté</w:t>
            </w:r>
            <w:r w:rsidR="007F3990" w:rsidRPr="00C83045">
              <w:rPr>
                <w:i/>
                <w:color w:val="000000"/>
                <w:szCs w:val="22"/>
              </w:rPr>
              <w:t>:</w:t>
            </w:r>
          </w:p>
        </w:tc>
        <w:tc>
          <w:tcPr>
            <w:tcW w:w="7087" w:type="dxa"/>
          </w:tcPr>
          <w:p w14:paraId="32367D6A" w14:textId="77777777" w:rsidR="007F3990" w:rsidRPr="00C83045" w:rsidRDefault="007F3990" w:rsidP="00D4304B">
            <w:pPr>
              <w:keepNext/>
              <w:widowControl w:val="0"/>
              <w:tabs>
                <w:tab w:val="left" w:pos="567"/>
              </w:tabs>
              <w:ind w:left="0" w:firstLine="0"/>
              <w:rPr>
                <w:color w:val="000000"/>
                <w:szCs w:val="22"/>
              </w:rPr>
            </w:pPr>
            <w:r w:rsidRPr="00C83045">
              <w:rPr>
                <w:color w:val="000000"/>
                <w:szCs w:val="22"/>
              </w:rPr>
              <w:t>Flatulenc</w:t>
            </w:r>
            <w:r w:rsidR="000350A6" w:rsidRPr="00C83045">
              <w:rPr>
                <w:color w:val="000000"/>
                <w:szCs w:val="22"/>
              </w:rPr>
              <w:t>ia</w:t>
            </w:r>
            <w:r w:rsidRPr="00C83045">
              <w:rPr>
                <w:color w:val="000000"/>
                <w:szCs w:val="22"/>
              </w:rPr>
              <w:t xml:space="preserve">, </w:t>
            </w:r>
            <w:r w:rsidR="000350A6" w:rsidRPr="00C83045">
              <w:rPr>
                <w:color w:val="000000"/>
                <w:szCs w:val="22"/>
              </w:rPr>
              <w:t>distenzia brucha</w:t>
            </w:r>
            <w:r w:rsidRPr="00C83045">
              <w:rPr>
                <w:color w:val="000000"/>
                <w:szCs w:val="22"/>
              </w:rPr>
              <w:t xml:space="preserve">, </w:t>
            </w:r>
            <w:r w:rsidR="000350A6" w:rsidRPr="00C83045">
              <w:rPr>
                <w:color w:val="000000"/>
                <w:szCs w:val="22"/>
              </w:rPr>
              <w:t>gastroezofagálny reflux,</w:t>
            </w:r>
            <w:r w:rsidRPr="00C83045">
              <w:rPr>
                <w:color w:val="000000"/>
                <w:szCs w:val="22"/>
              </w:rPr>
              <w:t xml:space="preserve"> </w:t>
            </w:r>
            <w:r w:rsidR="000350A6" w:rsidRPr="00C83045">
              <w:rPr>
                <w:color w:val="000000"/>
                <w:szCs w:val="22"/>
              </w:rPr>
              <w:t>zápcha,</w:t>
            </w:r>
            <w:r w:rsidRPr="00C83045">
              <w:rPr>
                <w:color w:val="000000"/>
                <w:szCs w:val="22"/>
              </w:rPr>
              <w:t xml:space="preserve"> </w:t>
            </w:r>
            <w:r w:rsidR="000350A6" w:rsidRPr="00C83045">
              <w:rPr>
                <w:color w:val="000000"/>
                <w:szCs w:val="22"/>
              </w:rPr>
              <w:t>suchosť v ústach,</w:t>
            </w:r>
            <w:r w:rsidRPr="00C83045">
              <w:rPr>
                <w:color w:val="000000"/>
                <w:szCs w:val="22"/>
              </w:rPr>
              <w:t xml:space="preserve"> gastrit</w:t>
            </w:r>
            <w:r w:rsidR="000350A6" w:rsidRPr="00C83045">
              <w:rPr>
                <w:color w:val="000000"/>
                <w:szCs w:val="22"/>
              </w:rPr>
              <w:t>ída</w:t>
            </w:r>
          </w:p>
        </w:tc>
      </w:tr>
      <w:tr w:rsidR="007F3990" w:rsidRPr="00C83045" w14:paraId="32367D6E" w14:textId="77777777" w:rsidTr="00D4304B">
        <w:trPr>
          <w:cantSplit/>
        </w:trPr>
        <w:tc>
          <w:tcPr>
            <w:tcW w:w="2235" w:type="dxa"/>
          </w:tcPr>
          <w:p w14:paraId="32367D6C"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Menej časté</w:t>
            </w:r>
            <w:r w:rsidR="007F3990" w:rsidRPr="00C83045">
              <w:rPr>
                <w:i/>
                <w:color w:val="000000"/>
                <w:szCs w:val="22"/>
              </w:rPr>
              <w:t>:</w:t>
            </w:r>
          </w:p>
        </w:tc>
        <w:tc>
          <w:tcPr>
            <w:tcW w:w="7087" w:type="dxa"/>
          </w:tcPr>
          <w:p w14:paraId="32367D6D" w14:textId="77777777" w:rsidR="007F3990" w:rsidRPr="00C83045" w:rsidRDefault="007F3990" w:rsidP="00D4304B">
            <w:pPr>
              <w:keepNext/>
              <w:widowControl w:val="0"/>
              <w:tabs>
                <w:tab w:val="left" w:pos="567"/>
              </w:tabs>
              <w:ind w:left="0" w:firstLine="0"/>
              <w:rPr>
                <w:color w:val="000000"/>
                <w:szCs w:val="22"/>
              </w:rPr>
            </w:pPr>
            <w:r w:rsidRPr="00C83045">
              <w:rPr>
                <w:color w:val="000000"/>
                <w:szCs w:val="22"/>
              </w:rPr>
              <w:t>Stomatit</w:t>
            </w:r>
            <w:r w:rsidR="000350A6" w:rsidRPr="00C83045">
              <w:rPr>
                <w:color w:val="000000"/>
                <w:szCs w:val="22"/>
              </w:rPr>
              <w:t>ída</w:t>
            </w:r>
            <w:r w:rsidRPr="00C83045">
              <w:rPr>
                <w:color w:val="000000"/>
                <w:szCs w:val="22"/>
              </w:rPr>
              <w:t xml:space="preserve">, </w:t>
            </w:r>
            <w:r w:rsidR="000350A6" w:rsidRPr="00C83045">
              <w:rPr>
                <w:color w:val="000000"/>
                <w:szCs w:val="22"/>
              </w:rPr>
              <w:t>ulcerácia v ústach</w:t>
            </w:r>
            <w:r w:rsidRPr="00C83045">
              <w:rPr>
                <w:color w:val="000000"/>
                <w:szCs w:val="22"/>
              </w:rPr>
              <w:t>, gastrointestin</w:t>
            </w:r>
            <w:r w:rsidR="000350A6" w:rsidRPr="00C83045">
              <w:rPr>
                <w:color w:val="000000"/>
                <w:szCs w:val="22"/>
              </w:rPr>
              <w:t>álne</w:t>
            </w:r>
            <w:r w:rsidRPr="00C83045">
              <w:rPr>
                <w:color w:val="000000"/>
                <w:szCs w:val="22"/>
              </w:rPr>
              <w:t xml:space="preserve"> </w:t>
            </w:r>
            <w:r w:rsidR="000350A6" w:rsidRPr="00C83045">
              <w:rPr>
                <w:color w:val="000000"/>
                <w:szCs w:val="22"/>
              </w:rPr>
              <w:t>krvácanie</w:t>
            </w:r>
            <w:r w:rsidR="00BB4D37" w:rsidRPr="00C83045">
              <w:rPr>
                <w:color w:val="000000"/>
                <w:szCs w:val="22"/>
                <w:vertAlign w:val="superscript"/>
              </w:rPr>
              <w:t>7</w:t>
            </w:r>
            <w:r w:rsidRPr="00C83045">
              <w:rPr>
                <w:color w:val="000000"/>
                <w:szCs w:val="22"/>
              </w:rPr>
              <w:t xml:space="preserve">, </w:t>
            </w:r>
            <w:r w:rsidR="009D117F" w:rsidRPr="00C83045">
              <w:rPr>
                <w:color w:val="000000"/>
                <w:szCs w:val="22"/>
              </w:rPr>
              <w:t>eruktácia</w:t>
            </w:r>
            <w:r w:rsidRPr="00C83045">
              <w:rPr>
                <w:color w:val="000000"/>
                <w:szCs w:val="22"/>
              </w:rPr>
              <w:t>, mel</w:t>
            </w:r>
            <w:r w:rsidR="009D117F" w:rsidRPr="00C83045">
              <w:rPr>
                <w:color w:val="000000"/>
                <w:szCs w:val="22"/>
              </w:rPr>
              <w:t>é</w:t>
            </w:r>
            <w:r w:rsidRPr="00C83045">
              <w:rPr>
                <w:color w:val="000000"/>
                <w:szCs w:val="22"/>
              </w:rPr>
              <w:t xml:space="preserve">na, </w:t>
            </w:r>
            <w:r w:rsidR="009D117F" w:rsidRPr="00C83045">
              <w:rPr>
                <w:color w:val="000000"/>
                <w:szCs w:val="22"/>
              </w:rPr>
              <w:t>ezofagitída</w:t>
            </w:r>
            <w:r w:rsidRPr="00C83045">
              <w:rPr>
                <w:color w:val="000000"/>
                <w:szCs w:val="22"/>
              </w:rPr>
              <w:t xml:space="preserve">, ascites, </w:t>
            </w:r>
            <w:r w:rsidR="00524022" w:rsidRPr="00C83045">
              <w:rPr>
                <w:color w:val="000000"/>
                <w:szCs w:val="22"/>
              </w:rPr>
              <w:t>vred žalúdka,</w:t>
            </w:r>
            <w:r w:rsidRPr="00C83045">
              <w:rPr>
                <w:color w:val="000000"/>
                <w:szCs w:val="22"/>
              </w:rPr>
              <w:t xml:space="preserve"> hematem</w:t>
            </w:r>
            <w:r w:rsidR="00524022" w:rsidRPr="00C83045">
              <w:rPr>
                <w:color w:val="000000"/>
                <w:szCs w:val="22"/>
              </w:rPr>
              <w:t>éza</w:t>
            </w:r>
            <w:r w:rsidRPr="00C83045">
              <w:rPr>
                <w:color w:val="000000"/>
                <w:szCs w:val="22"/>
              </w:rPr>
              <w:t>, cheilit</w:t>
            </w:r>
            <w:r w:rsidR="00524022" w:rsidRPr="00C83045">
              <w:rPr>
                <w:color w:val="000000"/>
                <w:szCs w:val="22"/>
              </w:rPr>
              <w:t>ída</w:t>
            </w:r>
            <w:r w:rsidRPr="00C83045">
              <w:rPr>
                <w:color w:val="000000"/>
                <w:szCs w:val="22"/>
              </w:rPr>
              <w:t>, dys</w:t>
            </w:r>
            <w:r w:rsidR="00524022" w:rsidRPr="00C83045">
              <w:rPr>
                <w:color w:val="000000"/>
                <w:szCs w:val="22"/>
              </w:rPr>
              <w:t>fá</w:t>
            </w:r>
            <w:r w:rsidRPr="00C83045">
              <w:rPr>
                <w:color w:val="000000"/>
                <w:szCs w:val="22"/>
              </w:rPr>
              <w:t>gia, pan</w:t>
            </w:r>
            <w:r w:rsidR="00524022" w:rsidRPr="00C83045">
              <w:rPr>
                <w:color w:val="000000"/>
                <w:szCs w:val="22"/>
              </w:rPr>
              <w:t>kreatitída</w:t>
            </w:r>
          </w:p>
        </w:tc>
      </w:tr>
      <w:tr w:rsidR="007F3990" w:rsidRPr="00C83045" w14:paraId="32367D71" w14:textId="77777777" w:rsidTr="00D4304B">
        <w:trPr>
          <w:cantSplit/>
        </w:trPr>
        <w:tc>
          <w:tcPr>
            <w:tcW w:w="2235" w:type="dxa"/>
          </w:tcPr>
          <w:p w14:paraId="32367D6F"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Zriedkavé</w:t>
            </w:r>
            <w:r w:rsidR="007F3990" w:rsidRPr="00C83045">
              <w:rPr>
                <w:i/>
                <w:color w:val="000000"/>
                <w:szCs w:val="22"/>
              </w:rPr>
              <w:t>:</w:t>
            </w:r>
          </w:p>
        </w:tc>
        <w:tc>
          <w:tcPr>
            <w:tcW w:w="7087" w:type="dxa"/>
          </w:tcPr>
          <w:p w14:paraId="32367D70" w14:textId="77777777" w:rsidR="007F3990" w:rsidRPr="00C83045" w:rsidRDefault="00524022" w:rsidP="00D4304B">
            <w:pPr>
              <w:keepNext/>
              <w:widowControl w:val="0"/>
              <w:tabs>
                <w:tab w:val="left" w:pos="567"/>
              </w:tabs>
              <w:ind w:left="0" w:firstLine="0"/>
              <w:rPr>
                <w:snapToGrid w:val="0"/>
                <w:color w:val="000000"/>
                <w:szCs w:val="22"/>
              </w:rPr>
            </w:pPr>
            <w:r w:rsidRPr="00C83045">
              <w:rPr>
                <w:color w:val="000000"/>
                <w:szCs w:val="22"/>
              </w:rPr>
              <w:t>Kolitída, ileus, zápalové ochorenie čriev</w:t>
            </w:r>
          </w:p>
        </w:tc>
      </w:tr>
      <w:tr w:rsidR="00671273" w:rsidRPr="00C83045" w14:paraId="32367D74" w14:textId="77777777" w:rsidTr="00D4304B">
        <w:trPr>
          <w:cantSplit/>
        </w:trPr>
        <w:tc>
          <w:tcPr>
            <w:tcW w:w="2235" w:type="dxa"/>
          </w:tcPr>
          <w:p w14:paraId="32367D72" w14:textId="77777777" w:rsidR="00671273" w:rsidRPr="00C83045" w:rsidRDefault="00671273"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7D73" w14:textId="77777777" w:rsidR="00671273" w:rsidRPr="00C83045" w:rsidRDefault="00671273" w:rsidP="00D4304B">
            <w:pPr>
              <w:widowControl w:val="0"/>
              <w:tabs>
                <w:tab w:val="left" w:pos="567"/>
              </w:tabs>
              <w:ind w:left="0" w:firstLine="0"/>
              <w:rPr>
                <w:color w:val="000000"/>
                <w:szCs w:val="22"/>
              </w:rPr>
            </w:pPr>
            <w:r w:rsidRPr="00C83045">
              <w:rPr>
                <w:color w:val="000000"/>
                <w:szCs w:val="22"/>
              </w:rPr>
              <w:t>Ileus/obštrukcia čriev</w:t>
            </w:r>
            <w:r w:rsidR="00E57DA0" w:rsidRPr="00C83045">
              <w:rPr>
                <w:color w:val="000000"/>
                <w:szCs w:val="22"/>
              </w:rPr>
              <w:t>*</w:t>
            </w:r>
            <w:r w:rsidRPr="00C83045">
              <w:rPr>
                <w:color w:val="000000"/>
                <w:szCs w:val="22"/>
              </w:rPr>
              <w:t>, gastrointestinálna perforácia*</w:t>
            </w:r>
            <w:r w:rsidRPr="00C83045">
              <w:rPr>
                <w:snapToGrid w:val="0"/>
                <w:color w:val="000000"/>
                <w:szCs w:val="22"/>
              </w:rPr>
              <w:t>, divertikulitída*, gastrická antrálna vaskulárna ektázia (GAVE)*</w:t>
            </w:r>
          </w:p>
        </w:tc>
      </w:tr>
      <w:tr w:rsidR="009A606C" w:rsidRPr="00C83045" w14:paraId="32367D76" w14:textId="77777777" w:rsidTr="00D4304B">
        <w:trPr>
          <w:cantSplit/>
        </w:trPr>
        <w:tc>
          <w:tcPr>
            <w:tcW w:w="9322" w:type="dxa"/>
            <w:gridSpan w:val="2"/>
          </w:tcPr>
          <w:p w14:paraId="32367D75" w14:textId="77777777" w:rsidR="009A606C" w:rsidRPr="00C83045" w:rsidRDefault="009A606C" w:rsidP="00D4304B">
            <w:pPr>
              <w:keepNext/>
              <w:widowControl w:val="0"/>
              <w:tabs>
                <w:tab w:val="left" w:pos="567"/>
              </w:tabs>
              <w:ind w:left="0" w:firstLine="0"/>
              <w:rPr>
                <w:snapToGrid w:val="0"/>
                <w:color w:val="000000"/>
                <w:szCs w:val="22"/>
              </w:rPr>
            </w:pPr>
            <w:r w:rsidRPr="00C83045">
              <w:rPr>
                <w:b/>
                <w:bCs/>
                <w:color w:val="000000"/>
                <w:szCs w:val="22"/>
              </w:rPr>
              <w:t>Poruchy pečene a žlčových ciest</w:t>
            </w:r>
          </w:p>
        </w:tc>
      </w:tr>
      <w:tr w:rsidR="009A606C" w:rsidRPr="00C83045" w14:paraId="32367D79" w14:textId="77777777" w:rsidTr="00D4304B">
        <w:trPr>
          <w:cantSplit/>
        </w:trPr>
        <w:tc>
          <w:tcPr>
            <w:tcW w:w="2235" w:type="dxa"/>
          </w:tcPr>
          <w:p w14:paraId="32367D77" w14:textId="77777777" w:rsidR="009A606C" w:rsidRPr="00C83045" w:rsidRDefault="009A606C" w:rsidP="00D4304B">
            <w:pPr>
              <w:keepNext/>
              <w:widowControl w:val="0"/>
              <w:tabs>
                <w:tab w:val="left" w:pos="567"/>
              </w:tabs>
              <w:ind w:left="0" w:firstLine="0"/>
              <w:rPr>
                <w:i/>
                <w:color w:val="000000"/>
                <w:szCs w:val="22"/>
              </w:rPr>
            </w:pPr>
            <w:r w:rsidRPr="00C83045">
              <w:rPr>
                <w:i/>
                <w:color w:val="000000"/>
                <w:szCs w:val="22"/>
              </w:rPr>
              <w:t>Časté:</w:t>
            </w:r>
          </w:p>
        </w:tc>
        <w:tc>
          <w:tcPr>
            <w:tcW w:w="7087" w:type="dxa"/>
          </w:tcPr>
          <w:p w14:paraId="32367D78" w14:textId="77777777" w:rsidR="009A606C" w:rsidRPr="00C83045" w:rsidRDefault="009A606C" w:rsidP="00D4304B">
            <w:pPr>
              <w:keepNext/>
              <w:widowControl w:val="0"/>
              <w:tabs>
                <w:tab w:val="left" w:pos="567"/>
              </w:tabs>
              <w:ind w:left="0" w:firstLine="0"/>
              <w:rPr>
                <w:color w:val="000000"/>
                <w:szCs w:val="22"/>
              </w:rPr>
            </w:pPr>
            <w:r w:rsidRPr="00C83045">
              <w:rPr>
                <w:color w:val="000000"/>
                <w:szCs w:val="22"/>
              </w:rPr>
              <w:t>Zvýšenie pečeňových enzýmov</w:t>
            </w:r>
          </w:p>
        </w:tc>
      </w:tr>
      <w:tr w:rsidR="009A606C" w:rsidRPr="00C83045" w14:paraId="32367D7C" w14:textId="77777777" w:rsidTr="00D4304B">
        <w:trPr>
          <w:cantSplit/>
        </w:trPr>
        <w:tc>
          <w:tcPr>
            <w:tcW w:w="2235" w:type="dxa"/>
          </w:tcPr>
          <w:p w14:paraId="32367D7A" w14:textId="77777777" w:rsidR="009A606C" w:rsidRPr="00C83045" w:rsidRDefault="009A606C" w:rsidP="00D4304B">
            <w:pPr>
              <w:keepNext/>
              <w:widowControl w:val="0"/>
              <w:tabs>
                <w:tab w:val="left" w:pos="567"/>
              </w:tabs>
              <w:ind w:left="0" w:firstLine="0"/>
              <w:rPr>
                <w:i/>
                <w:color w:val="000000"/>
                <w:szCs w:val="22"/>
              </w:rPr>
            </w:pPr>
            <w:r w:rsidRPr="00C83045">
              <w:rPr>
                <w:i/>
                <w:color w:val="000000"/>
                <w:szCs w:val="22"/>
              </w:rPr>
              <w:t>Menej časté:</w:t>
            </w:r>
          </w:p>
        </w:tc>
        <w:tc>
          <w:tcPr>
            <w:tcW w:w="7087" w:type="dxa"/>
          </w:tcPr>
          <w:p w14:paraId="32367D7B" w14:textId="77777777" w:rsidR="009A606C" w:rsidRPr="00C83045" w:rsidRDefault="009A606C" w:rsidP="00D4304B">
            <w:pPr>
              <w:keepNext/>
              <w:widowControl w:val="0"/>
              <w:tabs>
                <w:tab w:val="left" w:pos="567"/>
              </w:tabs>
              <w:ind w:left="0" w:firstLine="0"/>
              <w:rPr>
                <w:color w:val="000000"/>
                <w:szCs w:val="22"/>
              </w:rPr>
            </w:pPr>
            <w:r w:rsidRPr="00C83045">
              <w:rPr>
                <w:color w:val="000000"/>
                <w:szCs w:val="22"/>
              </w:rPr>
              <w:t>Hyperbilirubinémia, hepatitída, žltačka</w:t>
            </w:r>
          </w:p>
        </w:tc>
      </w:tr>
      <w:tr w:rsidR="009A606C" w:rsidRPr="00C83045" w14:paraId="32367D7F" w14:textId="77777777" w:rsidTr="00D4304B">
        <w:trPr>
          <w:cantSplit/>
        </w:trPr>
        <w:tc>
          <w:tcPr>
            <w:tcW w:w="2235" w:type="dxa"/>
          </w:tcPr>
          <w:p w14:paraId="32367D7D" w14:textId="77777777" w:rsidR="009A606C" w:rsidRPr="00C83045" w:rsidRDefault="009A606C" w:rsidP="00D4304B">
            <w:pPr>
              <w:widowControl w:val="0"/>
              <w:tabs>
                <w:tab w:val="left" w:pos="567"/>
              </w:tabs>
              <w:ind w:left="0" w:firstLine="0"/>
              <w:rPr>
                <w:i/>
                <w:color w:val="000000"/>
                <w:szCs w:val="22"/>
              </w:rPr>
            </w:pPr>
            <w:r w:rsidRPr="00C83045">
              <w:rPr>
                <w:i/>
                <w:color w:val="000000"/>
                <w:szCs w:val="22"/>
              </w:rPr>
              <w:t>Zriedkavé:</w:t>
            </w:r>
          </w:p>
        </w:tc>
        <w:tc>
          <w:tcPr>
            <w:tcW w:w="7087" w:type="dxa"/>
          </w:tcPr>
          <w:p w14:paraId="32367D7E" w14:textId="77777777" w:rsidR="009A606C" w:rsidRPr="00C83045" w:rsidRDefault="009A606C" w:rsidP="00D4304B">
            <w:pPr>
              <w:widowControl w:val="0"/>
              <w:tabs>
                <w:tab w:val="left" w:pos="567"/>
              </w:tabs>
              <w:ind w:left="0" w:firstLine="0"/>
              <w:rPr>
                <w:color w:val="000000"/>
                <w:szCs w:val="22"/>
              </w:rPr>
            </w:pPr>
            <w:r w:rsidRPr="00C83045">
              <w:rPr>
                <w:color w:val="000000"/>
                <w:szCs w:val="22"/>
              </w:rPr>
              <w:t>Zlyhanie pečene</w:t>
            </w:r>
            <w:r w:rsidR="00BB4D37" w:rsidRPr="00C83045">
              <w:rPr>
                <w:color w:val="000000"/>
                <w:szCs w:val="22"/>
                <w:vertAlign w:val="superscript"/>
              </w:rPr>
              <w:t>8</w:t>
            </w:r>
            <w:r w:rsidRPr="00C83045">
              <w:rPr>
                <w:color w:val="000000"/>
                <w:szCs w:val="22"/>
              </w:rPr>
              <w:t>, nekróza pečene</w:t>
            </w:r>
          </w:p>
        </w:tc>
      </w:tr>
      <w:tr w:rsidR="007F3990" w:rsidRPr="00C83045" w14:paraId="32367D81" w14:textId="77777777" w:rsidTr="00D4304B">
        <w:trPr>
          <w:cantSplit/>
        </w:trPr>
        <w:tc>
          <w:tcPr>
            <w:tcW w:w="9322" w:type="dxa"/>
            <w:gridSpan w:val="2"/>
          </w:tcPr>
          <w:p w14:paraId="32367D80" w14:textId="77777777" w:rsidR="007F3990" w:rsidRPr="00C83045" w:rsidRDefault="00524022" w:rsidP="00D4304B">
            <w:pPr>
              <w:keepNext/>
              <w:widowControl w:val="0"/>
              <w:tabs>
                <w:tab w:val="left" w:pos="567"/>
              </w:tabs>
              <w:ind w:left="0" w:firstLine="0"/>
              <w:rPr>
                <w:color w:val="000000"/>
                <w:szCs w:val="22"/>
              </w:rPr>
            </w:pPr>
            <w:r w:rsidRPr="00C83045">
              <w:rPr>
                <w:b/>
                <w:color w:val="000000"/>
                <w:szCs w:val="22"/>
              </w:rPr>
              <w:t>Poruchy kože a podkožného tkaniva</w:t>
            </w:r>
          </w:p>
        </w:tc>
      </w:tr>
      <w:tr w:rsidR="007F3990" w:rsidRPr="00C83045" w14:paraId="32367D84" w14:textId="77777777" w:rsidTr="00D4304B">
        <w:trPr>
          <w:cantSplit/>
        </w:trPr>
        <w:tc>
          <w:tcPr>
            <w:tcW w:w="2235" w:type="dxa"/>
          </w:tcPr>
          <w:p w14:paraId="32367D82"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Veľmi časté</w:t>
            </w:r>
            <w:r w:rsidR="007F3990" w:rsidRPr="00C83045">
              <w:rPr>
                <w:i/>
                <w:color w:val="000000"/>
                <w:szCs w:val="22"/>
              </w:rPr>
              <w:t>:</w:t>
            </w:r>
          </w:p>
        </w:tc>
        <w:tc>
          <w:tcPr>
            <w:tcW w:w="7087" w:type="dxa"/>
          </w:tcPr>
          <w:p w14:paraId="32367D83" w14:textId="77777777" w:rsidR="007F3990" w:rsidRPr="00C83045" w:rsidRDefault="00524022" w:rsidP="00D4304B">
            <w:pPr>
              <w:keepNext/>
              <w:widowControl w:val="0"/>
              <w:tabs>
                <w:tab w:val="left" w:pos="567"/>
              </w:tabs>
              <w:ind w:left="0" w:firstLine="0"/>
              <w:rPr>
                <w:color w:val="000000"/>
                <w:szCs w:val="22"/>
              </w:rPr>
            </w:pPr>
            <w:r w:rsidRPr="00C83045">
              <w:rPr>
                <w:color w:val="000000"/>
                <w:szCs w:val="22"/>
              </w:rPr>
              <w:t>Periorbitálny edém, dermatitída/ekzém/exantém</w:t>
            </w:r>
          </w:p>
        </w:tc>
      </w:tr>
      <w:tr w:rsidR="007F3990" w:rsidRPr="00C83045" w14:paraId="32367D87" w14:textId="77777777" w:rsidTr="00D4304B">
        <w:trPr>
          <w:cantSplit/>
        </w:trPr>
        <w:tc>
          <w:tcPr>
            <w:tcW w:w="2235" w:type="dxa"/>
          </w:tcPr>
          <w:p w14:paraId="32367D85"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Časté</w:t>
            </w:r>
            <w:r w:rsidR="007F3990" w:rsidRPr="00C83045">
              <w:rPr>
                <w:i/>
                <w:color w:val="000000"/>
                <w:szCs w:val="22"/>
              </w:rPr>
              <w:t>:</w:t>
            </w:r>
          </w:p>
        </w:tc>
        <w:tc>
          <w:tcPr>
            <w:tcW w:w="7087" w:type="dxa"/>
          </w:tcPr>
          <w:p w14:paraId="32367D86" w14:textId="77777777" w:rsidR="007F3990" w:rsidRPr="00C83045" w:rsidRDefault="007F3990" w:rsidP="00D4304B">
            <w:pPr>
              <w:keepNext/>
              <w:widowControl w:val="0"/>
              <w:tabs>
                <w:tab w:val="left" w:pos="567"/>
              </w:tabs>
              <w:ind w:left="0" w:firstLine="0"/>
              <w:rPr>
                <w:color w:val="000000"/>
                <w:szCs w:val="22"/>
              </w:rPr>
            </w:pPr>
            <w:r w:rsidRPr="00C83045">
              <w:rPr>
                <w:color w:val="000000"/>
                <w:szCs w:val="22"/>
              </w:rPr>
              <w:t xml:space="preserve">Pruritus, </w:t>
            </w:r>
            <w:r w:rsidR="00524022" w:rsidRPr="00C83045">
              <w:rPr>
                <w:color w:val="000000"/>
                <w:szCs w:val="22"/>
              </w:rPr>
              <w:t>edém tváre</w:t>
            </w:r>
            <w:r w:rsidRPr="00C83045">
              <w:rPr>
                <w:color w:val="000000"/>
                <w:szCs w:val="22"/>
              </w:rPr>
              <w:t xml:space="preserve">, </w:t>
            </w:r>
            <w:r w:rsidR="00524022" w:rsidRPr="00C83045">
              <w:rPr>
                <w:color w:val="000000"/>
                <w:szCs w:val="22"/>
              </w:rPr>
              <w:t>suchosť kože, erytém, alopé</w:t>
            </w:r>
            <w:r w:rsidRPr="00C83045">
              <w:rPr>
                <w:color w:val="000000"/>
                <w:szCs w:val="22"/>
              </w:rPr>
              <w:t xml:space="preserve">cia, </w:t>
            </w:r>
            <w:r w:rsidR="00524022" w:rsidRPr="00C83045">
              <w:rPr>
                <w:color w:val="000000"/>
                <w:szCs w:val="22"/>
              </w:rPr>
              <w:t>nočné potenie</w:t>
            </w:r>
            <w:r w:rsidRPr="00C83045">
              <w:rPr>
                <w:color w:val="000000"/>
                <w:szCs w:val="22"/>
              </w:rPr>
              <w:t xml:space="preserve">, </w:t>
            </w:r>
            <w:r w:rsidR="00524022" w:rsidRPr="00C83045">
              <w:rPr>
                <w:color w:val="000000"/>
                <w:szCs w:val="22"/>
              </w:rPr>
              <w:t>reakcie z fotosenzitivity</w:t>
            </w:r>
          </w:p>
        </w:tc>
      </w:tr>
      <w:tr w:rsidR="007F3990" w:rsidRPr="00C83045" w14:paraId="32367D8A" w14:textId="77777777" w:rsidTr="00D4304B">
        <w:trPr>
          <w:cantSplit/>
        </w:trPr>
        <w:tc>
          <w:tcPr>
            <w:tcW w:w="2235" w:type="dxa"/>
          </w:tcPr>
          <w:p w14:paraId="32367D88"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Menej časté</w:t>
            </w:r>
            <w:r w:rsidR="007F3990" w:rsidRPr="00C83045">
              <w:rPr>
                <w:i/>
                <w:color w:val="000000"/>
                <w:szCs w:val="22"/>
              </w:rPr>
              <w:t>:</w:t>
            </w:r>
          </w:p>
        </w:tc>
        <w:tc>
          <w:tcPr>
            <w:tcW w:w="7087" w:type="dxa"/>
          </w:tcPr>
          <w:p w14:paraId="32367D89" w14:textId="77777777" w:rsidR="007F3990" w:rsidRPr="00C83045" w:rsidRDefault="004D0E38" w:rsidP="00D4304B">
            <w:pPr>
              <w:keepNext/>
              <w:widowControl w:val="0"/>
              <w:tabs>
                <w:tab w:val="left" w:pos="567"/>
              </w:tabs>
              <w:ind w:left="0" w:firstLine="0"/>
              <w:rPr>
                <w:color w:val="000000"/>
                <w:szCs w:val="22"/>
              </w:rPr>
            </w:pPr>
            <w:r w:rsidRPr="00C83045">
              <w:rPr>
                <w:color w:val="000000"/>
                <w:szCs w:val="22"/>
              </w:rPr>
              <w:t xml:space="preserve">Pľuzgierovitý exantém, zmliaždeniny, zvýšené potenie, </w:t>
            </w:r>
            <w:r w:rsidR="007F3990" w:rsidRPr="00C83045">
              <w:rPr>
                <w:color w:val="000000"/>
                <w:szCs w:val="22"/>
              </w:rPr>
              <w:t>urti</w:t>
            </w:r>
            <w:r w:rsidRPr="00C83045">
              <w:rPr>
                <w:color w:val="000000"/>
                <w:szCs w:val="22"/>
              </w:rPr>
              <w:t>ká</w:t>
            </w:r>
            <w:r w:rsidR="007F3990" w:rsidRPr="00C83045">
              <w:rPr>
                <w:color w:val="000000"/>
                <w:szCs w:val="22"/>
              </w:rPr>
              <w:t>ria, e</w:t>
            </w:r>
            <w:r w:rsidRPr="00C83045">
              <w:rPr>
                <w:color w:val="000000"/>
                <w:szCs w:val="22"/>
              </w:rPr>
              <w:t>k</w:t>
            </w:r>
            <w:r w:rsidR="007F3990" w:rsidRPr="00C83045">
              <w:rPr>
                <w:color w:val="000000"/>
                <w:szCs w:val="22"/>
              </w:rPr>
              <w:t>chym</w:t>
            </w:r>
            <w:r w:rsidRPr="00C83045">
              <w:rPr>
                <w:color w:val="000000"/>
                <w:szCs w:val="22"/>
              </w:rPr>
              <w:t>óza</w:t>
            </w:r>
            <w:r w:rsidR="007F3990" w:rsidRPr="00C83045">
              <w:rPr>
                <w:color w:val="000000"/>
                <w:szCs w:val="22"/>
              </w:rPr>
              <w:t xml:space="preserve">, </w:t>
            </w:r>
            <w:r w:rsidRPr="00C83045">
              <w:rPr>
                <w:color w:val="000000"/>
                <w:szCs w:val="22"/>
              </w:rPr>
              <w:t>zvýšená náchylnosť k tvorbe pomliaždenín, hypotrichóza,</w:t>
            </w:r>
            <w:r w:rsidR="007F3990" w:rsidRPr="00C83045">
              <w:rPr>
                <w:color w:val="000000"/>
                <w:szCs w:val="22"/>
              </w:rPr>
              <w:t xml:space="preserve"> </w:t>
            </w:r>
            <w:r w:rsidRPr="00C83045">
              <w:rPr>
                <w:color w:val="000000"/>
                <w:szCs w:val="22"/>
              </w:rPr>
              <w:t>znížená pigmentácia kože,</w:t>
            </w:r>
            <w:r w:rsidR="007F3990" w:rsidRPr="00C83045">
              <w:rPr>
                <w:color w:val="000000"/>
                <w:szCs w:val="22"/>
              </w:rPr>
              <w:t xml:space="preserve"> </w:t>
            </w:r>
            <w:r w:rsidRPr="00C83045">
              <w:rPr>
                <w:color w:val="000000"/>
                <w:szCs w:val="22"/>
              </w:rPr>
              <w:t>exfoliatívna dermatitída</w:t>
            </w:r>
            <w:r w:rsidR="007F3990" w:rsidRPr="00C83045">
              <w:rPr>
                <w:color w:val="000000"/>
                <w:szCs w:val="22"/>
              </w:rPr>
              <w:t xml:space="preserve">, </w:t>
            </w:r>
            <w:r w:rsidRPr="00C83045">
              <w:rPr>
                <w:color w:val="000000"/>
                <w:szCs w:val="22"/>
              </w:rPr>
              <w:t>lámavosť nechtov, fol</w:t>
            </w:r>
            <w:r w:rsidR="007F3990" w:rsidRPr="00C83045">
              <w:rPr>
                <w:color w:val="000000"/>
                <w:szCs w:val="22"/>
              </w:rPr>
              <w:t>i</w:t>
            </w:r>
            <w:r w:rsidRPr="00C83045">
              <w:rPr>
                <w:color w:val="000000"/>
                <w:szCs w:val="22"/>
              </w:rPr>
              <w:t>k</w:t>
            </w:r>
            <w:r w:rsidR="007F3990" w:rsidRPr="00C83045">
              <w:rPr>
                <w:color w:val="000000"/>
                <w:szCs w:val="22"/>
              </w:rPr>
              <w:t>ulit</w:t>
            </w:r>
            <w:r w:rsidRPr="00C83045">
              <w:rPr>
                <w:color w:val="000000"/>
                <w:szCs w:val="22"/>
              </w:rPr>
              <w:t>ída</w:t>
            </w:r>
            <w:r w:rsidR="007F3990" w:rsidRPr="00C83045">
              <w:rPr>
                <w:color w:val="000000"/>
                <w:szCs w:val="22"/>
              </w:rPr>
              <w:t>, petechie, psori</w:t>
            </w:r>
            <w:r w:rsidRPr="00C83045">
              <w:rPr>
                <w:color w:val="000000"/>
                <w:szCs w:val="22"/>
              </w:rPr>
              <w:t>áza</w:t>
            </w:r>
            <w:r w:rsidR="007F3990" w:rsidRPr="00C83045">
              <w:rPr>
                <w:color w:val="000000"/>
                <w:szCs w:val="22"/>
              </w:rPr>
              <w:t xml:space="preserve">, purpura, </w:t>
            </w:r>
            <w:r w:rsidRPr="00C83045">
              <w:rPr>
                <w:color w:val="000000"/>
                <w:szCs w:val="22"/>
              </w:rPr>
              <w:t>zvýšená pigmentácia kože</w:t>
            </w:r>
            <w:r w:rsidR="007F3990" w:rsidRPr="00C83045">
              <w:rPr>
                <w:color w:val="000000"/>
                <w:szCs w:val="22"/>
              </w:rPr>
              <w:t xml:space="preserve">, </w:t>
            </w:r>
            <w:r w:rsidRPr="00C83045">
              <w:rPr>
                <w:color w:val="000000"/>
                <w:szCs w:val="22"/>
              </w:rPr>
              <w:t>bulózne erupcie</w:t>
            </w:r>
          </w:p>
        </w:tc>
      </w:tr>
      <w:tr w:rsidR="007F3990" w:rsidRPr="00C83045" w14:paraId="32367D8D" w14:textId="77777777" w:rsidTr="00D4304B">
        <w:trPr>
          <w:cantSplit/>
        </w:trPr>
        <w:tc>
          <w:tcPr>
            <w:tcW w:w="2235" w:type="dxa"/>
          </w:tcPr>
          <w:p w14:paraId="32367D8B" w14:textId="77777777" w:rsidR="007F3990" w:rsidRPr="00C83045" w:rsidRDefault="009C75EE" w:rsidP="00D4304B">
            <w:pPr>
              <w:keepNext/>
              <w:widowControl w:val="0"/>
              <w:tabs>
                <w:tab w:val="left" w:pos="567"/>
              </w:tabs>
              <w:ind w:left="0" w:firstLine="0"/>
              <w:rPr>
                <w:color w:val="000000"/>
                <w:szCs w:val="22"/>
              </w:rPr>
            </w:pPr>
            <w:r w:rsidRPr="00C83045">
              <w:rPr>
                <w:i/>
                <w:color w:val="000000"/>
                <w:szCs w:val="22"/>
              </w:rPr>
              <w:t>Zriedkavé</w:t>
            </w:r>
            <w:r w:rsidR="007F3990" w:rsidRPr="00C83045">
              <w:rPr>
                <w:i/>
                <w:color w:val="000000"/>
                <w:szCs w:val="22"/>
              </w:rPr>
              <w:t>:</w:t>
            </w:r>
          </w:p>
        </w:tc>
        <w:tc>
          <w:tcPr>
            <w:tcW w:w="7087" w:type="dxa"/>
          </w:tcPr>
          <w:p w14:paraId="32367D8C" w14:textId="77777777" w:rsidR="007F3990" w:rsidRPr="00C83045" w:rsidRDefault="00095DC3" w:rsidP="00D4304B">
            <w:pPr>
              <w:keepNext/>
              <w:widowControl w:val="0"/>
              <w:tabs>
                <w:tab w:val="left" w:pos="567"/>
              </w:tabs>
              <w:ind w:left="0" w:firstLine="0"/>
              <w:rPr>
                <w:color w:val="000000"/>
                <w:szCs w:val="22"/>
              </w:rPr>
            </w:pPr>
            <w:r w:rsidRPr="00C83045">
              <w:rPr>
                <w:color w:val="000000"/>
                <w:szCs w:val="22"/>
              </w:rPr>
              <w:t>A</w:t>
            </w:r>
            <w:r w:rsidR="004D0E38" w:rsidRPr="00C83045">
              <w:rPr>
                <w:color w:val="000000"/>
                <w:szCs w:val="22"/>
              </w:rPr>
              <w:t>kútna febrilná neutrofilná dermatóza (Sweetov syndróm)</w:t>
            </w:r>
            <w:r w:rsidR="007F3990" w:rsidRPr="00C83045">
              <w:rPr>
                <w:color w:val="000000"/>
                <w:szCs w:val="22"/>
              </w:rPr>
              <w:t xml:space="preserve">, </w:t>
            </w:r>
            <w:r w:rsidR="004D0E38" w:rsidRPr="00C83045">
              <w:rPr>
                <w:color w:val="000000"/>
                <w:szCs w:val="22"/>
              </w:rPr>
              <w:t>zmena sfarbenia nechtov</w:t>
            </w:r>
            <w:r w:rsidR="007F3990" w:rsidRPr="00C83045">
              <w:rPr>
                <w:color w:val="000000"/>
                <w:szCs w:val="22"/>
              </w:rPr>
              <w:t>, angioneurotic</w:t>
            </w:r>
            <w:r w:rsidR="004D0E38" w:rsidRPr="00C83045">
              <w:rPr>
                <w:color w:val="000000"/>
                <w:szCs w:val="22"/>
              </w:rPr>
              <w:t>ký edém</w:t>
            </w:r>
            <w:r w:rsidR="007F3990" w:rsidRPr="00C83045">
              <w:rPr>
                <w:color w:val="000000"/>
                <w:szCs w:val="22"/>
              </w:rPr>
              <w:t xml:space="preserve">, </w:t>
            </w:r>
            <w:r w:rsidR="004D0E38" w:rsidRPr="00C83045">
              <w:rPr>
                <w:color w:val="000000"/>
                <w:szCs w:val="22"/>
              </w:rPr>
              <w:t>vezikulárny exantém</w:t>
            </w:r>
            <w:r w:rsidR="007F3990" w:rsidRPr="00C83045">
              <w:rPr>
                <w:color w:val="000000"/>
                <w:szCs w:val="22"/>
              </w:rPr>
              <w:t>, erythema multiform</w:t>
            </w:r>
            <w:r w:rsidR="004D0E38" w:rsidRPr="00C83045">
              <w:rPr>
                <w:color w:val="000000"/>
                <w:szCs w:val="22"/>
              </w:rPr>
              <w:t>e</w:t>
            </w:r>
            <w:r w:rsidR="007F3990" w:rsidRPr="00C83045">
              <w:rPr>
                <w:color w:val="000000"/>
                <w:szCs w:val="22"/>
              </w:rPr>
              <w:t>, leu</w:t>
            </w:r>
            <w:r w:rsidR="00167EF6" w:rsidRPr="00C83045">
              <w:rPr>
                <w:color w:val="000000"/>
                <w:szCs w:val="22"/>
              </w:rPr>
              <w:t>k</w:t>
            </w:r>
            <w:r w:rsidR="007F3990" w:rsidRPr="00C83045">
              <w:rPr>
                <w:color w:val="000000"/>
                <w:szCs w:val="22"/>
              </w:rPr>
              <w:t>ocyto</w:t>
            </w:r>
            <w:r w:rsidRPr="00C83045">
              <w:rPr>
                <w:color w:val="000000"/>
                <w:szCs w:val="22"/>
              </w:rPr>
              <w:t>k</w:t>
            </w:r>
            <w:r w:rsidR="007F3990" w:rsidRPr="00C83045">
              <w:rPr>
                <w:color w:val="000000"/>
                <w:szCs w:val="22"/>
              </w:rPr>
              <w:t>lastic</w:t>
            </w:r>
            <w:r w:rsidRPr="00C83045">
              <w:rPr>
                <w:color w:val="000000"/>
                <w:szCs w:val="22"/>
              </w:rPr>
              <w:t>ká</w:t>
            </w:r>
            <w:r w:rsidR="007F3990" w:rsidRPr="00C83045">
              <w:rPr>
                <w:color w:val="000000"/>
                <w:szCs w:val="22"/>
              </w:rPr>
              <w:t xml:space="preserve"> vas</w:t>
            </w:r>
            <w:r w:rsidRPr="00C83045">
              <w:rPr>
                <w:color w:val="000000"/>
                <w:szCs w:val="22"/>
              </w:rPr>
              <w:t>k</w:t>
            </w:r>
            <w:r w:rsidR="007F3990" w:rsidRPr="00C83045">
              <w:rPr>
                <w:color w:val="000000"/>
                <w:szCs w:val="22"/>
              </w:rPr>
              <w:t>ulit</w:t>
            </w:r>
            <w:r w:rsidRPr="00C83045">
              <w:rPr>
                <w:color w:val="000000"/>
                <w:szCs w:val="22"/>
              </w:rPr>
              <w:t>ída</w:t>
            </w:r>
            <w:r w:rsidR="007F3990" w:rsidRPr="00C83045">
              <w:rPr>
                <w:color w:val="000000"/>
                <w:szCs w:val="22"/>
              </w:rPr>
              <w:t>, Stevens</w:t>
            </w:r>
            <w:r w:rsidRPr="00C83045">
              <w:rPr>
                <w:color w:val="000000"/>
                <w:szCs w:val="22"/>
              </w:rPr>
              <w:t>ov</w:t>
            </w:r>
            <w:r w:rsidR="007F3990" w:rsidRPr="00C83045">
              <w:rPr>
                <w:color w:val="000000"/>
                <w:szCs w:val="22"/>
              </w:rPr>
              <w:t>-Johnson</w:t>
            </w:r>
            <w:r w:rsidRPr="00C83045">
              <w:rPr>
                <w:color w:val="000000"/>
                <w:szCs w:val="22"/>
              </w:rPr>
              <w:t>ov</w:t>
            </w:r>
            <w:r w:rsidR="007F3990" w:rsidRPr="00C83045">
              <w:rPr>
                <w:color w:val="000000"/>
                <w:szCs w:val="22"/>
              </w:rPr>
              <w:t xml:space="preserve"> syndr</w:t>
            </w:r>
            <w:r w:rsidRPr="00C83045">
              <w:rPr>
                <w:color w:val="000000"/>
                <w:szCs w:val="22"/>
              </w:rPr>
              <w:t>óm</w:t>
            </w:r>
            <w:r w:rsidR="00F8589D" w:rsidRPr="00C83045">
              <w:rPr>
                <w:color w:val="000000"/>
                <w:szCs w:val="22"/>
              </w:rPr>
              <w:t>, akútna generalizovaná exantematózna pustulóza (AGEP)</w:t>
            </w:r>
          </w:p>
        </w:tc>
      </w:tr>
      <w:tr w:rsidR="0087097C" w:rsidRPr="00C83045" w14:paraId="32367D90" w14:textId="77777777" w:rsidTr="00D4304B">
        <w:trPr>
          <w:cantSplit/>
        </w:trPr>
        <w:tc>
          <w:tcPr>
            <w:tcW w:w="2235" w:type="dxa"/>
          </w:tcPr>
          <w:p w14:paraId="32367D8E" w14:textId="77777777" w:rsidR="0087097C" w:rsidRPr="00C83045" w:rsidRDefault="0087097C"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7D8F" w14:textId="77777777" w:rsidR="0087097C" w:rsidRPr="00C83045" w:rsidRDefault="004E717D" w:rsidP="00D4304B">
            <w:pPr>
              <w:widowControl w:val="0"/>
              <w:tabs>
                <w:tab w:val="left" w:pos="567"/>
              </w:tabs>
              <w:ind w:left="0" w:firstLine="0"/>
              <w:rPr>
                <w:color w:val="000000"/>
                <w:szCs w:val="22"/>
              </w:rPr>
            </w:pPr>
            <w:r w:rsidRPr="00C83045">
              <w:rPr>
                <w:color w:val="000000"/>
                <w:szCs w:val="22"/>
              </w:rPr>
              <w:t>Syndróm palmoplantárnej erytro dy</w:t>
            </w:r>
            <w:r w:rsidR="00F672D5" w:rsidRPr="00C83045">
              <w:rPr>
                <w:color w:val="000000"/>
                <w:szCs w:val="22"/>
              </w:rPr>
              <w:t>z</w:t>
            </w:r>
            <w:r w:rsidRPr="00C83045">
              <w:rPr>
                <w:color w:val="000000"/>
                <w:szCs w:val="22"/>
              </w:rPr>
              <w:t>estézie</w:t>
            </w:r>
            <w:r w:rsidR="0087097C" w:rsidRPr="00C83045">
              <w:rPr>
                <w:color w:val="000000"/>
                <w:szCs w:val="22"/>
              </w:rPr>
              <w:t>*, lichenoid</w:t>
            </w:r>
            <w:r w:rsidRPr="00C83045">
              <w:rPr>
                <w:color w:val="000000"/>
                <w:szCs w:val="22"/>
              </w:rPr>
              <w:t>ná</w:t>
            </w:r>
            <w:r w:rsidR="0087097C" w:rsidRPr="00C83045">
              <w:rPr>
                <w:color w:val="000000"/>
                <w:szCs w:val="22"/>
              </w:rPr>
              <w:t xml:space="preserve"> kerat</w:t>
            </w:r>
            <w:r w:rsidRPr="00C83045">
              <w:rPr>
                <w:color w:val="000000"/>
                <w:szCs w:val="22"/>
              </w:rPr>
              <w:t>óza</w:t>
            </w:r>
            <w:r w:rsidR="0087097C" w:rsidRPr="00C83045">
              <w:rPr>
                <w:color w:val="000000"/>
                <w:szCs w:val="22"/>
              </w:rPr>
              <w:t>*, lichen planus*, toxic</w:t>
            </w:r>
            <w:r w:rsidR="001837CD" w:rsidRPr="00C83045">
              <w:rPr>
                <w:color w:val="000000"/>
                <w:szCs w:val="22"/>
              </w:rPr>
              <w:t>ká</w:t>
            </w:r>
            <w:r w:rsidR="0087097C" w:rsidRPr="00C83045">
              <w:rPr>
                <w:color w:val="000000"/>
                <w:szCs w:val="22"/>
              </w:rPr>
              <w:t xml:space="preserve"> epiderm</w:t>
            </w:r>
            <w:r w:rsidR="001837CD" w:rsidRPr="00C83045">
              <w:rPr>
                <w:color w:val="000000"/>
                <w:szCs w:val="22"/>
              </w:rPr>
              <w:t>álna</w:t>
            </w:r>
            <w:r w:rsidR="0087097C" w:rsidRPr="00C83045">
              <w:rPr>
                <w:color w:val="000000"/>
                <w:szCs w:val="22"/>
              </w:rPr>
              <w:t xml:space="preserve"> ne</w:t>
            </w:r>
            <w:r w:rsidR="001837CD" w:rsidRPr="00C83045">
              <w:rPr>
                <w:color w:val="000000"/>
                <w:szCs w:val="22"/>
              </w:rPr>
              <w:t>k</w:t>
            </w:r>
            <w:r w:rsidR="0087097C" w:rsidRPr="00C83045">
              <w:rPr>
                <w:color w:val="000000"/>
                <w:szCs w:val="22"/>
              </w:rPr>
              <w:t>rol</w:t>
            </w:r>
            <w:r w:rsidR="001837CD" w:rsidRPr="00C83045">
              <w:rPr>
                <w:color w:val="000000"/>
                <w:szCs w:val="22"/>
              </w:rPr>
              <w:t>ýza</w:t>
            </w:r>
            <w:r w:rsidR="0087097C" w:rsidRPr="00C83045">
              <w:rPr>
                <w:color w:val="000000"/>
                <w:szCs w:val="22"/>
              </w:rPr>
              <w:t xml:space="preserve">*, </w:t>
            </w:r>
            <w:r w:rsidR="001837CD" w:rsidRPr="00C83045">
              <w:rPr>
                <w:color w:val="000000"/>
                <w:szCs w:val="22"/>
              </w:rPr>
              <w:t>liekový exantém s</w:t>
            </w:r>
            <w:r w:rsidR="0087097C" w:rsidRPr="00C83045">
              <w:rPr>
                <w:color w:val="000000"/>
                <w:szCs w:val="22"/>
              </w:rPr>
              <w:t xml:space="preserve"> eo</w:t>
            </w:r>
            <w:r w:rsidR="001837CD" w:rsidRPr="00C83045">
              <w:rPr>
                <w:color w:val="000000"/>
                <w:szCs w:val="22"/>
              </w:rPr>
              <w:t>z</w:t>
            </w:r>
            <w:r w:rsidR="0087097C" w:rsidRPr="00C83045">
              <w:rPr>
                <w:color w:val="000000"/>
                <w:szCs w:val="22"/>
              </w:rPr>
              <w:t>ino</w:t>
            </w:r>
            <w:r w:rsidR="001837CD" w:rsidRPr="00C83045">
              <w:rPr>
                <w:color w:val="000000"/>
                <w:szCs w:val="22"/>
              </w:rPr>
              <w:t>fíliou</w:t>
            </w:r>
            <w:r w:rsidR="0087097C" w:rsidRPr="00C83045">
              <w:rPr>
                <w:color w:val="000000"/>
                <w:szCs w:val="22"/>
              </w:rPr>
              <w:t xml:space="preserve"> a</w:t>
            </w:r>
            <w:r w:rsidRPr="00C83045">
              <w:rPr>
                <w:color w:val="000000"/>
                <w:szCs w:val="22"/>
              </w:rPr>
              <w:t> </w:t>
            </w:r>
            <w:r w:rsidR="0087097C" w:rsidRPr="00C83045">
              <w:rPr>
                <w:color w:val="000000"/>
                <w:szCs w:val="22"/>
              </w:rPr>
              <w:t>syst</w:t>
            </w:r>
            <w:r w:rsidRPr="00C83045">
              <w:rPr>
                <w:color w:val="000000"/>
                <w:szCs w:val="22"/>
              </w:rPr>
              <w:t>émovými príznakmi</w:t>
            </w:r>
            <w:r w:rsidR="0087097C" w:rsidRPr="00C83045">
              <w:rPr>
                <w:color w:val="000000"/>
                <w:szCs w:val="22"/>
              </w:rPr>
              <w:t xml:space="preserve"> (DRESS)*</w:t>
            </w:r>
            <w:r w:rsidR="00FB1F96">
              <w:rPr>
                <w:color w:val="000000"/>
                <w:szCs w:val="22"/>
              </w:rPr>
              <w:t>, pseudoporfýria*</w:t>
            </w:r>
          </w:p>
        </w:tc>
      </w:tr>
      <w:tr w:rsidR="007F3990" w:rsidRPr="00C83045" w14:paraId="32367D92" w14:textId="77777777" w:rsidTr="00D4304B">
        <w:trPr>
          <w:cantSplit/>
        </w:trPr>
        <w:tc>
          <w:tcPr>
            <w:tcW w:w="9322" w:type="dxa"/>
            <w:gridSpan w:val="2"/>
          </w:tcPr>
          <w:p w14:paraId="32367D91" w14:textId="77777777" w:rsidR="007F3990" w:rsidRPr="00C83045" w:rsidRDefault="00095DC3" w:rsidP="00D4304B">
            <w:pPr>
              <w:keepNext/>
              <w:widowControl w:val="0"/>
              <w:tabs>
                <w:tab w:val="left" w:pos="567"/>
              </w:tabs>
              <w:ind w:left="0" w:firstLine="0"/>
              <w:rPr>
                <w:color w:val="000000"/>
                <w:szCs w:val="22"/>
              </w:rPr>
            </w:pPr>
            <w:r w:rsidRPr="00C83045">
              <w:rPr>
                <w:b/>
                <w:bCs/>
                <w:color w:val="000000"/>
                <w:szCs w:val="22"/>
              </w:rPr>
              <w:t>Poruchy kostrovej a svalovej sústavy a spojivového tkaniva</w:t>
            </w:r>
          </w:p>
        </w:tc>
      </w:tr>
      <w:tr w:rsidR="007F3990" w:rsidRPr="00C83045" w14:paraId="32367D95" w14:textId="77777777" w:rsidTr="00D4304B">
        <w:trPr>
          <w:cantSplit/>
        </w:trPr>
        <w:tc>
          <w:tcPr>
            <w:tcW w:w="2235" w:type="dxa"/>
          </w:tcPr>
          <w:p w14:paraId="32367D93" w14:textId="77777777" w:rsidR="007F3990" w:rsidRPr="00C83045" w:rsidRDefault="009C75EE" w:rsidP="00D4304B">
            <w:pPr>
              <w:keepNext/>
              <w:widowControl w:val="0"/>
              <w:tabs>
                <w:tab w:val="left" w:pos="567"/>
              </w:tabs>
              <w:ind w:left="0" w:firstLine="0"/>
              <w:rPr>
                <w:i/>
                <w:color w:val="000000"/>
                <w:szCs w:val="22"/>
              </w:rPr>
            </w:pPr>
            <w:r w:rsidRPr="00C83045">
              <w:rPr>
                <w:i/>
                <w:color w:val="000000"/>
                <w:szCs w:val="22"/>
              </w:rPr>
              <w:t>Veľmi časté</w:t>
            </w:r>
            <w:r w:rsidR="007F3990" w:rsidRPr="00C83045">
              <w:rPr>
                <w:i/>
                <w:color w:val="000000"/>
                <w:szCs w:val="22"/>
              </w:rPr>
              <w:t>:</w:t>
            </w:r>
          </w:p>
        </w:tc>
        <w:tc>
          <w:tcPr>
            <w:tcW w:w="7087" w:type="dxa"/>
          </w:tcPr>
          <w:p w14:paraId="32367D94" w14:textId="77777777" w:rsidR="007F3990" w:rsidRPr="00C83045" w:rsidRDefault="00095DC3" w:rsidP="00D4304B">
            <w:pPr>
              <w:keepNext/>
              <w:widowControl w:val="0"/>
              <w:tabs>
                <w:tab w:val="left" w:pos="567"/>
              </w:tabs>
              <w:ind w:left="0" w:firstLine="0"/>
              <w:rPr>
                <w:color w:val="000000"/>
                <w:szCs w:val="22"/>
              </w:rPr>
            </w:pPr>
            <w:r w:rsidRPr="00C83045">
              <w:rPr>
                <w:color w:val="000000"/>
                <w:szCs w:val="22"/>
              </w:rPr>
              <w:t>Svalové kŕče, bolesti kostry a svalstva vrátane myalgie</w:t>
            </w:r>
            <w:r w:rsidR="00075FEE" w:rsidRPr="00C83045">
              <w:rPr>
                <w:color w:val="000000"/>
                <w:szCs w:val="22"/>
                <w:vertAlign w:val="superscript"/>
              </w:rPr>
              <w:t>9</w:t>
            </w:r>
            <w:r w:rsidRPr="00C83045">
              <w:rPr>
                <w:color w:val="000000"/>
                <w:szCs w:val="22"/>
              </w:rPr>
              <w:t>, artralgie a bolesti kostí</w:t>
            </w:r>
            <w:r w:rsidR="00075FEE">
              <w:rPr>
                <w:color w:val="000000"/>
                <w:szCs w:val="22"/>
                <w:vertAlign w:val="superscript"/>
              </w:rPr>
              <w:t>10</w:t>
            </w:r>
          </w:p>
        </w:tc>
      </w:tr>
      <w:tr w:rsidR="007F3990" w:rsidRPr="00C83045" w14:paraId="32367D98" w14:textId="77777777" w:rsidTr="00D4304B">
        <w:trPr>
          <w:cantSplit/>
        </w:trPr>
        <w:tc>
          <w:tcPr>
            <w:tcW w:w="2235" w:type="dxa"/>
          </w:tcPr>
          <w:p w14:paraId="32367D96" w14:textId="77777777" w:rsidR="007F3990" w:rsidRPr="00C83045" w:rsidRDefault="009C75EE" w:rsidP="00D4304B">
            <w:pPr>
              <w:keepNext/>
              <w:widowControl w:val="0"/>
              <w:tabs>
                <w:tab w:val="left" w:pos="567"/>
              </w:tabs>
              <w:ind w:left="0" w:firstLine="0"/>
              <w:rPr>
                <w:i/>
                <w:color w:val="000000"/>
                <w:szCs w:val="22"/>
              </w:rPr>
            </w:pPr>
            <w:r w:rsidRPr="00C83045">
              <w:rPr>
                <w:i/>
                <w:color w:val="000000"/>
                <w:szCs w:val="22"/>
              </w:rPr>
              <w:t>Časté</w:t>
            </w:r>
            <w:r w:rsidR="007F3990" w:rsidRPr="00C83045">
              <w:rPr>
                <w:i/>
                <w:color w:val="000000"/>
                <w:szCs w:val="22"/>
              </w:rPr>
              <w:t>:</w:t>
            </w:r>
          </w:p>
        </w:tc>
        <w:tc>
          <w:tcPr>
            <w:tcW w:w="7087" w:type="dxa"/>
          </w:tcPr>
          <w:p w14:paraId="32367D97" w14:textId="77777777" w:rsidR="007F3990" w:rsidRPr="00C83045" w:rsidRDefault="00095DC3" w:rsidP="00D4304B">
            <w:pPr>
              <w:keepNext/>
              <w:widowControl w:val="0"/>
              <w:tabs>
                <w:tab w:val="left" w:pos="567"/>
              </w:tabs>
              <w:ind w:left="0" w:firstLine="0"/>
              <w:rPr>
                <w:color w:val="000000"/>
                <w:szCs w:val="22"/>
              </w:rPr>
            </w:pPr>
            <w:r w:rsidRPr="00C83045">
              <w:rPr>
                <w:color w:val="000000"/>
                <w:szCs w:val="22"/>
              </w:rPr>
              <w:t>Opuch kĺbov</w:t>
            </w:r>
          </w:p>
        </w:tc>
      </w:tr>
      <w:tr w:rsidR="007F3990" w:rsidRPr="00C83045" w14:paraId="32367D9B" w14:textId="77777777" w:rsidTr="00D4304B">
        <w:trPr>
          <w:cantSplit/>
        </w:trPr>
        <w:tc>
          <w:tcPr>
            <w:tcW w:w="2235" w:type="dxa"/>
          </w:tcPr>
          <w:p w14:paraId="32367D99" w14:textId="77777777" w:rsidR="007F3990" w:rsidRPr="00C83045" w:rsidRDefault="009C75EE" w:rsidP="00D4304B">
            <w:pPr>
              <w:keepNext/>
              <w:widowControl w:val="0"/>
              <w:tabs>
                <w:tab w:val="left" w:pos="567"/>
              </w:tabs>
              <w:ind w:left="0" w:firstLine="0"/>
              <w:rPr>
                <w:i/>
                <w:color w:val="000000"/>
                <w:szCs w:val="22"/>
              </w:rPr>
            </w:pPr>
            <w:r w:rsidRPr="00C83045">
              <w:rPr>
                <w:i/>
                <w:color w:val="000000"/>
                <w:szCs w:val="22"/>
              </w:rPr>
              <w:t>Menej časté</w:t>
            </w:r>
            <w:r w:rsidR="007F3990" w:rsidRPr="00C83045">
              <w:rPr>
                <w:i/>
                <w:color w:val="000000"/>
                <w:szCs w:val="22"/>
              </w:rPr>
              <w:t>:</w:t>
            </w:r>
          </w:p>
        </w:tc>
        <w:tc>
          <w:tcPr>
            <w:tcW w:w="7087" w:type="dxa"/>
          </w:tcPr>
          <w:p w14:paraId="32367D9A" w14:textId="77777777" w:rsidR="007F3990" w:rsidRPr="00C83045" w:rsidRDefault="00095DC3" w:rsidP="00D4304B">
            <w:pPr>
              <w:keepNext/>
              <w:widowControl w:val="0"/>
              <w:tabs>
                <w:tab w:val="left" w:pos="567"/>
              </w:tabs>
              <w:ind w:left="0" w:firstLine="0"/>
              <w:rPr>
                <w:color w:val="000000"/>
                <w:szCs w:val="22"/>
              </w:rPr>
            </w:pPr>
            <w:r w:rsidRPr="00C83045">
              <w:rPr>
                <w:color w:val="000000"/>
                <w:szCs w:val="22"/>
              </w:rPr>
              <w:t>Stuhnutosť kĺbov a svalov</w:t>
            </w:r>
          </w:p>
        </w:tc>
      </w:tr>
      <w:tr w:rsidR="007F3990" w:rsidRPr="00C83045" w14:paraId="32367D9E" w14:textId="77777777" w:rsidTr="00D4304B">
        <w:trPr>
          <w:cantSplit/>
        </w:trPr>
        <w:tc>
          <w:tcPr>
            <w:tcW w:w="2235" w:type="dxa"/>
          </w:tcPr>
          <w:p w14:paraId="32367D9C" w14:textId="77777777" w:rsidR="007F3990" w:rsidRPr="00C83045" w:rsidRDefault="009C75EE" w:rsidP="00D4304B">
            <w:pPr>
              <w:keepNext/>
              <w:widowControl w:val="0"/>
              <w:tabs>
                <w:tab w:val="left" w:pos="567"/>
              </w:tabs>
              <w:ind w:left="0" w:firstLine="0"/>
              <w:rPr>
                <w:i/>
                <w:color w:val="000000"/>
                <w:szCs w:val="22"/>
              </w:rPr>
            </w:pPr>
            <w:r w:rsidRPr="00C83045">
              <w:rPr>
                <w:i/>
                <w:color w:val="000000"/>
                <w:szCs w:val="22"/>
              </w:rPr>
              <w:t>Zriedkavé</w:t>
            </w:r>
            <w:r w:rsidR="007F3990" w:rsidRPr="00C83045">
              <w:rPr>
                <w:i/>
                <w:color w:val="000000"/>
                <w:szCs w:val="22"/>
              </w:rPr>
              <w:t>:</w:t>
            </w:r>
          </w:p>
        </w:tc>
        <w:tc>
          <w:tcPr>
            <w:tcW w:w="7087" w:type="dxa"/>
          </w:tcPr>
          <w:p w14:paraId="32367D9D" w14:textId="77777777" w:rsidR="007F3990" w:rsidRPr="00C83045" w:rsidRDefault="00095DC3" w:rsidP="00D4304B">
            <w:pPr>
              <w:keepNext/>
              <w:widowControl w:val="0"/>
              <w:tabs>
                <w:tab w:val="left" w:pos="567"/>
              </w:tabs>
              <w:ind w:left="0" w:firstLine="0"/>
              <w:rPr>
                <w:color w:val="000000"/>
                <w:szCs w:val="22"/>
              </w:rPr>
            </w:pPr>
            <w:r w:rsidRPr="00C83045">
              <w:rPr>
                <w:bCs/>
                <w:color w:val="000000"/>
                <w:szCs w:val="22"/>
              </w:rPr>
              <w:t xml:space="preserve">Svalová slabosť, </w:t>
            </w:r>
            <w:r w:rsidR="007F3990" w:rsidRPr="00C83045">
              <w:rPr>
                <w:bCs/>
                <w:color w:val="000000"/>
                <w:szCs w:val="22"/>
              </w:rPr>
              <w:t>artrit</w:t>
            </w:r>
            <w:r w:rsidRPr="00C83045">
              <w:rPr>
                <w:bCs/>
                <w:color w:val="000000"/>
                <w:szCs w:val="22"/>
              </w:rPr>
              <w:t>ída</w:t>
            </w:r>
            <w:r w:rsidR="00F8589D" w:rsidRPr="00C83045">
              <w:rPr>
                <w:bCs/>
                <w:color w:val="000000"/>
                <w:szCs w:val="22"/>
              </w:rPr>
              <w:t>, rabdomyolýza/myopatia</w:t>
            </w:r>
          </w:p>
        </w:tc>
      </w:tr>
      <w:tr w:rsidR="00D049E9" w:rsidRPr="00C83045" w14:paraId="32367DA1" w14:textId="77777777" w:rsidTr="00D4304B">
        <w:trPr>
          <w:cantSplit/>
        </w:trPr>
        <w:tc>
          <w:tcPr>
            <w:tcW w:w="2235" w:type="dxa"/>
          </w:tcPr>
          <w:p w14:paraId="32367D9F" w14:textId="77777777" w:rsidR="00D049E9" w:rsidRPr="00C83045" w:rsidRDefault="00D049E9"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7DA0" w14:textId="77777777" w:rsidR="00D049E9" w:rsidRPr="00C83045" w:rsidRDefault="00D049E9" w:rsidP="00D4304B">
            <w:pPr>
              <w:widowControl w:val="0"/>
              <w:tabs>
                <w:tab w:val="left" w:pos="567"/>
              </w:tabs>
              <w:ind w:left="0" w:firstLine="0"/>
              <w:rPr>
                <w:bCs/>
                <w:color w:val="000000"/>
                <w:szCs w:val="22"/>
              </w:rPr>
            </w:pPr>
            <w:r w:rsidRPr="00C83045">
              <w:rPr>
                <w:color w:val="000000"/>
                <w:szCs w:val="22"/>
              </w:rPr>
              <w:t>Avaskulárna nekróza/nekróza bedra*, spomalenie rastu u detí*</w:t>
            </w:r>
          </w:p>
        </w:tc>
      </w:tr>
      <w:tr w:rsidR="009A606C" w:rsidRPr="00C83045" w14:paraId="32367DA3" w14:textId="77777777" w:rsidTr="00D4304B">
        <w:trPr>
          <w:cantSplit/>
        </w:trPr>
        <w:tc>
          <w:tcPr>
            <w:tcW w:w="9322" w:type="dxa"/>
            <w:gridSpan w:val="2"/>
          </w:tcPr>
          <w:p w14:paraId="32367DA2" w14:textId="77777777" w:rsidR="009A606C" w:rsidRPr="00C83045" w:rsidRDefault="009A606C" w:rsidP="00D4304B">
            <w:pPr>
              <w:keepNext/>
              <w:widowControl w:val="0"/>
              <w:tabs>
                <w:tab w:val="left" w:pos="567"/>
              </w:tabs>
              <w:ind w:left="0" w:firstLine="0"/>
              <w:rPr>
                <w:b/>
                <w:color w:val="000000"/>
                <w:szCs w:val="22"/>
              </w:rPr>
            </w:pPr>
            <w:r w:rsidRPr="00C83045">
              <w:rPr>
                <w:b/>
                <w:bCs/>
                <w:color w:val="000000"/>
                <w:szCs w:val="22"/>
              </w:rPr>
              <w:t>Poruchy obličiek a močových ciest</w:t>
            </w:r>
          </w:p>
        </w:tc>
      </w:tr>
      <w:tr w:rsidR="009A606C" w:rsidRPr="00C83045" w14:paraId="32367DA6" w14:textId="77777777" w:rsidTr="00D4304B">
        <w:trPr>
          <w:cantSplit/>
        </w:trPr>
        <w:tc>
          <w:tcPr>
            <w:tcW w:w="2235" w:type="dxa"/>
          </w:tcPr>
          <w:p w14:paraId="32367DA4" w14:textId="77777777" w:rsidR="009A606C" w:rsidRPr="00C83045" w:rsidRDefault="009A606C" w:rsidP="00D4304B">
            <w:pPr>
              <w:keepNext/>
              <w:widowControl w:val="0"/>
              <w:tabs>
                <w:tab w:val="left" w:pos="567"/>
              </w:tabs>
              <w:ind w:left="0" w:firstLine="0"/>
              <w:rPr>
                <w:color w:val="000000"/>
                <w:szCs w:val="22"/>
              </w:rPr>
            </w:pPr>
            <w:r w:rsidRPr="00C83045">
              <w:rPr>
                <w:i/>
                <w:color w:val="000000"/>
                <w:szCs w:val="22"/>
              </w:rPr>
              <w:t>Menej časté:</w:t>
            </w:r>
          </w:p>
        </w:tc>
        <w:tc>
          <w:tcPr>
            <w:tcW w:w="7087" w:type="dxa"/>
          </w:tcPr>
          <w:p w14:paraId="32367DA5" w14:textId="77777777" w:rsidR="009A606C" w:rsidRPr="00C83045" w:rsidRDefault="009A606C" w:rsidP="00D4304B">
            <w:pPr>
              <w:keepNext/>
              <w:widowControl w:val="0"/>
              <w:tabs>
                <w:tab w:val="left" w:pos="567"/>
              </w:tabs>
              <w:ind w:left="0" w:firstLine="0"/>
              <w:rPr>
                <w:color w:val="000000"/>
                <w:szCs w:val="22"/>
              </w:rPr>
            </w:pPr>
            <w:r w:rsidRPr="00C83045">
              <w:rPr>
                <w:color w:val="000000"/>
                <w:szCs w:val="22"/>
              </w:rPr>
              <w:t>Bolesť obličiek, hematúria, akútne zlyhanie obličiek, častejšie močenie</w:t>
            </w:r>
          </w:p>
        </w:tc>
      </w:tr>
      <w:tr w:rsidR="00101ECE" w:rsidRPr="00C83045" w14:paraId="32367DA9" w14:textId="77777777" w:rsidTr="00D4304B">
        <w:trPr>
          <w:cantSplit/>
        </w:trPr>
        <w:tc>
          <w:tcPr>
            <w:tcW w:w="2235" w:type="dxa"/>
          </w:tcPr>
          <w:p w14:paraId="32367DA7" w14:textId="77777777" w:rsidR="00101ECE" w:rsidRPr="00C83045" w:rsidRDefault="00101ECE"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7DA8" w14:textId="77777777" w:rsidR="00101ECE" w:rsidRPr="00C83045" w:rsidRDefault="00101ECE" w:rsidP="00D4304B">
            <w:pPr>
              <w:widowControl w:val="0"/>
              <w:tabs>
                <w:tab w:val="left" w:pos="567"/>
              </w:tabs>
              <w:ind w:left="0" w:firstLine="0"/>
              <w:rPr>
                <w:color w:val="000000"/>
                <w:szCs w:val="22"/>
              </w:rPr>
            </w:pPr>
            <w:r>
              <w:rPr>
                <w:color w:val="000000"/>
                <w:szCs w:val="22"/>
              </w:rPr>
              <w:t>Chronické zlyhávanie obličiek</w:t>
            </w:r>
          </w:p>
        </w:tc>
      </w:tr>
      <w:tr w:rsidR="009A606C" w:rsidRPr="00C83045" w14:paraId="32367DAB" w14:textId="77777777" w:rsidTr="00D4304B">
        <w:trPr>
          <w:cantSplit/>
        </w:trPr>
        <w:tc>
          <w:tcPr>
            <w:tcW w:w="9322" w:type="dxa"/>
            <w:gridSpan w:val="2"/>
          </w:tcPr>
          <w:p w14:paraId="32367DAA" w14:textId="77777777" w:rsidR="009A606C" w:rsidRPr="00C83045" w:rsidRDefault="009A606C" w:rsidP="00D4304B">
            <w:pPr>
              <w:keepNext/>
              <w:widowControl w:val="0"/>
              <w:tabs>
                <w:tab w:val="left" w:pos="567"/>
              </w:tabs>
              <w:ind w:left="0" w:firstLine="0"/>
              <w:rPr>
                <w:color w:val="000000"/>
                <w:szCs w:val="22"/>
              </w:rPr>
            </w:pPr>
            <w:r w:rsidRPr="00C83045">
              <w:rPr>
                <w:b/>
                <w:bCs/>
                <w:color w:val="000000"/>
                <w:szCs w:val="22"/>
              </w:rPr>
              <w:t>Poruchy reprodukčného systému a prsníkov</w:t>
            </w:r>
          </w:p>
        </w:tc>
      </w:tr>
      <w:tr w:rsidR="009A606C" w:rsidRPr="00C83045" w14:paraId="32367DAE" w14:textId="77777777" w:rsidTr="00D4304B">
        <w:trPr>
          <w:cantSplit/>
        </w:trPr>
        <w:tc>
          <w:tcPr>
            <w:tcW w:w="2235" w:type="dxa"/>
          </w:tcPr>
          <w:p w14:paraId="32367DAC" w14:textId="77777777" w:rsidR="009A606C" w:rsidRPr="00C83045" w:rsidRDefault="009A606C" w:rsidP="00D4304B">
            <w:pPr>
              <w:keepNext/>
              <w:widowControl w:val="0"/>
              <w:tabs>
                <w:tab w:val="left" w:pos="567"/>
              </w:tabs>
              <w:ind w:left="0" w:firstLine="0"/>
              <w:rPr>
                <w:i/>
                <w:color w:val="000000"/>
                <w:szCs w:val="22"/>
              </w:rPr>
            </w:pPr>
            <w:r w:rsidRPr="00C83045">
              <w:rPr>
                <w:i/>
                <w:color w:val="000000"/>
                <w:szCs w:val="22"/>
              </w:rPr>
              <w:t>Menej časté:</w:t>
            </w:r>
          </w:p>
        </w:tc>
        <w:tc>
          <w:tcPr>
            <w:tcW w:w="7087" w:type="dxa"/>
          </w:tcPr>
          <w:p w14:paraId="32367DAD" w14:textId="77777777" w:rsidR="009A606C" w:rsidRPr="00C83045" w:rsidRDefault="009A606C" w:rsidP="00D4304B">
            <w:pPr>
              <w:keepNext/>
              <w:widowControl w:val="0"/>
              <w:tabs>
                <w:tab w:val="left" w:pos="567"/>
              </w:tabs>
              <w:ind w:left="0" w:firstLine="0"/>
              <w:rPr>
                <w:color w:val="000000"/>
                <w:szCs w:val="22"/>
              </w:rPr>
            </w:pPr>
            <w:r w:rsidRPr="00C83045">
              <w:rPr>
                <w:color w:val="000000"/>
                <w:szCs w:val="22"/>
              </w:rPr>
              <w:t>Gynekomastia, erektilná dysfunkcia, menorágia, nepravidelná menštruácia, porucha sexuálnej funkcie, bolesť bradaviek, zväčšenie prsníkov, skrotálny edém</w:t>
            </w:r>
          </w:p>
        </w:tc>
      </w:tr>
      <w:tr w:rsidR="009A606C" w:rsidRPr="00C83045" w14:paraId="32367DB1" w14:textId="77777777" w:rsidTr="00D4304B">
        <w:trPr>
          <w:cantSplit/>
        </w:trPr>
        <w:tc>
          <w:tcPr>
            <w:tcW w:w="2235" w:type="dxa"/>
          </w:tcPr>
          <w:p w14:paraId="32367DAF" w14:textId="77777777" w:rsidR="009A606C" w:rsidRPr="00C83045" w:rsidRDefault="009A606C" w:rsidP="00D4304B">
            <w:pPr>
              <w:widowControl w:val="0"/>
              <w:tabs>
                <w:tab w:val="left" w:pos="567"/>
              </w:tabs>
              <w:ind w:left="0" w:firstLine="0"/>
              <w:rPr>
                <w:i/>
                <w:color w:val="000000"/>
                <w:szCs w:val="22"/>
              </w:rPr>
            </w:pPr>
            <w:r w:rsidRPr="00C83045">
              <w:rPr>
                <w:i/>
                <w:color w:val="000000"/>
                <w:szCs w:val="22"/>
              </w:rPr>
              <w:t>Zriedkavé:</w:t>
            </w:r>
          </w:p>
        </w:tc>
        <w:tc>
          <w:tcPr>
            <w:tcW w:w="7087" w:type="dxa"/>
          </w:tcPr>
          <w:p w14:paraId="32367DB0" w14:textId="77777777" w:rsidR="009A606C" w:rsidRPr="00C83045" w:rsidRDefault="009A606C" w:rsidP="00D4304B">
            <w:pPr>
              <w:widowControl w:val="0"/>
              <w:tabs>
                <w:tab w:val="left" w:pos="567"/>
              </w:tabs>
              <w:ind w:left="0" w:firstLine="0"/>
              <w:rPr>
                <w:color w:val="000000"/>
                <w:szCs w:val="22"/>
              </w:rPr>
            </w:pPr>
            <w:r w:rsidRPr="00C83045">
              <w:rPr>
                <w:color w:val="000000"/>
                <w:szCs w:val="22"/>
              </w:rPr>
              <w:t>Hemoragické corpus luteum/hemoragická ovariálna cysta</w:t>
            </w:r>
          </w:p>
        </w:tc>
      </w:tr>
      <w:tr w:rsidR="007F3990" w:rsidRPr="00C83045" w14:paraId="32367DB3" w14:textId="77777777" w:rsidTr="00D4304B">
        <w:trPr>
          <w:cantSplit/>
        </w:trPr>
        <w:tc>
          <w:tcPr>
            <w:tcW w:w="9322" w:type="dxa"/>
            <w:gridSpan w:val="2"/>
          </w:tcPr>
          <w:p w14:paraId="32367DB2" w14:textId="77777777" w:rsidR="007F3990" w:rsidRPr="00C83045" w:rsidRDefault="00F81093" w:rsidP="00D4304B">
            <w:pPr>
              <w:keepNext/>
              <w:widowControl w:val="0"/>
              <w:tabs>
                <w:tab w:val="left" w:pos="567"/>
              </w:tabs>
              <w:ind w:left="0" w:firstLine="0"/>
              <w:rPr>
                <w:color w:val="000000"/>
                <w:szCs w:val="22"/>
              </w:rPr>
            </w:pPr>
            <w:r w:rsidRPr="00C83045">
              <w:rPr>
                <w:b/>
                <w:bCs/>
                <w:color w:val="000000"/>
                <w:szCs w:val="22"/>
              </w:rPr>
              <w:lastRenderedPageBreak/>
              <w:t xml:space="preserve">Celkové </w:t>
            </w:r>
            <w:r w:rsidR="00D7285B" w:rsidRPr="00C83045">
              <w:rPr>
                <w:b/>
                <w:bCs/>
                <w:color w:val="000000"/>
                <w:szCs w:val="22"/>
              </w:rPr>
              <w:t>poruchy</w:t>
            </w:r>
            <w:r w:rsidRPr="00C83045">
              <w:rPr>
                <w:b/>
                <w:bCs/>
                <w:color w:val="000000"/>
                <w:szCs w:val="22"/>
              </w:rPr>
              <w:t xml:space="preserve"> a reakcie v mieste podania</w:t>
            </w:r>
          </w:p>
        </w:tc>
      </w:tr>
      <w:tr w:rsidR="007F3990" w:rsidRPr="00C83045" w14:paraId="32367DB6" w14:textId="77777777" w:rsidTr="00D4304B">
        <w:trPr>
          <w:cantSplit/>
        </w:trPr>
        <w:tc>
          <w:tcPr>
            <w:tcW w:w="2235" w:type="dxa"/>
          </w:tcPr>
          <w:p w14:paraId="32367DB4" w14:textId="77777777" w:rsidR="007F3990" w:rsidRPr="00C83045" w:rsidRDefault="009C75EE" w:rsidP="00D4304B">
            <w:pPr>
              <w:keepNext/>
              <w:widowControl w:val="0"/>
              <w:tabs>
                <w:tab w:val="left" w:pos="567"/>
              </w:tabs>
              <w:ind w:left="0" w:firstLine="0"/>
              <w:rPr>
                <w:i/>
                <w:color w:val="000000"/>
                <w:szCs w:val="22"/>
              </w:rPr>
            </w:pPr>
            <w:r w:rsidRPr="00C83045">
              <w:rPr>
                <w:i/>
                <w:color w:val="000000"/>
                <w:szCs w:val="22"/>
              </w:rPr>
              <w:t>Veľmi časté</w:t>
            </w:r>
            <w:r w:rsidR="007F3990" w:rsidRPr="00C83045">
              <w:rPr>
                <w:i/>
                <w:color w:val="000000"/>
                <w:szCs w:val="22"/>
              </w:rPr>
              <w:t>:</w:t>
            </w:r>
          </w:p>
        </w:tc>
        <w:tc>
          <w:tcPr>
            <w:tcW w:w="7087" w:type="dxa"/>
          </w:tcPr>
          <w:p w14:paraId="32367DB5" w14:textId="77777777" w:rsidR="007F3990" w:rsidRPr="00C83045" w:rsidRDefault="00F81093" w:rsidP="00D4304B">
            <w:pPr>
              <w:keepNext/>
              <w:widowControl w:val="0"/>
              <w:tabs>
                <w:tab w:val="left" w:pos="567"/>
              </w:tabs>
              <w:ind w:left="0" w:firstLine="0"/>
              <w:rPr>
                <w:color w:val="000000"/>
                <w:szCs w:val="22"/>
              </w:rPr>
            </w:pPr>
            <w:r w:rsidRPr="00C83045">
              <w:rPr>
                <w:color w:val="000000"/>
                <w:szCs w:val="22"/>
              </w:rPr>
              <w:t>Retencia tekutiny a edém, únava</w:t>
            </w:r>
          </w:p>
        </w:tc>
      </w:tr>
      <w:tr w:rsidR="007F3990" w:rsidRPr="00C83045" w14:paraId="32367DB9" w14:textId="77777777" w:rsidTr="00D4304B">
        <w:trPr>
          <w:cantSplit/>
        </w:trPr>
        <w:tc>
          <w:tcPr>
            <w:tcW w:w="2235" w:type="dxa"/>
          </w:tcPr>
          <w:p w14:paraId="32367DB7" w14:textId="77777777" w:rsidR="007F3990" w:rsidRPr="00C83045" w:rsidRDefault="009C75EE" w:rsidP="00D4304B">
            <w:pPr>
              <w:keepNext/>
              <w:widowControl w:val="0"/>
              <w:tabs>
                <w:tab w:val="left" w:pos="567"/>
              </w:tabs>
              <w:ind w:left="0" w:firstLine="0"/>
              <w:rPr>
                <w:i/>
                <w:color w:val="000000"/>
                <w:szCs w:val="22"/>
              </w:rPr>
            </w:pPr>
            <w:r w:rsidRPr="00C83045">
              <w:rPr>
                <w:i/>
                <w:color w:val="000000"/>
                <w:szCs w:val="22"/>
              </w:rPr>
              <w:t>Časté</w:t>
            </w:r>
            <w:r w:rsidR="007F3990" w:rsidRPr="00C83045">
              <w:rPr>
                <w:i/>
                <w:color w:val="000000"/>
                <w:szCs w:val="22"/>
              </w:rPr>
              <w:t>:</w:t>
            </w:r>
          </w:p>
        </w:tc>
        <w:tc>
          <w:tcPr>
            <w:tcW w:w="7087" w:type="dxa"/>
          </w:tcPr>
          <w:p w14:paraId="32367DB8" w14:textId="77777777" w:rsidR="007F3990" w:rsidRPr="00C83045" w:rsidRDefault="00F81093" w:rsidP="00D4304B">
            <w:pPr>
              <w:keepNext/>
              <w:widowControl w:val="0"/>
              <w:tabs>
                <w:tab w:val="left" w:pos="567"/>
              </w:tabs>
              <w:ind w:left="0" w:firstLine="0"/>
              <w:rPr>
                <w:color w:val="000000"/>
                <w:szCs w:val="22"/>
              </w:rPr>
            </w:pPr>
            <w:r w:rsidRPr="00C83045">
              <w:rPr>
                <w:color w:val="000000"/>
                <w:szCs w:val="22"/>
              </w:rPr>
              <w:t xml:space="preserve">Slabosť, pyrexia, anasarka, zimnica, </w:t>
            </w:r>
            <w:r w:rsidR="008655E3" w:rsidRPr="00C83045">
              <w:rPr>
                <w:color w:val="000000"/>
                <w:szCs w:val="22"/>
              </w:rPr>
              <w:t>triaška</w:t>
            </w:r>
          </w:p>
        </w:tc>
      </w:tr>
      <w:tr w:rsidR="007F3990" w:rsidRPr="00C83045" w14:paraId="32367DBC" w14:textId="77777777" w:rsidTr="00D4304B">
        <w:trPr>
          <w:cantSplit/>
        </w:trPr>
        <w:tc>
          <w:tcPr>
            <w:tcW w:w="2235" w:type="dxa"/>
          </w:tcPr>
          <w:p w14:paraId="32367DBA" w14:textId="77777777" w:rsidR="007F3990" w:rsidRPr="00C83045" w:rsidRDefault="009C75EE" w:rsidP="00D4304B">
            <w:pPr>
              <w:widowControl w:val="0"/>
              <w:tabs>
                <w:tab w:val="left" w:pos="567"/>
              </w:tabs>
              <w:ind w:left="0" w:firstLine="0"/>
              <w:rPr>
                <w:i/>
                <w:color w:val="000000"/>
                <w:szCs w:val="22"/>
              </w:rPr>
            </w:pPr>
            <w:r w:rsidRPr="00C83045">
              <w:rPr>
                <w:i/>
                <w:color w:val="000000"/>
                <w:szCs w:val="22"/>
              </w:rPr>
              <w:t>Menej časté</w:t>
            </w:r>
            <w:r w:rsidR="007F3990" w:rsidRPr="00C83045">
              <w:rPr>
                <w:i/>
                <w:color w:val="000000"/>
                <w:szCs w:val="22"/>
              </w:rPr>
              <w:t>:</w:t>
            </w:r>
          </w:p>
        </w:tc>
        <w:tc>
          <w:tcPr>
            <w:tcW w:w="7087" w:type="dxa"/>
          </w:tcPr>
          <w:p w14:paraId="32367DBB" w14:textId="77777777" w:rsidR="007F3990" w:rsidRPr="00C83045" w:rsidRDefault="00C63536" w:rsidP="00D4304B">
            <w:pPr>
              <w:widowControl w:val="0"/>
              <w:tabs>
                <w:tab w:val="left" w:pos="567"/>
              </w:tabs>
              <w:ind w:left="0" w:firstLine="0"/>
              <w:rPr>
                <w:color w:val="000000"/>
                <w:szCs w:val="22"/>
              </w:rPr>
            </w:pPr>
            <w:r w:rsidRPr="00C83045">
              <w:rPr>
                <w:color w:val="000000"/>
                <w:szCs w:val="22"/>
              </w:rPr>
              <w:t>Bolesť na hrudi, celková nevoľnosť</w:t>
            </w:r>
          </w:p>
        </w:tc>
      </w:tr>
      <w:tr w:rsidR="00D557D8" w:rsidRPr="00C83045" w14:paraId="32367DBE" w14:textId="77777777" w:rsidTr="00D4304B">
        <w:trPr>
          <w:cantSplit/>
        </w:trPr>
        <w:tc>
          <w:tcPr>
            <w:tcW w:w="9322" w:type="dxa"/>
            <w:gridSpan w:val="2"/>
          </w:tcPr>
          <w:p w14:paraId="32367DBD" w14:textId="77777777" w:rsidR="00D557D8" w:rsidRPr="00C83045" w:rsidRDefault="00D557D8" w:rsidP="00D4304B">
            <w:pPr>
              <w:keepNext/>
              <w:widowControl w:val="0"/>
              <w:tabs>
                <w:tab w:val="left" w:pos="567"/>
              </w:tabs>
              <w:ind w:left="0" w:firstLine="0"/>
              <w:rPr>
                <w:color w:val="000000"/>
                <w:szCs w:val="22"/>
              </w:rPr>
            </w:pPr>
            <w:r w:rsidRPr="00C83045">
              <w:rPr>
                <w:b/>
                <w:bCs/>
                <w:color w:val="000000"/>
                <w:szCs w:val="22"/>
              </w:rPr>
              <w:t>Laboratórne a funkčné vyšetrenia</w:t>
            </w:r>
          </w:p>
        </w:tc>
      </w:tr>
      <w:tr w:rsidR="00D557D8" w:rsidRPr="00C83045" w14:paraId="32367DC1" w14:textId="77777777" w:rsidTr="00D4304B">
        <w:trPr>
          <w:cantSplit/>
        </w:trPr>
        <w:tc>
          <w:tcPr>
            <w:tcW w:w="2235" w:type="dxa"/>
          </w:tcPr>
          <w:p w14:paraId="32367DBF" w14:textId="77777777" w:rsidR="00D557D8" w:rsidRPr="00C83045" w:rsidRDefault="00D557D8" w:rsidP="00D4304B">
            <w:pPr>
              <w:keepNext/>
              <w:widowControl w:val="0"/>
              <w:tabs>
                <w:tab w:val="left" w:pos="567"/>
              </w:tabs>
              <w:ind w:left="0" w:firstLine="0"/>
              <w:rPr>
                <w:color w:val="000000"/>
                <w:szCs w:val="22"/>
              </w:rPr>
            </w:pPr>
            <w:r w:rsidRPr="00C83045">
              <w:rPr>
                <w:i/>
                <w:color w:val="000000"/>
                <w:szCs w:val="22"/>
              </w:rPr>
              <w:t>Veľmi časté:</w:t>
            </w:r>
          </w:p>
        </w:tc>
        <w:tc>
          <w:tcPr>
            <w:tcW w:w="7087" w:type="dxa"/>
          </w:tcPr>
          <w:p w14:paraId="32367DC0" w14:textId="77777777" w:rsidR="00D557D8" w:rsidRPr="00C83045" w:rsidRDefault="00D557D8" w:rsidP="00D4304B">
            <w:pPr>
              <w:keepNext/>
              <w:widowControl w:val="0"/>
              <w:tabs>
                <w:tab w:val="left" w:pos="567"/>
              </w:tabs>
              <w:ind w:left="0" w:firstLine="0"/>
              <w:rPr>
                <w:color w:val="000000"/>
                <w:szCs w:val="22"/>
              </w:rPr>
            </w:pPr>
            <w:r w:rsidRPr="00C83045">
              <w:rPr>
                <w:color w:val="000000"/>
                <w:szCs w:val="22"/>
              </w:rPr>
              <w:t>Zvýšenie hmotnosti</w:t>
            </w:r>
          </w:p>
        </w:tc>
      </w:tr>
      <w:tr w:rsidR="00D557D8" w:rsidRPr="00C83045" w14:paraId="32367DC4" w14:textId="77777777" w:rsidTr="00D4304B">
        <w:trPr>
          <w:cantSplit/>
        </w:trPr>
        <w:tc>
          <w:tcPr>
            <w:tcW w:w="2235" w:type="dxa"/>
          </w:tcPr>
          <w:p w14:paraId="32367DC2" w14:textId="77777777" w:rsidR="00D557D8" w:rsidRPr="00C83045" w:rsidRDefault="00D557D8" w:rsidP="00D4304B">
            <w:pPr>
              <w:keepNext/>
              <w:widowControl w:val="0"/>
              <w:tabs>
                <w:tab w:val="left" w:pos="567"/>
              </w:tabs>
              <w:ind w:left="0" w:firstLine="0"/>
              <w:rPr>
                <w:color w:val="000000"/>
                <w:szCs w:val="22"/>
              </w:rPr>
            </w:pPr>
            <w:r w:rsidRPr="00C83045">
              <w:rPr>
                <w:i/>
                <w:color w:val="000000"/>
                <w:szCs w:val="22"/>
              </w:rPr>
              <w:t>Časté</w:t>
            </w:r>
            <w:r w:rsidRPr="00C83045">
              <w:rPr>
                <w:color w:val="000000"/>
                <w:szCs w:val="22"/>
              </w:rPr>
              <w:t>:</w:t>
            </w:r>
          </w:p>
        </w:tc>
        <w:tc>
          <w:tcPr>
            <w:tcW w:w="7087" w:type="dxa"/>
          </w:tcPr>
          <w:p w14:paraId="32367DC3" w14:textId="77777777" w:rsidR="00D557D8" w:rsidRPr="00C83045" w:rsidRDefault="00D557D8" w:rsidP="00D4304B">
            <w:pPr>
              <w:keepNext/>
              <w:widowControl w:val="0"/>
              <w:tabs>
                <w:tab w:val="left" w:pos="567"/>
              </w:tabs>
              <w:ind w:left="0" w:firstLine="0"/>
              <w:rPr>
                <w:color w:val="000000"/>
                <w:szCs w:val="22"/>
              </w:rPr>
            </w:pPr>
            <w:r w:rsidRPr="00C83045">
              <w:rPr>
                <w:color w:val="000000"/>
                <w:szCs w:val="22"/>
              </w:rPr>
              <w:t>Zníženie hmotnosti</w:t>
            </w:r>
          </w:p>
        </w:tc>
      </w:tr>
      <w:tr w:rsidR="00D557D8" w:rsidRPr="00C83045" w14:paraId="32367DC7" w14:textId="77777777" w:rsidTr="00D4304B">
        <w:trPr>
          <w:cantSplit/>
        </w:trPr>
        <w:tc>
          <w:tcPr>
            <w:tcW w:w="2235" w:type="dxa"/>
          </w:tcPr>
          <w:p w14:paraId="32367DC5" w14:textId="77777777" w:rsidR="00D557D8" w:rsidRPr="00C83045" w:rsidRDefault="00D557D8" w:rsidP="00D4304B">
            <w:pPr>
              <w:keepNext/>
              <w:widowControl w:val="0"/>
              <w:tabs>
                <w:tab w:val="left" w:pos="567"/>
              </w:tabs>
              <w:ind w:left="0" w:firstLine="0"/>
              <w:rPr>
                <w:color w:val="000000"/>
                <w:szCs w:val="22"/>
              </w:rPr>
            </w:pPr>
            <w:r w:rsidRPr="00C83045">
              <w:rPr>
                <w:i/>
                <w:color w:val="000000"/>
                <w:szCs w:val="22"/>
              </w:rPr>
              <w:t>Menej časté</w:t>
            </w:r>
            <w:r w:rsidRPr="00C83045">
              <w:rPr>
                <w:color w:val="000000"/>
                <w:szCs w:val="22"/>
              </w:rPr>
              <w:t>:</w:t>
            </w:r>
          </w:p>
        </w:tc>
        <w:tc>
          <w:tcPr>
            <w:tcW w:w="7087" w:type="dxa"/>
          </w:tcPr>
          <w:p w14:paraId="32367DC6" w14:textId="77777777" w:rsidR="00D557D8" w:rsidRPr="00C83045" w:rsidRDefault="00D557D8" w:rsidP="00D4304B">
            <w:pPr>
              <w:keepNext/>
              <w:widowControl w:val="0"/>
              <w:tabs>
                <w:tab w:val="left" w:pos="567"/>
              </w:tabs>
              <w:ind w:left="0" w:firstLine="0"/>
              <w:rPr>
                <w:color w:val="000000"/>
                <w:szCs w:val="22"/>
              </w:rPr>
            </w:pPr>
            <w:r w:rsidRPr="00C83045">
              <w:rPr>
                <w:color w:val="000000"/>
                <w:szCs w:val="22"/>
              </w:rPr>
              <w:t>Zvýšenie kreatinínu v krvi, zvýšenie kreatínfosfokinázy v krvi, zvýšenie laktátdehydrogenázy v krvi, zvýšenie alkalickej fosfatázy v krvi</w:t>
            </w:r>
          </w:p>
        </w:tc>
      </w:tr>
      <w:tr w:rsidR="00D557D8" w:rsidRPr="00C83045" w14:paraId="32367DCA" w14:textId="77777777" w:rsidTr="00D4304B">
        <w:trPr>
          <w:cantSplit/>
        </w:trPr>
        <w:tc>
          <w:tcPr>
            <w:tcW w:w="2235" w:type="dxa"/>
          </w:tcPr>
          <w:p w14:paraId="32367DC8" w14:textId="77777777" w:rsidR="00D557D8" w:rsidRPr="00C83045" w:rsidRDefault="00D557D8" w:rsidP="00D4304B">
            <w:pPr>
              <w:keepNext/>
              <w:keepLines/>
              <w:widowControl w:val="0"/>
              <w:tabs>
                <w:tab w:val="left" w:pos="567"/>
              </w:tabs>
              <w:ind w:left="0" w:firstLine="0"/>
              <w:rPr>
                <w:i/>
                <w:color w:val="000000"/>
                <w:szCs w:val="22"/>
              </w:rPr>
            </w:pPr>
            <w:r w:rsidRPr="00C83045">
              <w:rPr>
                <w:i/>
                <w:color w:val="000000"/>
                <w:szCs w:val="22"/>
              </w:rPr>
              <w:t>Zriedkavé:</w:t>
            </w:r>
          </w:p>
        </w:tc>
        <w:tc>
          <w:tcPr>
            <w:tcW w:w="7087" w:type="dxa"/>
          </w:tcPr>
          <w:p w14:paraId="32367DC9" w14:textId="77777777" w:rsidR="00D557D8" w:rsidRPr="00C83045" w:rsidRDefault="00D557D8" w:rsidP="00D4304B">
            <w:pPr>
              <w:keepNext/>
              <w:keepLines/>
              <w:widowControl w:val="0"/>
              <w:tabs>
                <w:tab w:val="left" w:pos="567"/>
              </w:tabs>
              <w:ind w:left="0" w:firstLine="0"/>
              <w:rPr>
                <w:color w:val="000000"/>
                <w:szCs w:val="22"/>
              </w:rPr>
            </w:pPr>
            <w:r w:rsidRPr="00C83045">
              <w:rPr>
                <w:color w:val="000000"/>
                <w:szCs w:val="22"/>
              </w:rPr>
              <w:t>Zvýšenie amylázy v krvi</w:t>
            </w:r>
          </w:p>
        </w:tc>
      </w:tr>
    </w:tbl>
    <w:p w14:paraId="32367DCB" w14:textId="77777777" w:rsidR="003E2EB2" w:rsidRPr="00C83045" w:rsidRDefault="003E2EB2" w:rsidP="00D4304B">
      <w:pPr>
        <w:keepNext/>
        <w:keepLines/>
        <w:widowControl w:val="0"/>
        <w:rPr>
          <w:color w:val="000000"/>
          <w:szCs w:val="22"/>
        </w:rPr>
      </w:pPr>
    </w:p>
    <w:p w14:paraId="32367DCC" w14:textId="77777777" w:rsidR="000C53C5" w:rsidRPr="00C83045" w:rsidRDefault="003E2EB2" w:rsidP="00D4304B">
      <w:pPr>
        <w:keepNext/>
        <w:keepLines/>
        <w:widowControl w:val="0"/>
        <w:rPr>
          <w:color w:val="000000"/>
          <w:szCs w:val="22"/>
        </w:rPr>
      </w:pPr>
      <w:r w:rsidRPr="00C83045">
        <w:rPr>
          <w:color w:val="000000"/>
          <w:szCs w:val="22"/>
        </w:rPr>
        <w:t>*</w:t>
      </w:r>
      <w:r w:rsidRPr="00C83045">
        <w:rPr>
          <w:color w:val="000000"/>
          <w:szCs w:val="22"/>
        </w:rPr>
        <w:tab/>
        <w:t>Tieto typy re</w:t>
      </w:r>
      <w:r w:rsidR="00F672D5" w:rsidRPr="00C83045">
        <w:rPr>
          <w:color w:val="000000"/>
          <w:szCs w:val="22"/>
        </w:rPr>
        <w:t>a</w:t>
      </w:r>
      <w:r w:rsidRPr="00C83045">
        <w:rPr>
          <w:color w:val="000000"/>
          <w:szCs w:val="22"/>
        </w:rPr>
        <w:t>kcií boli zaznamenané najmä na základe skúseností s Glivecom po jeho uvedení na trh. Zahŕňajú spontánn</w:t>
      </w:r>
      <w:r w:rsidR="00C35639" w:rsidRPr="00C83045">
        <w:rPr>
          <w:color w:val="000000"/>
          <w:szCs w:val="22"/>
        </w:rPr>
        <w:t>e</w:t>
      </w:r>
      <w:r w:rsidRPr="00C83045">
        <w:rPr>
          <w:color w:val="000000"/>
          <w:szCs w:val="22"/>
        </w:rPr>
        <w:t xml:space="preserve"> hlásen</w:t>
      </w:r>
      <w:r w:rsidR="00C35639" w:rsidRPr="00C83045">
        <w:rPr>
          <w:color w:val="000000"/>
          <w:szCs w:val="22"/>
        </w:rPr>
        <w:t xml:space="preserve">ia o prípadoch </w:t>
      </w:r>
      <w:r w:rsidRPr="00C83045">
        <w:rPr>
          <w:color w:val="000000"/>
          <w:szCs w:val="22"/>
        </w:rPr>
        <w:t xml:space="preserve">ako aj závažné nežiaduce udalosti z prebiehajúcich </w:t>
      </w:r>
      <w:r w:rsidR="00C35639" w:rsidRPr="00C83045">
        <w:rPr>
          <w:color w:val="000000"/>
          <w:szCs w:val="22"/>
        </w:rPr>
        <w:t xml:space="preserve">klinických </w:t>
      </w:r>
      <w:r w:rsidRPr="00C83045">
        <w:rPr>
          <w:color w:val="000000"/>
          <w:szCs w:val="22"/>
        </w:rPr>
        <w:t xml:space="preserve">skúšaní, </w:t>
      </w:r>
      <w:r w:rsidR="00714A77" w:rsidRPr="00C83045">
        <w:rPr>
          <w:color w:val="000000"/>
          <w:szCs w:val="22"/>
        </w:rPr>
        <w:t xml:space="preserve">programov pre </w:t>
      </w:r>
      <w:r w:rsidR="0030298D" w:rsidRPr="00C83045">
        <w:rPr>
          <w:color w:val="000000"/>
          <w:szCs w:val="22"/>
        </w:rPr>
        <w:t>rozšírený</w:t>
      </w:r>
      <w:r w:rsidR="00714A77" w:rsidRPr="00C83045">
        <w:rPr>
          <w:color w:val="000000"/>
          <w:szCs w:val="22"/>
        </w:rPr>
        <w:t xml:space="preserve"> prístup k liečbe</w:t>
      </w:r>
      <w:r w:rsidRPr="00C83045">
        <w:rPr>
          <w:color w:val="000000"/>
          <w:szCs w:val="22"/>
        </w:rPr>
        <w:t xml:space="preserve">, </w:t>
      </w:r>
      <w:r w:rsidR="00714A77" w:rsidRPr="00C83045">
        <w:rPr>
          <w:color w:val="000000"/>
          <w:szCs w:val="22"/>
        </w:rPr>
        <w:t>klinicko-farmakologických štúdií a výskumných skúšaní v neschválených indikáciach</w:t>
      </w:r>
      <w:r w:rsidRPr="00C83045">
        <w:rPr>
          <w:color w:val="000000"/>
          <w:szCs w:val="22"/>
        </w:rPr>
        <w:t xml:space="preserve">. </w:t>
      </w:r>
      <w:r w:rsidR="0030298D" w:rsidRPr="00C83045">
        <w:rPr>
          <w:color w:val="000000"/>
          <w:szCs w:val="22"/>
        </w:rPr>
        <w:t xml:space="preserve">Pretože sú uvedené reakcie hlásené z populácie neurčitej veľkosti, nie je vždy možné hodnoverne odhadnúť ich frekvenciu alebo </w:t>
      </w:r>
      <w:r w:rsidR="004B1773" w:rsidRPr="00C83045">
        <w:rPr>
          <w:color w:val="000000"/>
          <w:szCs w:val="22"/>
        </w:rPr>
        <w:t xml:space="preserve">určiť </w:t>
      </w:r>
      <w:r w:rsidR="0030298D" w:rsidRPr="00C83045">
        <w:rPr>
          <w:color w:val="000000"/>
          <w:szCs w:val="22"/>
        </w:rPr>
        <w:t xml:space="preserve">príčinný vzťah </w:t>
      </w:r>
      <w:r w:rsidR="004B1773" w:rsidRPr="00C83045">
        <w:rPr>
          <w:color w:val="000000"/>
          <w:szCs w:val="22"/>
        </w:rPr>
        <w:t>k</w:t>
      </w:r>
      <w:r w:rsidR="0030298D" w:rsidRPr="00C83045">
        <w:rPr>
          <w:color w:val="000000"/>
          <w:szCs w:val="22"/>
        </w:rPr>
        <w:t> expozíci</w:t>
      </w:r>
      <w:r w:rsidR="004B1773" w:rsidRPr="00C83045">
        <w:rPr>
          <w:color w:val="000000"/>
          <w:szCs w:val="22"/>
        </w:rPr>
        <w:t>i</w:t>
      </w:r>
      <w:r w:rsidR="0030298D" w:rsidRPr="00C83045">
        <w:rPr>
          <w:color w:val="000000"/>
          <w:szCs w:val="22"/>
        </w:rPr>
        <w:t xml:space="preserve"> imatinibu.</w:t>
      </w:r>
    </w:p>
    <w:p w14:paraId="32367DCD" w14:textId="77777777" w:rsidR="009C75EE" w:rsidRPr="00C83045" w:rsidRDefault="009C75EE" w:rsidP="00D4304B">
      <w:pPr>
        <w:keepNext/>
        <w:keepLines/>
        <w:widowControl w:val="0"/>
        <w:rPr>
          <w:color w:val="000000"/>
          <w:szCs w:val="22"/>
        </w:rPr>
      </w:pPr>
      <w:r w:rsidRPr="00C83045">
        <w:rPr>
          <w:color w:val="000000"/>
          <w:szCs w:val="22"/>
        </w:rPr>
        <w:t>1</w:t>
      </w:r>
      <w:r w:rsidRPr="00C83045">
        <w:rPr>
          <w:color w:val="000000"/>
          <w:szCs w:val="22"/>
        </w:rPr>
        <w:tab/>
      </w:r>
      <w:r w:rsidR="00BB4D37" w:rsidRPr="00C83045">
        <w:rPr>
          <w:color w:val="000000"/>
          <w:szCs w:val="22"/>
        </w:rPr>
        <w:t>Pneumónia sa zaznamenala najčastejšie u pacientov s transformovanou CML a u pacientov s GIST.</w:t>
      </w:r>
    </w:p>
    <w:p w14:paraId="32367DCE" w14:textId="77777777" w:rsidR="009C75EE" w:rsidRPr="00C83045" w:rsidRDefault="009C75EE" w:rsidP="00D4304B">
      <w:pPr>
        <w:keepNext/>
        <w:keepLines/>
        <w:widowControl w:val="0"/>
        <w:rPr>
          <w:color w:val="000000"/>
          <w:szCs w:val="22"/>
        </w:rPr>
      </w:pPr>
      <w:r w:rsidRPr="00C83045">
        <w:rPr>
          <w:color w:val="000000"/>
          <w:szCs w:val="22"/>
        </w:rPr>
        <w:t>2</w:t>
      </w:r>
      <w:r w:rsidRPr="00C83045">
        <w:rPr>
          <w:color w:val="000000"/>
          <w:szCs w:val="22"/>
        </w:rPr>
        <w:tab/>
      </w:r>
      <w:r w:rsidR="00886EF6" w:rsidRPr="00C83045">
        <w:rPr>
          <w:color w:val="000000"/>
          <w:szCs w:val="22"/>
        </w:rPr>
        <w:t>Bolesť hlavy bola najčastejšia u pacientov s GIST.</w:t>
      </w:r>
    </w:p>
    <w:p w14:paraId="32367DCF" w14:textId="77777777" w:rsidR="009C75EE" w:rsidRPr="00C83045" w:rsidRDefault="009C75EE" w:rsidP="00D4304B">
      <w:pPr>
        <w:keepNext/>
        <w:keepLines/>
        <w:widowControl w:val="0"/>
        <w:rPr>
          <w:color w:val="000000"/>
          <w:szCs w:val="22"/>
        </w:rPr>
      </w:pPr>
      <w:r w:rsidRPr="00C83045">
        <w:rPr>
          <w:color w:val="000000"/>
          <w:szCs w:val="22"/>
        </w:rPr>
        <w:t>3</w:t>
      </w:r>
      <w:r w:rsidRPr="00C83045">
        <w:rPr>
          <w:color w:val="000000"/>
          <w:szCs w:val="22"/>
        </w:rPr>
        <w:tab/>
      </w:r>
      <w:r w:rsidR="00BB4D37" w:rsidRPr="00C83045">
        <w:rPr>
          <w:color w:val="000000"/>
          <w:szCs w:val="22"/>
        </w:rPr>
        <w:t>Pri zohľadnení pacientorokov sa srdcové príhody</w:t>
      </w:r>
      <w:r w:rsidR="000227B8" w:rsidRPr="00C83045">
        <w:rPr>
          <w:color w:val="000000"/>
          <w:szCs w:val="22"/>
        </w:rPr>
        <w:t>,</w:t>
      </w:r>
      <w:r w:rsidR="00BB4D37" w:rsidRPr="00C83045">
        <w:rPr>
          <w:color w:val="000000"/>
          <w:szCs w:val="22"/>
        </w:rPr>
        <w:t xml:space="preserve"> vrátane kongestívneho zlyhania srdca</w:t>
      </w:r>
      <w:r w:rsidR="000227B8" w:rsidRPr="00C83045">
        <w:rPr>
          <w:color w:val="000000"/>
          <w:szCs w:val="22"/>
        </w:rPr>
        <w:t>,</w:t>
      </w:r>
      <w:r w:rsidR="00BB4D37" w:rsidRPr="00C83045">
        <w:rPr>
          <w:color w:val="000000"/>
          <w:szCs w:val="22"/>
        </w:rPr>
        <w:t xml:space="preserve"> pozorovali častejšie u pacientov s transformovanou CML ako u pacientov s chronickou CML.</w:t>
      </w:r>
    </w:p>
    <w:p w14:paraId="32367DD0" w14:textId="77777777" w:rsidR="00BB4D37" w:rsidRPr="00C83045" w:rsidRDefault="009C75EE" w:rsidP="00D4304B">
      <w:pPr>
        <w:keepNext/>
        <w:keepLines/>
        <w:widowControl w:val="0"/>
        <w:rPr>
          <w:color w:val="000000"/>
          <w:szCs w:val="22"/>
        </w:rPr>
      </w:pPr>
      <w:r w:rsidRPr="00C83045">
        <w:rPr>
          <w:color w:val="000000"/>
          <w:szCs w:val="22"/>
        </w:rPr>
        <w:t>4</w:t>
      </w:r>
      <w:r w:rsidR="00BB4D37" w:rsidRPr="00C83045">
        <w:rPr>
          <w:color w:val="000000"/>
          <w:szCs w:val="22"/>
        </w:rPr>
        <w:tab/>
        <w:t>Návaly tepla boli najčastejšie u pacientov s GIST a krvácanie (hematóm, hemorágia) bolo najčastejšie u pacientov s GIST a s transformovanou CML (CML-AP a CML-BC).</w:t>
      </w:r>
    </w:p>
    <w:p w14:paraId="32367DD1" w14:textId="77777777" w:rsidR="009C75EE" w:rsidRPr="00C83045" w:rsidRDefault="009C75EE" w:rsidP="00D4304B">
      <w:pPr>
        <w:keepNext/>
        <w:keepLines/>
        <w:widowControl w:val="0"/>
        <w:rPr>
          <w:color w:val="000000"/>
          <w:szCs w:val="22"/>
        </w:rPr>
      </w:pPr>
      <w:r w:rsidRPr="00C83045">
        <w:rPr>
          <w:color w:val="000000"/>
          <w:szCs w:val="22"/>
        </w:rPr>
        <w:t>5</w:t>
      </w:r>
      <w:r w:rsidRPr="00C83045">
        <w:rPr>
          <w:color w:val="000000"/>
          <w:szCs w:val="22"/>
        </w:rPr>
        <w:tab/>
      </w:r>
      <w:r w:rsidR="00BB4D37" w:rsidRPr="00C83045">
        <w:rPr>
          <w:color w:val="000000"/>
          <w:szCs w:val="22"/>
        </w:rPr>
        <w:t>Pleurálny výpotok bol hlásený častejšie u pacientov s GIST a u pacientov s transformovanou CML (CML-AP a CML-BC) ako u pacientov s chronickou CML.</w:t>
      </w:r>
    </w:p>
    <w:p w14:paraId="32367DD2" w14:textId="77777777" w:rsidR="009C75EE" w:rsidRPr="00C83045" w:rsidRDefault="009C75EE" w:rsidP="00D4304B">
      <w:pPr>
        <w:keepNext/>
        <w:keepLines/>
        <w:widowControl w:val="0"/>
        <w:rPr>
          <w:color w:val="000000"/>
          <w:szCs w:val="22"/>
        </w:rPr>
      </w:pPr>
      <w:r w:rsidRPr="00C83045">
        <w:rPr>
          <w:color w:val="000000"/>
          <w:szCs w:val="22"/>
        </w:rPr>
        <w:t>6</w:t>
      </w:r>
      <w:r w:rsidR="00BB4D37" w:rsidRPr="00C83045">
        <w:rPr>
          <w:color w:val="000000"/>
          <w:szCs w:val="22"/>
        </w:rPr>
        <w:t>+7</w:t>
      </w:r>
      <w:r w:rsidRPr="00C83045">
        <w:rPr>
          <w:color w:val="000000"/>
          <w:szCs w:val="22"/>
        </w:rPr>
        <w:tab/>
      </w:r>
      <w:r w:rsidR="00BB4D37" w:rsidRPr="00C83045">
        <w:rPr>
          <w:color w:val="000000"/>
          <w:szCs w:val="22"/>
        </w:rPr>
        <w:t>Bolesť brucha a gastrointestinálne krvácanie sa najčastejšie pozorovali u pacientov s GIST.</w:t>
      </w:r>
    </w:p>
    <w:p w14:paraId="32367DD3" w14:textId="77777777" w:rsidR="009C75EE" w:rsidRPr="00C83045" w:rsidRDefault="009C75EE" w:rsidP="00D4304B">
      <w:pPr>
        <w:keepNext/>
        <w:keepLines/>
        <w:widowControl w:val="0"/>
        <w:rPr>
          <w:color w:val="000000"/>
          <w:szCs w:val="22"/>
        </w:rPr>
      </w:pPr>
      <w:r w:rsidRPr="00C83045">
        <w:rPr>
          <w:color w:val="000000"/>
          <w:szCs w:val="22"/>
        </w:rPr>
        <w:t>8</w:t>
      </w:r>
      <w:r w:rsidRPr="00C83045">
        <w:rPr>
          <w:color w:val="000000"/>
          <w:szCs w:val="22"/>
        </w:rPr>
        <w:tab/>
      </w:r>
      <w:r w:rsidR="00BB4D37" w:rsidRPr="00C83045">
        <w:rPr>
          <w:color w:val="000000"/>
          <w:szCs w:val="22"/>
        </w:rPr>
        <w:t>Zaznamenalo sa niekoľko smrteľných prípadov zlyhania pečene a nekrózy pečene.</w:t>
      </w:r>
    </w:p>
    <w:p w14:paraId="32367DD4" w14:textId="77777777" w:rsidR="00075FEE" w:rsidRDefault="009C75EE" w:rsidP="00D4304B">
      <w:pPr>
        <w:keepNext/>
        <w:keepLines/>
        <w:widowControl w:val="0"/>
        <w:rPr>
          <w:color w:val="000000"/>
          <w:szCs w:val="22"/>
        </w:rPr>
      </w:pPr>
      <w:r w:rsidRPr="00C83045">
        <w:rPr>
          <w:color w:val="000000"/>
          <w:szCs w:val="22"/>
        </w:rPr>
        <w:t>9</w:t>
      </w:r>
      <w:r w:rsidRPr="00C83045">
        <w:rPr>
          <w:color w:val="000000"/>
          <w:szCs w:val="22"/>
        </w:rPr>
        <w:tab/>
      </w:r>
      <w:r w:rsidR="00075FEE" w:rsidRPr="00C83045">
        <w:rPr>
          <w:color w:val="000000"/>
          <w:szCs w:val="22"/>
        </w:rPr>
        <w:t>Bolesť svalov a</w:t>
      </w:r>
      <w:r w:rsidR="00075FEE">
        <w:rPr>
          <w:color w:val="000000"/>
          <w:szCs w:val="22"/>
        </w:rPr>
        <w:t> </w:t>
      </w:r>
      <w:r w:rsidR="00075FEE" w:rsidRPr="00C83045">
        <w:rPr>
          <w:color w:val="000000"/>
          <w:szCs w:val="22"/>
        </w:rPr>
        <w:t>kostí</w:t>
      </w:r>
      <w:r w:rsidR="00075FEE">
        <w:rPr>
          <w:color w:val="000000"/>
          <w:szCs w:val="22"/>
        </w:rPr>
        <w:t xml:space="preserve"> počas liečby imatinibom alebo po jej ukončení </w:t>
      </w:r>
      <w:r w:rsidR="00A56D61">
        <w:rPr>
          <w:color w:val="000000"/>
          <w:szCs w:val="22"/>
        </w:rPr>
        <w:t>sa pozorovala po uvedení lieku na trh.</w:t>
      </w:r>
    </w:p>
    <w:p w14:paraId="32367DD5" w14:textId="77777777" w:rsidR="00C35639" w:rsidRPr="00C83045" w:rsidRDefault="00075FEE" w:rsidP="00D4304B">
      <w:pPr>
        <w:keepNext/>
        <w:keepLines/>
        <w:widowControl w:val="0"/>
        <w:rPr>
          <w:color w:val="000000"/>
          <w:szCs w:val="22"/>
        </w:rPr>
      </w:pPr>
      <w:r>
        <w:rPr>
          <w:color w:val="000000"/>
          <w:szCs w:val="22"/>
        </w:rPr>
        <w:t>10</w:t>
      </w:r>
      <w:r>
        <w:rPr>
          <w:color w:val="000000"/>
          <w:szCs w:val="22"/>
        </w:rPr>
        <w:tab/>
      </w:r>
      <w:r w:rsidR="00BB4D37" w:rsidRPr="00C83045">
        <w:rPr>
          <w:color w:val="000000"/>
          <w:szCs w:val="22"/>
        </w:rPr>
        <w:t>Bolesť svalov a kostí a s ňou súvisiace udalosti sa pozorovali častejšie u pacientov s CML ako u pacientov s GIST.</w:t>
      </w:r>
    </w:p>
    <w:p w14:paraId="32367DD6" w14:textId="77777777" w:rsidR="009C75EE" w:rsidRPr="00C83045" w:rsidRDefault="00C35639" w:rsidP="00D4304B">
      <w:pPr>
        <w:keepLines/>
        <w:widowControl w:val="0"/>
        <w:tabs>
          <w:tab w:val="left" w:pos="720"/>
        </w:tabs>
        <w:rPr>
          <w:color w:val="000000"/>
          <w:szCs w:val="22"/>
        </w:rPr>
      </w:pPr>
      <w:r w:rsidRPr="00C83045">
        <w:rPr>
          <w:color w:val="000000"/>
          <w:szCs w:val="22"/>
        </w:rPr>
        <w:t>1</w:t>
      </w:r>
      <w:r w:rsidR="00075FEE">
        <w:rPr>
          <w:color w:val="000000"/>
          <w:szCs w:val="22"/>
        </w:rPr>
        <w:t>1</w:t>
      </w:r>
      <w:r w:rsidRPr="00C83045">
        <w:rPr>
          <w:color w:val="000000"/>
          <w:szCs w:val="22"/>
        </w:rPr>
        <w:tab/>
        <w:t>Smrteľné prípady sa zaznamenali u pacientov s pokročilým ochorením, závažnými infekciami, ťažkou neutropéniou a inými závažnými sprievodnými ochoreniami.</w:t>
      </w:r>
    </w:p>
    <w:p w14:paraId="32367DD7" w14:textId="77777777" w:rsidR="005B5D0B" w:rsidRPr="00C83045" w:rsidRDefault="005B5D0B" w:rsidP="00D4304B">
      <w:pPr>
        <w:widowControl w:val="0"/>
        <w:rPr>
          <w:color w:val="000000"/>
          <w:szCs w:val="22"/>
        </w:rPr>
      </w:pPr>
    </w:p>
    <w:p w14:paraId="32367DD8" w14:textId="77777777" w:rsidR="00847D15" w:rsidRPr="00C83045" w:rsidRDefault="00847D15" w:rsidP="00D4304B">
      <w:pPr>
        <w:pStyle w:val="Heading2"/>
        <w:widowControl w:val="0"/>
        <w:autoSpaceDE/>
        <w:autoSpaceDN/>
        <w:rPr>
          <w:b w:val="0"/>
          <w:i w:val="0"/>
          <w:color w:val="000000"/>
          <w:sz w:val="22"/>
          <w:szCs w:val="22"/>
          <w:u w:val="single"/>
        </w:rPr>
      </w:pPr>
      <w:r w:rsidRPr="00C83045">
        <w:rPr>
          <w:b w:val="0"/>
          <w:i w:val="0"/>
          <w:color w:val="000000"/>
          <w:sz w:val="22"/>
          <w:szCs w:val="22"/>
          <w:u w:val="single"/>
        </w:rPr>
        <w:t>Odchýlky laboratórnych hodnôt</w:t>
      </w:r>
    </w:p>
    <w:p w14:paraId="32367DD9" w14:textId="77777777" w:rsidR="00847D15" w:rsidRPr="00C83045" w:rsidRDefault="00847D15" w:rsidP="00D4304B">
      <w:pPr>
        <w:keepNext/>
        <w:widowControl w:val="0"/>
        <w:ind w:left="0" w:firstLine="0"/>
        <w:rPr>
          <w:i/>
          <w:color w:val="000000"/>
          <w:szCs w:val="22"/>
        </w:rPr>
      </w:pPr>
      <w:r w:rsidRPr="00C83045">
        <w:rPr>
          <w:i/>
          <w:color w:val="000000"/>
          <w:szCs w:val="22"/>
        </w:rPr>
        <w:t>Hematologické vyšetrenia</w:t>
      </w:r>
    </w:p>
    <w:p w14:paraId="32367DDA" w14:textId="77777777" w:rsidR="00847D15" w:rsidRPr="00C83045" w:rsidRDefault="00847D15" w:rsidP="00D4304B">
      <w:pPr>
        <w:pStyle w:val="Footer"/>
        <w:widowControl w:val="0"/>
        <w:ind w:left="0" w:firstLine="0"/>
        <w:rPr>
          <w:color w:val="000000"/>
          <w:szCs w:val="22"/>
        </w:rPr>
      </w:pPr>
      <w:r w:rsidRPr="00C83045">
        <w:rPr>
          <w:color w:val="000000"/>
          <w:szCs w:val="22"/>
        </w:rPr>
        <w:t xml:space="preserve">Cytopénie, hlavne neutropénia a trombocytopénia, sa opakovane pozorovali vo všetkých klinických skúšaniach pri CML, so sklonom k častejšiemu výskytu pri vysokých dávkach </w:t>
      </w:r>
      <w:r w:rsidRPr="00C83045">
        <w:rPr>
          <w:color w:val="000000"/>
          <w:szCs w:val="22"/>
        </w:rPr>
        <w:sym w:font="Symbol" w:char="F0B3"/>
      </w:r>
      <w:r w:rsidRPr="00C83045">
        <w:rPr>
          <w:color w:val="000000"/>
          <w:szCs w:val="22"/>
        </w:rPr>
        <w:t xml:space="preserve"> 750 mg (klinické skúšanie </w:t>
      </w:r>
      <w:r w:rsidR="00E65F57" w:rsidRPr="00C83045">
        <w:rPr>
          <w:color w:val="000000"/>
          <w:szCs w:val="22"/>
        </w:rPr>
        <w:t>fáz</w:t>
      </w:r>
      <w:r w:rsidRPr="00C83045">
        <w:rPr>
          <w:color w:val="000000"/>
          <w:szCs w:val="22"/>
        </w:rPr>
        <w:t>y</w:t>
      </w:r>
      <w:r w:rsidR="00956E85" w:rsidRPr="00C83045">
        <w:rPr>
          <w:color w:val="000000"/>
          <w:szCs w:val="22"/>
        </w:rPr>
        <w:t> </w:t>
      </w:r>
      <w:r w:rsidRPr="00C83045">
        <w:rPr>
          <w:color w:val="000000"/>
          <w:szCs w:val="22"/>
        </w:rPr>
        <w:t>I). Výskyt cytopénií však jednoznačne závisel aj od fázy ochorenia, pričom 3. alebo 4. stupeň neutropénií (</w:t>
      </w:r>
      <w:r w:rsidR="000A087F" w:rsidRPr="00C83045">
        <w:rPr>
          <w:color w:val="000000"/>
          <w:szCs w:val="22"/>
        </w:rPr>
        <w:t>ANC</w:t>
      </w:r>
      <w:r w:rsidRPr="00C83045">
        <w:rPr>
          <w:color w:val="000000"/>
          <w:szCs w:val="22"/>
        </w:rPr>
        <w:t xml:space="preserve"> &lt; 1,0 x 10</w:t>
      </w:r>
      <w:r w:rsidRPr="00C83045">
        <w:rPr>
          <w:color w:val="000000"/>
          <w:szCs w:val="22"/>
          <w:vertAlign w:val="superscript"/>
        </w:rPr>
        <w:t>9</w:t>
      </w:r>
      <w:r w:rsidRPr="00C83045">
        <w:rPr>
          <w:color w:val="000000"/>
          <w:szCs w:val="22"/>
        </w:rPr>
        <w:t>/l) a trombocytopénií (počet trombocytov &lt; 50 x 10</w:t>
      </w:r>
      <w:r w:rsidRPr="00C83045">
        <w:rPr>
          <w:color w:val="000000"/>
          <w:szCs w:val="22"/>
          <w:vertAlign w:val="superscript"/>
        </w:rPr>
        <w:t>9</w:t>
      </w:r>
      <w:r w:rsidRPr="00C83045">
        <w:rPr>
          <w:color w:val="000000"/>
          <w:szCs w:val="22"/>
        </w:rPr>
        <w:t>/l) sa vyskytoval 4- až 6-krát častejšie v blastickej kríze a akcelerovanej fáze (5</w:t>
      </w:r>
      <w:r w:rsidR="003E363B" w:rsidRPr="00C83045">
        <w:rPr>
          <w:color w:val="000000"/>
          <w:szCs w:val="22"/>
        </w:rPr>
        <w:t>9</w:t>
      </w:r>
      <w:r w:rsidRPr="00C83045">
        <w:rPr>
          <w:color w:val="000000"/>
          <w:szCs w:val="22"/>
        </w:rPr>
        <w:t>–6</w:t>
      </w:r>
      <w:r w:rsidR="003E363B" w:rsidRPr="00C83045">
        <w:rPr>
          <w:color w:val="000000"/>
          <w:szCs w:val="22"/>
        </w:rPr>
        <w:t>4</w:t>
      </w:r>
      <w:r w:rsidRPr="00C83045">
        <w:rPr>
          <w:color w:val="000000"/>
          <w:szCs w:val="22"/>
        </w:rPr>
        <w:t>% neutropénií a 4</w:t>
      </w:r>
      <w:r w:rsidR="003E363B" w:rsidRPr="00C83045">
        <w:rPr>
          <w:color w:val="000000"/>
          <w:szCs w:val="22"/>
        </w:rPr>
        <w:t>4</w:t>
      </w:r>
      <w:r w:rsidRPr="00C83045">
        <w:rPr>
          <w:color w:val="000000"/>
          <w:szCs w:val="22"/>
        </w:rPr>
        <w:t>–</w:t>
      </w:r>
      <w:r w:rsidR="003E363B" w:rsidRPr="00C83045">
        <w:rPr>
          <w:color w:val="000000"/>
          <w:szCs w:val="22"/>
        </w:rPr>
        <w:t>63</w:t>
      </w:r>
      <w:r w:rsidRPr="00C83045">
        <w:rPr>
          <w:color w:val="000000"/>
          <w:szCs w:val="22"/>
        </w:rPr>
        <w:t>% trombocytopénií) v porovnaní s novodiagnostikovanými pacientmi v chronickej fáze CML (1</w:t>
      </w:r>
      <w:r w:rsidR="003F310C" w:rsidRPr="00C83045">
        <w:rPr>
          <w:color w:val="000000"/>
          <w:szCs w:val="22"/>
        </w:rPr>
        <w:t>6,7</w:t>
      </w:r>
      <w:r w:rsidRPr="00C83045">
        <w:rPr>
          <w:color w:val="000000"/>
          <w:szCs w:val="22"/>
        </w:rPr>
        <w:t>% neutropénií a</w:t>
      </w:r>
      <w:r w:rsidR="003E363B" w:rsidRPr="00C83045">
        <w:rPr>
          <w:color w:val="000000"/>
          <w:szCs w:val="22"/>
        </w:rPr>
        <w:t> 8,</w:t>
      </w:r>
      <w:r w:rsidR="003F310C" w:rsidRPr="00C83045">
        <w:rPr>
          <w:color w:val="000000"/>
          <w:szCs w:val="22"/>
        </w:rPr>
        <w:t>9</w:t>
      </w:r>
      <w:r w:rsidRPr="00C83045">
        <w:rPr>
          <w:color w:val="000000"/>
          <w:szCs w:val="22"/>
        </w:rPr>
        <w:t>% trombocytopénií). Pri novodiagnostikovanej chronickej fáze CML sa pozoroval 4. stupeň neutropénie (</w:t>
      </w:r>
      <w:r w:rsidR="000A087F" w:rsidRPr="00C83045">
        <w:rPr>
          <w:color w:val="000000"/>
          <w:szCs w:val="22"/>
        </w:rPr>
        <w:t>ANC</w:t>
      </w:r>
      <w:r w:rsidRPr="00C83045">
        <w:rPr>
          <w:color w:val="000000"/>
          <w:szCs w:val="22"/>
        </w:rPr>
        <w:t xml:space="preserve"> &lt; 0,5 x 10</w:t>
      </w:r>
      <w:r w:rsidRPr="00C83045">
        <w:rPr>
          <w:color w:val="000000"/>
          <w:szCs w:val="22"/>
          <w:vertAlign w:val="superscript"/>
        </w:rPr>
        <w:t>9</w:t>
      </w:r>
      <w:r w:rsidRPr="00C83045">
        <w:rPr>
          <w:color w:val="000000"/>
          <w:szCs w:val="22"/>
        </w:rPr>
        <w:t>/l) u</w:t>
      </w:r>
      <w:r w:rsidR="003F310C" w:rsidRPr="00C83045">
        <w:rPr>
          <w:color w:val="000000"/>
          <w:szCs w:val="22"/>
        </w:rPr>
        <w:t> </w:t>
      </w:r>
      <w:r w:rsidR="003E363B" w:rsidRPr="00C83045">
        <w:rPr>
          <w:color w:val="000000"/>
          <w:szCs w:val="22"/>
        </w:rPr>
        <w:t>3</w:t>
      </w:r>
      <w:r w:rsidR="003F310C" w:rsidRPr="00C83045">
        <w:rPr>
          <w:color w:val="000000"/>
          <w:szCs w:val="22"/>
        </w:rPr>
        <w:t>,6</w:t>
      </w:r>
      <w:r w:rsidRPr="00C83045">
        <w:rPr>
          <w:color w:val="000000"/>
          <w:szCs w:val="22"/>
        </w:rPr>
        <w:t>% pacientov a trombocytopénie (počet trombocytov &lt; 10 x 10</w:t>
      </w:r>
      <w:r w:rsidRPr="00C83045">
        <w:rPr>
          <w:color w:val="000000"/>
          <w:szCs w:val="22"/>
          <w:vertAlign w:val="superscript"/>
        </w:rPr>
        <w:t>9</w:t>
      </w:r>
      <w:r w:rsidRPr="00C83045">
        <w:rPr>
          <w:color w:val="000000"/>
          <w:szCs w:val="22"/>
        </w:rPr>
        <w:t>/l) u menej ako 1% pacientov. Medián trvania neutropenických epizód bol zvyčajne v rozmedzí 2 až 3 týždňov, trombocytopenických epizód 3 až 4 týždňov. Tieto udalosti možno obvykle zvládnuť buď znížením dávky, alebo prerušením liečby Glivecom, ale v zriedkavých prípadoch si môžu vyžiadať trvalé ukončenie liečby.</w:t>
      </w:r>
      <w:r w:rsidR="00770CD3" w:rsidRPr="00C83045">
        <w:rPr>
          <w:color w:val="000000"/>
          <w:szCs w:val="22"/>
        </w:rPr>
        <w:t xml:space="preserve"> U pediatrických pacientov s CML boli najčastejšie pozorovanými príznakmi toxicity 3. alebo 4. stupeň cytopénií vrátane neutropénie, trombocytopénie a anémie. Spravidla sa vyskytujú počas prvých mesiacov liečby.</w:t>
      </w:r>
    </w:p>
    <w:p w14:paraId="32367DDB" w14:textId="77777777" w:rsidR="00A271C2" w:rsidRPr="00C83045" w:rsidRDefault="00A271C2" w:rsidP="00D4304B">
      <w:pPr>
        <w:pStyle w:val="Footer"/>
        <w:widowControl w:val="0"/>
        <w:ind w:left="0" w:firstLine="0"/>
        <w:rPr>
          <w:color w:val="000000"/>
          <w:szCs w:val="22"/>
        </w:rPr>
      </w:pPr>
    </w:p>
    <w:p w14:paraId="32367DDC" w14:textId="77777777" w:rsidR="00847D15" w:rsidRPr="00C83045" w:rsidRDefault="00A271C2" w:rsidP="00D4304B">
      <w:pPr>
        <w:pStyle w:val="Footer"/>
        <w:widowControl w:val="0"/>
        <w:ind w:left="0" w:firstLine="0"/>
        <w:rPr>
          <w:color w:val="000000"/>
          <w:szCs w:val="22"/>
        </w:rPr>
      </w:pPr>
      <w:r w:rsidRPr="00C83045">
        <w:rPr>
          <w:color w:val="000000"/>
          <w:szCs w:val="22"/>
        </w:rPr>
        <w:t>V klinickom skúšaní u pacientov s neresekovateľným a/alebo metastazujúcim GIST</w:t>
      </w:r>
      <w:r w:rsidR="00847D15" w:rsidRPr="00C83045">
        <w:rPr>
          <w:color w:val="000000"/>
          <w:szCs w:val="22"/>
        </w:rPr>
        <w:t xml:space="preserve"> sa zaznamenala anémia 3. stupňa v </w:t>
      </w:r>
      <w:r w:rsidR="00615D1A" w:rsidRPr="00C83045">
        <w:rPr>
          <w:color w:val="000000"/>
          <w:szCs w:val="22"/>
        </w:rPr>
        <w:t>5</w:t>
      </w:r>
      <w:r w:rsidR="00847D15" w:rsidRPr="00C83045">
        <w:rPr>
          <w:color w:val="000000"/>
          <w:szCs w:val="22"/>
        </w:rPr>
        <w:t xml:space="preserve">,4% a 4. stupňa v 0,7% prípadov a mohla súvisieť s gastrointestinálnym krvácaním alebo krvácaním vo vnútri nádoru aspoň u niektorých z týchto pacientov. Neutropénia 3. stupňa sa pozorovala u </w:t>
      </w:r>
      <w:r w:rsidR="00615D1A" w:rsidRPr="00C83045">
        <w:rPr>
          <w:color w:val="000000"/>
          <w:szCs w:val="22"/>
        </w:rPr>
        <w:t>7,5</w:t>
      </w:r>
      <w:r w:rsidR="00847D15" w:rsidRPr="00C83045">
        <w:rPr>
          <w:color w:val="000000"/>
          <w:szCs w:val="22"/>
        </w:rPr>
        <w:t xml:space="preserve">% a 4. stupňa u </w:t>
      </w:r>
      <w:r w:rsidR="00615D1A" w:rsidRPr="00C83045">
        <w:rPr>
          <w:color w:val="000000"/>
          <w:szCs w:val="22"/>
        </w:rPr>
        <w:t>2,7</w:t>
      </w:r>
      <w:r w:rsidR="00847D15" w:rsidRPr="00C83045">
        <w:rPr>
          <w:color w:val="000000"/>
          <w:szCs w:val="22"/>
        </w:rPr>
        <w:t>% pacientov, trombocytopénia 3. stupňa u 0,7% pacientov. U žiadneho pacienta sa nevyvinula trombocytopénia 4. stupňa. Pokles počtu leukocytov</w:t>
      </w:r>
      <w:r w:rsidR="00BF0097" w:rsidRPr="00C83045">
        <w:rPr>
          <w:color w:val="000000"/>
          <w:szCs w:val="22"/>
        </w:rPr>
        <w:t xml:space="preserve"> </w:t>
      </w:r>
      <w:r w:rsidR="00BF0097" w:rsidRPr="00C83045">
        <w:rPr>
          <w:color w:val="000000"/>
          <w:szCs w:val="22"/>
        </w:rPr>
        <w:lastRenderedPageBreak/>
        <w:t>(WBC)</w:t>
      </w:r>
      <w:r w:rsidR="00847D15" w:rsidRPr="00C83045">
        <w:rPr>
          <w:color w:val="000000"/>
          <w:szCs w:val="22"/>
        </w:rPr>
        <w:t xml:space="preserve"> a neutrofilov sa vyskytoval najmä počas prvých 6 týždňov liečby, neskôr boli hodnoty pomerne stále.</w:t>
      </w:r>
    </w:p>
    <w:p w14:paraId="32367DDD" w14:textId="77777777" w:rsidR="00847D15" w:rsidRPr="00C83045" w:rsidRDefault="00847D15" w:rsidP="00D4304B">
      <w:pPr>
        <w:pStyle w:val="Footer"/>
        <w:widowControl w:val="0"/>
        <w:ind w:left="0" w:firstLine="0"/>
        <w:rPr>
          <w:color w:val="000000"/>
          <w:szCs w:val="22"/>
        </w:rPr>
      </w:pPr>
    </w:p>
    <w:p w14:paraId="32367DDE" w14:textId="77777777" w:rsidR="00847D15" w:rsidRPr="00C83045" w:rsidRDefault="00847D15" w:rsidP="00D4304B">
      <w:pPr>
        <w:pStyle w:val="Footer"/>
        <w:keepNext/>
        <w:widowControl w:val="0"/>
        <w:ind w:left="0" w:firstLine="0"/>
        <w:rPr>
          <w:i/>
          <w:color w:val="000000"/>
          <w:szCs w:val="22"/>
        </w:rPr>
      </w:pPr>
      <w:r w:rsidRPr="00C83045">
        <w:rPr>
          <w:i/>
          <w:color w:val="000000"/>
          <w:szCs w:val="22"/>
        </w:rPr>
        <w:t>Biochemické vyšetrenia</w:t>
      </w:r>
    </w:p>
    <w:p w14:paraId="32367DDF" w14:textId="77777777" w:rsidR="00847D15" w:rsidRPr="00C83045" w:rsidRDefault="00847D15" w:rsidP="00D4304B">
      <w:pPr>
        <w:widowControl w:val="0"/>
        <w:ind w:left="0" w:firstLine="0"/>
        <w:rPr>
          <w:color w:val="000000"/>
          <w:szCs w:val="22"/>
        </w:rPr>
      </w:pPr>
      <w:r w:rsidRPr="00C83045">
        <w:rPr>
          <w:color w:val="000000"/>
          <w:szCs w:val="22"/>
        </w:rPr>
        <w:t xml:space="preserve">Závažné zvýšenie aminotransferáz </w:t>
      </w:r>
      <w:r w:rsidR="00316A94" w:rsidRPr="00C83045">
        <w:rPr>
          <w:color w:val="000000"/>
          <w:szCs w:val="22"/>
        </w:rPr>
        <w:t>(&lt;</w:t>
      </w:r>
      <w:r w:rsidR="00B17498" w:rsidRPr="00C83045">
        <w:rPr>
          <w:color w:val="000000"/>
          <w:szCs w:val="22"/>
        </w:rPr>
        <w:t> </w:t>
      </w:r>
      <w:r w:rsidR="00316A94" w:rsidRPr="00C83045">
        <w:rPr>
          <w:color w:val="000000"/>
          <w:szCs w:val="22"/>
        </w:rPr>
        <w:t xml:space="preserve">5%) </w:t>
      </w:r>
      <w:r w:rsidRPr="00C83045">
        <w:rPr>
          <w:color w:val="000000"/>
          <w:szCs w:val="22"/>
        </w:rPr>
        <w:t xml:space="preserve">alebo bilirubínu </w:t>
      </w:r>
      <w:r w:rsidR="00316A94" w:rsidRPr="00C83045">
        <w:rPr>
          <w:color w:val="000000"/>
          <w:szCs w:val="22"/>
        </w:rPr>
        <w:t>(&lt;</w:t>
      </w:r>
      <w:r w:rsidR="00B17498" w:rsidRPr="00C83045">
        <w:rPr>
          <w:color w:val="000000"/>
          <w:szCs w:val="22"/>
        </w:rPr>
        <w:t> </w:t>
      </w:r>
      <w:r w:rsidR="00316A94" w:rsidRPr="00C83045">
        <w:rPr>
          <w:color w:val="000000"/>
          <w:szCs w:val="22"/>
        </w:rPr>
        <w:t>1%) sa pozorovalo u</w:t>
      </w:r>
      <w:r w:rsidRPr="00C83045">
        <w:rPr>
          <w:color w:val="000000"/>
          <w:szCs w:val="22"/>
        </w:rPr>
        <w:t xml:space="preserve"> pacientov</w:t>
      </w:r>
      <w:r w:rsidR="00CB1740" w:rsidRPr="00C83045">
        <w:rPr>
          <w:color w:val="000000"/>
          <w:szCs w:val="22"/>
        </w:rPr>
        <w:t xml:space="preserve"> </w:t>
      </w:r>
      <w:r w:rsidR="00BD74FC" w:rsidRPr="00C83045">
        <w:rPr>
          <w:color w:val="000000"/>
          <w:szCs w:val="22"/>
        </w:rPr>
        <w:t xml:space="preserve">s </w:t>
      </w:r>
      <w:r w:rsidR="00CB1740" w:rsidRPr="00C83045">
        <w:rPr>
          <w:color w:val="000000"/>
          <w:szCs w:val="22"/>
        </w:rPr>
        <w:t xml:space="preserve">CML </w:t>
      </w:r>
      <w:r w:rsidRPr="00C83045">
        <w:rPr>
          <w:color w:val="000000"/>
          <w:szCs w:val="22"/>
        </w:rPr>
        <w:t xml:space="preserve">a zvyčajne sa zvládlo znížením dávky alebo prerušením liečby (medián trvania týchto epizód bol približne 1 týždeň). Liečba sa musela trvalo ukončiť pre odchýlky pečeňových laboratórnych testov u menej ako </w:t>
      </w:r>
      <w:r w:rsidR="00BD74FC" w:rsidRPr="00C83045">
        <w:rPr>
          <w:color w:val="000000"/>
          <w:szCs w:val="22"/>
        </w:rPr>
        <w:t>1</w:t>
      </w:r>
      <w:r w:rsidRPr="00C83045">
        <w:rPr>
          <w:color w:val="000000"/>
          <w:szCs w:val="22"/>
        </w:rPr>
        <w:t>% pacientov</w:t>
      </w:r>
      <w:r w:rsidR="00CB1740" w:rsidRPr="00C83045">
        <w:rPr>
          <w:color w:val="000000"/>
          <w:szCs w:val="22"/>
        </w:rPr>
        <w:t xml:space="preserve"> s CML</w:t>
      </w:r>
      <w:r w:rsidRPr="00C83045">
        <w:rPr>
          <w:color w:val="000000"/>
          <w:szCs w:val="22"/>
        </w:rPr>
        <w:t>.</w:t>
      </w:r>
      <w:r w:rsidR="00CC3640" w:rsidRPr="00C83045">
        <w:rPr>
          <w:color w:val="000000"/>
          <w:szCs w:val="22"/>
        </w:rPr>
        <w:t xml:space="preserve"> </w:t>
      </w:r>
      <w:r w:rsidR="00E92A0B" w:rsidRPr="00C83045">
        <w:rPr>
          <w:color w:val="000000"/>
          <w:szCs w:val="22"/>
        </w:rPr>
        <w:t xml:space="preserve">U pacientov s GIST (klinické skúšanie B2222) sa pozorovalo </w:t>
      </w:r>
      <w:r w:rsidR="00FB0B27" w:rsidRPr="00C83045">
        <w:rPr>
          <w:color w:val="000000"/>
          <w:szCs w:val="22"/>
        </w:rPr>
        <w:t>zvýšen</w:t>
      </w:r>
      <w:r w:rsidR="007C2321" w:rsidRPr="00C83045">
        <w:rPr>
          <w:color w:val="000000"/>
          <w:szCs w:val="22"/>
        </w:rPr>
        <w:t>ie</w:t>
      </w:r>
      <w:r w:rsidR="00E92A0B" w:rsidRPr="00C83045">
        <w:rPr>
          <w:color w:val="000000"/>
          <w:szCs w:val="22"/>
        </w:rPr>
        <w:t xml:space="preserve"> </w:t>
      </w:r>
      <w:smartTag w:uri="urn:schemas-microsoft-com:office:smarttags" w:element="stockticker">
        <w:r w:rsidR="00112488" w:rsidRPr="00C83045">
          <w:rPr>
            <w:color w:val="000000"/>
            <w:szCs w:val="22"/>
          </w:rPr>
          <w:t>ALT</w:t>
        </w:r>
      </w:smartTag>
      <w:r w:rsidR="00112488" w:rsidRPr="00C83045">
        <w:rPr>
          <w:color w:val="000000"/>
          <w:szCs w:val="22"/>
        </w:rPr>
        <w:t xml:space="preserve"> (alanínaminotransferázy) </w:t>
      </w:r>
      <w:r w:rsidR="00E92A0B" w:rsidRPr="00C83045">
        <w:rPr>
          <w:color w:val="000000"/>
          <w:szCs w:val="22"/>
        </w:rPr>
        <w:t xml:space="preserve">3. alebo 4. stupňa </w:t>
      </w:r>
      <w:r w:rsidR="007C2321" w:rsidRPr="00C83045">
        <w:rPr>
          <w:color w:val="000000"/>
          <w:szCs w:val="22"/>
        </w:rPr>
        <w:t xml:space="preserve">u 6,8% a </w:t>
      </w:r>
      <w:r w:rsidR="00FB0B27" w:rsidRPr="00C83045">
        <w:rPr>
          <w:color w:val="000000"/>
          <w:szCs w:val="22"/>
        </w:rPr>
        <w:t>zvýšen</w:t>
      </w:r>
      <w:r w:rsidR="007C2321" w:rsidRPr="00C83045">
        <w:rPr>
          <w:color w:val="000000"/>
          <w:szCs w:val="22"/>
        </w:rPr>
        <w:t>ie</w:t>
      </w:r>
      <w:r w:rsidR="00FB0B27" w:rsidRPr="00C83045">
        <w:rPr>
          <w:color w:val="000000"/>
          <w:szCs w:val="22"/>
        </w:rPr>
        <w:t xml:space="preserve"> AST </w:t>
      </w:r>
      <w:r w:rsidR="007C2321" w:rsidRPr="00C83045">
        <w:rPr>
          <w:color w:val="000000"/>
          <w:szCs w:val="22"/>
        </w:rPr>
        <w:t>(</w:t>
      </w:r>
      <w:r w:rsidR="00112488" w:rsidRPr="00C83045">
        <w:rPr>
          <w:color w:val="000000"/>
          <w:szCs w:val="22"/>
        </w:rPr>
        <w:t>aspartátaminotransferázy)</w:t>
      </w:r>
      <w:r w:rsidR="007C2321" w:rsidRPr="00C83045">
        <w:rPr>
          <w:color w:val="000000"/>
          <w:szCs w:val="22"/>
        </w:rPr>
        <w:t xml:space="preserve"> 3. alebo 4. stupňa u 4,8% pacientov. </w:t>
      </w:r>
      <w:r w:rsidR="00994646" w:rsidRPr="00C83045">
        <w:rPr>
          <w:color w:val="000000"/>
          <w:szCs w:val="22"/>
        </w:rPr>
        <w:t>Bilirubín sa z</w:t>
      </w:r>
      <w:r w:rsidR="00802457" w:rsidRPr="00C83045">
        <w:rPr>
          <w:color w:val="000000"/>
          <w:szCs w:val="22"/>
        </w:rPr>
        <w:t>výš</w:t>
      </w:r>
      <w:r w:rsidR="00994646" w:rsidRPr="00C83045">
        <w:rPr>
          <w:color w:val="000000"/>
          <w:szCs w:val="22"/>
        </w:rPr>
        <w:t xml:space="preserve">il u </w:t>
      </w:r>
      <w:r w:rsidR="00802457" w:rsidRPr="00C83045">
        <w:rPr>
          <w:color w:val="000000"/>
          <w:szCs w:val="22"/>
        </w:rPr>
        <w:t>menej ako 3%</w:t>
      </w:r>
      <w:r w:rsidR="00994646" w:rsidRPr="00C83045">
        <w:rPr>
          <w:color w:val="000000"/>
          <w:szCs w:val="22"/>
        </w:rPr>
        <w:t xml:space="preserve"> pacientov</w:t>
      </w:r>
      <w:r w:rsidR="00802457" w:rsidRPr="00C83045">
        <w:rPr>
          <w:color w:val="000000"/>
          <w:szCs w:val="22"/>
        </w:rPr>
        <w:t>.</w:t>
      </w:r>
    </w:p>
    <w:p w14:paraId="32367DE0" w14:textId="77777777" w:rsidR="001A6E4F" w:rsidRPr="00C83045" w:rsidRDefault="001A6E4F" w:rsidP="00D4304B">
      <w:pPr>
        <w:widowControl w:val="0"/>
        <w:rPr>
          <w:color w:val="000000"/>
          <w:szCs w:val="22"/>
        </w:rPr>
      </w:pPr>
    </w:p>
    <w:p w14:paraId="32367DE1" w14:textId="77777777" w:rsidR="00847D15" w:rsidRDefault="001A6E4F" w:rsidP="00D4304B">
      <w:pPr>
        <w:widowControl w:val="0"/>
        <w:ind w:left="0" w:firstLine="0"/>
        <w:rPr>
          <w:color w:val="000000"/>
          <w:szCs w:val="22"/>
        </w:rPr>
      </w:pPr>
      <w:r w:rsidRPr="00C83045">
        <w:rPr>
          <w:color w:val="000000"/>
          <w:szCs w:val="22"/>
        </w:rPr>
        <w:t>Vyskytli sa prípady cytolytickej a cholestatickej hepatitídy a zlyhania pečene, ktoré sa niekedy skončili smrťou, vrátane jedného pacienta po užití vysokej dávky paracetamolu.</w:t>
      </w:r>
    </w:p>
    <w:p w14:paraId="32367DE2" w14:textId="77777777" w:rsidR="00F65595" w:rsidRPr="00C83045" w:rsidRDefault="00F65595" w:rsidP="00D4304B">
      <w:pPr>
        <w:widowControl w:val="0"/>
        <w:ind w:left="0" w:firstLine="0"/>
        <w:rPr>
          <w:color w:val="000000"/>
          <w:szCs w:val="22"/>
        </w:rPr>
      </w:pPr>
    </w:p>
    <w:p w14:paraId="32367DE3" w14:textId="77777777" w:rsidR="00F65595" w:rsidRPr="00F65595" w:rsidRDefault="00F65595" w:rsidP="00D4304B">
      <w:pPr>
        <w:keepNext/>
        <w:widowControl w:val="0"/>
        <w:autoSpaceDE w:val="0"/>
        <w:autoSpaceDN w:val="0"/>
        <w:adjustRightInd w:val="0"/>
        <w:rPr>
          <w:noProof/>
          <w:szCs w:val="22"/>
          <w:u w:val="single"/>
        </w:rPr>
      </w:pPr>
      <w:r w:rsidRPr="00F65595">
        <w:rPr>
          <w:noProof/>
          <w:szCs w:val="22"/>
          <w:u w:val="single"/>
        </w:rPr>
        <w:t>Opis vybraných nežiaducich reakcií</w:t>
      </w:r>
    </w:p>
    <w:p w14:paraId="32367DE4" w14:textId="77777777" w:rsidR="00F65595" w:rsidRPr="00F65595" w:rsidRDefault="00F65595" w:rsidP="00D4304B">
      <w:pPr>
        <w:keepNext/>
        <w:widowControl w:val="0"/>
        <w:autoSpaceDE w:val="0"/>
        <w:autoSpaceDN w:val="0"/>
        <w:adjustRightInd w:val="0"/>
        <w:rPr>
          <w:i/>
          <w:noProof/>
          <w:szCs w:val="22"/>
          <w:u w:val="single"/>
        </w:rPr>
      </w:pPr>
      <w:r w:rsidRPr="00F65595">
        <w:rPr>
          <w:i/>
          <w:noProof/>
          <w:szCs w:val="22"/>
          <w:u w:val="single"/>
        </w:rPr>
        <w:t>Reaktivácia hepatitídy</w:t>
      </w:r>
      <w:r w:rsidR="00F1077D">
        <w:rPr>
          <w:i/>
          <w:noProof/>
          <w:szCs w:val="22"/>
          <w:u w:val="single"/>
        </w:rPr>
        <w:t> </w:t>
      </w:r>
      <w:r w:rsidRPr="00F65595">
        <w:rPr>
          <w:i/>
          <w:noProof/>
          <w:szCs w:val="22"/>
          <w:u w:val="single"/>
        </w:rPr>
        <w:t>B</w:t>
      </w:r>
    </w:p>
    <w:p w14:paraId="32367DE5" w14:textId="77777777" w:rsidR="00F65595" w:rsidRPr="00F65595" w:rsidRDefault="00F65595" w:rsidP="00D4304B">
      <w:pPr>
        <w:widowControl w:val="0"/>
        <w:autoSpaceDE w:val="0"/>
        <w:autoSpaceDN w:val="0"/>
        <w:adjustRightInd w:val="0"/>
        <w:ind w:left="0" w:firstLine="0"/>
        <w:rPr>
          <w:noProof/>
          <w:szCs w:val="22"/>
        </w:rPr>
      </w:pPr>
      <w:r w:rsidRPr="00F65595">
        <w:rPr>
          <w:noProof/>
          <w:szCs w:val="22"/>
        </w:rPr>
        <w:t>V súvislosti s inhibítormi BCR-ABL-tyrozínkinázy bola hlásená reaktivácia hepatitídy</w:t>
      </w:r>
      <w:r w:rsidR="00F1077D">
        <w:rPr>
          <w:noProof/>
          <w:szCs w:val="22"/>
        </w:rPr>
        <w:t> </w:t>
      </w:r>
      <w:r w:rsidRPr="00F65595">
        <w:rPr>
          <w:noProof/>
          <w:szCs w:val="22"/>
        </w:rPr>
        <w:t>B. Niektoré prípady viedli k akútnemu zlyhaniu pečene alebo k fulminantnej hepatitíde, ktorých výsledkom bola transplantácia pečene alebo úmrtie (pozri časť</w:t>
      </w:r>
      <w:r w:rsidR="009528EE">
        <w:rPr>
          <w:noProof/>
          <w:szCs w:val="22"/>
        </w:rPr>
        <w:t> </w:t>
      </w:r>
      <w:r w:rsidRPr="00F65595">
        <w:rPr>
          <w:noProof/>
          <w:szCs w:val="22"/>
        </w:rPr>
        <w:t>4.4).</w:t>
      </w:r>
    </w:p>
    <w:p w14:paraId="32367DE6" w14:textId="77777777" w:rsidR="00621FBF" w:rsidRPr="00C83045" w:rsidRDefault="00621FBF" w:rsidP="00D4304B">
      <w:pPr>
        <w:widowControl w:val="0"/>
        <w:autoSpaceDE w:val="0"/>
        <w:autoSpaceDN w:val="0"/>
        <w:adjustRightInd w:val="0"/>
        <w:rPr>
          <w:noProof/>
          <w:szCs w:val="22"/>
          <w:u w:val="single"/>
        </w:rPr>
      </w:pPr>
    </w:p>
    <w:p w14:paraId="32367DE7" w14:textId="77777777" w:rsidR="00621FBF" w:rsidRPr="00C83045" w:rsidRDefault="00621FBF" w:rsidP="00D4304B">
      <w:pPr>
        <w:keepNext/>
        <w:widowControl w:val="0"/>
        <w:autoSpaceDE w:val="0"/>
        <w:autoSpaceDN w:val="0"/>
        <w:adjustRightInd w:val="0"/>
        <w:rPr>
          <w:szCs w:val="22"/>
          <w:u w:val="single"/>
        </w:rPr>
      </w:pPr>
      <w:r w:rsidRPr="00C83045">
        <w:rPr>
          <w:noProof/>
          <w:szCs w:val="22"/>
          <w:u w:val="single"/>
        </w:rPr>
        <w:t>Hlásenie podozrení na nežiaduce reakcie</w:t>
      </w:r>
    </w:p>
    <w:p w14:paraId="32367DE8" w14:textId="77777777" w:rsidR="00621FBF" w:rsidRPr="00C83045" w:rsidRDefault="00621FBF" w:rsidP="00D4304B">
      <w:pPr>
        <w:widowControl w:val="0"/>
        <w:rPr>
          <w:noProof/>
          <w:szCs w:val="22"/>
        </w:rPr>
      </w:pPr>
      <w:r w:rsidRPr="00C83045">
        <w:rPr>
          <w:noProof/>
          <w:szCs w:val="22"/>
        </w:rPr>
        <w:t>Hlásenie podozrení na nežiaduce reakcie po registrácii lieku je dôležité.</w:t>
      </w:r>
      <w:r w:rsidRPr="00C83045">
        <w:rPr>
          <w:szCs w:val="22"/>
        </w:rPr>
        <w:t xml:space="preserve"> </w:t>
      </w:r>
      <w:r w:rsidRPr="00C83045">
        <w:rPr>
          <w:noProof/>
          <w:szCs w:val="22"/>
        </w:rPr>
        <w:t xml:space="preserve">Umožňuje priebežné </w:t>
      </w:r>
    </w:p>
    <w:p w14:paraId="32367DE9" w14:textId="77777777" w:rsidR="00621FBF" w:rsidRPr="00C83045" w:rsidRDefault="00621FBF" w:rsidP="00D4304B">
      <w:pPr>
        <w:widowControl w:val="0"/>
        <w:rPr>
          <w:noProof/>
          <w:szCs w:val="22"/>
        </w:rPr>
      </w:pPr>
      <w:r w:rsidRPr="00C83045">
        <w:rPr>
          <w:noProof/>
          <w:szCs w:val="22"/>
        </w:rPr>
        <w:t>monitorovanie pomeru prínosu</w:t>
      </w:r>
      <w:r w:rsidRPr="00C83045">
        <w:t xml:space="preserve"> a</w:t>
      </w:r>
      <w:r w:rsidRPr="00C83045">
        <w:rPr>
          <w:noProof/>
          <w:szCs w:val="22"/>
        </w:rPr>
        <w:t> rizika lieku.</w:t>
      </w:r>
      <w:r w:rsidRPr="00C83045">
        <w:rPr>
          <w:szCs w:val="22"/>
        </w:rPr>
        <w:t xml:space="preserve"> Od </w:t>
      </w:r>
      <w:r w:rsidRPr="00C83045">
        <w:rPr>
          <w:noProof/>
          <w:szCs w:val="22"/>
        </w:rPr>
        <w:t xml:space="preserve">zdravotníckych pracovníkov sa vyžaduje, aby hlásili </w:t>
      </w:r>
    </w:p>
    <w:p w14:paraId="32367DEA" w14:textId="77777777" w:rsidR="001A6E4F" w:rsidRPr="00C83045" w:rsidRDefault="00621FBF" w:rsidP="00D4304B">
      <w:pPr>
        <w:widowControl w:val="0"/>
        <w:rPr>
          <w:noProof/>
          <w:szCs w:val="22"/>
        </w:rPr>
      </w:pPr>
      <w:r w:rsidRPr="00C83045">
        <w:rPr>
          <w:noProof/>
          <w:szCs w:val="22"/>
        </w:rPr>
        <w:t xml:space="preserve">akékoľvek podozrenia na nežiaduce reakcie </w:t>
      </w:r>
      <w:r w:rsidR="00EF2B45">
        <w:rPr>
          <w:noProof/>
          <w:szCs w:val="22"/>
        </w:rPr>
        <w:t>na</w:t>
      </w:r>
      <w:r w:rsidR="00EF2B45" w:rsidRPr="00C83045">
        <w:rPr>
          <w:noProof/>
          <w:szCs w:val="22"/>
        </w:rPr>
        <w:t xml:space="preserve"> </w:t>
      </w:r>
      <w:r w:rsidRPr="00C83045">
        <w:rPr>
          <w:noProof/>
          <w:szCs w:val="22"/>
          <w:shd w:val="clear" w:color="auto" w:fill="D9D9D9"/>
        </w:rPr>
        <w:t xml:space="preserve">národné </w:t>
      </w:r>
      <w:r w:rsidR="00EF2B45">
        <w:rPr>
          <w:noProof/>
          <w:szCs w:val="22"/>
          <w:shd w:val="clear" w:color="auto" w:fill="D9D9D9"/>
        </w:rPr>
        <w:t>centrum</w:t>
      </w:r>
      <w:r w:rsidRPr="00C83045">
        <w:rPr>
          <w:noProof/>
          <w:szCs w:val="22"/>
          <w:shd w:val="clear" w:color="auto" w:fill="D9D9D9"/>
        </w:rPr>
        <w:t xml:space="preserve"> hlásenia uvedené v </w:t>
      </w:r>
      <w:hyperlink r:id="rId12" w:history="1">
        <w:r w:rsidRPr="00C83045">
          <w:rPr>
            <w:rStyle w:val="Hyperlink"/>
            <w:noProof/>
            <w:szCs w:val="22"/>
            <w:shd w:val="clear" w:color="auto" w:fill="D9D9D9"/>
          </w:rPr>
          <w:t>P</w:t>
        </w:r>
        <w:r w:rsidRPr="00C83045">
          <w:rPr>
            <w:rStyle w:val="Hyperlink"/>
            <w:shd w:val="clear" w:color="auto" w:fill="D9D9D9"/>
          </w:rPr>
          <w:t xml:space="preserve">rílohe </w:t>
        </w:r>
        <w:r w:rsidRPr="00C83045">
          <w:rPr>
            <w:rStyle w:val="Hyperlink"/>
            <w:noProof/>
            <w:szCs w:val="22"/>
            <w:shd w:val="clear" w:color="auto" w:fill="D9D9D9"/>
          </w:rPr>
          <w:t>V</w:t>
        </w:r>
      </w:hyperlink>
      <w:r w:rsidRPr="00C83045">
        <w:rPr>
          <w:noProof/>
          <w:szCs w:val="22"/>
          <w:shd w:val="clear" w:color="auto" w:fill="D9D9D9"/>
        </w:rPr>
        <w:t>.</w:t>
      </w:r>
    </w:p>
    <w:p w14:paraId="32367DEB" w14:textId="77777777" w:rsidR="00621FBF" w:rsidRPr="00C83045" w:rsidRDefault="00621FBF" w:rsidP="00D4304B">
      <w:pPr>
        <w:widowControl w:val="0"/>
        <w:rPr>
          <w:color w:val="000000"/>
          <w:szCs w:val="22"/>
        </w:rPr>
      </w:pPr>
    </w:p>
    <w:p w14:paraId="32367DEC" w14:textId="77777777" w:rsidR="00847D15" w:rsidRPr="00C83045" w:rsidRDefault="00847D15" w:rsidP="00D4304B">
      <w:pPr>
        <w:keepNext/>
        <w:widowControl w:val="0"/>
        <w:rPr>
          <w:b/>
          <w:bCs/>
          <w:color w:val="000000"/>
          <w:szCs w:val="22"/>
        </w:rPr>
      </w:pPr>
      <w:r w:rsidRPr="00C83045">
        <w:rPr>
          <w:b/>
          <w:bCs/>
          <w:color w:val="000000"/>
          <w:szCs w:val="22"/>
        </w:rPr>
        <w:t>4.9</w:t>
      </w:r>
      <w:r w:rsidRPr="00C83045">
        <w:rPr>
          <w:color w:val="000000"/>
          <w:szCs w:val="22"/>
        </w:rPr>
        <w:tab/>
      </w:r>
      <w:r w:rsidRPr="00C83045">
        <w:rPr>
          <w:b/>
          <w:bCs/>
          <w:color w:val="000000"/>
          <w:szCs w:val="22"/>
        </w:rPr>
        <w:t>Predávkovanie</w:t>
      </w:r>
    </w:p>
    <w:p w14:paraId="32367DED" w14:textId="77777777" w:rsidR="00847D15" w:rsidRPr="00C83045" w:rsidRDefault="00847D15" w:rsidP="00D4304B">
      <w:pPr>
        <w:keepNext/>
        <w:widowControl w:val="0"/>
        <w:rPr>
          <w:bCs/>
          <w:color w:val="000000"/>
          <w:szCs w:val="22"/>
        </w:rPr>
      </w:pPr>
    </w:p>
    <w:p w14:paraId="32367DEE" w14:textId="77777777" w:rsidR="00164DB5" w:rsidRPr="00C83045" w:rsidRDefault="00847D15" w:rsidP="00D4304B">
      <w:pPr>
        <w:widowControl w:val="0"/>
        <w:ind w:left="0" w:firstLine="0"/>
        <w:rPr>
          <w:color w:val="000000"/>
          <w:szCs w:val="22"/>
        </w:rPr>
      </w:pPr>
      <w:r w:rsidRPr="00C83045">
        <w:rPr>
          <w:color w:val="000000"/>
          <w:szCs w:val="22"/>
        </w:rPr>
        <w:t xml:space="preserve">Skúsenosti s dávkami vyššími ako </w:t>
      </w:r>
      <w:r w:rsidR="00164DB5" w:rsidRPr="00C83045">
        <w:rPr>
          <w:color w:val="000000"/>
          <w:szCs w:val="22"/>
        </w:rPr>
        <w:t>odporúčaná terapeutická dávka</w:t>
      </w:r>
      <w:r w:rsidRPr="00C83045">
        <w:rPr>
          <w:color w:val="000000"/>
          <w:szCs w:val="22"/>
        </w:rPr>
        <w:t xml:space="preserve"> sú obmedzené. </w:t>
      </w:r>
      <w:r w:rsidR="00164DB5" w:rsidRPr="00C83045">
        <w:rPr>
          <w:color w:val="000000"/>
          <w:szCs w:val="22"/>
        </w:rPr>
        <w:t>O</w:t>
      </w:r>
      <w:r w:rsidR="004338E5" w:rsidRPr="00C83045">
        <w:rPr>
          <w:color w:val="000000"/>
          <w:szCs w:val="22"/>
        </w:rPr>
        <w:t xml:space="preserve">jedinelé </w:t>
      </w:r>
      <w:r w:rsidR="00850D3F" w:rsidRPr="00C83045">
        <w:rPr>
          <w:color w:val="000000"/>
          <w:szCs w:val="22"/>
        </w:rPr>
        <w:t>prípady predávkovania Glivecu</w:t>
      </w:r>
      <w:r w:rsidR="00164DB5" w:rsidRPr="00C83045">
        <w:rPr>
          <w:color w:val="000000"/>
          <w:szCs w:val="22"/>
        </w:rPr>
        <w:t xml:space="preserve"> boli hlásené spontánne a v literatúre</w:t>
      </w:r>
      <w:r w:rsidR="00850D3F" w:rsidRPr="00C83045">
        <w:rPr>
          <w:color w:val="000000"/>
          <w:szCs w:val="22"/>
        </w:rPr>
        <w:t>.</w:t>
      </w:r>
      <w:r w:rsidR="00164DB5" w:rsidRPr="00C83045">
        <w:rPr>
          <w:color w:val="000000"/>
          <w:szCs w:val="22"/>
        </w:rPr>
        <w:t xml:space="preserve"> V prípade predávkovania má byť pacient pod dohľadom a má sa mu podať primeraná symptomatická liečba.</w:t>
      </w:r>
      <w:r w:rsidR="00447933" w:rsidRPr="00C83045">
        <w:rPr>
          <w:color w:val="000000"/>
          <w:szCs w:val="22"/>
        </w:rPr>
        <w:t xml:space="preserve"> </w:t>
      </w:r>
      <w:r w:rsidR="00C74F1F" w:rsidRPr="00C83045">
        <w:rPr>
          <w:color w:val="000000"/>
          <w:szCs w:val="22"/>
        </w:rPr>
        <w:t xml:space="preserve">Tieto prípady sa podľa hlásení spravidla skončili </w:t>
      </w:r>
      <w:r w:rsidR="00447933" w:rsidRPr="00C83045">
        <w:rPr>
          <w:color w:val="000000"/>
          <w:szCs w:val="22"/>
        </w:rPr>
        <w:t>„zlepšen</w:t>
      </w:r>
      <w:r w:rsidR="00C74F1F" w:rsidRPr="00C83045">
        <w:rPr>
          <w:color w:val="000000"/>
          <w:szCs w:val="22"/>
        </w:rPr>
        <w:t>ím</w:t>
      </w:r>
      <w:r w:rsidR="00447933" w:rsidRPr="00C83045">
        <w:rPr>
          <w:color w:val="000000"/>
          <w:szCs w:val="22"/>
        </w:rPr>
        <w:t>“ alebo „zotaven</w:t>
      </w:r>
      <w:r w:rsidR="00C74F1F" w:rsidRPr="00C83045">
        <w:rPr>
          <w:color w:val="000000"/>
          <w:szCs w:val="22"/>
        </w:rPr>
        <w:t>ím</w:t>
      </w:r>
      <w:r w:rsidR="00447933" w:rsidRPr="00C83045">
        <w:rPr>
          <w:color w:val="000000"/>
          <w:szCs w:val="22"/>
        </w:rPr>
        <w:t>“. Pri iných rozmedziach dávok boli hlásené nasledujúce udalosti:</w:t>
      </w:r>
    </w:p>
    <w:p w14:paraId="32367DEF" w14:textId="77777777" w:rsidR="00447933" w:rsidRPr="00C83045" w:rsidRDefault="00447933" w:rsidP="00D4304B">
      <w:pPr>
        <w:widowControl w:val="0"/>
        <w:ind w:left="0" w:firstLine="0"/>
        <w:rPr>
          <w:color w:val="000000"/>
          <w:szCs w:val="22"/>
        </w:rPr>
      </w:pPr>
    </w:p>
    <w:p w14:paraId="32367DF0" w14:textId="77777777" w:rsidR="00447933" w:rsidRPr="00C83045" w:rsidRDefault="00EA2378" w:rsidP="00D4304B">
      <w:pPr>
        <w:keepNext/>
        <w:widowControl w:val="0"/>
        <w:ind w:left="0" w:firstLine="0"/>
        <w:rPr>
          <w:i/>
          <w:color w:val="000000"/>
          <w:szCs w:val="22"/>
        </w:rPr>
      </w:pPr>
      <w:r w:rsidRPr="00C83045">
        <w:rPr>
          <w:i/>
          <w:color w:val="000000"/>
          <w:szCs w:val="22"/>
        </w:rPr>
        <w:t>D</w:t>
      </w:r>
      <w:r w:rsidR="00447933" w:rsidRPr="00C83045">
        <w:rPr>
          <w:i/>
          <w:color w:val="000000"/>
          <w:szCs w:val="22"/>
        </w:rPr>
        <w:t>ospel</w:t>
      </w:r>
      <w:r w:rsidRPr="00C83045">
        <w:rPr>
          <w:i/>
          <w:color w:val="000000"/>
          <w:szCs w:val="22"/>
        </w:rPr>
        <w:t>í</w:t>
      </w:r>
    </w:p>
    <w:p w14:paraId="32367DF1" w14:textId="77777777" w:rsidR="00847D15" w:rsidRPr="00C83045" w:rsidRDefault="00447933" w:rsidP="00D4304B">
      <w:pPr>
        <w:widowControl w:val="0"/>
        <w:ind w:left="0" w:firstLine="0"/>
        <w:rPr>
          <w:color w:val="000000"/>
          <w:szCs w:val="22"/>
        </w:rPr>
      </w:pPr>
      <w:r w:rsidRPr="00C83045">
        <w:rPr>
          <w:color w:val="000000"/>
          <w:szCs w:val="22"/>
        </w:rPr>
        <w:t>1200 až 1600 mg (trva</w:t>
      </w:r>
      <w:r w:rsidR="00C74F1F" w:rsidRPr="00C83045">
        <w:rPr>
          <w:color w:val="000000"/>
          <w:szCs w:val="22"/>
        </w:rPr>
        <w:t>n</w:t>
      </w:r>
      <w:r w:rsidR="008D4981" w:rsidRPr="00C83045">
        <w:rPr>
          <w:color w:val="000000"/>
          <w:szCs w:val="22"/>
        </w:rPr>
        <w:t>ie sa rôznilo od</w:t>
      </w:r>
      <w:r w:rsidR="00C74F1F" w:rsidRPr="00C83045">
        <w:rPr>
          <w:color w:val="000000"/>
          <w:szCs w:val="22"/>
        </w:rPr>
        <w:t xml:space="preserve"> 1 </w:t>
      </w:r>
      <w:r w:rsidR="008D4981" w:rsidRPr="00C83045">
        <w:rPr>
          <w:color w:val="000000"/>
          <w:szCs w:val="22"/>
        </w:rPr>
        <w:t>do</w:t>
      </w:r>
      <w:r w:rsidR="00C74F1F" w:rsidRPr="00C83045">
        <w:rPr>
          <w:color w:val="000000"/>
          <w:szCs w:val="22"/>
        </w:rPr>
        <w:t xml:space="preserve"> 10 dní): </w:t>
      </w:r>
      <w:r w:rsidR="0044116B" w:rsidRPr="00C83045">
        <w:rPr>
          <w:color w:val="000000"/>
          <w:szCs w:val="22"/>
        </w:rPr>
        <w:t>N</w:t>
      </w:r>
      <w:r w:rsidR="00C74F1F" w:rsidRPr="00C83045">
        <w:rPr>
          <w:color w:val="000000"/>
          <w:szCs w:val="22"/>
        </w:rPr>
        <w:t>auzea, vracanie, hnačka, exantém, erytém, edém, opuch, únava, svalové kŕče, trombocytopénia, pancytopénia, bolesť brucha, bolesť hlavy, znížená chuť do jedenia.</w:t>
      </w:r>
    </w:p>
    <w:p w14:paraId="32367DF2" w14:textId="77777777" w:rsidR="008D4981" w:rsidRPr="00C83045" w:rsidRDefault="00C644DC" w:rsidP="00D4304B">
      <w:pPr>
        <w:widowControl w:val="0"/>
        <w:ind w:left="0" w:firstLine="0"/>
        <w:rPr>
          <w:color w:val="000000"/>
          <w:szCs w:val="22"/>
        </w:rPr>
      </w:pPr>
      <w:r w:rsidRPr="00C83045">
        <w:rPr>
          <w:color w:val="000000"/>
          <w:szCs w:val="22"/>
        </w:rPr>
        <w:t xml:space="preserve">1800 až 3200 mg (až 3200 mg denne počas 6 dní): </w:t>
      </w:r>
      <w:r w:rsidR="0044116B" w:rsidRPr="00C83045">
        <w:rPr>
          <w:color w:val="000000"/>
          <w:szCs w:val="22"/>
        </w:rPr>
        <w:t>S</w:t>
      </w:r>
      <w:r w:rsidRPr="00C83045">
        <w:rPr>
          <w:color w:val="000000"/>
          <w:szCs w:val="22"/>
        </w:rPr>
        <w:t>labosť, myalgia, zvýšená kreatínfosfokináza, zvýšený bilirubín, bolesť žalúdka a čriev.</w:t>
      </w:r>
    </w:p>
    <w:p w14:paraId="32367DF3" w14:textId="77777777" w:rsidR="00C644DC" w:rsidRPr="00C83045" w:rsidRDefault="00C644DC" w:rsidP="00D4304B">
      <w:pPr>
        <w:widowControl w:val="0"/>
        <w:ind w:left="0" w:firstLine="0"/>
        <w:rPr>
          <w:color w:val="000000"/>
          <w:szCs w:val="22"/>
        </w:rPr>
      </w:pPr>
      <w:r w:rsidRPr="00C83045">
        <w:rPr>
          <w:color w:val="000000"/>
          <w:szCs w:val="22"/>
        </w:rPr>
        <w:t xml:space="preserve">6400 mg (jednorazová dávka): </w:t>
      </w:r>
      <w:r w:rsidR="0044116B" w:rsidRPr="00C83045">
        <w:rPr>
          <w:color w:val="000000"/>
          <w:szCs w:val="22"/>
        </w:rPr>
        <w:t>V literatúre zaznamenaný jeden prípad jedného pacienta, u ktorého sa vyskytla nauzea, vracanie, bolesť brucha, pyrexia, opuch tváre, znížený počet neutrofilov, z</w:t>
      </w:r>
      <w:r w:rsidR="00D17F64" w:rsidRPr="00C83045">
        <w:rPr>
          <w:color w:val="000000"/>
          <w:szCs w:val="22"/>
        </w:rPr>
        <w:t>výšené</w:t>
      </w:r>
      <w:r w:rsidR="0044116B" w:rsidRPr="00C83045">
        <w:rPr>
          <w:color w:val="000000"/>
          <w:szCs w:val="22"/>
        </w:rPr>
        <w:t xml:space="preserve"> aminotransferázy.</w:t>
      </w:r>
    </w:p>
    <w:p w14:paraId="32367DF4" w14:textId="77777777" w:rsidR="0044116B" w:rsidRPr="00C83045" w:rsidRDefault="0044116B" w:rsidP="00D4304B">
      <w:pPr>
        <w:widowControl w:val="0"/>
        <w:ind w:left="0" w:firstLine="0"/>
        <w:rPr>
          <w:color w:val="000000"/>
          <w:szCs w:val="22"/>
        </w:rPr>
      </w:pPr>
      <w:r w:rsidRPr="00C83045">
        <w:rPr>
          <w:color w:val="000000"/>
          <w:szCs w:val="22"/>
        </w:rPr>
        <w:t>8 až 10 g (jednorazová dávka): Bolo hlásené vracanie a bolesť žalúdka a čriev.</w:t>
      </w:r>
    </w:p>
    <w:p w14:paraId="32367DF5" w14:textId="77777777" w:rsidR="0044116B" w:rsidRPr="00C83045" w:rsidRDefault="0044116B" w:rsidP="00D4304B">
      <w:pPr>
        <w:widowControl w:val="0"/>
        <w:ind w:left="0" w:firstLine="0"/>
        <w:rPr>
          <w:color w:val="000000"/>
          <w:szCs w:val="22"/>
        </w:rPr>
      </w:pPr>
    </w:p>
    <w:p w14:paraId="32367DF6" w14:textId="77777777" w:rsidR="00EA2378" w:rsidRPr="00C83045" w:rsidRDefault="00E35733" w:rsidP="00D4304B">
      <w:pPr>
        <w:keepNext/>
        <w:widowControl w:val="0"/>
        <w:ind w:left="0" w:firstLine="0"/>
        <w:rPr>
          <w:color w:val="000000"/>
          <w:szCs w:val="22"/>
          <w:u w:val="single"/>
        </w:rPr>
      </w:pPr>
      <w:r w:rsidRPr="00C83045">
        <w:rPr>
          <w:bCs/>
          <w:i/>
          <w:iCs/>
          <w:color w:val="000000"/>
          <w:szCs w:val="22"/>
        </w:rPr>
        <w:t>Pediatrická populácia</w:t>
      </w:r>
    </w:p>
    <w:p w14:paraId="32367DF7" w14:textId="77777777" w:rsidR="0044116B" w:rsidRPr="00C83045" w:rsidRDefault="0044116B" w:rsidP="00D4304B">
      <w:pPr>
        <w:widowControl w:val="0"/>
        <w:ind w:left="0" w:firstLine="0"/>
        <w:rPr>
          <w:color w:val="000000"/>
          <w:szCs w:val="22"/>
        </w:rPr>
      </w:pPr>
      <w:r w:rsidRPr="00C83045">
        <w:rPr>
          <w:color w:val="000000"/>
          <w:szCs w:val="22"/>
        </w:rPr>
        <w:t>U jedného 3-ročného chlapca sa po jednorazovej dávke 400 mg vyskytlo vracanie, hnačka a anorexia a u ďalšieho 3-ročného chlapca po jednorazovej dávke 980 mg došlo k zníženiu počtu leukocytov a hnačke.</w:t>
      </w:r>
    </w:p>
    <w:p w14:paraId="32367DF8" w14:textId="77777777" w:rsidR="00847D15" w:rsidRPr="00C83045" w:rsidRDefault="00847D15" w:rsidP="00D4304B">
      <w:pPr>
        <w:widowControl w:val="0"/>
        <w:ind w:left="0" w:firstLine="0"/>
        <w:rPr>
          <w:color w:val="000000"/>
          <w:szCs w:val="22"/>
        </w:rPr>
      </w:pPr>
    </w:p>
    <w:p w14:paraId="32367DF9" w14:textId="77777777" w:rsidR="00EB49ED" w:rsidRPr="00C83045" w:rsidRDefault="00864354" w:rsidP="00D4304B">
      <w:pPr>
        <w:widowControl w:val="0"/>
        <w:ind w:left="0" w:firstLine="0"/>
        <w:rPr>
          <w:color w:val="000000"/>
          <w:szCs w:val="22"/>
        </w:rPr>
      </w:pPr>
      <w:r w:rsidRPr="00C83045">
        <w:rPr>
          <w:color w:val="000000"/>
          <w:szCs w:val="22"/>
        </w:rPr>
        <w:t>V prípade predávkovania má byť pacient pod dohľadom a má sa mu podať primeraná podporná liečba.</w:t>
      </w:r>
    </w:p>
    <w:p w14:paraId="32367DFA" w14:textId="77777777" w:rsidR="00847D15" w:rsidRPr="00C83045" w:rsidRDefault="00847D15" w:rsidP="00D4304B">
      <w:pPr>
        <w:widowControl w:val="0"/>
        <w:rPr>
          <w:color w:val="000000"/>
          <w:szCs w:val="22"/>
        </w:rPr>
      </w:pPr>
    </w:p>
    <w:p w14:paraId="32367DFB" w14:textId="77777777" w:rsidR="00847D15" w:rsidRPr="00C83045" w:rsidRDefault="00847D15" w:rsidP="00D4304B">
      <w:pPr>
        <w:widowControl w:val="0"/>
        <w:rPr>
          <w:color w:val="000000"/>
          <w:szCs w:val="22"/>
        </w:rPr>
      </w:pPr>
    </w:p>
    <w:p w14:paraId="32367DFC" w14:textId="77777777" w:rsidR="00847D15" w:rsidRPr="00C83045" w:rsidRDefault="00847D15" w:rsidP="00D4304B">
      <w:pPr>
        <w:keepNext/>
        <w:widowControl w:val="0"/>
        <w:rPr>
          <w:b/>
          <w:bCs/>
          <w:caps/>
          <w:color w:val="000000"/>
          <w:szCs w:val="22"/>
        </w:rPr>
      </w:pPr>
      <w:r w:rsidRPr="00C83045">
        <w:rPr>
          <w:b/>
          <w:bCs/>
          <w:caps/>
          <w:color w:val="000000"/>
          <w:szCs w:val="22"/>
        </w:rPr>
        <w:lastRenderedPageBreak/>
        <w:t>5.</w:t>
      </w:r>
      <w:r w:rsidRPr="00C83045">
        <w:rPr>
          <w:b/>
          <w:bCs/>
          <w:caps/>
          <w:color w:val="000000"/>
          <w:szCs w:val="22"/>
        </w:rPr>
        <w:tab/>
        <w:t>Farmakologické vlastnosti</w:t>
      </w:r>
    </w:p>
    <w:p w14:paraId="32367DFD" w14:textId="77777777" w:rsidR="00847D15" w:rsidRPr="00C83045" w:rsidRDefault="00847D15" w:rsidP="00D4304B">
      <w:pPr>
        <w:keepNext/>
        <w:widowControl w:val="0"/>
        <w:rPr>
          <w:color w:val="000000"/>
          <w:szCs w:val="22"/>
        </w:rPr>
      </w:pPr>
    </w:p>
    <w:p w14:paraId="32367DFE" w14:textId="77777777" w:rsidR="00847D15" w:rsidRPr="00C83045" w:rsidRDefault="00847D15" w:rsidP="00D4304B">
      <w:pPr>
        <w:keepNext/>
        <w:widowControl w:val="0"/>
        <w:rPr>
          <w:b/>
          <w:bCs/>
          <w:color w:val="000000"/>
          <w:szCs w:val="22"/>
        </w:rPr>
      </w:pPr>
      <w:r w:rsidRPr="00C83045">
        <w:rPr>
          <w:b/>
          <w:bCs/>
          <w:color w:val="000000"/>
          <w:szCs w:val="22"/>
        </w:rPr>
        <w:t>5.1</w:t>
      </w:r>
      <w:r w:rsidRPr="00C83045">
        <w:rPr>
          <w:b/>
          <w:bCs/>
          <w:color w:val="000000"/>
          <w:szCs w:val="22"/>
        </w:rPr>
        <w:tab/>
        <w:t>Farmakodynamické vlastnosti</w:t>
      </w:r>
    </w:p>
    <w:p w14:paraId="32367DFF" w14:textId="77777777" w:rsidR="00847D15" w:rsidRPr="00C83045" w:rsidRDefault="00847D15" w:rsidP="00D4304B">
      <w:pPr>
        <w:keepNext/>
        <w:widowControl w:val="0"/>
        <w:tabs>
          <w:tab w:val="left" w:pos="495"/>
        </w:tabs>
        <w:rPr>
          <w:bCs/>
          <w:color w:val="000000"/>
          <w:szCs w:val="22"/>
        </w:rPr>
      </w:pPr>
    </w:p>
    <w:p w14:paraId="32367E00" w14:textId="77777777" w:rsidR="00847D15" w:rsidRPr="00C83045" w:rsidRDefault="00847D15" w:rsidP="00D4304B">
      <w:pPr>
        <w:keepNext/>
        <w:widowControl w:val="0"/>
        <w:ind w:left="0" w:firstLine="0"/>
        <w:rPr>
          <w:color w:val="000000"/>
          <w:szCs w:val="22"/>
        </w:rPr>
      </w:pPr>
      <w:r w:rsidRPr="00C83045">
        <w:rPr>
          <w:color w:val="000000"/>
          <w:szCs w:val="22"/>
        </w:rPr>
        <w:t xml:space="preserve">Farmakoterapeutická skupina: inhibítor proteíntyrozínkinázy, ATC kód: </w:t>
      </w:r>
      <w:r w:rsidR="00A5715D" w:rsidRPr="00C83045">
        <w:rPr>
          <w:color w:val="000000"/>
          <w:szCs w:val="22"/>
        </w:rPr>
        <w:t>L01XE01</w:t>
      </w:r>
    </w:p>
    <w:p w14:paraId="32367E01" w14:textId="77777777" w:rsidR="00847D15" w:rsidRPr="00C83045" w:rsidRDefault="00847D15" w:rsidP="00D4304B">
      <w:pPr>
        <w:keepNext/>
        <w:widowControl w:val="0"/>
        <w:ind w:left="0" w:firstLine="0"/>
        <w:rPr>
          <w:color w:val="000000"/>
          <w:szCs w:val="22"/>
        </w:rPr>
      </w:pPr>
    </w:p>
    <w:p w14:paraId="32367E02" w14:textId="77777777" w:rsidR="00AE15C5" w:rsidRPr="00C83045" w:rsidRDefault="00E90E71" w:rsidP="00D4304B">
      <w:pPr>
        <w:keepNext/>
        <w:widowControl w:val="0"/>
        <w:ind w:left="0" w:firstLine="0"/>
        <w:rPr>
          <w:color w:val="000000"/>
          <w:szCs w:val="22"/>
          <w:u w:val="single"/>
        </w:rPr>
      </w:pPr>
      <w:r w:rsidRPr="00C83045">
        <w:rPr>
          <w:noProof/>
          <w:szCs w:val="22"/>
          <w:u w:val="single"/>
        </w:rPr>
        <w:t>Mechanizmus</w:t>
      </w:r>
      <w:r w:rsidR="00AE15C5" w:rsidRPr="00C83045">
        <w:rPr>
          <w:color w:val="000000"/>
          <w:szCs w:val="22"/>
          <w:u w:val="single"/>
        </w:rPr>
        <w:t xml:space="preserve"> účinku</w:t>
      </w:r>
    </w:p>
    <w:p w14:paraId="32367E03" w14:textId="77777777" w:rsidR="00AE15C5" w:rsidRPr="00C83045" w:rsidRDefault="00AE15C5" w:rsidP="00D4304B">
      <w:pPr>
        <w:pStyle w:val="EndnoteText"/>
        <w:widowControl w:val="0"/>
        <w:tabs>
          <w:tab w:val="clear" w:pos="567"/>
        </w:tabs>
        <w:rPr>
          <w:color w:val="000000"/>
          <w:szCs w:val="22"/>
          <w:lang w:val="sk-SK"/>
        </w:rPr>
      </w:pPr>
      <w:r w:rsidRPr="00C83045">
        <w:rPr>
          <w:color w:val="000000"/>
          <w:szCs w:val="22"/>
          <w:lang w:val="sk-SK"/>
        </w:rPr>
        <w:t xml:space="preserve">Imatinib je inhibítor proteíntyrozínkinázy s malou molekulou, ktorý účinne inhibuje aktivitu bcr-abl-tyrozínkinázy (TK), ako aj niekoľkých TK receptorov: Kit, receptor </w:t>
      </w:r>
      <w:r w:rsidR="00705050" w:rsidRPr="00C83045">
        <w:rPr>
          <w:color w:val="000000"/>
          <w:szCs w:val="22"/>
          <w:lang w:val="sk-SK"/>
        </w:rPr>
        <w:t xml:space="preserve">rastového </w:t>
      </w:r>
      <w:r w:rsidRPr="00C83045">
        <w:rPr>
          <w:color w:val="000000"/>
          <w:szCs w:val="22"/>
          <w:lang w:val="sk-SK"/>
        </w:rPr>
        <w:t xml:space="preserve">faktora kmeňových buniek (SCF) kódovaný protoonkogénom c-Kit, receptory diskoidínovej domény (DDR1 a DDR2), receptor faktora stimulujúceho kolónie </w:t>
      </w:r>
      <w:r w:rsidRPr="00C83045">
        <w:rPr>
          <w:lang w:val="sk-SK"/>
        </w:rPr>
        <w:t xml:space="preserve">(CSF-1R) a </w:t>
      </w:r>
      <w:r w:rsidRPr="00C83045">
        <w:rPr>
          <w:color w:val="000000"/>
          <w:szCs w:val="22"/>
          <w:lang w:val="sk-SK"/>
        </w:rPr>
        <w:t xml:space="preserve">receptory </w:t>
      </w:r>
      <w:r w:rsidR="000F7595" w:rsidRPr="00C83045">
        <w:rPr>
          <w:color w:val="000000"/>
          <w:szCs w:val="22"/>
          <w:lang w:val="sk-SK"/>
        </w:rPr>
        <w:t xml:space="preserve">doštičkového </w:t>
      </w:r>
      <w:r w:rsidRPr="00C83045">
        <w:rPr>
          <w:color w:val="000000"/>
          <w:szCs w:val="22"/>
          <w:lang w:val="sk-SK"/>
        </w:rPr>
        <w:t>rastového faktora alfa a beta (PDG</w:t>
      </w:r>
      <w:smartTag w:uri="urn:schemas-microsoft-com:office:smarttags" w:element="PersonName">
        <w:r w:rsidRPr="00C83045">
          <w:rPr>
            <w:color w:val="000000"/>
            <w:szCs w:val="22"/>
            <w:lang w:val="sk-SK"/>
          </w:rPr>
          <w:t>FR</w:t>
        </w:r>
      </w:smartTag>
      <w:r w:rsidRPr="00C83045">
        <w:rPr>
          <w:color w:val="000000"/>
          <w:szCs w:val="22"/>
          <w:lang w:val="sk-SK"/>
        </w:rPr>
        <w:t>-alfa a PDG</w:t>
      </w:r>
      <w:smartTag w:uri="urn:schemas-microsoft-com:office:smarttags" w:element="PersonName">
        <w:r w:rsidRPr="00C83045">
          <w:rPr>
            <w:color w:val="000000"/>
            <w:szCs w:val="22"/>
            <w:lang w:val="sk-SK"/>
          </w:rPr>
          <w:t>FR</w:t>
        </w:r>
      </w:smartTag>
      <w:r w:rsidRPr="00C83045">
        <w:rPr>
          <w:color w:val="000000"/>
          <w:szCs w:val="22"/>
          <w:lang w:val="sk-SK"/>
        </w:rPr>
        <w:t xml:space="preserve">-beta). Imatinib môže tiež inhibovať </w:t>
      </w:r>
      <w:r w:rsidR="00D554A9" w:rsidRPr="00C83045">
        <w:rPr>
          <w:color w:val="000000"/>
          <w:szCs w:val="22"/>
          <w:lang w:val="sk-SK"/>
        </w:rPr>
        <w:t xml:space="preserve">procesy v </w:t>
      </w:r>
      <w:r w:rsidRPr="00C83045">
        <w:rPr>
          <w:color w:val="000000"/>
          <w:szCs w:val="22"/>
          <w:lang w:val="sk-SK"/>
        </w:rPr>
        <w:t>bunk</w:t>
      </w:r>
      <w:r w:rsidR="00D554A9" w:rsidRPr="00C83045">
        <w:rPr>
          <w:color w:val="000000"/>
          <w:szCs w:val="22"/>
          <w:lang w:val="sk-SK"/>
        </w:rPr>
        <w:t>e, ktoré sú</w:t>
      </w:r>
      <w:r w:rsidRPr="00C83045">
        <w:rPr>
          <w:color w:val="000000"/>
          <w:szCs w:val="22"/>
          <w:lang w:val="sk-SK"/>
        </w:rPr>
        <w:t xml:space="preserve"> sprostredkované aktiváciou týchto kinázových receptorov.</w:t>
      </w:r>
    </w:p>
    <w:p w14:paraId="32367E04" w14:textId="77777777" w:rsidR="00AE15C5" w:rsidRPr="00C83045" w:rsidRDefault="00AE15C5" w:rsidP="00D4304B">
      <w:pPr>
        <w:pStyle w:val="EndnoteText"/>
        <w:widowControl w:val="0"/>
        <w:tabs>
          <w:tab w:val="clear" w:pos="567"/>
        </w:tabs>
        <w:rPr>
          <w:lang w:val="sk-SK"/>
        </w:rPr>
      </w:pPr>
    </w:p>
    <w:p w14:paraId="32367E05" w14:textId="77777777" w:rsidR="00487DC8" w:rsidRPr="00C83045" w:rsidRDefault="00487DC8" w:rsidP="00D4304B">
      <w:pPr>
        <w:pStyle w:val="EndnoteText"/>
        <w:keepNext/>
        <w:widowControl w:val="0"/>
        <w:tabs>
          <w:tab w:val="clear" w:pos="567"/>
        </w:tabs>
        <w:rPr>
          <w:lang w:val="sk-SK"/>
        </w:rPr>
      </w:pPr>
      <w:r w:rsidRPr="00C83045">
        <w:rPr>
          <w:noProof/>
          <w:u w:val="single"/>
          <w:lang w:val="sk-SK"/>
        </w:rPr>
        <w:t>Farmakodynamické účinky</w:t>
      </w:r>
    </w:p>
    <w:p w14:paraId="32367E06" w14:textId="77777777" w:rsidR="00847D15" w:rsidRPr="00C83045" w:rsidRDefault="00847D15" w:rsidP="00D4304B">
      <w:pPr>
        <w:widowControl w:val="0"/>
        <w:ind w:left="0" w:firstLine="0"/>
        <w:rPr>
          <w:color w:val="000000"/>
          <w:szCs w:val="22"/>
        </w:rPr>
      </w:pPr>
      <w:r w:rsidRPr="00C83045">
        <w:rPr>
          <w:color w:val="000000"/>
          <w:szCs w:val="22"/>
        </w:rPr>
        <w:t xml:space="preserve">Imatinib je inhibítor proteíntyrozínkinázy, ktorý účinne inhibuje bcr-abl-tyrozínkinázu </w:t>
      </w:r>
      <w:r w:rsidRPr="00C83045">
        <w:rPr>
          <w:i/>
          <w:color w:val="000000"/>
          <w:szCs w:val="22"/>
        </w:rPr>
        <w:t>in vitro</w:t>
      </w:r>
      <w:r w:rsidRPr="00C83045">
        <w:rPr>
          <w:color w:val="000000"/>
          <w:szCs w:val="22"/>
        </w:rPr>
        <w:t xml:space="preserve">, na bunkovej úrovni a </w:t>
      </w:r>
      <w:r w:rsidRPr="00C83045">
        <w:rPr>
          <w:i/>
          <w:color w:val="000000"/>
          <w:szCs w:val="22"/>
        </w:rPr>
        <w:t>in vivo</w:t>
      </w:r>
      <w:r w:rsidRPr="00C83045">
        <w:rPr>
          <w:color w:val="000000"/>
          <w:szCs w:val="22"/>
        </w:rPr>
        <w:t>. Látka selektívne inhibuje proliferáciu a indukuje apoptózu bunkových línií s pozitivitou bcr-abl, ako aj čerstvých leukemických buniek od pacientov s CML s pozitívnym chromozómom Philadelphia a od pacientov s akútnou lymfoblastickou leukémiou</w:t>
      </w:r>
      <w:r w:rsidR="0071262A" w:rsidRPr="00C83045">
        <w:rPr>
          <w:color w:val="000000"/>
          <w:szCs w:val="22"/>
        </w:rPr>
        <w:t xml:space="preserve"> (</w:t>
      </w:r>
      <w:smartTag w:uri="urn:schemas-microsoft-com:office:smarttags" w:element="stockticker">
        <w:r w:rsidR="0071262A" w:rsidRPr="00C83045">
          <w:rPr>
            <w:color w:val="000000"/>
            <w:szCs w:val="22"/>
          </w:rPr>
          <w:t>ALL</w:t>
        </w:r>
      </w:smartTag>
      <w:r w:rsidR="0071262A" w:rsidRPr="00C83045">
        <w:rPr>
          <w:color w:val="000000"/>
          <w:szCs w:val="22"/>
        </w:rPr>
        <w:t>)</w:t>
      </w:r>
      <w:r w:rsidRPr="00C83045">
        <w:rPr>
          <w:color w:val="000000"/>
          <w:szCs w:val="22"/>
        </w:rPr>
        <w:t>.</w:t>
      </w:r>
    </w:p>
    <w:p w14:paraId="32367E07" w14:textId="77777777" w:rsidR="00847D15" w:rsidRPr="00C83045" w:rsidRDefault="00847D15" w:rsidP="00D4304B">
      <w:pPr>
        <w:widowControl w:val="0"/>
        <w:ind w:left="0" w:firstLine="0"/>
        <w:rPr>
          <w:color w:val="000000"/>
          <w:szCs w:val="22"/>
        </w:rPr>
      </w:pPr>
    </w:p>
    <w:p w14:paraId="32367E08" w14:textId="77777777" w:rsidR="00847D15" w:rsidRPr="00C83045" w:rsidRDefault="00847D15" w:rsidP="00D4304B">
      <w:pPr>
        <w:widowControl w:val="0"/>
        <w:ind w:left="0" w:firstLine="0"/>
        <w:rPr>
          <w:color w:val="000000"/>
          <w:szCs w:val="22"/>
        </w:rPr>
      </w:pPr>
      <w:r w:rsidRPr="00C83045">
        <w:rPr>
          <w:color w:val="000000"/>
          <w:szCs w:val="22"/>
        </w:rPr>
        <w:t xml:space="preserve">Zlúčenina vykazuje protinádorovú účinnosť v monoterapii </w:t>
      </w:r>
      <w:r w:rsidRPr="00C83045">
        <w:rPr>
          <w:i/>
          <w:color w:val="000000"/>
          <w:szCs w:val="22"/>
        </w:rPr>
        <w:t>in vivo</w:t>
      </w:r>
      <w:r w:rsidRPr="00C83045">
        <w:rPr>
          <w:color w:val="000000"/>
          <w:szCs w:val="22"/>
        </w:rPr>
        <w:t xml:space="preserve"> na zvieracích modeloch pri použití nádorových buniek s pozitivitou bcr-abl.</w:t>
      </w:r>
    </w:p>
    <w:p w14:paraId="32367E09" w14:textId="77777777" w:rsidR="00847D15" w:rsidRPr="00C83045" w:rsidRDefault="00847D15" w:rsidP="00D4304B">
      <w:pPr>
        <w:widowControl w:val="0"/>
        <w:ind w:left="0" w:firstLine="0"/>
        <w:rPr>
          <w:color w:val="000000"/>
          <w:szCs w:val="22"/>
        </w:rPr>
      </w:pPr>
    </w:p>
    <w:p w14:paraId="32367E0A" w14:textId="77777777" w:rsidR="00847D15" w:rsidRPr="00C83045" w:rsidRDefault="00847D15" w:rsidP="00D4304B">
      <w:pPr>
        <w:widowControl w:val="0"/>
        <w:ind w:left="0" w:firstLine="0"/>
        <w:rPr>
          <w:color w:val="000000"/>
          <w:szCs w:val="22"/>
        </w:rPr>
      </w:pPr>
      <w:r w:rsidRPr="00C83045">
        <w:rPr>
          <w:color w:val="000000"/>
          <w:szCs w:val="22"/>
        </w:rPr>
        <w:t xml:space="preserve">Imatinib je tiež inhibítor tyrozínkináz receptora rastového faktora odvodeného od trombocytov (PDGF), PDGF-R, a receptora faktora kmeňových buniek (SCF), </w:t>
      </w:r>
      <w:r w:rsidR="003A4342" w:rsidRPr="00C83045">
        <w:rPr>
          <w:color w:val="000000"/>
          <w:szCs w:val="22"/>
        </w:rPr>
        <w:t>c-Kit</w:t>
      </w:r>
      <w:r w:rsidRPr="00C83045">
        <w:rPr>
          <w:color w:val="000000"/>
          <w:szCs w:val="22"/>
        </w:rPr>
        <w:t xml:space="preserve">, a inhibuje bunkové deje sprostredkované PDGF a SCF. Imatinib inhibuje </w:t>
      </w:r>
      <w:r w:rsidRPr="00C83045">
        <w:rPr>
          <w:i/>
          <w:color w:val="000000"/>
          <w:szCs w:val="22"/>
        </w:rPr>
        <w:t>in vitro</w:t>
      </w:r>
      <w:r w:rsidRPr="00C83045">
        <w:rPr>
          <w:color w:val="000000"/>
          <w:szCs w:val="22"/>
        </w:rPr>
        <w:t xml:space="preserve"> proliferáciu a indukuje apoptózu buniek gastrointestinálnych strómových nádorov (GIST), ktoré vykazujú aktivujúcu mutáciu </w:t>
      </w:r>
      <w:r w:rsidRPr="00C83045">
        <w:rPr>
          <w:i/>
          <w:color w:val="000000"/>
          <w:szCs w:val="22"/>
        </w:rPr>
        <w:t>kit</w:t>
      </w:r>
      <w:r w:rsidRPr="00C83045">
        <w:rPr>
          <w:color w:val="000000"/>
          <w:szCs w:val="22"/>
        </w:rPr>
        <w:t>.</w:t>
      </w:r>
      <w:r w:rsidR="0081705D" w:rsidRPr="00C83045">
        <w:rPr>
          <w:color w:val="000000"/>
          <w:szCs w:val="22"/>
        </w:rPr>
        <w:t xml:space="preserve"> </w:t>
      </w:r>
      <w:r w:rsidR="00577738" w:rsidRPr="00C83045">
        <w:rPr>
          <w:color w:val="000000"/>
          <w:szCs w:val="22"/>
        </w:rPr>
        <w:t xml:space="preserve">Konštitutívna </w:t>
      </w:r>
      <w:r w:rsidR="000E5202" w:rsidRPr="00C83045">
        <w:rPr>
          <w:color w:val="000000"/>
          <w:szCs w:val="22"/>
        </w:rPr>
        <w:t xml:space="preserve">aktivácia proteíntyrozínkináz receptora PDGF alebo abl ako dôsledok spojenia s rôznymi partnerskými bielkovinami alebo </w:t>
      </w:r>
      <w:r w:rsidR="00577738" w:rsidRPr="00C83045">
        <w:rPr>
          <w:color w:val="000000"/>
          <w:szCs w:val="22"/>
        </w:rPr>
        <w:t>konštitutívna</w:t>
      </w:r>
      <w:r w:rsidR="000E5202" w:rsidRPr="00C83045">
        <w:rPr>
          <w:color w:val="000000"/>
          <w:szCs w:val="22"/>
        </w:rPr>
        <w:t xml:space="preserve"> tvorba PDGF sa preukázali v patogenéze </w:t>
      </w:r>
      <w:smartTag w:uri="urn:schemas-microsoft-com:office:smarttags" w:element="stockticker">
        <w:r w:rsidR="0082275C" w:rsidRPr="00C83045">
          <w:rPr>
            <w:color w:val="000000"/>
            <w:szCs w:val="22"/>
          </w:rPr>
          <w:t>MDS</w:t>
        </w:r>
      </w:smartTag>
      <w:r w:rsidR="0082275C" w:rsidRPr="00C83045">
        <w:rPr>
          <w:color w:val="000000"/>
          <w:szCs w:val="22"/>
        </w:rPr>
        <w:t>/MPD</w:t>
      </w:r>
      <w:r w:rsidR="001A7767" w:rsidRPr="00C83045">
        <w:rPr>
          <w:color w:val="000000"/>
          <w:szCs w:val="22"/>
        </w:rPr>
        <w:t>, HES/</w:t>
      </w:r>
      <w:smartTag w:uri="urn:schemas-microsoft-com:office:smarttags" w:element="stockticker">
        <w:r w:rsidR="001A7767" w:rsidRPr="00C83045">
          <w:rPr>
            <w:color w:val="000000"/>
            <w:szCs w:val="22"/>
          </w:rPr>
          <w:t>CEL</w:t>
        </w:r>
      </w:smartTag>
      <w:r w:rsidR="0082275C" w:rsidRPr="00C83045">
        <w:rPr>
          <w:color w:val="000000"/>
          <w:szCs w:val="22"/>
        </w:rPr>
        <w:t xml:space="preserve"> a </w:t>
      </w:r>
      <w:r w:rsidR="000E5202" w:rsidRPr="00C83045">
        <w:rPr>
          <w:color w:val="000000"/>
          <w:szCs w:val="22"/>
        </w:rPr>
        <w:t>DFSP. Imatinib inhibuje signaliz</w:t>
      </w:r>
      <w:r w:rsidR="00577738" w:rsidRPr="00C83045">
        <w:rPr>
          <w:color w:val="000000"/>
          <w:szCs w:val="22"/>
        </w:rPr>
        <w:t>áciu</w:t>
      </w:r>
      <w:r w:rsidR="000E5202" w:rsidRPr="00C83045">
        <w:rPr>
          <w:color w:val="000000"/>
          <w:szCs w:val="22"/>
        </w:rPr>
        <w:t xml:space="preserve"> a proliferáciu buniek stimulovan</w:t>
      </w:r>
      <w:r w:rsidR="00577738" w:rsidRPr="00C83045">
        <w:rPr>
          <w:color w:val="000000"/>
          <w:szCs w:val="22"/>
        </w:rPr>
        <w:t>ých</w:t>
      </w:r>
      <w:r w:rsidR="000E5202" w:rsidRPr="00C83045">
        <w:rPr>
          <w:color w:val="000000"/>
          <w:szCs w:val="22"/>
        </w:rPr>
        <w:t xml:space="preserve"> disregulovanou aktivitou kináz PDGFR a abl.</w:t>
      </w:r>
    </w:p>
    <w:p w14:paraId="32367E0B" w14:textId="77777777" w:rsidR="00847D15" w:rsidRPr="00C83045" w:rsidRDefault="00847D15" w:rsidP="00D4304B">
      <w:pPr>
        <w:widowControl w:val="0"/>
        <w:ind w:left="0" w:firstLine="0"/>
        <w:rPr>
          <w:color w:val="000000"/>
          <w:szCs w:val="22"/>
        </w:rPr>
      </w:pPr>
    </w:p>
    <w:p w14:paraId="32367E0C" w14:textId="77777777" w:rsidR="00847D15" w:rsidRPr="00C83045" w:rsidRDefault="00847D15" w:rsidP="00D4304B">
      <w:pPr>
        <w:keepNext/>
        <w:widowControl w:val="0"/>
        <w:ind w:left="0" w:firstLine="0"/>
        <w:rPr>
          <w:color w:val="000000"/>
          <w:szCs w:val="22"/>
          <w:u w:val="single"/>
        </w:rPr>
      </w:pPr>
      <w:r w:rsidRPr="00C83045">
        <w:rPr>
          <w:color w:val="000000"/>
          <w:szCs w:val="22"/>
          <w:u w:val="single"/>
        </w:rPr>
        <w:t>Klinické skúšania pri chronickej myelocytovej leukémii</w:t>
      </w:r>
    </w:p>
    <w:p w14:paraId="32367E0D" w14:textId="77777777" w:rsidR="00847D15" w:rsidRPr="00C83045" w:rsidRDefault="00847D15" w:rsidP="00D4304B">
      <w:pPr>
        <w:widowControl w:val="0"/>
        <w:ind w:left="0" w:firstLine="0"/>
        <w:rPr>
          <w:color w:val="000000"/>
          <w:szCs w:val="22"/>
        </w:rPr>
      </w:pPr>
      <w:r w:rsidRPr="00C83045">
        <w:rPr>
          <w:color w:val="000000"/>
          <w:szCs w:val="22"/>
        </w:rPr>
        <w:t>Účinnosť Glivecu sa zakladá na stupni celkovej hematologickej a cytogenetickej odpovede</w:t>
      </w:r>
      <w:r w:rsidR="00897DA7" w:rsidRPr="00C83045">
        <w:rPr>
          <w:color w:val="000000"/>
          <w:szCs w:val="22"/>
        </w:rPr>
        <w:t xml:space="preserve"> a prežívaní bez progresie</w:t>
      </w:r>
      <w:r w:rsidRPr="00C83045">
        <w:rPr>
          <w:color w:val="000000"/>
          <w:szCs w:val="22"/>
        </w:rPr>
        <w:t xml:space="preserve">. </w:t>
      </w:r>
      <w:r w:rsidR="00897DA7" w:rsidRPr="00C83045">
        <w:rPr>
          <w:color w:val="000000"/>
          <w:szCs w:val="22"/>
        </w:rPr>
        <w:t>Okrem novodiagnostikovanej chronickej fázy CML n</w:t>
      </w:r>
      <w:r w:rsidRPr="00C83045">
        <w:rPr>
          <w:color w:val="000000"/>
          <w:szCs w:val="22"/>
        </w:rPr>
        <w:t>ie sú kontrolované klinické skúšania, ktoré by preukázali klinickú prospešnosť, ako je zmiernenie symptómov súvisiacich s ochorením alebo predĺženie prežívania.</w:t>
      </w:r>
    </w:p>
    <w:p w14:paraId="32367E0E" w14:textId="77777777" w:rsidR="00847D15" w:rsidRPr="00C83045" w:rsidRDefault="00847D15" w:rsidP="00D4304B">
      <w:pPr>
        <w:widowControl w:val="0"/>
        <w:ind w:left="0" w:firstLine="0"/>
        <w:rPr>
          <w:color w:val="000000"/>
          <w:szCs w:val="22"/>
        </w:rPr>
      </w:pPr>
    </w:p>
    <w:p w14:paraId="32367E0F" w14:textId="77777777" w:rsidR="00847D15" w:rsidRPr="00C83045" w:rsidRDefault="00847D15" w:rsidP="00D4304B">
      <w:pPr>
        <w:widowControl w:val="0"/>
        <w:ind w:left="0" w:firstLine="0"/>
        <w:rPr>
          <w:color w:val="000000"/>
          <w:szCs w:val="22"/>
        </w:rPr>
      </w:pPr>
      <w:r w:rsidRPr="00C83045">
        <w:rPr>
          <w:color w:val="000000"/>
          <w:szCs w:val="22"/>
        </w:rPr>
        <w:t xml:space="preserve">Tri veľké, medzinárodné, otvorené, nekontrolované klinické skúšania </w:t>
      </w:r>
      <w:r w:rsidR="00E65F57" w:rsidRPr="00C83045">
        <w:rPr>
          <w:color w:val="000000"/>
          <w:szCs w:val="22"/>
        </w:rPr>
        <w:t>fáz</w:t>
      </w:r>
      <w:r w:rsidRPr="00C83045">
        <w:rPr>
          <w:color w:val="000000"/>
          <w:szCs w:val="22"/>
        </w:rPr>
        <w:t>y</w:t>
      </w:r>
      <w:r w:rsidR="00956E85" w:rsidRPr="00C83045">
        <w:rPr>
          <w:color w:val="000000"/>
          <w:szCs w:val="22"/>
        </w:rPr>
        <w:t> </w:t>
      </w:r>
      <w:r w:rsidRPr="00C83045">
        <w:rPr>
          <w:color w:val="000000"/>
          <w:szCs w:val="22"/>
        </w:rPr>
        <w:t xml:space="preserve">II sa vykonali s pacientmi s CML s pozitívnym chromozómom Philadelphia (Ph+) v pokročilej, blastickej alebo akcelerovanej fáze ochorenia, inými Ph+ leukémiami, alebo s CML v chronickej fáze po zlyhaní predchádzajúcej liečby interferónom alfa (IFN). Vykonalo sa jedno veľké, otvorené, multicentrické, medzinárodné, randomizované klinické skúšanie </w:t>
      </w:r>
      <w:r w:rsidR="00E65F57" w:rsidRPr="00C83045">
        <w:rPr>
          <w:color w:val="000000"/>
          <w:szCs w:val="22"/>
        </w:rPr>
        <w:t>fáz</w:t>
      </w:r>
      <w:r w:rsidRPr="00C83045">
        <w:rPr>
          <w:color w:val="000000"/>
          <w:szCs w:val="22"/>
        </w:rPr>
        <w:t>y</w:t>
      </w:r>
      <w:r w:rsidR="00956E85" w:rsidRPr="00C83045">
        <w:rPr>
          <w:color w:val="000000"/>
          <w:szCs w:val="22"/>
        </w:rPr>
        <w:t> </w:t>
      </w:r>
      <w:smartTag w:uri="urn:schemas-microsoft-com:office:smarttags" w:element="stockticker">
        <w:r w:rsidRPr="00C83045">
          <w:rPr>
            <w:color w:val="000000"/>
            <w:szCs w:val="22"/>
          </w:rPr>
          <w:t>III</w:t>
        </w:r>
      </w:smartTag>
      <w:r w:rsidRPr="00C83045">
        <w:rPr>
          <w:color w:val="000000"/>
          <w:szCs w:val="22"/>
        </w:rPr>
        <w:t xml:space="preserve"> s pacientmi s novodiagnostikovanou Ph+ CML. Okrem toho sa liečili deti v dvoch klinických skúšaniach </w:t>
      </w:r>
      <w:r w:rsidR="00E65F57" w:rsidRPr="00C83045">
        <w:rPr>
          <w:color w:val="000000"/>
          <w:szCs w:val="22"/>
        </w:rPr>
        <w:t>fáz</w:t>
      </w:r>
      <w:r w:rsidRPr="00C83045">
        <w:rPr>
          <w:color w:val="000000"/>
          <w:szCs w:val="22"/>
        </w:rPr>
        <w:t>y</w:t>
      </w:r>
      <w:r w:rsidR="00956E85" w:rsidRPr="00C83045">
        <w:rPr>
          <w:color w:val="000000"/>
          <w:szCs w:val="22"/>
        </w:rPr>
        <w:t> </w:t>
      </w:r>
      <w:r w:rsidRPr="00C83045">
        <w:rPr>
          <w:color w:val="000000"/>
          <w:szCs w:val="22"/>
        </w:rPr>
        <w:t>I</w:t>
      </w:r>
      <w:r w:rsidR="00770CD3" w:rsidRPr="00C83045">
        <w:rPr>
          <w:color w:val="000000"/>
          <w:szCs w:val="22"/>
        </w:rPr>
        <w:t xml:space="preserve"> a v jednom klinickom skúšaní fázy II</w:t>
      </w:r>
      <w:r w:rsidRPr="00C83045">
        <w:rPr>
          <w:color w:val="000000"/>
          <w:szCs w:val="22"/>
        </w:rPr>
        <w:t>.</w:t>
      </w:r>
    </w:p>
    <w:p w14:paraId="32367E10" w14:textId="77777777" w:rsidR="00847D15" w:rsidRPr="00C83045" w:rsidRDefault="00847D15" w:rsidP="00D4304B">
      <w:pPr>
        <w:widowControl w:val="0"/>
        <w:ind w:left="0" w:firstLine="0"/>
        <w:rPr>
          <w:color w:val="000000"/>
          <w:szCs w:val="22"/>
        </w:rPr>
      </w:pPr>
    </w:p>
    <w:p w14:paraId="32367E11" w14:textId="77777777" w:rsidR="00847D15" w:rsidRPr="00C83045" w:rsidRDefault="00847D15" w:rsidP="00D4304B">
      <w:pPr>
        <w:widowControl w:val="0"/>
        <w:ind w:left="0" w:firstLine="0"/>
        <w:rPr>
          <w:color w:val="000000"/>
          <w:szCs w:val="22"/>
        </w:rPr>
      </w:pPr>
      <w:r w:rsidRPr="00C83045">
        <w:rPr>
          <w:color w:val="000000"/>
          <w:szCs w:val="22"/>
        </w:rPr>
        <w:t xml:space="preserve">Vo všetkých klinických skúšaniach bolo 38–40% pacientov vo veku </w:t>
      </w:r>
      <w:r w:rsidRPr="00C83045">
        <w:rPr>
          <w:color w:val="000000"/>
          <w:szCs w:val="22"/>
        </w:rPr>
        <w:sym w:font="Symbol" w:char="F0B3"/>
      </w:r>
      <w:r w:rsidRPr="00C83045">
        <w:rPr>
          <w:color w:val="000000"/>
          <w:szCs w:val="22"/>
        </w:rPr>
        <w:t xml:space="preserve"> 60 rokov a 10–12% pacientov vo veku </w:t>
      </w:r>
      <w:r w:rsidRPr="00C83045">
        <w:rPr>
          <w:color w:val="000000"/>
          <w:szCs w:val="22"/>
        </w:rPr>
        <w:sym w:font="Symbol" w:char="F0B3"/>
      </w:r>
      <w:r w:rsidRPr="00C83045">
        <w:rPr>
          <w:color w:val="000000"/>
          <w:szCs w:val="22"/>
        </w:rPr>
        <w:t> 70 rokov.</w:t>
      </w:r>
    </w:p>
    <w:p w14:paraId="32367E12" w14:textId="77777777" w:rsidR="00847D15" w:rsidRPr="00C83045" w:rsidRDefault="00847D15" w:rsidP="00D4304B">
      <w:pPr>
        <w:widowControl w:val="0"/>
        <w:ind w:left="0" w:firstLine="0"/>
        <w:rPr>
          <w:color w:val="000000"/>
          <w:szCs w:val="22"/>
        </w:rPr>
      </w:pPr>
    </w:p>
    <w:p w14:paraId="32367E13" w14:textId="77777777" w:rsidR="00847D15" w:rsidRPr="00C83045" w:rsidRDefault="00847D15" w:rsidP="00D4304B">
      <w:pPr>
        <w:widowControl w:val="0"/>
        <w:ind w:left="0" w:firstLine="0"/>
        <w:rPr>
          <w:color w:val="000000"/>
          <w:szCs w:val="22"/>
        </w:rPr>
      </w:pPr>
      <w:r w:rsidRPr="00C83045">
        <w:rPr>
          <w:i/>
          <w:color w:val="000000"/>
          <w:szCs w:val="22"/>
        </w:rPr>
        <w:t>Novodiagnostikovaná chronická fáza:</w:t>
      </w:r>
      <w:r w:rsidRPr="00C83045">
        <w:rPr>
          <w:color w:val="000000"/>
          <w:szCs w:val="22"/>
        </w:rPr>
        <w:t xml:space="preserve"> Toto klinické skúšanie </w:t>
      </w:r>
      <w:r w:rsidR="00E65F57" w:rsidRPr="00C83045">
        <w:rPr>
          <w:color w:val="000000"/>
          <w:szCs w:val="22"/>
        </w:rPr>
        <w:t>fáz</w:t>
      </w:r>
      <w:r w:rsidRPr="00C83045">
        <w:rPr>
          <w:color w:val="000000"/>
          <w:szCs w:val="22"/>
        </w:rPr>
        <w:t>y</w:t>
      </w:r>
      <w:r w:rsidR="00956E85" w:rsidRPr="00C83045">
        <w:rPr>
          <w:color w:val="000000"/>
          <w:szCs w:val="22"/>
        </w:rPr>
        <w:t> </w:t>
      </w:r>
      <w:smartTag w:uri="urn:schemas-microsoft-com:office:smarttags" w:element="stockticker">
        <w:r w:rsidRPr="00C83045">
          <w:rPr>
            <w:color w:val="000000"/>
            <w:szCs w:val="22"/>
          </w:rPr>
          <w:t>III</w:t>
        </w:r>
      </w:smartTag>
      <w:r w:rsidRPr="00C83045">
        <w:rPr>
          <w:color w:val="000000"/>
          <w:szCs w:val="22"/>
        </w:rPr>
        <w:t xml:space="preserve"> </w:t>
      </w:r>
      <w:r w:rsidR="00770CD3" w:rsidRPr="00C83045">
        <w:rPr>
          <w:color w:val="000000"/>
          <w:szCs w:val="22"/>
        </w:rPr>
        <w:t xml:space="preserve">u dospelých pacientov </w:t>
      </w:r>
      <w:r w:rsidRPr="00C83045">
        <w:rPr>
          <w:color w:val="000000"/>
          <w:szCs w:val="22"/>
        </w:rPr>
        <w:t xml:space="preserve">porovnávalo liečbu buď samotným Glivecom, alebo kombináciou interferónu alfa (IFN) a cytarabínu (Ara-C). Pacientom s nedostatočnou odpoveďou (nedostatočná </w:t>
      </w:r>
      <w:r w:rsidR="001A1278" w:rsidRPr="00C83045">
        <w:rPr>
          <w:color w:val="000000"/>
          <w:szCs w:val="22"/>
        </w:rPr>
        <w:t>kompletn</w:t>
      </w:r>
      <w:r w:rsidRPr="00C83045">
        <w:rPr>
          <w:color w:val="000000"/>
          <w:szCs w:val="22"/>
        </w:rPr>
        <w:t>á hematologická odpoveď (</w:t>
      </w:r>
      <w:smartTag w:uri="urn:schemas-microsoft-com:office:smarttags" w:element="stockticker">
        <w:r w:rsidR="00BF0097" w:rsidRPr="00C83045">
          <w:rPr>
            <w:color w:val="000000"/>
            <w:szCs w:val="22"/>
          </w:rPr>
          <w:t>CHR</w:t>
        </w:r>
      </w:smartTag>
      <w:r w:rsidRPr="00C83045">
        <w:rPr>
          <w:color w:val="000000"/>
          <w:szCs w:val="22"/>
        </w:rPr>
        <w:t xml:space="preserve">) po 6 mesiacoch, zvyšovanie </w:t>
      </w:r>
      <w:r w:rsidR="00BF0097" w:rsidRPr="00C83045">
        <w:rPr>
          <w:color w:val="000000"/>
          <w:szCs w:val="22"/>
        </w:rPr>
        <w:t>WBC</w:t>
      </w:r>
      <w:r w:rsidRPr="00C83045">
        <w:rPr>
          <w:color w:val="000000"/>
          <w:szCs w:val="22"/>
        </w:rPr>
        <w:t xml:space="preserve">, žiadna </w:t>
      </w:r>
      <w:r w:rsidR="003F71FF" w:rsidRPr="00C83045">
        <w:rPr>
          <w:color w:val="000000"/>
          <w:szCs w:val="22"/>
        </w:rPr>
        <w:t>veľk</w:t>
      </w:r>
      <w:r w:rsidRPr="00C83045">
        <w:rPr>
          <w:color w:val="000000"/>
          <w:szCs w:val="22"/>
        </w:rPr>
        <w:t>á cytogenetická odpoveď (</w:t>
      </w:r>
      <w:r w:rsidR="00452EDB" w:rsidRPr="00C83045">
        <w:rPr>
          <w:color w:val="000000"/>
          <w:szCs w:val="22"/>
        </w:rPr>
        <w:t>MCyR</w:t>
      </w:r>
      <w:r w:rsidRPr="00C83045">
        <w:rPr>
          <w:color w:val="000000"/>
          <w:szCs w:val="22"/>
        </w:rPr>
        <w:t xml:space="preserve">) po 24 mesiacoch), stratou odpovede (strata </w:t>
      </w:r>
      <w:smartTag w:uri="urn:schemas-microsoft-com:office:smarttags" w:element="stockticker">
        <w:r w:rsidR="00BF0097" w:rsidRPr="00C83045">
          <w:rPr>
            <w:color w:val="000000"/>
            <w:szCs w:val="22"/>
          </w:rPr>
          <w:t>CHR</w:t>
        </w:r>
      </w:smartTag>
      <w:r w:rsidRPr="00C83045">
        <w:rPr>
          <w:color w:val="000000"/>
          <w:szCs w:val="22"/>
        </w:rPr>
        <w:t xml:space="preserve"> alebo </w:t>
      </w:r>
      <w:r w:rsidR="00452EDB" w:rsidRPr="00C83045">
        <w:rPr>
          <w:color w:val="000000"/>
          <w:szCs w:val="22"/>
        </w:rPr>
        <w:t>MCyR</w:t>
      </w:r>
      <w:r w:rsidRPr="00C83045">
        <w:rPr>
          <w:color w:val="000000"/>
          <w:szCs w:val="22"/>
        </w:rPr>
        <w:t>) alebo so závažnou neznášanlivosťou liečby sa umožnil prechod do skupiny alternatívnej liečby. V skupine Glivecu pacienti dostávali dávku 400 mg denne. V skupine IFN dostávali pacienti cieľovú dávku IFN 5 mil. IU/m</w:t>
      </w:r>
      <w:r w:rsidRPr="00C83045">
        <w:rPr>
          <w:color w:val="000000"/>
          <w:szCs w:val="22"/>
          <w:vertAlign w:val="superscript"/>
        </w:rPr>
        <w:t>2</w:t>
      </w:r>
      <w:r w:rsidRPr="00C83045">
        <w:rPr>
          <w:color w:val="000000"/>
          <w:szCs w:val="22"/>
        </w:rPr>
        <w:t>/deň subkutánne v kombinácii s Ara-C 20 mg/m</w:t>
      </w:r>
      <w:r w:rsidRPr="00C83045">
        <w:rPr>
          <w:color w:val="000000"/>
          <w:szCs w:val="22"/>
          <w:vertAlign w:val="superscript"/>
        </w:rPr>
        <w:t>2</w:t>
      </w:r>
      <w:r w:rsidRPr="00C83045">
        <w:rPr>
          <w:color w:val="000000"/>
          <w:szCs w:val="22"/>
        </w:rPr>
        <w:t>/deň subkutánne počas 10 dní v mesiaci.</w:t>
      </w:r>
    </w:p>
    <w:p w14:paraId="32367E14" w14:textId="77777777" w:rsidR="00847D15" w:rsidRPr="00C83045" w:rsidRDefault="00847D15" w:rsidP="00D4304B">
      <w:pPr>
        <w:widowControl w:val="0"/>
        <w:ind w:left="0" w:firstLine="0"/>
        <w:rPr>
          <w:color w:val="000000"/>
          <w:szCs w:val="22"/>
        </w:rPr>
      </w:pPr>
    </w:p>
    <w:p w14:paraId="32367E15" w14:textId="77777777" w:rsidR="00B7400B" w:rsidRPr="00C83045" w:rsidRDefault="00847D15" w:rsidP="00D4304B">
      <w:pPr>
        <w:widowControl w:val="0"/>
        <w:ind w:left="0" w:firstLine="0"/>
        <w:rPr>
          <w:color w:val="000000"/>
          <w:szCs w:val="22"/>
        </w:rPr>
      </w:pPr>
      <w:r w:rsidRPr="00C83045">
        <w:rPr>
          <w:color w:val="000000"/>
          <w:szCs w:val="22"/>
        </w:rPr>
        <w:lastRenderedPageBreak/>
        <w:t>Celkovo bolo randomizovaných 1</w:t>
      </w:r>
      <w:r w:rsidR="00105394" w:rsidRPr="00C83045">
        <w:rPr>
          <w:color w:val="000000"/>
          <w:szCs w:val="22"/>
        </w:rPr>
        <w:t> </w:t>
      </w:r>
      <w:r w:rsidRPr="00C83045">
        <w:rPr>
          <w:color w:val="000000"/>
          <w:szCs w:val="22"/>
        </w:rPr>
        <w:t xml:space="preserve">106 pacientov, 553 do každej skupiny. Východiskové hodnoty boli medzi oboma skupinami dobre vyvážené. Medián veku bol 51 rokov (rozmedzie 18–70 rokov), 21,9% pacientov bolo vo veku </w:t>
      </w:r>
      <w:r w:rsidRPr="00C83045">
        <w:rPr>
          <w:color w:val="000000"/>
          <w:szCs w:val="22"/>
        </w:rPr>
        <w:sym w:font="Symbol" w:char="F0B3"/>
      </w:r>
      <w:r w:rsidRPr="00C83045">
        <w:rPr>
          <w:color w:val="000000"/>
          <w:szCs w:val="22"/>
        </w:rPr>
        <w:t> 60 rokov. 59% boli muži, 41% ženy; 89,9% pacientov bol</w:t>
      </w:r>
      <w:r w:rsidR="00BF0097" w:rsidRPr="00C83045">
        <w:rPr>
          <w:color w:val="000000"/>
          <w:szCs w:val="22"/>
        </w:rPr>
        <w:t>o</w:t>
      </w:r>
      <w:r w:rsidRPr="00C83045">
        <w:rPr>
          <w:color w:val="000000"/>
          <w:szCs w:val="22"/>
        </w:rPr>
        <w:t xml:space="preserve"> bielych a 4,7% čiernych. </w:t>
      </w:r>
      <w:r w:rsidR="00C553DF" w:rsidRPr="00C83045">
        <w:rPr>
          <w:color w:val="000000"/>
          <w:szCs w:val="22"/>
        </w:rPr>
        <w:t xml:space="preserve">Sedem </w:t>
      </w:r>
      <w:r w:rsidR="00897DA7" w:rsidRPr="00C83045">
        <w:rPr>
          <w:color w:val="000000"/>
          <w:szCs w:val="22"/>
        </w:rPr>
        <w:t xml:space="preserve">rokov po zaradení posledného pacienta bol medián trvania liečby prvej línie </w:t>
      </w:r>
      <w:r w:rsidR="00C553DF" w:rsidRPr="00C83045">
        <w:rPr>
          <w:color w:val="000000"/>
          <w:szCs w:val="22"/>
        </w:rPr>
        <w:t>82 </w:t>
      </w:r>
      <w:r w:rsidR="00EB5DF4" w:rsidRPr="00C83045">
        <w:rPr>
          <w:color w:val="000000"/>
          <w:szCs w:val="22"/>
        </w:rPr>
        <w:t xml:space="preserve">mesiacov v skupine Glivecu a 8 mesiacov v skupine IFN. Medián trvania liečby Glivecom ako druhej línie bol </w:t>
      </w:r>
      <w:r w:rsidR="00C553DF" w:rsidRPr="00C83045">
        <w:rPr>
          <w:color w:val="000000"/>
          <w:szCs w:val="22"/>
        </w:rPr>
        <w:t>64 </w:t>
      </w:r>
      <w:r w:rsidR="00EB5DF4" w:rsidRPr="00C83045">
        <w:rPr>
          <w:color w:val="000000"/>
          <w:szCs w:val="22"/>
        </w:rPr>
        <w:t xml:space="preserve">mesiacov. Celkovo </w:t>
      </w:r>
      <w:r w:rsidR="00B7400B" w:rsidRPr="00C83045">
        <w:rPr>
          <w:color w:val="000000"/>
          <w:szCs w:val="22"/>
        </w:rPr>
        <w:t>sa</w:t>
      </w:r>
      <w:r w:rsidR="00EB5DF4" w:rsidRPr="00C83045">
        <w:rPr>
          <w:color w:val="000000"/>
          <w:szCs w:val="22"/>
        </w:rPr>
        <w:t> paciento</w:t>
      </w:r>
      <w:r w:rsidR="00B7400B" w:rsidRPr="00C83045">
        <w:rPr>
          <w:color w:val="000000"/>
          <w:szCs w:val="22"/>
        </w:rPr>
        <w:t>m</w:t>
      </w:r>
      <w:r w:rsidR="00EB5DF4" w:rsidRPr="00C83045">
        <w:rPr>
          <w:color w:val="000000"/>
          <w:szCs w:val="22"/>
        </w:rPr>
        <w:t>, ktorí dostávali Glivec ako liečbu prvej línie, pod</w:t>
      </w:r>
      <w:r w:rsidR="00B7400B" w:rsidRPr="00C83045">
        <w:rPr>
          <w:color w:val="000000"/>
          <w:szCs w:val="22"/>
        </w:rPr>
        <w:t>ávala</w:t>
      </w:r>
      <w:r w:rsidR="00EB5DF4" w:rsidRPr="00C83045">
        <w:rPr>
          <w:color w:val="000000"/>
          <w:szCs w:val="22"/>
        </w:rPr>
        <w:t xml:space="preserve"> </w:t>
      </w:r>
      <w:r w:rsidR="00B7400B" w:rsidRPr="00C83045">
        <w:rPr>
          <w:color w:val="000000"/>
          <w:szCs w:val="22"/>
        </w:rPr>
        <w:t xml:space="preserve">priemerná </w:t>
      </w:r>
      <w:r w:rsidR="00EB5DF4" w:rsidRPr="00C83045">
        <w:rPr>
          <w:color w:val="000000"/>
          <w:szCs w:val="22"/>
        </w:rPr>
        <w:t xml:space="preserve">denná </w:t>
      </w:r>
      <w:r w:rsidR="00B7400B" w:rsidRPr="00C83045">
        <w:rPr>
          <w:color w:val="000000"/>
          <w:szCs w:val="22"/>
        </w:rPr>
        <w:t xml:space="preserve">dávka </w:t>
      </w:r>
      <w:r w:rsidR="00C553DF" w:rsidRPr="00C83045">
        <w:rPr>
          <w:color w:val="000000"/>
          <w:szCs w:val="22"/>
        </w:rPr>
        <w:t>406 </w:t>
      </w:r>
      <w:r w:rsidR="00B7400B" w:rsidRPr="00C83045">
        <w:rPr>
          <w:color w:val="000000"/>
          <w:szCs w:val="22"/>
        </w:rPr>
        <w:t>± </w:t>
      </w:r>
      <w:r w:rsidR="00C553DF" w:rsidRPr="00C83045">
        <w:rPr>
          <w:color w:val="000000"/>
          <w:szCs w:val="22"/>
        </w:rPr>
        <w:t>76 </w:t>
      </w:r>
      <w:r w:rsidR="00B7400B" w:rsidRPr="00C83045">
        <w:rPr>
          <w:color w:val="000000"/>
          <w:szCs w:val="22"/>
        </w:rPr>
        <w:t xml:space="preserve">mg. </w:t>
      </w:r>
      <w:r w:rsidRPr="00C83045">
        <w:rPr>
          <w:color w:val="000000"/>
          <w:szCs w:val="22"/>
        </w:rPr>
        <w:t xml:space="preserve">Primárnym koncovým bodom pre hodnotenie účinnosti v klinickom skúšaní bolo prežívanie bez progresie. Progresia bola definovaná ako niektorá z nasledujúcich udalostí: progresia do akcelerovanej fázy alebo blastickej krízy, smrť, strata </w:t>
      </w:r>
      <w:smartTag w:uri="urn:schemas-microsoft-com:office:smarttags" w:element="stockticker">
        <w:r w:rsidR="00BF0097" w:rsidRPr="00C83045">
          <w:rPr>
            <w:color w:val="000000"/>
            <w:szCs w:val="22"/>
          </w:rPr>
          <w:t>CHR</w:t>
        </w:r>
      </w:smartTag>
      <w:r w:rsidRPr="00C83045">
        <w:rPr>
          <w:color w:val="000000"/>
          <w:szCs w:val="22"/>
        </w:rPr>
        <w:t xml:space="preserve"> alebo </w:t>
      </w:r>
      <w:r w:rsidR="00452EDB" w:rsidRPr="00C83045">
        <w:rPr>
          <w:color w:val="000000"/>
          <w:szCs w:val="22"/>
        </w:rPr>
        <w:t>MCyR</w:t>
      </w:r>
      <w:r w:rsidRPr="00C83045">
        <w:rPr>
          <w:color w:val="000000"/>
          <w:szCs w:val="22"/>
        </w:rPr>
        <w:t xml:space="preserve">, alebo u pacientov, ktorí nedosiahli </w:t>
      </w:r>
      <w:smartTag w:uri="urn:schemas-microsoft-com:office:smarttags" w:element="stockticker">
        <w:r w:rsidR="00BF0097" w:rsidRPr="00C83045">
          <w:rPr>
            <w:color w:val="000000"/>
            <w:szCs w:val="22"/>
          </w:rPr>
          <w:t>CHR</w:t>
        </w:r>
      </w:smartTag>
      <w:r w:rsidRPr="00C83045">
        <w:rPr>
          <w:color w:val="000000"/>
          <w:szCs w:val="22"/>
        </w:rPr>
        <w:t xml:space="preserve">, zvýšenie </w:t>
      </w:r>
      <w:r w:rsidR="00733669" w:rsidRPr="00C83045">
        <w:rPr>
          <w:color w:val="000000"/>
          <w:szCs w:val="22"/>
        </w:rPr>
        <w:t>WBC</w:t>
      </w:r>
      <w:r w:rsidRPr="00C83045">
        <w:rPr>
          <w:color w:val="000000"/>
          <w:szCs w:val="22"/>
        </w:rPr>
        <w:t xml:space="preserve"> napriek primeraným terapeutickým opatreniam. Hlavné sekundárne koncové body boli </w:t>
      </w:r>
      <w:r w:rsidR="003F71FF" w:rsidRPr="00C83045">
        <w:rPr>
          <w:color w:val="000000"/>
          <w:szCs w:val="22"/>
        </w:rPr>
        <w:t>veľk</w:t>
      </w:r>
      <w:r w:rsidRPr="00C83045">
        <w:rPr>
          <w:color w:val="000000"/>
          <w:szCs w:val="22"/>
        </w:rPr>
        <w:t xml:space="preserve">á cytogenetická odpoveď, hematologická odpoveď, </w:t>
      </w:r>
      <w:r w:rsidR="00527967" w:rsidRPr="00C83045">
        <w:rPr>
          <w:color w:val="000000"/>
          <w:szCs w:val="22"/>
        </w:rPr>
        <w:t xml:space="preserve">molekulárna odpoveď (vyhodnotenie minimálneho zvyškového ochorenia), </w:t>
      </w:r>
      <w:r w:rsidRPr="00C83045">
        <w:rPr>
          <w:color w:val="000000"/>
          <w:szCs w:val="22"/>
        </w:rPr>
        <w:t>čas do akcelerovanej fázy alebo blastickej krízy a prežívanie. Údaje o dosiahnutej odpovedi sú v Tabuľke </w:t>
      </w:r>
      <w:r w:rsidR="00E57DA0" w:rsidRPr="00C83045">
        <w:rPr>
          <w:color w:val="000000"/>
          <w:szCs w:val="22"/>
        </w:rPr>
        <w:t>2</w:t>
      </w:r>
      <w:r w:rsidRPr="00C83045">
        <w:rPr>
          <w:color w:val="000000"/>
          <w:szCs w:val="22"/>
        </w:rPr>
        <w:t>.</w:t>
      </w:r>
    </w:p>
    <w:p w14:paraId="32367E16" w14:textId="77777777" w:rsidR="00B7400B" w:rsidRPr="00C83045" w:rsidRDefault="00B7400B" w:rsidP="00D4304B">
      <w:pPr>
        <w:widowControl w:val="0"/>
        <w:tabs>
          <w:tab w:val="left" w:pos="1080"/>
          <w:tab w:val="left" w:pos="1440"/>
        </w:tabs>
        <w:ind w:left="0" w:firstLine="0"/>
        <w:rPr>
          <w:color w:val="000000"/>
          <w:szCs w:val="22"/>
        </w:rPr>
      </w:pPr>
    </w:p>
    <w:p w14:paraId="32367E17" w14:textId="77777777" w:rsidR="00B7400B" w:rsidRPr="00C83045" w:rsidRDefault="00B7400B" w:rsidP="00D4304B">
      <w:pPr>
        <w:keepNext/>
        <w:keepLines/>
        <w:widowControl w:val="0"/>
        <w:tabs>
          <w:tab w:val="left" w:pos="1440"/>
        </w:tabs>
        <w:ind w:left="1440" w:hanging="1440"/>
        <w:rPr>
          <w:b/>
          <w:color w:val="000000"/>
          <w:szCs w:val="22"/>
        </w:rPr>
      </w:pPr>
      <w:r w:rsidRPr="00C83045">
        <w:rPr>
          <w:b/>
          <w:color w:val="000000"/>
          <w:szCs w:val="22"/>
        </w:rPr>
        <w:t>Tabuľka </w:t>
      </w:r>
      <w:r w:rsidR="00E57DA0" w:rsidRPr="00C83045">
        <w:rPr>
          <w:b/>
          <w:color w:val="000000"/>
          <w:szCs w:val="22"/>
        </w:rPr>
        <w:t>2</w:t>
      </w:r>
      <w:r w:rsidRPr="00C83045">
        <w:rPr>
          <w:b/>
          <w:color w:val="000000"/>
          <w:szCs w:val="22"/>
        </w:rPr>
        <w:tab/>
        <w:t xml:space="preserve">Odpoveď pri novodiagnostikovanej CML (údaje po </w:t>
      </w:r>
      <w:r w:rsidR="00C553DF" w:rsidRPr="00C83045">
        <w:rPr>
          <w:b/>
          <w:color w:val="000000"/>
          <w:szCs w:val="22"/>
        </w:rPr>
        <w:t>84 </w:t>
      </w:r>
      <w:r w:rsidRPr="00C83045">
        <w:rPr>
          <w:b/>
          <w:color w:val="000000"/>
          <w:szCs w:val="22"/>
        </w:rPr>
        <w:t>mesiacoch)</w:t>
      </w:r>
    </w:p>
    <w:p w14:paraId="32367E18" w14:textId="77777777" w:rsidR="00B7400B" w:rsidRPr="00C83045" w:rsidRDefault="00B7400B" w:rsidP="00D4304B">
      <w:pPr>
        <w:keepNext/>
        <w:keepLines/>
        <w:widowControl w:val="0"/>
        <w:ind w:left="0" w:firstLine="0"/>
        <w:rPr>
          <w:color w:val="000000"/>
          <w:szCs w:val="22"/>
        </w:rPr>
      </w:pPr>
    </w:p>
    <w:tbl>
      <w:tblPr>
        <w:tblW w:w="91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720"/>
        <w:gridCol w:w="2760"/>
        <w:gridCol w:w="2640"/>
      </w:tblGrid>
      <w:tr w:rsidR="00B7400B" w:rsidRPr="00C83045" w14:paraId="32367E1C" w14:textId="77777777" w:rsidTr="00D4304B">
        <w:trPr>
          <w:cantSplit/>
          <w:trHeight w:val="256"/>
        </w:trPr>
        <w:tc>
          <w:tcPr>
            <w:tcW w:w="3720" w:type="dxa"/>
            <w:tcBorders>
              <w:top w:val="single" w:sz="4" w:space="0" w:color="auto"/>
              <w:left w:val="single" w:sz="4" w:space="0" w:color="auto"/>
              <w:bottom w:val="nil"/>
              <w:right w:val="nil"/>
            </w:tcBorders>
          </w:tcPr>
          <w:p w14:paraId="32367E19" w14:textId="77777777" w:rsidR="00B7400B" w:rsidRPr="00C83045" w:rsidRDefault="00B7400B" w:rsidP="00D4304B">
            <w:pPr>
              <w:keepNext/>
              <w:keepLines/>
              <w:widowControl w:val="0"/>
              <w:ind w:left="0" w:firstLine="0"/>
              <w:rPr>
                <w:i/>
                <w:snapToGrid w:val="0"/>
                <w:color w:val="000000"/>
                <w:szCs w:val="22"/>
              </w:rPr>
            </w:pPr>
          </w:p>
        </w:tc>
        <w:tc>
          <w:tcPr>
            <w:tcW w:w="2760" w:type="dxa"/>
            <w:tcBorders>
              <w:top w:val="single" w:sz="4" w:space="0" w:color="auto"/>
              <w:left w:val="nil"/>
              <w:bottom w:val="nil"/>
              <w:right w:val="nil"/>
            </w:tcBorders>
          </w:tcPr>
          <w:p w14:paraId="32367E1A" w14:textId="77777777" w:rsidR="00B7400B" w:rsidRPr="00C83045" w:rsidRDefault="00B7400B" w:rsidP="00D4304B">
            <w:pPr>
              <w:keepNext/>
              <w:keepLines/>
              <w:widowControl w:val="0"/>
              <w:ind w:left="0" w:firstLine="0"/>
              <w:jc w:val="center"/>
              <w:rPr>
                <w:b/>
                <w:snapToGrid w:val="0"/>
                <w:color w:val="000000"/>
                <w:szCs w:val="22"/>
              </w:rPr>
            </w:pPr>
            <w:r w:rsidRPr="00C83045">
              <w:rPr>
                <w:b/>
                <w:snapToGrid w:val="0"/>
                <w:color w:val="000000"/>
                <w:szCs w:val="22"/>
              </w:rPr>
              <w:t>Glivec</w:t>
            </w:r>
          </w:p>
        </w:tc>
        <w:tc>
          <w:tcPr>
            <w:tcW w:w="2640" w:type="dxa"/>
            <w:tcBorders>
              <w:top w:val="single" w:sz="4" w:space="0" w:color="auto"/>
              <w:left w:val="nil"/>
              <w:bottom w:val="nil"/>
              <w:right w:val="single" w:sz="4" w:space="0" w:color="auto"/>
            </w:tcBorders>
          </w:tcPr>
          <w:p w14:paraId="32367E1B" w14:textId="77777777" w:rsidR="00B7400B" w:rsidRPr="00C83045" w:rsidRDefault="00B7400B" w:rsidP="00D4304B">
            <w:pPr>
              <w:keepNext/>
              <w:keepLines/>
              <w:widowControl w:val="0"/>
              <w:ind w:left="0" w:firstLine="0"/>
              <w:jc w:val="center"/>
              <w:rPr>
                <w:b/>
                <w:snapToGrid w:val="0"/>
                <w:color w:val="000000"/>
                <w:szCs w:val="22"/>
              </w:rPr>
            </w:pPr>
            <w:r w:rsidRPr="00C83045">
              <w:rPr>
                <w:b/>
                <w:snapToGrid w:val="0"/>
                <w:color w:val="000000"/>
                <w:szCs w:val="22"/>
              </w:rPr>
              <w:t>IFN+Ara-C</w:t>
            </w:r>
          </w:p>
        </w:tc>
      </w:tr>
      <w:tr w:rsidR="00B7400B" w:rsidRPr="00C83045" w14:paraId="32367E20" w14:textId="77777777" w:rsidTr="00D4304B">
        <w:trPr>
          <w:cantSplit/>
          <w:trHeight w:val="255"/>
        </w:trPr>
        <w:tc>
          <w:tcPr>
            <w:tcW w:w="3720" w:type="dxa"/>
            <w:tcBorders>
              <w:top w:val="nil"/>
              <w:left w:val="single" w:sz="4" w:space="0" w:color="auto"/>
              <w:bottom w:val="single" w:sz="4" w:space="0" w:color="auto"/>
              <w:right w:val="nil"/>
            </w:tcBorders>
          </w:tcPr>
          <w:p w14:paraId="32367E1D" w14:textId="77777777" w:rsidR="00B7400B" w:rsidRPr="00C83045" w:rsidRDefault="00B7400B" w:rsidP="00D4304B">
            <w:pPr>
              <w:keepNext/>
              <w:keepLines/>
              <w:widowControl w:val="0"/>
              <w:ind w:left="0" w:firstLine="0"/>
              <w:rPr>
                <w:b/>
                <w:snapToGrid w:val="0"/>
                <w:color w:val="000000"/>
                <w:szCs w:val="22"/>
              </w:rPr>
            </w:pPr>
            <w:r w:rsidRPr="00C83045">
              <w:rPr>
                <w:b/>
                <w:snapToGrid w:val="0"/>
                <w:color w:val="000000"/>
                <w:szCs w:val="22"/>
              </w:rPr>
              <w:t>(Najlepší stupeň odpovede)</w:t>
            </w:r>
          </w:p>
        </w:tc>
        <w:tc>
          <w:tcPr>
            <w:tcW w:w="2760" w:type="dxa"/>
            <w:tcBorders>
              <w:top w:val="nil"/>
              <w:left w:val="nil"/>
              <w:bottom w:val="single" w:sz="4" w:space="0" w:color="auto"/>
              <w:right w:val="nil"/>
            </w:tcBorders>
          </w:tcPr>
          <w:p w14:paraId="32367E1E" w14:textId="77777777" w:rsidR="00B7400B" w:rsidRPr="00C83045" w:rsidRDefault="00B7400B" w:rsidP="00D4304B">
            <w:pPr>
              <w:keepNext/>
              <w:keepLines/>
              <w:widowControl w:val="0"/>
              <w:ind w:left="0" w:firstLine="0"/>
              <w:jc w:val="center"/>
              <w:rPr>
                <w:i/>
                <w:snapToGrid w:val="0"/>
                <w:color w:val="000000"/>
                <w:szCs w:val="22"/>
              </w:rPr>
            </w:pPr>
            <w:r w:rsidRPr="00C83045">
              <w:rPr>
                <w:snapToGrid w:val="0"/>
                <w:color w:val="000000"/>
                <w:szCs w:val="22"/>
              </w:rPr>
              <w:t>n=553</w:t>
            </w:r>
          </w:p>
        </w:tc>
        <w:tc>
          <w:tcPr>
            <w:tcW w:w="2640" w:type="dxa"/>
            <w:tcBorders>
              <w:top w:val="nil"/>
              <w:left w:val="nil"/>
              <w:bottom w:val="single" w:sz="4" w:space="0" w:color="auto"/>
              <w:right w:val="single" w:sz="4" w:space="0" w:color="auto"/>
            </w:tcBorders>
          </w:tcPr>
          <w:p w14:paraId="32367E1F" w14:textId="77777777" w:rsidR="00B7400B" w:rsidRPr="00C83045" w:rsidRDefault="00B7400B" w:rsidP="00D4304B">
            <w:pPr>
              <w:keepNext/>
              <w:keepLines/>
              <w:widowControl w:val="0"/>
              <w:ind w:left="0" w:firstLine="0"/>
              <w:jc w:val="center"/>
              <w:rPr>
                <w:i/>
                <w:snapToGrid w:val="0"/>
                <w:color w:val="000000"/>
                <w:szCs w:val="22"/>
              </w:rPr>
            </w:pPr>
            <w:r w:rsidRPr="00C83045">
              <w:rPr>
                <w:snapToGrid w:val="0"/>
                <w:color w:val="000000"/>
                <w:szCs w:val="22"/>
              </w:rPr>
              <w:t>n=553</w:t>
            </w:r>
          </w:p>
        </w:tc>
      </w:tr>
      <w:tr w:rsidR="00B7400B" w:rsidRPr="00C83045" w14:paraId="32367E24" w14:textId="77777777" w:rsidTr="00D4304B">
        <w:trPr>
          <w:cantSplit/>
          <w:trHeight w:val="247"/>
        </w:trPr>
        <w:tc>
          <w:tcPr>
            <w:tcW w:w="3720" w:type="dxa"/>
            <w:tcBorders>
              <w:top w:val="single" w:sz="4" w:space="0" w:color="auto"/>
              <w:left w:val="single" w:sz="4" w:space="0" w:color="auto"/>
              <w:bottom w:val="nil"/>
              <w:right w:val="nil"/>
            </w:tcBorders>
          </w:tcPr>
          <w:p w14:paraId="32367E21" w14:textId="77777777" w:rsidR="00B7400B" w:rsidRPr="00C83045" w:rsidRDefault="00B7400B" w:rsidP="00D4304B">
            <w:pPr>
              <w:keepNext/>
              <w:keepLines/>
              <w:widowControl w:val="0"/>
              <w:ind w:left="0" w:firstLine="0"/>
              <w:rPr>
                <w:b/>
                <w:snapToGrid w:val="0"/>
                <w:color w:val="000000"/>
                <w:szCs w:val="22"/>
              </w:rPr>
            </w:pPr>
            <w:r w:rsidRPr="00C83045">
              <w:rPr>
                <w:b/>
                <w:snapToGrid w:val="0"/>
                <w:color w:val="000000"/>
                <w:szCs w:val="22"/>
              </w:rPr>
              <w:t>Hematologická odpoveď</w:t>
            </w:r>
          </w:p>
        </w:tc>
        <w:tc>
          <w:tcPr>
            <w:tcW w:w="2760" w:type="dxa"/>
            <w:tcBorders>
              <w:top w:val="single" w:sz="4" w:space="0" w:color="auto"/>
              <w:left w:val="nil"/>
              <w:bottom w:val="nil"/>
              <w:right w:val="nil"/>
            </w:tcBorders>
          </w:tcPr>
          <w:p w14:paraId="32367E22" w14:textId="77777777" w:rsidR="00B7400B" w:rsidRPr="00C83045" w:rsidRDefault="00B7400B" w:rsidP="00D4304B">
            <w:pPr>
              <w:keepNext/>
              <w:keepLines/>
              <w:widowControl w:val="0"/>
              <w:ind w:left="0" w:firstLine="0"/>
              <w:rPr>
                <w:snapToGrid w:val="0"/>
                <w:color w:val="000000"/>
                <w:szCs w:val="22"/>
              </w:rPr>
            </w:pPr>
          </w:p>
        </w:tc>
        <w:tc>
          <w:tcPr>
            <w:tcW w:w="2640" w:type="dxa"/>
            <w:tcBorders>
              <w:top w:val="single" w:sz="4" w:space="0" w:color="auto"/>
              <w:left w:val="nil"/>
              <w:bottom w:val="nil"/>
              <w:right w:val="single" w:sz="4" w:space="0" w:color="auto"/>
            </w:tcBorders>
          </w:tcPr>
          <w:p w14:paraId="32367E23" w14:textId="77777777" w:rsidR="00B7400B" w:rsidRPr="00C83045" w:rsidRDefault="00B7400B" w:rsidP="00D4304B">
            <w:pPr>
              <w:keepNext/>
              <w:keepLines/>
              <w:widowControl w:val="0"/>
              <w:ind w:left="0" w:firstLine="0"/>
              <w:rPr>
                <w:i/>
                <w:snapToGrid w:val="0"/>
                <w:color w:val="000000"/>
                <w:szCs w:val="22"/>
              </w:rPr>
            </w:pPr>
          </w:p>
        </w:tc>
      </w:tr>
      <w:tr w:rsidR="009246C7" w:rsidRPr="00C83045" w14:paraId="32367E28" w14:textId="77777777" w:rsidTr="00D4304B">
        <w:trPr>
          <w:cantSplit/>
          <w:trHeight w:val="247"/>
        </w:trPr>
        <w:tc>
          <w:tcPr>
            <w:tcW w:w="3720" w:type="dxa"/>
            <w:tcBorders>
              <w:top w:val="nil"/>
              <w:left w:val="single" w:sz="4" w:space="0" w:color="auto"/>
              <w:bottom w:val="nil"/>
              <w:right w:val="nil"/>
            </w:tcBorders>
          </w:tcPr>
          <w:p w14:paraId="32367E25" w14:textId="77777777" w:rsidR="009246C7" w:rsidRPr="00C83045" w:rsidRDefault="009246C7" w:rsidP="00D4304B">
            <w:pPr>
              <w:keepNext/>
              <w:keepLines/>
              <w:widowControl w:val="0"/>
              <w:ind w:left="0" w:firstLine="0"/>
              <w:rPr>
                <w:snapToGrid w:val="0"/>
                <w:color w:val="000000"/>
                <w:szCs w:val="22"/>
              </w:rPr>
            </w:pPr>
            <w:r w:rsidRPr="00C83045">
              <w:rPr>
                <w:snapToGrid w:val="0"/>
                <w:color w:val="000000"/>
                <w:szCs w:val="22"/>
              </w:rPr>
              <w:t xml:space="preserve">Podiel </w:t>
            </w:r>
            <w:smartTag w:uri="urn:schemas-microsoft-com:office:smarttags" w:element="stockticker">
              <w:r w:rsidRPr="00C83045">
                <w:rPr>
                  <w:snapToGrid w:val="0"/>
                  <w:color w:val="000000"/>
                  <w:szCs w:val="22"/>
                </w:rPr>
                <w:t>CHR</w:t>
              </w:r>
            </w:smartTag>
            <w:r w:rsidRPr="00C83045">
              <w:rPr>
                <w:snapToGrid w:val="0"/>
                <w:color w:val="000000"/>
                <w:szCs w:val="22"/>
              </w:rPr>
              <w:t xml:space="preserve"> n (%) </w:t>
            </w:r>
          </w:p>
        </w:tc>
        <w:tc>
          <w:tcPr>
            <w:tcW w:w="2760" w:type="dxa"/>
            <w:tcBorders>
              <w:top w:val="nil"/>
              <w:left w:val="nil"/>
              <w:bottom w:val="nil"/>
              <w:right w:val="nil"/>
            </w:tcBorders>
          </w:tcPr>
          <w:p w14:paraId="32367E26" w14:textId="77777777" w:rsidR="009246C7" w:rsidRPr="00C83045" w:rsidRDefault="009246C7" w:rsidP="00D4304B">
            <w:pPr>
              <w:keepNext/>
              <w:keepLines/>
              <w:widowControl w:val="0"/>
              <w:ind w:left="0" w:firstLine="0"/>
              <w:jc w:val="center"/>
              <w:rPr>
                <w:snapToGrid w:val="0"/>
                <w:color w:val="000000"/>
                <w:szCs w:val="22"/>
              </w:rPr>
            </w:pPr>
            <w:r w:rsidRPr="00C83045">
              <w:rPr>
                <w:color w:val="000000"/>
                <w:szCs w:val="22"/>
              </w:rPr>
              <w:t>534 (96,6%)*</w:t>
            </w:r>
          </w:p>
        </w:tc>
        <w:tc>
          <w:tcPr>
            <w:tcW w:w="2640" w:type="dxa"/>
            <w:tcBorders>
              <w:top w:val="nil"/>
              <w:left w:val="nil"/>
              <w:bottom w:val="nil"/>
            </w:tcBorders>
          </w:tcPr>
          <w:p w14:paraId="32367E27" w14:textId="77777777" w:rsidR="009246C7" w:rsidRPr="00C83045" w:rsidRDefault="009246C7" w:rsidP="00D4304B">
            <w:pPr>
              <w:keepNext/>
              <w:keepLines/>
              <w:widowControl w:val="0"/>
              <w:ind w:left="0" w:firstLine="0"/>
              <w:jc w:val="center"/>
              <w:rPr>
                <w:snapToGrid w:val="0"/>
                <w:color w:val="000000"/>
                <w:szCs w:val="22"/>
              </w:rPr>
            </w:pPr>
            <w:r w:rsidRPr="00C83045">
              <w:rPr>
                <w:color w:val="000000"/>
                <w:szCs w:val="22"/>
              </w:rPr>
              <w:t>313 (56,6%)*</w:t>
            </w:r>
          </w:p>
        </w:tc>
      </w:tr>
      <w:tr w:rsidR="009246C7" w:rsidRPr="00C83045" w14:paraId="32367E2C" w14:textId="77777777" w:rsidTr="00D4304B">
        <w:trPr>
          <w:cantSplit/>
          <w:trHeight w:val="247"/>
        </w:trPr>
        <w:tc>
          <w:tcPr>
            <w:tcW w:w="3720" w:type="dxa"/>
            <w:tcBorders>
              <w:top w:val="nil"/>
              <w:left w:val="single" w:sz="4" w:space="0" w:color="auto"/>
              <w:bottom w:val="nil"/>
              <w:right w:val="nil"/>
            </w:tcBorders>
          </w:tcPr>
          <w:p w14:paraId="32367E29" w14:textId="77777777" w:rsidR="009246C7" w:rsidRPr="00C83045" w:rsidRDefault="009246C7" w:rsidP="00D4304B">
            <w:pPr>
              <w:keepNext/>
              <w:keepLines/>
              <w:widowControl w:val="0"/>
              <w:tabs>
                <w:tab w:val="left" w:pos="301"/>
              </w:tabs>
              <w:ind w:left="0" w:firstLine="0"/>
              <w:rPr>
                <w:snapToGrid w:val="0"/>
                <w:color w:val="000000"/>
                <w:szCs w:val="22"/>
              </w:rPr>
            </w:pPr>
            <w:r w:rsidRPr="00C83045">
              <w:rPr>
                <w:color w:val="000000"/>
                <w:szCs w:val="22"/>
              </w:rPr>
              <w:tab/>
              <w:t>[95% CI]</w:t>
            </w:r>
          </w:p>
        </w:tc>
        <w:tc>
          <w:tcPr>
            <w:tcW w:w="2760" w:type="dxa"/>
            <w:tcBorders>
              <w:top w:val="nil"/>
              <w:left w:val="nil"/>
              <w:bottom w:val="nil"/>
              <w:right w:val="nil"/>
            </w:tcBorders>
          </w:tcPr>
          <w:p w14:paraId="32367E2A" w14:textId="77777777" w:rsidR="009246C7" w:rsidRPr="00C83045" w:rsidRDefault="009246C7" w:rsidP="00D4304B">
            <w:pPr>
              <w:keepNext/>
              <w:keepLines/>
              <w:widowControl w:val="0"/>
              <w:ind w:left="0" w:firstLine="0"/>
              <w:jc w:val="center"/>
              <w:rPr>
                <w:snapToGrid w:val="0"/>
                <w:color w:val="000000"/>
                <w:szCs w:val="22"/>
              </w:rPr>
            </w:pPr>
            <w:r w:rsidRPr="00C83045">
              <w:rPr>
                <w:color w:val="000000"/>
                <w:szCs w:val="22"/>
              </w:rPr>
              <w:t>[94,7%, 97,9%]</w:t>
            </w:r>
          </w:p>
        </w:tc>
        <w:tc>
          <w:tcPr>
            <w:tcW w:w="2640" w:type="dxa"/>
            <w:tcBorders>
              <w:top w:val="nil"/>
              <w:left w:val="nil"/>
              <w:bottom w:val="nil"/>
            </w:tcBorders>
          </w:tcPr>
          <w:p w14:paraId="32367E2B" w14:textId="77777777" w:rsidR="009246C7" w:rsidRPr="00C83045" w:rsidRDefault="009246C7" w:rsidP="00D4304B">
            <w:pPr>
              <w:keepNext/>
              <w:keepLines/>
              <w:widowControl w:val="0"/>
              <w:ind w:left="0" w:firstLine="0"/>
              <w:jc w:val="center"/>
              <w:rPr>
                <w:snapToGrid w:val="0"/>
                <w:color w:val="000000"/>
                <w:szCs w:val="22"/>
              </w:rPr>
            </w:pPr>
            <w:r w:rsidRPr="00C83045">
              <w:rPr>
                <w:color w:val="000000"/>
                <w:szCs w:val="22"/>
              </w:rPr>
              <w:t>[52,4%, 60,8%]</w:t>
            </w:r>
          </w:p>
        </w:tc>
      </w:tr>
      <w:tr w:rsidR="009246C7" w:rsidRPr="00C83045" w14:paraId="32367E30" w14:textId="77777777" w:rsidTr="00D4304B">
        <w:trPr>
          <w:cantSplit/>
          <w:trHeight w:val="20"/>
        </w:trPr>
        <w:tc>
          <w:tcPr>
            <w:tcW w:w="3720" w:type="dxa"/>
            <w:tcBorders>
              <w:top w:val="nil"/>
              <w:bottom w:val="nil"/>
              <w:right w:val="nil"/>
            </w:tcBorders>
          </w:tcPr>
          <w:p w14:paraId="32367E2D" w14:textId="77777777" w:rsidR="009246C7" w:rsidRPr="00C83045" w:rsidRDefault="009246C7" w:rsidP="00D4304B">
            <w:pPr>
              <w:keepNext/>
              <w:keepLines/>
              <w:widowControl w:val="0"/>
              <w:ind w:left="0" w:firstLine="0"/>
              <w:rPr>
                <w:snapToGrid w:val="0"/>
                <w:color w:val="000000"/>
                <w:szCs w:val="22"/>
              </w:rPr>
            </w:pPr>
          </w:p>
        </w:tc>
        <w:tc>
          <w:tcPr>
            <w:tcW w:w="2760" w:type="dxa"/>
            <w:tcBorders>
              <w:top w:val="nil"/>
              <w:left w:val="nil"/>
              <w:bottom w:val="nil"/>
              <w:right w:val="nil"/>
            </w:tcBorders>
          </w:tcPr>
          <w:p w14:paraId="32367E2E" w14:textId="77777777" w:rsidR="009246C7" w:rsidRPr="00C83045" w:rsidRDefault="009246C7" w:rsidP="00D4304B">
            <w:pPr>
              <w:keepNext/>
              <w:keepLines/>
              <w:widowControl w:val="0"/>
              <w:ind w:left="0" w:firstLine="0"/>
              <w:rPr>
                <w:snapToGrid w:val="0"/>
                <w:color w:val="000000"/>
                <w:szCs w:val="22"/>
              </w:rPr>
            </w:pPr>
          </w:p>
        </w:tc>
        <w:tc>
          <w:tcPr>
            <w:tcW w:w="2640" w:type="dxa"/>
            <w:tcBorders>
              <w:top w:val="nil"/>
              <w:left w:val="nil"/>
              <w:bottom w:val="nil"/>
            </w:tcBorders>
          </w:tcPr>
          <w:p w14:paraId="32367E2F" w14:textId="77777777" w:rsidR="009246C7" w:rsidRPr="00C83045" w:rsidRDefault="009246C7" w:rsidP="00D4304B">
            <w:pPr>
              <w:keepNext/>
              <w:keepLines/>
              <w:widowControl w:val="0"/>
              <w:ind w:left="0" w:firstLine="0"/>
              <w:rPr>
                <w:snapToGrid w:val="0"/>
                <w:color w:val="000000"/>
                <w:szCs w:val="22"/>
              </w:rPr>
            </w:pPr>
          </w:p>
        </w:tc>
      </w:tr>
      <w:tr w:rsidR="009246C7" w:rsidRPr="00C83045" w14:paraId="32367E34" w14:textId="77777777" w:rsidTr="00D4304B">
        <w:trPr>
          <w:cantSplit/>
          <w:trHeight w:val="20"/>
        </w:trPr>
        <w:tc>
          <w:tcPr>
            <w:tcW w:w="3720" w:type="dxa"/>
            <w:tcBorders>
              <w:top w:val="nil"/>
              <w:bottom w:val="nil"/>
              <w:right w:val="nil"/>
            </w:tcBorders>
          </w:tcPr>
          <w:p w14:paraId="32367E31" w14:textId="77777777" w:rsidR="009246C7" w:rsidRPr="00C83045" w:rsidRDefault="009246C7" w:rsidP="00D4304B">
            <w:pPr>
              <w:keepNext/>
              <w:keepLines/>
              <w:widowControl w:val="0"/>
              <w:ind w:left="0" w:firstLine="0"/>
              <w:rPr>
                <w:b/>
                <w:snapToGrid w:val="0"/>
                <w:color w:val="000000"/>
                <w:szCs w:val="22"/>
              </w:rPr>
            </w:pPr>
            <w:r w:rsidRPr="00C83045">
              <w:rPr>
                <w:b/>
                <w:snapToGrid w:val="0"/>
                <w:color w:val="000000"/>
                <w:szCs w:val="22"/>
              </w:rPr>
              <w:t>Cytogenetická odpoveď</w:t>
            </w:r>
          </w:p>
        </w:tc>
        <w:tc>
          <w:tcPr>
            <w:tcW w:w="2760" w:type="dxa"/>
            <w:tcBorders>
              <w:top w:val="nil"/>
              <w:left w:val="nil"/>
              <w:bottom w:val="nil"/>
              <w:right w:val="nil"/>
            </w:tcBorders>
          </w:tcPr>
          <w:p w14:paraId="32367E32" w14:textId="77777777" w:rsidR="009246C7" w:rsidRPr="00C83045" w:rsidRDefault="009246C7" w:rsidP="00D4304B">
            <w:pPr>
              <w:keepNext/>
              <w:keepLines/>
              <w:widowControl w:val="0"/>
              <w:ind w:left="0" w:firstLine="0"/>
              <w:rPr>
                <w:snapToGrid w:val="0"/>
                <w:color w:val="000000"/>
                <w:szCs w:val="22"/>
              </w:rPr>
            </w:pPr>
          </w:p>
        </w:tc>
        <w:tc>
          <w:tcPr>
            <w:tcW w:w="2640" w:type="dxa"/>
            <w:tcBorders>
              <w:top w:val="nil"/>
              <w:left w:val="nil"/>
              <w:bottom w:val="nil"/>
            </w:tcBorders>
          </w:tcPr>
          <w:p w14:paraId="32367E33" w14:textId="77777777" w:rsidR="009246C7" w:rsidRPr="00C83045" w:rsidRDefault="009246C7" w:rsidP="00D4304B">
            <w:pPr>
              <w:keepNext/>
              <w:keepLines/>
              <w:widowControl w:val="0"/>
              <w:ind w:left="0" w:firstLine="0"/>
              <w:rPr>
                <w:i/>
                <w:snapToGrid w:val="0"/>
                <w:color w:val="000000"/>
                <w:szCs w:val="22"/>
              </w:rPr>
            </w:pPr>
          </w:p>
        </w:tc>
      </w:tr>
      <w:tr w:rsidR="009246C7" w:rsidRPr="00C83045" w14:paraId="32367E38" w14:textId="77777777" w:rsidTr="00D4304B">
        <w:trPr>
          <w:cantSplit/>
          <w:trHeight w:val="20"/>
        </w:trPr>
        <w:tc>
          <w:tcPr>
            <w:tcW w:w="3720" w:type="dxa"/>
            <w:tcBorders>
              <w:top w:val="nil"/>
              <w:bottom w:val="nil"/>
              <w:right w:val="nil"/>
            </w:tcBorders>
          </w:tcPr>
          <w:p w14:paraId="32367E35" w14:textId="77777777" w:rsidR="009246C7" w:rsidRPr="00C83045" w:rsidRDefault="009246C7" w:rsidP="00D4304B">
            <w:pPr>
              <w:keepNext/>
              <w:keepLines/>
              <w:widowControl w:val="0"/>
              <w:ind w:left="0" w:firstLine="0"/>
              <w:rPr>
                <w:snapToGrid w:val="0"/>
                <w:color w:val="000000"/>
                <w:szCs w:val="22"/>
              </w:rPr>
            </w:pPr>
            <w:r w:rsidRPr="00C83045">
              <w:rPr>
                <w:snapToGrid w:val="0"/>
                <w:color w:val="000000"/>
                <w:szCs w:val="22"/>
              </w:rPr>
              <w:t>Veľká odpoveď n (%)</w:t>
            </w:r>
          </w:p>
        </w:tc>
        <w:tc>
          <w:tcPr>
            <w:tcW w:w="2760" w:type="dxa"/>
            <w:tcBorders>
              <w:top w:val="nil"/>
              <w:left w:val="nil"/>
              <w:bottom w:val="nil"/>
              <w:right w:val="nil"/>
            </w:tcBorders>
          </w:tcPr>
          <w:p w14:paraId="32367E36" w14:textId="77777777" w:rsidR="009246C7" w:rsidRPr="00C83045" w:rsidRDefault="009246C7" w:rsidP="00D4304B">
            <w:pPr>
              <w:keepNext/>
              <w:keepLines/>
              <w:widowControl w:val="0"/>
              <w:ind w:left="0" w:firstLine="0"/>
              <w:jc w:val="center"/>
              <w:rPr>
                <w:snapToGrid w:val="0"/>
                <w:color w:val="000000"/>
                <w:szCs w:val="22"/>
              </w:rPr>
            </w:pPr>
            <w:r w:rsidRPr="00C83045">
              <w:rPr>
                <w:color w:val="000000"/>
                <w:szCs w:val="22"/>
              </w:rPr>
              <w:t>490 (88,6%)*</w:t>
            </w:r>
          </w:p>
        </w:tc>
        <w:tc>
          <w:tcPr>
            <w:tcW w:w="2640" w:type="dxa"/>
            <w:tcBorders>
              <w:top w:val="nil"/>
              <w:left w:val="nil"/>
              <w:bottom w:val="nil"/>
            </w:tcBorders>
          </w:tcPr>
          <w:p w14:paraId="32367E37" w14:textId="77777777" w:rsidR="009246C7" w:rsidRPr="00C83045" w:rsidRDefault="009246C7" w:rsidP="00D4304B">
            <w:pPr>
              <w:keepNext/>
              <w:keepLines/>
              <w:widowControl w:val="0"/>
              <w:ind w:left="0" w:firstLine="0"/>
              <w:jc w:val="center"/>
              <w:rPr>
                <w:snapToGrid w:val="0"/>
                <w:color w:val="000000"/>
                <w:szCs w:val="22"/>
              </w:rPr>
            </w:pPr>
            <w:r w:rsidRPr="00C83045">
              <w:rPr>
                <w:color w:val="000000"/>
                <w:szCs w:val="22"/>
              </w:rPr>
              <w:t>129 (23,3%)*</w:t>
            </w:r>
          </w:p>
        </w:tc>
      </w:tr>
      <w:tr w:rsidR="009246C7" w:rsidRPr="00C83045" w14:paraId="32367E3C" w14:textId="77777777" w:rsidTr="00D4304B">
        <w:trPr>
          <w:cantSplit/>
          <w:trHeight w:val="20"/>
        </w:trPr>
        <w:tc>
          <w:tcPr>
            <w:tcW w:w="3720" w:type="dxa"/>
            <w:tcBorders>
              <w:top w:val="nil"/>
              <w:bottom w:val="nil"/>
              <w:right w:val="nil"/>
            </w:tcBorders>
          </w:tcPr>
          <w:p w14:paraId="32367E39" w14:textId="77777777" w:rsidR="009246C7" w:rsidRPr="00C83045" w:rsidRDefault="009246C7" w:rsidP="00D4304B">
            <w:pPr>
              <w:keepNext/>
              <w:keepLines/>
              <w:widowControl w:val="0"/>
              <w:tabs>
                <w:tab w:val="left" w:pos="301"/>
              </w:tabs>
              <w:ind w:left="0" w:firstLine="0"/>
              <w:rPr>
                <w:snapToGrid w:val="0"/>
                <w:color w:val="000000"/>
                <w:szCs w:val="22"/>
              </w:rPr>
            </w:pPr>
            <w:r w:rsidRPr="00C83045">
              <w:rPr>
                <w:color w:val="000000"/>
                <w:szCs w:val="22"/>
              </w:rPr>
              <w:tab/>
              <w:t>[95% CI]</w:t>
            </w:r>
          </w:p>
        </w:tc>
        <w:tc>
          <w:tcPr>
            <w:tcW w:w="2760" w:type="dxa"/>
            <w:tcBorders>
              <w:top w:val="nil"/>
              <w:left w:val="nil"/>
              <w:bottom w:val="nil"/>
              <w:right w:val="nil"/>
            </w:tcBorders>
          </w:tcPr>
          <w:p w14:paraId="32367E3A" w14:textId="77777777" w:rsidR="009246C7" w:rsidRPr="00C83045" w:rsidRDefault="009246C7" w:rsidP="00D4304B">
            <w:pPr>
              <w:keepNext/>
              <w:keepLines/>
              <w:widowControl w:val="0"/>
              <w:ind w:left="0" w:firstLine="0"/>
              <w:jc w:val="center"/>
              <w:rPr>
                <w:snapToGrid w:val="0"/>
                <w:color w:val="000000"/>
                <w:szCs w:val="22"/>
              </w:rPr>
            </w:pPr>
            <w:r w:rsidRPr="00C83045">
              <w:rPr>
                <w:color w:val="000000"/>
                <w:szCs w:val="22"/>
              </w:rPr>
              <w:t>[85,7%, 91,1%]</w:t>
            </w:r>
          </w:p>
        </w:tc>
        <w:tc>
          <w:tcPr>
            <w:tcW w:w="2640" w:type="dxa"/>
            <w:tcBorders>
              <w:top w:val="nil"/>
              <w:left w:val="nil"/>
              <w:bottom w:val="nil"/>
            </w:tcBorders>
          </w:tcPr>
          <w:p w14:paraId="32367E3B" w14:textId="77777777" w:rsidR="009246C7" w:rsidRPr="00C83045" w:rsidRDefault="009246C7" w:rsidP="00D4304B">
            <w:pPr>
              <w:keepNext/>
              <w:keepLines/>
              <w:widowControl w:val="0"/>
              <w:ind w:left="0" w:firstLine="0"/>
              <w:jc w:val="center"/>
              <w:rPr>
                <w:snapToGrid w:val="0"/>
                <w:color w:val="000000"/>
                <w:szCs w:val="22"/>
              </w:rPr>
            </w:pPr>
            <w:r w:rsidRPr="00C83045">
              <w:rPr>
                <w:color w:val="000000"/>
                <w:szCs w:val="22"/>
              </w:rPr>
              <w:t>[19,9%, 27,1%]</w:t>
            </w:r>
          </w:p>
        </w:tc>
      </w:tr>
      <w:tr w:rsidR="00C553DF" w:rsidRPr="00C83045" w14:paraId="32367E40" w14:textId="77777777" w:rsidTr="00D4304B">
        <w:trPr>
          <w:cantSplit/>
          <w:trHeight w:val="20"/>
        </w:trPr>
        <w:tc>
          <w:tcPr>
            <w:tcW w:w="3720" w:type="dxa"/>
            <w:tcBorders>
              <w:top w:val="nil"/>
              <w:bottom w:val="nil"/>
              <w:right w:val="nil"/>
            </w:tcBorders>
          </w:tcPr>
          <w:p w14:paraId="32367E3D" w14:textId="77777777" w:rsidR="00C553DF" w:rsidRPr="00C83045" w:rsidRDefault="00C553DF" w:rsidP="00D4304B">
            <w:pPr>
              <w:keepNext/>
              <w:keepLines/>
              <w:widowControl w:val="0"/>
              <w:tabs>
                <w:tab w:val="left" w:pos="301"/>
                <w:tab w:val="left" w:pos="330"/>
              </w:tabs>
              <w:ind w:left="0" w:firstLine="0"/>
              <w:rPr>
                <w:snapToGrid w:val="0"/>
                <w:color w:val="000000"/>
                <w:szCs w:val="22"/>
              </w:rPr>
            </w:pPr>
            <w:r w:rsidRPr="00C83045">
              <w:rPr>
                <w:color w:val="000000"/>
                <w:szCs w:val="22"/>
              </w:rPr>
              <w:tab/>
            </w:r>
            <w:r w:rsidRPr="00C83045">
              <w:rPr>
                <w:snapToGrid w:val="0"/>
                <w:color w:val="000000"/>
                <w:szCs w:val="22"/>
              </w:rPr>
              <w:t>Kompletná CyR n (%)</w:t>
            </w:r>
          </w:p>
        </w:tc>
        <w:tc>
          <w:tcPr>
            <w:tcW w:w="2760" w:type="dxa"/>
            <w:tcBorders>
              <w:top w:val="nil"/>
              <w:left w:val="nil"/>
              <w:bottom w:val="nil"/>
              <w:right w:val="nil"/>
            </w:tcBorders>
          </w:tcPr>
          <w:p w14:paraId="32367E3E" w14:textId="77777777" w:rsidR="00C553DF" w:rsidRPr="00C83045" w:rsidRDefault="00C553DF" w:rsidP="00D4304B">
            <w:pPr>
              <w:keepNext/>
              <w:keepLines/>
              <w:widowControl w:val="0"/>
              <w:ind w:left="-150" w:firstLine="0"/>
              <w:jc w:val="center"/>
              <w:rPr>
                <w:snapToGrid w:val="0"/>
                <w:color w:val="000000"/>
                <w:szCs w:val="22"/>
              </w:rPr>
            </w:pPr>
            <w:r w:rsidRPr="00C83045">
              <w:rPr>
                <w:color w:val="000000"/>
                <w:szCs w:val="22"/>
              </w:rPr>
              <w:t>456 (82,5%)*</w:t>
            </w:r>
          </w:p>
        </w:tc>
        <w:tc>
          <w:tcPr>
            <w:tcW w:w="2640" w:type="dxa"/>
            <w:tcBorders>
              <w:top w:val="nil"/>
              <w:left w:val="nil"/>
              <w:bottom w:val="nil"/>
            </w:tcBorders>
          </w:tcPr>
          <w:p w14:paraId="32367E3F" w14:textId="77777777" w:rsidR="00C553DF" w:rsidRPr="00C83045" w:rsidRDefault="00C553DF" w:rsidP="00D4304B">
            <w:pPr>
              <w:keepNext/>
              <w:keepLines/>
              <w:widowControl w:val="0"/>
              <w:ind w:left="0" w:firstLine="0"/>
              <w:jc w:val="center"/>
              <w:rPr>
                <w:snapToGrid w:val="0"/>
                <w:color w:val="000000"/>
                <w:szCs w:val="22"/>
              </w:rPr>
            </w:pPr>
            <w:r w:rsidRPr="00C83045">
              <w:rPr>
                <w:color w:val="000000"/>
                <w:szCs w:val="22"/>
              </w:rPr>
              <w:t>64 (11,6%)*</w:t>
            </w:r>
          </w:p>
        </w:tc>
      </w:tr>
      <w:tr w:rsidR="00C553DF" w:rsidRPr="00C83045" w14:paraId="32367E44" w14:textId="77777777" w:rsidTr="00D4304B">
        <w:trPr>
          <w:cantSplit/>
          <w:trHeight w:val="20"/>
        </w:trPr>
        <w:tc>
          <w:tcPr>
            <w:tcW w:w="3720" w:type="dxa"/>
            <w:tcBorders>
              <w:top w:val="nil"/>
              <w:left w:val="single" w:sz="4" w:space="0" w:color="auto"/>
              <w:bottom w:val="nil"/>
              <w:right w:val="nil"/>
            </w:tcBorders>
          </w:tcPr>
          <w:p w14:paraId="32367E41" w14:textId="77777777" w:rsidR="00C553DF" w:rsidRPr="00C83045" w:rsidRDefault="00C553DF" w:rsidP="00D4304B">
            <w:pPr>
              <w:keepNext/>
              <w:keepLines/>
              <w:widowControl w:val="0"/>
              <w:tabs>
                <w:tab w:val="left" w:pos="301"/>
                <w:tab w:val="left" w:pos="330"/>
              </w:tabs>
              <w:ind w:left="0" w:firstLine="0"/>
              <w:rPr>
                <w:snapToGrid w:val="0"/>
                <w:color w:val="000000"/>
                <w:szCs w:val="22"/>
              </w:rPr>
            </w:pPr>
            <w:r w:rsidRPr="00C83045">
              <w:rPr>
                <w:color w:val="000000"/>
                <w:szCs w:val="22"/>
              </w:rPr>
              <w:tab/>
            </w:r>
            <w:r w:rsidRPr="00C83045">
              <w:rPr>
                <w:snapToGrid w:val="0"/>
                <w:color w:val="000000"/>
                <w:szCs w:val="22"/>
              </w:rPr>
              <w:t>Čiastočná CyR n (%)</w:t>
            </w:r>
          </w:p>
        </w:tc>
        <w:tc>
          <w:tcPr>
            <w:tcW w:w="2760" w:type="dxa"/>
            <w:tcBorders>
              <w:top w:val="nil"/>
              <w:left w:val="nil"/>
              <w:bottom w:val="nil"/>
              <w:right w:val="nil"/>
            </w:tcBorders>
          </w:tcPr>
          <w:p w14:paraId="32367E42" w14:textId="77777777" w:rsidR="00C553DF" w:rsidRPr="00C83045" w:rsidRDefault="00C553DF" w:rsidP="00D4304B">
            <w:pPr>
              <w:keepNext/>
              <w:keepLines/>
              <w:widowControl w:val="0"/>
              <w:ind w:left="0" w:firstLine="0"/>
              <w:jc w:val="center"/>
              <w:rPr>
                <w:snapToGrid w:val="0"/>
                <w:color w:val="000000"/>
                <w:szCs w:val="22"/>
              </w:rPr>
            </w:pPr>
            <w:r w:rsidRPr="00C83045">
              <w:rPr>
                <w:color w:val="000000"/>
                <w:szCs w:val="22"/>
              </w:rPr>
              <w:t>34 (6,1%)</w:t>
            </w:r>
          </w:p>
        </w:tc>
        <w:tc>
          <w:tcPr>
            <w:tcW w:w="2640" w:type="dxa"/>
            <w:tcBorders>
              <w:top w:val="nil"/>
              <w:left w:val="nil"/>
              <w:bottom w:val="nil"/>
              <w:right w:val="single" w:sz="4" w:space="0" w:color="auto"/>
            </w:tcBorders>
          </w:tcPr>
          <w:p w14:paraId="32367E43" w14:textId="77777777" w:rsidR="00C553DF" w:rsidRPr="00C83045" w:rsidRDefault="00C553DF" w:rsidP="00D4304B">
            <w:pPr>
              <w:keepNext/>
              <w:keepLines/>
              <w:widowControl w:val="0"/>
              <w:ind w:left="0" w:firstLine="0"/>
              <w:jc w:val="center"/>
              <w:rPr>
                <w:snapToGrid w:val="0"/>
                <w:color w:val="000000"/>
                <w:szCs w:val="22"/>
              </w:rPr>
            </w:pPr>
            <w:r w:rsidRPr="00C83045">
              <w:rPr>
                <w:color w:val="000000"/>
                <w:szCs w:val="22"/>
              </w:rPr>
              <w:t>65 (11,8%)</w:t>
            </w:r>
          </w:p>
        </w:tc>
      </w:tr>
      <w:tr w:rsidR="00B7400B" w:rsidRPr="00C83045" w14:paraId="32367E48" w14:textId="77777777" w:rsidTr="00D4304B">
        <w:trPr>
          <w:cantSplit/>
          <w:trHeight w:val="20"/>
        </w:trPr>
        <w:tc>
          <w:tcPr>
            <w:tcW w:w="3720" w:type="dxa"/>
            <w:tcBorders>
              <w:top w:val="nil"/>
              <w:left w:val="single" w:sz="4" w:space="0" w:color="auto"/>
              <w:bottom w:val="nil"/>
              <w:right w:val="nil"/>
            </w:tcBorders>
          </w:tcPr>
          <w:p w14:paraId="32367E45" w14:textId="77777777" w:rsidR="00B7400B" w:rsidRPr="00C83045" w:rsidRDefault="00B7400B" w:rsidP="00D4304B">
            <w:pPr>
              <w:keepNext/>
              <w:keepLines/>
              <w:widowControl w:val="0"/>
              <w:tabs>
                <w:tab w:val="left" w:pos="301"/>
                <w:tab w:val="left" w:pos="330"/>
              </w:tabs>
              <w:ind w:left="0" w:firstLine="0"/>
              <w:rPr>
                <w:color w:val="000000"/>
                <w:szCs w:val="22"/>
              </w:rPr>
            </w:pPr>
          </w:p>
        </w:tc>
        <w:tc>
          <w:tcPr>
            <w:tcW w:w="2760" w:type="dxa"/>
            <w:tcBorders>
              <w:top w:val="nil"/>
              <w:left w:val="nil"/>
              <w:bottom w:val="nil"/>
              <w:right w:val="nil"/>
            </w:tcBorders>
          </w:tcPr>
          <w:p w14:paraId="32367E46" w14:textId="77777777" w:rsidR="00B7400B" w:rsidRPr="00C83045" w:rsidRDefault="00B7400B" w:rsidP="00D4304B">
            <w:pPr>
              <w:keepNext/>
              <w:keepLines/>
              <w:widowControl w:val="0"/>
              <w:ind w:left="0" w:firstLine="0"/>
              <w:jc w:val="center"/>
              <w:rPr>
                <w:color w:val="000000"/>
                <w:szCs w:val="22"/>
              </w:rPr>
            </w:pPr>
          </w:p>
        </w:tc>
        <w:tc>
          <w:tcPr>
            <w:tcW w:w="2640" w:type="dxa"/>
            <w:tcBorders>
              <w:top w:val="nil"/>
              <w:left w:val="nil"/>
              <w:bottom w:val="nil"/>
              <w:right w:val="single" w:sz="4" w:space="0" w:color="auto"/>
            </w:tcBorders>
          </w:tcPr>
          <w:p w14:paraId="32367E47" w14:textId="77777777" w:rsidR="00B7400B" w:rsidRPr="00C83045" w:rsidRDefault="00B7400B" w:rsidP="00D4304B">
            <w:pPr>
              <w:keepNext/>
              <w:keepLines/>
              <w:widowControl w:val="0"/>
              <w:ind w:left="0" w:firstLine="0"/>
              <w:jc w:val="center"/>
              <w:rPr>
                <w:color w:val="000000"/>
                <w:szCs w:val="22"/>
              </w:rPr>
            </w:pPr>
          </w:p>
        </w:tc>
      </w:tr>
      <w:tr w:rsidR="00B7400B" w:rsidRPr="00C83045" w14:paraId="32367E4C" w14:textId="77777777" w:rsidTr="00D4304B">
        <w:trPr>
          <w:cantSplit/>
          <w:trHeight w:val="20"/>
        </w:trPr>
        <w:tc>
          <w:tcPr>
            <w:tcW w:w="3720" w:type="dxa"/>
            <w:tcBorders>
              <w:top w:val="nil"/>
              <w:left w:val="single" w:sz="4" w:space="0" w:color="auto"/>
              <w:bottom w:val="nil"/>
              <w:right w:val="nil"/>
            </w:tcBorders>
          </w:tcPr>
          <w:p w14:paraId="32367E49" w14:textId="77777777" w:rsidR="00B7400B" w:rsidRPr="00C83045" w:rsidRDefault="00B7400B" w:rsidP="00D4304B">
            <w:pPr>
              <w:keepNext/>
              <w:keepLines/>
              <w:widowControl w:val="0"/>
              <w:tabs>
                <w:tab w:val="left" w:pos="301"/>
                <w:tab w:val="left" w:pos="330"/>
              </w:tabs>
              <w:ind w:left="0" w:firstLine="0"/>
              <w:rPr>
                <w:b/>
                <w:color w:val="000000"/>
                <w:szCs w:val="22"/>
              </w:rPr>
            </w:pPr>
            <w:r w:rsidRPr="00C83045">
              <w:rPr>
                <w:b/>
                <w:color w:val="000000"/>
                <w:szCs w:val="22"/>
              </w:rPr>
              <w:t>Molekulárna odpoveď</w:t>
            </w:r>
            <w:r w:rsidR="00E91309" w:rsidRPr="00C83045">
              <w:rPr>
                <w:color w:val="000000"/>
                <w:szCs w:val="22"/>
              </w:rPr>
              <w:t>**</w:t>
            </w:r>
          </w:p>
        </w:tc>
        <w:tc>
          <w:tcPr>
            <w:tcW w:w="2760" w:type="dxa"/>
            <w:tcBorders>
              <w:top w:val="nil"/>
              <w:left w:val="nil"/>
              <w:bottom w:val="nil"/>
              <w:right w:val="nil"/>
            </w:tcBorders>
          </w:tcPr>
          <w:p w14:paraId="32367E4A" w14:textId="77777777" w:rsidR="00B7400B" w:rsidRPr="00C83045" w:rsidRDefault="00B7400B" w:rsidP="00D4304B">
            <w:pPr>
              <w:keepNext/>
              <w:keepLines/>
              <w:widowControl w:val="0"/>
              <w:ind w:left="0" w:firstLine="0"/>
              <w:jc w:val="center"/>
              <w:rPr>
                <w:color w:val="000000"/>
                <w:szCs w:val="22"/>
              </w:rPr>
            </w:pPr>
          </w:p>
        </w:tc>
        <w:tc>
          <w:tcPr>
            <w:tcW w:w="2640" w:type="dxa"/>
            <w:tcBorders>
              <w:top w:val="nil"/>
              <w:left w:val="nil"/>
              <w:bottom w:val="nil"/>
              <w:right w:val="single" w:sz="4" w:space="0" w:color="auto"/>
            </w:tcBorders>
          </w:tcPr>
          <w:p w14:paraId="32367E4B" w14:textId="77777777" w:rsidR="00B7400B" w:rsidRPr="00C83045" w:rsidRDefault="00B7400B" w:rsidP="00D4304B">
            <w:pPr>
              <w:keepNext/>
              <w:keepLines/>
              <w:widowControl w:val="0"/>
              <w:ind w:left="0" w:firstLine="0"/>
              <w:jc w:val="center"/>
              <w:rPr>
                <w:color w:val="000000"/>
                <w:szCs w:val="22"/>
              </w:rPr>
            </w:pPr>
          </w:p>
        </w:tc>
      </w:tr>
      <w:tr w:rsidR="00C553DF" w:rsidRPr="00C83045" w14:paraId="32367E50" w14:textId="77777777" w:rsidTr="00D4304B">
        <w:trPr>
          <w:cantSplit/>
          <w:trHeight w:val="20"/>
        </w:trPr>
        <w:tc>
          <w:tcPr>
            <w:tcW w:w="3720" w:type="dxa"/>
            <w:tcBorders>
              <w:top w:val="nil"/>
              <w:left w:val="single" w:sz="4" w:space="0" w:color="auto"/>
              <w:bottom w:val="nil"/>
              <w:right w:val="nil"/>
            </w:tcBorders>
          </w:tcPr>
          <w:p w14:paraId="32367E4D" w14:textId="77777777" w:rsidR="00C553DF" w:rsidRPr="00C83045" w:rsidRDefault="00C553DF" w:rsidP="00D4304B">
            <w:pPr>
              <w:keepNext/>
              <w:keepLines/>
              <w:widowControl w:val="0"/>
              <w:tabs>
                <w:tab w:val="left" w:pos="301"/>
                <w:tab w:val="left" w:pos="330"/>
              </w:tabs>
              <w:ind w:left="0" w:firstLine="0"/>
              <w:rPr>
                <w:color w:val="000000"/>
                <w:szCs w:val="22"/>
              </w:rPr>
            </w:pPr>
            <w:r w:rsidRPr="00C83045">
              <w:rPr>
                <w:color w:val="000000"/>
                <w:szCs w:val="22"/>
              </w:rPr>
              <w:t>Veľká odpoveď po 12 mesiacoch (%)</w:t>
            </w:r>
          </w:p>
        </w:tc>
        <w:tc>
          <w:tcPr>
            <w:tcW w:w="2760" w:type="dxa"/>
            <w:tcBorders>
              <w:top w:val="nil"/>
              <w:left w:val="nil"/>
              <w:bottom w:val="nil"/>
              <w:right w:val="nil"/>
            </w:tcBorders>
          </w:tcPr>
          <w:p w14:paraId="32367E4E" w14:textId="77777777" w:rsidR="00C553DF" w:rsidRPr="00C83045" w:rsidRDefault="00C553DF" w:rsidP="00D4304B">
            <w:pPr>
              <w:keepNext/>
              <w:keepLines/>
              <w:widowControl w:val="0"/>
              <w:ind w:left="0" w:firstLine="0"/>
              <w:jc w:val="center"/>
              <w:rPr>
                <w:color w:val="000000"/>
                <w:szCs w:val="22"/>
              </w:rPr>
            </w:pPr>
            <w:r w:rsidRPr="00C83045">
              <w:rPr>
                <w:color w:val="000000"/>
                <w:szCs w:val="22"/>
              </w:rPr>
              <w:t>153/305=50,2%</w:t>
            </w:r>
          </w:p>
        </w:tc>
        <w:tc>
          <w:tcPr>
            <w:tcW w:w="2640" w:type="dxa"/>
            <w:tcBorders>
              <w:top w:val="nil"/>
              <w:left w:val="nil"/>
              <w:bottom w:val="nil"/>
              <w:right w:val="single" w:sz="4" w:space="0" w:color="auto"/>
            </w:tcBorders>
          </w:tcPr>
          <w:p w14:paraId="32367E4F" w14:textId="77777777" w:rsidR="00C553DF" w:rsidRPr="00C83045" w:rsidRDefault="00C553DF" w:rsidP="00D4304B">
            <w:pPr>
              <w:keepNext/>
              <w:keepLines/>
              <w:widowControl w:val="0"/>
              <w:ind w:left="0" w:firstLine="0"/>
              <w:jc w:val="center"/>
              <w:rPr>
                <w:color w:val="000000"/>
                <w:szCs w:val="22"/>
              </w:rPr>
            </w:pPr>
            <w:r w:rsidRPr="00C83045">
              <w:rPr>
                <w:color w:val="000000"/>
                <w:szCs w:val="22"/>
              </w:rPr>
              <w:t>8/83=9,6%</w:t>
            </w:r>
          </w:p>
        </w:tc>
      </w:tr>
      <w:tr w:rsidR="00C553DF" w:rsidRPr="00C83045" w14:paraId="32367E54" w14:textId="77777777" w:rsidTr="00D4304B">
        <w:trPr>
          <w:cantSplit/>
          <w:trHeight w:val="20"/>
        </w:trPr>
        <w:tc>
          <w:tcPr>
            <w:tcW w:w="3720" w:type="dxa"/>
            <w:tcBorders>
              <w:top w:val="nil"/>
              <w:left w:val="single" w:sz="4" w:space="0" w:color="auto"/>
              <w:bottom w:val="nil"/>
              <w:right w:val="nil"/>
            </w:tcBorders>
          </w:tcPr>
          <w:p w14:paraId="32367E51" w14:textId="77777777" w:rsidR="00C553DF" w:rsidRPr="00C83045" w:rsidRDefault="00C553DF" w:rsidP="00D4304B">
            <w:pPr>
              <w:keepNext/>
              <w:keepLines/>
              <w:widowControl w:val="0"/>
              <w:tabs>
                <w:tab w:val="left" w:pos="301"/>
                <w:tab w:val="left" w:pos="330"/>
              </w:tabs>
              <w:ind w:left="0" w:firstLine="0"/>
              <w:rPr>
                <w:color w:val="000000"/>
                <w:szCs w:val="22"/>
              </w:rPr>
            </w:pPr>
            <w:r w:rsidRPr="00C83045">
              <w:rPr>
                <w:color w:val="000000"/>
                <w:szCs w:val="22"/>
              </w:rPr>
              <w:t>Veľká odpoveď po 24 mesiacoch (%)</w:t>
            </w:r>
          </w:p>
        </w:tc>
        <w:tc>
          <w:tcPr>
            <w:tcW w:w="2760" w:type="dxa"/>
            <w:tcBorders>
              <w:top w:val="nil"/>
              <w:left w:val="nil"/>
              <w:bottom w:val="nil"/>
              <w:right w:val="nil"/>
            </w:tcBorders>
          </w:tcPr>
          <w:p w14:paraId="32367E52" w14:textId="77777777" w:rsidR="00C553DF" w:rsidRPr="00C83045" w:rsidRDefault="00C553DF" w:rsidP="00D4304B">
            <w:pPr>
              <w:keepNext/>
              <w:keepLines/>
              <w:widowControl w:val="0"/>
              <w:ind w:left="0" w:firstLine="0"/>
              <w:jc w:val="center"/>
              <w:rPr>
                <w:color w:val="000000"/>
                <w:szCs w:val="22"/>
              </w:rPr>
            </w:pPr>
            <w:r w:rsidRPr="00C83045">
              <w:rPr>
                <w:color w:val="000000"/>
                <w:szCs w:val="22"/>
              </w:rPr>
              <w:t>73/104=70,2%</w:t>
            </w:r>
          </w:p>
        </w:tc>
        <w:tc>
          <w:tcPr>
            <w:tcW w:w="2640" w:type="dxa"/>
            <w:tcBorders>
              <w:top w:val="nil"/>
              <w:left w:val="nil"/>
              <w:bottom w:val="nil"/>
              <w:right w:val="single" w:sz="4" w:space="0" w:color="auto"/>
            </w:tcBorders>
          </w:tcPr>
          <w:p w14:paraId="32367E53" w14:textId="77777777" w:rsidR="00C553DF" w:rsidRPr="00C83045" w:rsidRDefault="00C553DF" w:rsidP="00D4304B">
            <w:pPr>
              <w:keepNext/>
              <w:keepLines/>
              <w:widowControl w:val="0"/>
              <w:ind w:left="0" w:firstLine="0"/>
              <w:jc w:val="center"/>
              <w:rPr>
                <w:color w:val="000000"/>
                <w:szCs w:val="22"/>
              </w:rPr>
            </w:pPr>
            <w:r w:rsidRPr="00C83045">
              <w:rPr>
                <w:color w:val="000000"/>
                <w:szCs w:val="22"/>
              </w:rPr>
              <w:t>3/12=25%</w:t>
            </w:r>
          </w:p>
        </w:tc>
      </w:tr>
      <w:tr w:rsidR="00C553DF" w:rsidRPr="00C83045" w14:paraId="32367E58" w14:textId="77777777" w:rsidTr="00D4304B">
        <w:trPr>
          <w:cantSplit/>
          <w:trHeight w:val="20"/>
        </w:trPr>
        <w:tc>
          <w:tcPr>
            <w:tcW w:w="3720" w:type="dxa"/>
            <w:tcBorders>
              <w:top w:val="nil"/>
              <w:left w:val="single" w:sz="4" w:space="0" w:color="auto"/>
              <w:bottom w:val="single" w:sz="4" w:space="0" w:color="auto"/>
              <w:right w:val="nil"/>
            </w:tcBorders>
          </w:tcPr>
          <w:p w14:paraId="32367E55" w14:textId="77777777" w:rsidR="00C553DF" w:rsidRPr="00C83045" w:rsidRDefault="00C553DF" w:rsidP="00D4304B">
            <w:pPr>
              <w:keepNext/>
              <w:keepLines/>
              <w:widowControl w:val="0"/>
              <w:tabs>
                <w:tab w:val="left" w:pos="301"/>
                <w:tab w:val="left" w:pos="330"/>
              </w:tabs>
              <w:ind w:left="0" w:firstLine="0"/>
              <w:rPr>
                <w:color w:val="000000"/>
                <w:szCs w:val="22"/>
              </w:rPr>
            </w:pPr>
            <w:r w:rsidRPr="00C83045">
              <w:rPr>
                <w:color w:val="000000"/>
                <w:szCs w:val="22"/>
              </w:rPr>
              <w:t>Veľká odpoveď po 84 mesiacoch (%)</w:t>
            </w:r>
          </w:p>
        </w:tc>
        <w:tc>
          <w:tcPr>
            <w:tcW w:w="2760" w:type="dxa"/>
            <w:tcBorders>
              <w:top w:val="nil"/>
              <w:left w:val="nil"/>
              <w:bottom w:val="single" w:sz="4" w:space="0" w:color="auto"/>
              <w:right w:val="nil"/>
            </w:tcBorders>
          </w:tcPr>
          <w:p w14:paraId="32367E56" w14:textId="77777777" w:rsidR="00C553DF" w:rsidRPr="00C83045" w:rsidRDefault="00C553DF" w:rsidP="00D4304B">
            <w:pPr>
              <w:keepNext/>
              <w:keepLines/>
              <w:widowControl w:val="0"/>
              <w:ind w:left="0" w:firstLine="0"/>
              <w:jc w:val="center"/>
              <w:rPr>
                <w:color w:val="000000"/>
                <w:szCs w:val="22"/>
              </w:rPr>
            </w:pPr>
            <w:r w:rsidRPr="00C83045">
              <w:rPr>
                <w:color w:val="000000"/>
                <w:szCs w:val="22"/>
              </w:rPr>
              <w:t>102/116=87,9%</w:t>
            </w:r>
          </w:p>
        </w:tc>
        <w:tc>
          <w:tcPr>
            <w:tcW w:w="2640" w:type="dxa"/>
            <w:tcBorders>
              <w:top w:val="nil"/>
              <w:left w:val="nil"/>
              <w:bottom w:val="single" w:sz="4" w:space="0" w:color="auto"/>
              <w:right w:val="single" w:sz="4" w:space="0" w:color="auto"/>
            </w:tcBorders>
          </w:tcPr>
          <w:p w14:paraId="32367E57" w14:textId="77777777" w:rsidR="00C553DF" w:rsidRPr="00C83045" w:rsidRDefault="00C553DF" w:rsidP="00D4304B">
            <w:pPr>
              <w:keepNext/>
              <w:keepLines/>
              <w:widowControl w:val="0"/>
              <w:ind w:left="0" w:firstLine="0"/>
              <w:jc w:val="center"/>
              <w:rPr>
                <w:color w:val="000000"/>
                <w:szCs w:val="22"/>
              </w:rPr>
            </w:pPr>
            <w:r w:rsidRPr="00C83045">
              <w:rPr>
                <w:color w:val="000000"/>
                <w:szCs w:val="22"/>
              </w:rPr>
              <w:t>3/4=75%</w:t>
            </w:r>
          </w:p>
        </w:tc>
      </w:tr>
      <w:tr w:rsidR="00B7400B" w:rsidRPr="00C83045" w14:paraId="32367E5F" w14:textId="77777777" w:rsidTr="00D4304B">
        <w:trPr>
          <w:cantSplit/>
          <w:trHeight w:val="315"/>
        </w:trPr>
        <w:tc>
          <w:tcPr>
            <w:tcW w:w="9120" w:type="dxa"/>
            <w:gridSpan w:val="3"/>
            <w:tcBorders>
              <w:top w:val="nil"/>
              <w:bottom w:val="single" w:sz="4" w:space="0" w:color="auto"/>
            </w:tcBorders>
          </w:tcPr>
          <w:p w14:paraId="32367E59" w14:textId="77777777" w:rsidR="00B7400B" w:rsidRPr="00C83045" w:rsidRDefault="00B7400B" w:rsidP="00D4304B">
            <w:pPr>
              <w:keepNext/>
              <w:keepLines/>
              <w:widowControl w:val="0"/>
              <w:rPr>
                <w:color w:val="000000"/>
                <w:szCs w:val="22"/>
              </w:rPr>
            </w:pPr>
            <w:r w:rsidRPr="00C83045">
              <w:rPr>
                <w:i/>
                <w:color w:val="000000"/>
                <w:szCs w:val="22"/>
              </w:rPr>
              <w:t>*</w:t>
            </w:r>
            <w:r w:rsidRPr="00C83045">
              <w:rPr>
                <w:color w:val="000000"/>
                <w:szCs w:val="22"/>
              </w:rPr>
              <w:t xml:space="preserve"> p&lt;0,001, Fischerov test</w:t>
            </w:r>
          </w:p>
          <w:p w14:paraId="32367E5A" w14:textId="77777777" w:rsidR="00B7400B" w:rsidRPr="00C83045" w:rsidRDefault="00B7400B" w:rsidP="00D4304B">
            <w:pPr>
              <w:keepNext/>
              <w:keepLines/>
              <w:widowControl w:val="0"/>
              <w:rPr>
                <w:color w:val="000000"/>
                <w:szCs w:val="22"/>
              </w:rPr>
            </w:pPr>
            <w:r w:rsidRPr="00C83045">
              <w:rPr>
                <w:color w:val="000000"/>
                <w:szCs w:val="22"/>
              </w:rPr>
              <w:t xml:space="preserve">** </w:t>
            </w:r>
            <w:r w:rsidR="00C553DF" w:rsidRPr="00C83045">
              <w:rPr>
                <w:color w:val="000000"/>
                <w:szCs w:val="22"/>
              </w:rPr>
              <w:t>percentuálne podiely molekulárnej odpovede sú založené na dostupných vzorkách</w:t>
            </w:r>
          </w:p>
          <w:p w14:paraId="32367E5B" w14:textId="77777777" w:rsidR="00B7400B" w:rsidRPr="00C83045" w:rsidRDefault="00B7400B" w:rsidP="00D4304B">
            <w:pPr>
              <w:keepNext/>
              <w:keepLines/>
              <w:widowControl w:val="0"/>
              <w:rPr>
                <w:b/>
                <w:color w:val="000000"/>
                <w:szCs w:val="22"/>
              </w:rPr>
            </w:pPr>
            <w:r w:rsidRPr="00C83045">
              <w:rPr>
                <w:b/>
                <w:color w:val="000000"/>
                <w:szCs w:val="22"/>
              </w:rPr>
              <w:t xml:space="preserve">Kritériá hematologickej odpovede (všetky odpovede sa majú potvrdiť po </w:t>
            </w:r>
            <w:r w:rsidRPr="00C83045">
              <w:rPr>
                <w:b/>
                <w:color w:val="000000"/>
                <w:szCs w:val="22"/>
              </w:rPr>
              <w:sym w:font="Symbol" w:char="F0B3"/>
            </w:r>
            <w:r w:rsidRPr="00C83045">
              <w:rPr>
                <w:b/>
                <w:color w:val="000000"/>
                <w:szCs w:val="22"/>
              </w:rPr>
              <w:t> 4 týždňoch):</w:t>
            </w:r>
          </w:p>
          <w:p w14:paraId="32367E5C" w14:textId="77777777" w:rsidR="00B7400B" w:rsidRPr="00C83045" w:rsidRDefault="00B7400B" w:rsidP="00D4304B">
            <w:pPr>
              <w:pStyle w:val="Footer"/>
              <w:keepNext/>
              <w:keepLines/>
              <w:widowControl w:val="0"/>
              <w:ind w:left="0" w:firstLine="0"/>
              <w:rPr>
                <w:color w:val="000000"/>
                <w:szCs w:val="22"/>
              </w:rPr>
            </w:pPr>
            <w:r w:rsidRPr="00C83045">
              <w:rPr>
                <w:color w:val="000000"/>
                <w:szCs w:val="22"/>
              </w:rPr>
              <w:t>WBC</w:t>
            </w:r>
            <w:r w:rsidRPr="00C83045">
              <w:rPr>
                <w:b/>
                <w:color w:val="000000"/>
                <w:szCs w:val="22"/>
              </w:rPr>
              <w:t> </w:t>
            </w:r>
            <w:r w:rsidRPr="00C83045">
              <w:rPr>
                <w:color w:val="000000"/>
                <w:szCs w:val="22"/>
              </w:rPr>
              <w:t>&lt; 10</w:t>
            </w:r>
            <w:r w:rsidRPr="00C83045">
              <w:rPr>
                <w:b/>
                <w:color w:val="000000"/>
                <w:szCs w:val="22"/>
              </w:rPr>
              <w:t> </w:t>
            </w:r>
            <w:r w:rsidRPr="00C83045">
              <w:rPr>
                <w:color w:val="000000"/>
                <w:szCs w:val="22"/>
              </w:rPr>
              <w:t>x 10</w:t>
            </w:r>
            <w:r w:rsidRPr="00C83045">
              <w:rPr>
                <w:color w:val="000000"/>
                <w:szCs w:val="22"/>
                <w:vertAlign w:val="superscript"/>
              </w:rPr>
              <w:t>9</w:t>
            </w:r>
            <w:r w:rsidRPr="00C83045">
              <w:rPr>
                <w:color w:val="000000"/>
                <w:szCs w:val="22"/>
              </w:rPr>
              <w:t>/l, trombocyt</w:t>
            </w:r>
            <w:r w:rsidR="00EE6CB6" w:rsidRPr="00C83045">
              <w:rPr>
                <w:color w:val="000000"/>
                <w:szCs w:val="22"/>
              </w:rPr>
              <w:t>y</w:t>
            </w:r>
            <w:r w:rsidRPr="00C83045">
              <w:rPr>
                <w:b/>
                <w:color w:val="000000"/>
                <w:szCs w:val="22"/>
              </w:rPr>
              <w:t> </w:t>
            </w:r>
            <w:r w:rsidRPr="00C83045">
              <w:rPr>
                <w:color w:val="000000"/>
                <w:szCs w:val="22"/>
              </w:rPr>
              <w:t>&lt;</w:t>
            </w:r>
            <w:r w:rsidRPr="00C83045">
              <w:rPr>
                <w:b/>
                <w:color w:val="000000"/>
                <w:szCs w:val="22"/>
              </w:rPr>
              <w:t> </w:t>
            </w:r>
            <w:r w:rsidRPr="00C83045">
              <w:rPr>
                <w:color w:val="000000"/>
                <w:szCs w:val="22"/>
              </w:rPr>
              <w:t>450</w:t>
            </w:r>
            <w:r w:rsidRPr="00C83045">
              <w:rPr>
                <w:b/>
                <w:color w:val="000000"/>
                <w:szCs w:val="22"/>
              </w:rPr>
              <w:t> </w:t>
            </w:r>
            <w:r w:rsidRPr="00C83045">
              <w:rPr>
                <w:color w:val="000000"/>
                <w:szCs w:val="22"/>
              </w:rPr>
              <w:t>x 10</w:t>
            </w:r>
            <w:r w:rsidRPr="00C83045">
              <w:rPr>
                <w:color w:val="000000"/>
                <w:szCs w:val="22"/>
                <w:vertAlign w:val="superscript"/>
              </w:rPr>
              <w:t>9</w:t>
            </w:r>
            <w:r w:rsidRPr="00C83045">
              <w:rPr>
                <w:color w:val="000000"/>
                <w:szCs w:val="22"/>
              </w:rPr>
              <w:t>/l, myelocyt</w:t>
            </w:r>
            <w:r w:rsidR="00EE6CB6" w:rsidRPr="00C83045">
              <w:rPr>
                <w:color w:val="000000"/>
                <w:szCs w:val="22"/>
              </w:rPr>
              <w:t>y</w:t>
            </w:r>
            <w:r w:rsidRPr="00C83045">
              <w:rPr>
                <w:color w:val="000000"/>
                <w:szCs w:val="22"/>
              </w:rPr>
              <w:t>+metamyelocyt</w:t>
            </w:r>
            <w:r w:rsidR="00EE6CB6" w:rsidRPr="00C83045">
              <w:rPr>
                <w:color w:val="000000"/>
                <w:szCs w:val="22"/>
              </w:rPr>
              <w:t>y</w:t>
            </w:r>
            <w:r w:rsidRPr="00C83045">
              <w:rPr>
                <w:b/>
                <w:color w:val="000000"/>
                <w:szCs w:val="22"/>
              </w:rPr>
              <w:t> </w:t>
            </w:r>
            <w:r w:rsidRPr="00C83045">
              <w:rPr>
                <w:color w:val="000000"/>
                <w:szCs w:val="22"/>
              </w:rPr>
              <w:t>&lt;</w:t>
            </w:r>
            <w:r w:rsidRPr="00C83045">
              <w:rPr>
                <w:b/>
                <w:color w:val="000000"/>
                <w:szCs w:val="22"/>
              </w:rPr>
              <w:t> </w:t>
            </w:r>
            <w:r w:rsidRPr="00C83045">
              <w:rPr>
                <w:color w:val="000000"/>
                <w:szCs w:val="22"/>
              </w:rPr>
              <w:t>5% v krvi, žiadne blasty a promyelocyty v krvi, bazofily</w:t>
            </w:r>
            <w:r w:rsidRPr="00C83045">
              <w:rPr>
                <w:b/>
                <w:color w:val="000000"/>
                <w:szCs w:val="22"/>
              </w:rPr>
              <w:t> </w:t>
            </w:r>
            <w:r w:rsidRPr="00C83045">
              <w:rPr>
                <w:color w:val="000000"/>
                <w:szCs w:val="22"/>
              </w:rPr>
              <w:t>&lt;</w:t>
            </w:r>
            <w:r w:rsidRPr="00C83045">
              <w:rPr>
                <w:b/>
                <w:color w:val="000000"/>
                <w:szCs w:val="22"/>
              </w:rPr>
              <w:t> </w:t>
            </w:r>
            <w:r w:rsidRPr="00C83045">
              <w:rPr>
                <w:color w:val="000000"/>
                <w:szCs w:val="22"/>
              </w:rPr>
              <w:t>20%, žiadne extramedulárne postihnutie</w:t>
            </w:r>
          </w:p>
          <w:p w14:paraId="32367E5D" w14:textId="77777777" w:rsidR="00B7400B" w:rsidRPr="00C83045" w:rsidRDefault="00B7400B" w:rsidP="00D4304B">
            <w:pPr>
              <w:pStyle w:val="Footer"/>
              <w:keepNext/>
              <w:keepLines/>
              <w:widowControl w:val="0"/>
              <w:ind w:left="0" w:firstLine="0"/>
              <w:rPr>
                <w:color w:val="000000"/>
                <w:szCs w:val="22"/>
              </w:rPr>
            </w:pPr>
            <w:r w:rsidRPr="00C83045">
              <w:rPr>
                <w:b/>
                <w:color w:val="000000"/>
                <w:szCs w:val="22"/>
              </w:rPr>
              <w:t xml:space="preserve">Kritériá cytogenetickej odpovede: </w:t>
            </w:r>
            <w:r w:rsidR="00EE6CB6" w:rsidRPr="00C83045">
              <w:rPr>
                <w:color w:val="000000"/>
                <w:szCs w:val="22"/>
              </w:rPr>
              <w:t>k</w:t>
            </w:r>
            <w:r w:rsidRPr="00C83045">
              <w:rPr>
                <w:color w:val="000000"/>
                <w:szCs w:val="22"/>
              </w:rPr>
              <w:t>ompletná (0% Ph+ metafáz), čiastočná (1–35%), malá (36–65%) alebo minimálna (66–95%). Veľká odpoveď (0–35%) zahŕňa kompletné aj čiastočné odpovede.</w:t>
            </w:r>
          </w:p>
          <w:p w14:paraId="32367E5E" w14:textId="77777777" w:rsidR="00B7400B" w:rsidRPr="00C83045" w:rsidRDefault="00B7400B" w:rsidP="00D4304B">
            <w:pPr>
              <w:pStyle w:val="Footer"/>
              <w:keepNext/>
              <w:keepLines/>
              <w:widowControl w:val="0"/>
              <w:ind w:left="0" w:firstLine="0"/>
              <w:rPr>
                <w:snapToGrid w:val="0"/>
                <w:color w:val="000000"/>
                <w:szCs w:val="22"/>
              </w:rPr>
            </w:pPr>
            <w:r w:rsidRPr="00C83045">
              <w:rPr>
                <w:b/>
                <w:color w:val="000000"/>
                <w:szCs w:val="22"/>
              </w:rPr>
              <w:t xml:space="preserve">Kritériá veľkej molekulárnej odpovede: </w:t>
            </w:r>
            <w:r w:rsidR="00EE6CB6" w:rsidRPr="00C83045">
              <w:rPr>
                <w:color w:val="000000"/>
                <w:szCs w:val="22"/>
              </w:rPr>
              <w:t>v</w:t>
            </w:r>
            <w:r w:rsidRPr="00C83045">
              <w:rPr>
                <w:color w:val="000000"/>
                <w:szCs w:val="22"/>
              </w:rPr>
              <w:t> periférnej krvi zníženie množstva transkrip</w:t>
            </w:r>
            <w:r w:rsidR="001062CB" w:rsidRPr="00C83045">
              <w:rPr>
                <w:color w:val="000000"/>
                <w:szCs w:val="22"/>
              </w:rPr>
              <w:t>tov</w:t>
            </w:r>
            <w:r w:rsidRPr="00C83045">
              <w:rPr>
                <w:color w:val="000000"/>
                <w:szCs w:val="22"/>
              </w:rPr>
              <w:t xml:space="preserve"> B</w:t>
            </w:r>
            <w:r w:rsidR="009246C7" w:rsidRPr="00C83045">
              <w:rPr>
                <w:color w:val="000000"/>
                <w:szCs w:val="22"/>
              </w:rPr>
              <w:t>cr</w:t>
            </w:r>
            <w:r w:rsidRPr="00C83045">
              <w:rPr>
                <w:color w:val="000000"/>
                <w:szCs w:val="22"/>
              </w:rPr>
              <w:t>-A</w:t>
            </w:r>
            <w:r w:rsidR="009246C7" w:rsidRPr="00C83045">
              <w:rPr>
                <w:color w:val="000000"/>
                <w:szCs w:val="22"/>
              </w:rPr>
              <w:t>bl</w:t>
            </w:r>
            <w:r w:rsidRPr="00C83045">
              <w:rPr>
                <w:color w:val="000000"/>
                <w:szCs w:val="22"/>
              </w:rPr>
              <w:t xml:space="preserve"> ≥ 3 logaritmy (namerané pomocou </w:t>
            </w:r>
            <w:smartTag w:uri="urn:schemas-microsoft-com:office:smarttags" w:element="stockticker">
              <w:r w:rsidRPr="00C83045">
                <w:rPr>
                  <w:color w:val="000000"/>
                  <w:szCs w:val="22"/>
                </w:rPr>
                <w:t>PCR</w:t>
              </w:r>
            </w:smartTag>
            <w:r w:rsidRPr="00C83045">
              <w:rPr>
                <w:color w:val="000000"/>
                <w:szCs w:val="22"/>
              </w:rPr>
              <w:t xml:space="preserve"> stanovenia reverznej transkriptázy v reálnom čase) oproti štandardizovanej východiskovej hodnote.</w:t>
            </w:r>
          </w:p>
        </w:tc>
      </w:tr>
    </w:tbl>
    <w:p w14:paraId="32367E60" w14:textId="77777777" w:rsidR="00B7400B" w:rsidRPr="00C83045" w:rsidRDefault="00B7400B" w:rsidP="00D4304B">
      <w:pPr>
        <w:widowControl w:val="0"/>
        <w:ind w:left="0" w:firstLine="0"/>
        <w:rPr>
          <w:color w:val="000000"/>
          <w:szCs w:val="22"/>
        </w:rPr>
      </w:pPr>
    </w:p>
    <w:p w14:paraId="32367E61" w14:textId="77777777" w:rsidR="00B7400B" w:rsidRPr="00C83045" w:rsidRDefault="007501EC" w:rsidP="00D4304B">
      <w:pPr>
        <w:widowControl w:val="0"/>
        <w:ind w:left="0" w:firstLine="0"/>
        <w:rPr>
          <w:color w:val="000000"/>
          <w:szCs w:val="22"/>
        </w:rPr>
      </w:pPr>
      <w:r w:rsidRPr="00C83045">
        <w:rPr>
          <w:color w:val="000000"/>
          <w:szCs w:val="22"/>
        </w:rPr>
        <w:t>Miera</w:t>
      </w:r>
      <w:r w:rsidR="00E31AC8" w:rsidRPr="00C83045">
        <w:rPr>
          <w:color w:val="000000"/>
          <w:szCs w:val="22"/>
        </w:rPr>
        <w:t xml:space="preserve"> kompletnej hematologickej odpovede, veľkej cytogenetickej odpovede a kompletnej cytogenetickej odpovede pri liečbe prvej línie sa odhadl</w:t>
      </w:r>
      <w:r w:rsidRPr="00C83045">
        <w:rPr>
          <w:color w:val="000000"/>
          <w:szCs w:val="22"/>
        </w:rPr>
        <w:t>a</w:t>
      </w:r>
      <w:r w:rsidR="00E31AC8" w:rsidRPr="00C83045">
        <w:rPr>
          <w:color w:val="000000"/>
          <w:szCs w:val="22"/>
        </w:rPr>
        <w:t xml:space="preserve"> </w:t>
      </w:r>
      <w:r w:rsidR="001740F3" w:rsidRPr="00C83045">
        <w:rPr>
          <w:color w:val="000000"/>
          <w:szCs w:val="22"/>
        </w:rPr>
        <w:t>pomocou</w:t>
      </w:r>
      <w:r w:rsidR="00E31AC8" w:rsidRPr="00C83045">
        <w:rPr>
          <w:color w:val="000000"/>
          <w:szCs w:val="22"/>
        </w:rPr>
        <w:t xml:space="preserve"> metódy Kaplana-Meiera, pr</w:t>
      </w:r>
      <w:r w:rsidR="001740F3" w:rsidRPr="00C83045">
        <w:rPr>
          <w:color w:val="000000"/>
          <w:szCs w:val="22"/>
        </w:rPr>
        <w:t>i ktorej pacienti bez odpovede na liečbu boli vylúčení v čase posledného vyšetrenia. Odhadované kumulatívne po</w:t>
      </w:r>
      <w:r w:rsidRPr="00C83045">
        <w:rPr>
          <w:color w:val="000000"/>
          <w:szCs w:val="22"/>
        </w:rPr>
        <w:t>čty</w:t>
      </w:r>
      <w:r w:rsidR="001740F3" w:rsidRPr="00C83045">
        <w:rPr>
          <w:color w:val="000000"/>
          <w:szCs w:val="22"/>
        </w:rPr>
        <w:t xml:space="preserve"> odpovedí pri liečbe </w:t>
      </w:r>
      <w:r w:rsidR="00550E00" w:rsidRPr="00C83045">
        <w:rPr>
          <w:color w:val="000000"/>
          <w:szCs w:val="22"/>
        </w:rPr>
        <w:t xml:space="preserve">prvej línie </w:t>
      </w:r>
      <w:r w:rsidR="001740F3" w:rsidRPr="00C83045">
        <w:rPr>
          <w:color w:val="000000"/>
          <w:szCs w:val="22"/>
        </w:rPr>
        <w:t xml:space="preserve">Glivecom </w:t>
      </w:r>
      <w:r w:rsidR="00550E00" w:rsidRPr="00C83045">
        <w:rPr>
          <w:color w:val="000000"/>
          <w:szCs w:val="22"/>
        </w:rPr>
        <w:t xml:space="preserve">stanovené touto metódou </w:t>
      </w:r>
      <w:r w:rsidR="00316A94" w:rsidRPr="00C83045">
        <w:rPr>
          <w:color w:val="000000"/>
          <w:szCs w:val="22"/>
        </w:rPr>
        <w:t xml:space="preserve">sa zlepšili od 12 mesiacov liečby do </w:t>
      </w:r>
      <w:r w:rsidR="00D51A4B" w:rsidRPr="00C83045">
        <w:rPr>
          <w:color w:val="000000"/>
          <w:szCs w:val="22"/>
        </w:rPr>
        <w:t>84 </w:t>
      </w:r>
      <w:r w:rsidR="00316A94" w:rsidRPr="00C83045">
        <w:rPr>
          <w:color w:val="000000"/>
          <w:szCs w:val="22"/>
        </w:rPr>
        <w:t xml:space="preserve">mesiacov liečby nasledovným spôsobom: </w:t>
      </w:r>
      <w:smartTag w:uri="urn:schemas-microsoft-com:office:smarttags" w:element="stockticker">
        <w:r w:rsidR="00316A94" w:rsidRPr="00C83045">
          <w:rPr>
            <w:color w:val="000000"/>
            <w:szCs w:val="22"/>
          </w:rPr>
          <w:t>CHR</w:t>
        </w:r>
      </w:smartTag>
      <w:r w:rsidR="00316A94" w:rsidRPr="00C83045">
        <w:rPr>
          <w:color w:val="000000"/>
          <w:szCs w:val="22"/>
        </w:rPr>
        <w:t xml:space="preserve"> </w:t>
      </w:r>
      <w:r w:rsidR="00307862" w:rsidRPr="00C83045">
        <w:rPr>
          <w:color w:val="000000"/>
          <w:szCs w:val="22"/>
        </w:rPr>
        <w:t>z </w:t>
      </w:r>
      <w:r w:rsidR="00316A94" w:rsidRPr="00C83045">
        <w:rPr>
          <w:color w:val="000000"/>
          <w:szCs w:val="22"/>
        </w:rPr>
        <w:t>96</w:t>
      </w:r>
      <w:r w:rsidR="00307862" w:rsidRPr="00C83045">
        <w:rPr>
          <w:color w:val="000000"/>
          <w:szCs w:val="22"/>
        </w:rPr>
        <w:t>,</w:t>
      </w:r>
      <w:r w:rsidR="00316A94" w:rsidRPr="00C83045">
        <w:rPr>
          <w:color w:val="000000"/>
          <w:szCs w:val="22"/>
        </w:rPr>
        <w:t xml:space="preserve">4% </w:t>
      </w:r>
      <w:r w:rsidR="00307862" w:rsidRPr="00C83045">
        <w:rPr>
          <w:color w:val="000000"/>
          <w:szCs w:val="22"/>
        </w:rPr>
        <w:t>na</w:t>
      </w:r>
      <w:r w:rsidR="00316A94" w:rsidRPr="00C83045">
        <w:rPr>
          <w:color w:val="000000"/>
          <w:szCs w:val="22"/>
        </w:rPr>
        <w:t xml:space="preserve"> 98</w:t>
      </w:r>
      <w:r w:rsidR="00307862" w:rsidRPr="00C83045">
        <w:rPr>
          <w:color w:val="000000"/>
          <w:szCs w:val="22"/>
        </w:rPr>
        <w:t>,</w:t>
      </w:r>
      <w:r w:rsidR="00316A94" w:rsidRPr="00C83045">
        <w:rPr>
          <w:color w:val="000000"/>
          <w:szCs w:val="22"/>
        </w:rPr>
        <w:t xml:space="preserve">4% a CCyR </w:t>
      </w:r>
      <w:r w:rsidR="00307862" w:rsidRPr="00C83045">
        <w:rPr>
          <w:color w:val="000000"/>
          <w:szCs w:val="22"/>
        </w:rPr>
        <w:t>z</w:t>
      </w:r>
      <w:r w:rsidR="009863AB" w:rsidRPr="00C83045">
        <w:rPr>
          <w:color w:val="000000"/>
          <w:szCs w:val="22"/>
        </w:rPr>
        <w:t>o</w:t>
      </w:r>
      <w:r w:rsidR="00307862" w:rsidRPr="00C83045">
        <w:rPr>
          <w:color w:val="000000"/>
          <w:szCs w:val="22"/>
        </w:rPr>
        <w:t> </w:t>
      </w:r>
      <w:r w:rsidR="00316A94" w:rsidRPr="00C83045">
        <w:rPr>
          <w:color w:val="000000"/>
          <w:szCs w:val="22"/>
        </w:rPr>
        <w:t>69</w:t>
      </w:r>
      <w:r w:rsidR="00307862" w:rsidRPr="00C83045">
        <w:rPr>
          <w:color w:val="000000"/>
          <w:szCs w:val="22"/>
        </w:rPr>
        <w:t>,</w:t>
      </w:r>
      <w:r w:rsidR="00316A94" w:rsidRPr="00C83045">
        <w:rPr>
          <w:color w:val="000000"/>
          <w:szCs w:val="22"/>
        </w:rPr>
        <w:t xml:space="preserve">5% </w:t>
      </w:r>
      <w:r w:rsidR="00307862" w:rsidRPr="00C83045">
        <w:rPr>
          <w:color w:val="000000"/>
          <w:szCs w:val="22"/>
        </w:rPr>
        <w:t xml:space="preserve">na </w:t>
      </w:r>
      <w:r w:rsidR="00C553DF" w:rsidRPr="00C83045">
        <w:rPr>
          <w:color w:val="000000"/>
          <w:szCs w:val="22"/>
        </w:rPr>
        <w:t>87,2</w:t>
      </w:r>
      <w:r w:rsidR="00316A94" w:rsidRPr="00C83045">
        <w:rPr>
          <w:color w:val="000000"/>
          <w:szCs w:val="22"/>
        </w:rPr>
        <w:t>%</w:t>
      </w:r>
      <w:r w:rsidR="00307862" w:rsidRPr="00C83045">
        <w:rPr>
          <w:color w:val="000000"/>
          <w:szCs w:val="22"/>
        </w:rPr>
        <w:t>.</w:t>
      </w:r>
    </w:p>
    <w:p w14:paraId="32367E62" w14:textId="77777777" w:rsidR="00C33593" w:rsidRPr="00C83045" w:rsidRDefault="00C33593" w:rsidP="00D4304B">
      <w:pPr>
        <w:widowControl w:val="0"/>
        <w:ind w:left="0" w:firstLine="0"/>
        <w:rPr>
          <w:color w:val="000000"/>
          <w:szCs w:val="22"/>
        </w:rPr>
      </w:pPr>
    </w:p>
    <w:p w14:paraId="32367E63" w14:textId="77777777" w:rsidR="00C33593" w:rsidRPr="00C83045" w:rsidRDefault="00C33593" w:rsidP="00D4304B">
      <w:pPr>
        <w:pStyle w:val="EndnoteText"/>
        <w:widowControl w:val="0"/>
        <w:rPr>
          <w:color w:val="000000"/>
          <w:szCs w:val="22"/>
          <w:lang w:val="sk-SK"/>
        </w:rPr>
      </w:pPr>
      <w:r w:rsidRPr="00C83045">
        <w:rPr>
          <w:color w:val="000000"/>
          <w:szCs w:val="22"/>
          <w:lang w:val="sk-SK"/>
        </w:rPr>
        <w:t xml:space="preserve">Pri </w:t>
      </w:r>
      <w:r w:rsidR="00C553DF" w:rsidRPr="00C83045">
        <w:rPr>
          <w:color w:val="000000"/>
          <w:szCs w:val="22"/>
          <w:lang w:val="sk-SK"/>
        </w:rPr>
        <w:t>7 </w:t>
      </w:r>
      <w:r w:rsidRPr="00C83045">
        <w:rPr>
          <w:color w:val="000000"/>
          <w:szCs w:val="22"/>
          <w:lang w:val="sk-SK"/>
        </w:rPr>
        <w:t xml:space="preserve">rokoch následného sledovania bolo v skupine Glivecu </w:t>
      </w:r>
      <w:r w:rsidR="00C553DF" w:rsidRPr="00C83045">
        <w:rPr>
          <w:color w:val="000000"/>
          <w:szCs w:val="22"/>
          <w:lang w:val="sk-SK"/>
        </w:rPr>
        <w:t xml:space="preserve">93 </w:t>
      </w:r>
      <w:r w:rsidRPr="00C83045">
        <w:rPr>
          <w:color w:val="000000"/>
          <w:szCs w:val="22"/>
          <w:lang w:val="sk-SK"/>
        </w:rPr>
        <w:t>(</w:t>
      </w:r>
      <w:r w:rsidR="00C553DF" w:rsidRPr="00C83045">
        <w:rPr>
          <w:color w:val="000000"/>
          <w:szCs w:val="22"/>
          <w:lang w:val="sk-SK"/>
        </w:rPr>
        <w:t>16,8</w:t>
      </w:r>
      <w:r w:rsidRPr="00C83045">
        <w:rPr>
          <w:color w:val="000000"/>
          <w:szCs w:val="22"/>
          <w:lang w:val="sk-SK"/>
        </w:rPr>
        <w:t xml:space="preserve">%) príhod progresie: </w:t>
      </w:r>
      <w:r w:rsidR="00C553DF" w:rsidRPr="00C83045">
        <w:rPr>
          <w:color w:val="000000"/>
          <w:szCs w:val="22"/>
          <w:lang w:val="sk-SK"/>
        </w:rPr>
        <w:t xml:space="preserve">37 </w:t>
      </w:r>
      <w:r w:rsidRPr="00C83045">
        <w:rPr>
          <w:color w:val="000000"/>
          <w:szCs w:val="22"/>
          <w:lang w:val="sk-SK"/>
        </w:rPr>
        <w:t>(</w:t>
      </w:r>
      <w:r w:rsidR="00C553DF" w:rsidRPr="00C83045">
        <w:rPr>
          <w:color w:val="000000"/>
          <w:szCs w:val="22"/>
          <w:lang w:val="sk-SK"/>
        </w:rPr>
        <w:t>6,7</w:t>
      </w:r>
      <w:r w:rsidRPr="00C83045">
        <w:rPr>
          <w:color w:val="000000"/>
          <w:szCs w:val="22"/>
          <w:lang w:val="sk-SK"/>
        </w:rPr>
        <w:t xml:space="preserve">%) zahŕňalo progresiu do akcelerovanej fázy/blastickej krízy, </w:t>
      </w:r>
      <w:r w:rsidR="00C553DF" w:rsidRPr="00C83045">
        <w:rPr>
          <w:color w:val="000000"/>
          <w:szCs w:val="22"/>
          <w:lang w:val="sk-SK"/>
        </w:rPr>
        <w:t>31</w:t>
      </w:r>
      <w:r w:rsidRPr="00C83045">
        <w:rPr>
          <w:color w:val="000000"/>
          <w:szCs w:val="22"/>
          <w:lang w:val="sk-SK"/>
        </w:rPr>
        <w:t xml:space="preserve"> (</w:t>
      </w:r>
      <w:r w:rsidR="00C553DF" w:rsidRPr="00C83045">
        <w:rPr>
          <w:color w:val="000000"/>
          <w:szCs w:val="22"/>
          <w:lang w:val="sk-SK"/>
        </w:rPr>
        <w:t>5,6</w:t>
      </w:r>
      <w:r w:rsidRPr="00C83045">
        <w:rPr>
          <w:color w:val="000000"/>
          <w:szCs w:val="22"/>
          <w:lang w:val="sk-SK"/>
        </w:rPr>
        <w:t xml:space="preserve">%) stratu MCyR, </w:t>
      </w:r>
      <w:r w:rsidR="00C553DF" w:rsidRPr="00C83045">
        <w:rPr>
          <w:color w:val="000000"/>
          <w:szCs w:val="22"/>
          <w:lang w:val="sk-SK"/>
        </w:rPr>
        <w:t xml:space="preserve">15 </w:t>
      </w:r>
      <w:r w:rsidRPr="00C83045">
        <w:rPr>
          <w:color w:val="000000"/>
          <w:szCs w:val="22"/>
          <w:lang w:val="sk-SK"/>
        </w:rPr>
        <w:t>(</w:t>
      </w:r>
      <w:r w:rsidR="00C553DF" w:rsidRPr="00C83045">
        <w:rPr>
          <w:color w:val="000000"/>
          <w:szCs w:val="22"/>
          <w:lang w:val="sk-SK"/>
        </w:rPr>
        <w:t>2,7</w:t>
      </w:r>
      <w:r w:rsidRPr="00C83045">
        <w:rPr>
          <w:color w:val="000000"/>
          <w:szCs w:val="22"/>
          <w:lang w:val="sk-SK"/>
        </w:rPr>
        <w:t xml:space="preserve">%) stratu </w:t>
      </w:r>
      <w:smartTag w:uri="urn:schemas-microsoft-com:office:smarttags" w:element="stockticker">
        <w:r w:rsidRPr="00C83045">
          <w:rPr>
            <w:color w:val="000000"/>
            <w:szCs w:val="22"/>
            <w:lang w:val="sk-SK"/>
          </w:rPr>
          <w:t>CHR</w:t>
        </w:r>
      </w:smartTag>
      <w:r w:rsidRPr="00C83045">
        <w:rPr>
          <w:color w:val="000000"/>
          <w:szCs w:val="22"/>
          <w:lang w:val="sk-SK"/>
        </w:rPr>
        <w:t xml:space="preserve"> alebo zvýšenie počtu WBC a </w:t>
      </w:r>
      <w:r w:rsidR="00C553DF" w:rsidRPr="00C83045">
        <w:rPr>
          <w:color w:val="000000"/>
          <w:szCs w:val="22"/>
          <w:lang w:val="sk-SK"/>
        </w:rPr>
        <w:t xml:space="preserve">10 </w:t>
      </w:r>
      <w:r w:rsidRPr="00C83045">
        <w:rPr>
          <w:color w:val="000000"/>
          <w:szCs w:val="22"/>
          <w:lang w:val="sk-SK"/>
        </w:rPr>
        <w:t>(</w:t>
      </w:r>
      <w:r w:rsidR="00C553DF" w:rsidRPr="00C83045">
        <w:rPr>
          <w:color w:val="000000"/>
          <w:szCs w:val="22"/>
          <w:lang w:val="sk-SK"/>
        </w:rPr>
        <w:t>1,8</w:t>
      </w:r>
      <w:r w:rsidRPr="00C83045">
        <w:rPr>
          <w:color w:val="000000"/>
          <w:szCs w:val="22"/>
          <w:lang w:val="sk-SK"/>
        </w:rPr>
        <w:t>%) úmrtí</w:t>
      </w:r>
      <w:r w:rsidR="006A5435" w:rsidRPr="00C83045">
        <w:rPr>
          <w:color w:val="000000"/>
          <w:szCs w:val="22"/>
          <w:lang w:val="sk-SK"/>
        </w:rPr>
        <w:t xml:space="preserve"> nesúvisiacich s CML</w:t>
      </w:r>
      <w:r w:rsidRPr="00C83045">
        <w:rPr>
          <w:color w:val="000000"/>
          <w:szCs w:val="22"/>
          <w:lang w:val="sk-SK"/>
        </w:rPr>
        <w:t xml:space="preserve">. </w:t>
      </w:r>
      <w:r w:rsidR="006A5435" w:rsidRPr="00C83045">
        <w:rPr>
          <w:color w:val="000000"/>
          <w:szCs w:val="22"/>
          <w:lang w:val="sk-SK"/>
        </w:rPr>
        <w:t xml:space="preserve">Naproti tomu v skupine IFN+Ara-C bolo </w:t>
      </w:r>
      <w:r w:rsidR="00C553DF" w:rsidRPr="00C83045">
        <w:rPr>
          <w:color w:val="000000"/>
          <w:szCs w:val="22"/>
          <w:lang w:val="sk-SK"/>
        </w:rPr>
        <w:t xml:space="preserve">165 </w:t>
      </w:r>
      <w:r w:rsidRPr="00C83045">
        <w:rPr>
          <w:color w:val="000000"/>
          <w:szCs w:val="22"/>
          <w:lang w:val="sk-SK"/>
        </w:rPr>
        <w:t>(</w:t>
      </w:r>
      <w:r w:rsidR="00C553DF" w:rsidRPr="00C83045">
        <w:rPr>
          <w:color w:val="000000"/>
          <w:szCs w:val="22"/>
          <w:lang w:val="sk-SK"/>
        </w:rPr>
        <w:t>29,8</w:t>
      </w:r>
      <w:r w:rsidRPr="00C83045">
        <w:rPr>
          <w:color w:val="000000"/>
          <w:szCs w:val="22"/>
          <w:lang w:val="sk-SK"/>
        </w:rPr>
        <w:t xml:space="preserve">%) </w:t>
      </w:r>
      <w:r w:rsidR="006A5435" w:rsidRPr="00C83045">
        <w:rPr>
          <w:color w:val="000000"/>
          <w:szCs w:val="22"/>
          <w:lang w:val="sk-SK"/>
        </w:rPr>
        <w:t xml:space="preserve">príhod, z ktorých </w:t>
      </w:r>
      <w:r w:rsidR="00C553DF" w:rsidRPr="00C83045">
        <w:rPr>
          <w:color w:val="000000"/>
          <w:szCs w:val="22"/>
          <w:lang w:val="sk-SK"/>
        </w:rPr>
        <w:t>130 </w:t>
      </w:r>
      <w:r w:rsidR="006A5435" w:rsidRPr="00C83045">
        <w:rPr>
          <w:color w:val="000000"/>
          <w:szCs w:val="22"/>
          <w:lang w:val="sk-SK"/>
        </w:rPr>
        <w:t xml:space="preserve">sa vyskytlo počas liečby prvej línie </w:t>
      </w:r>
      <w:r w:rsidRPr="00C83045">
        <w:rPr>
          <w:color w:val="000000"/>
          <w:szCs w:val="22"/>
          <w:lang w:val="sk-SK"/>
        </w:rPr>
        <w:t>IFN+Ara-C.</w:t>
      </w:r>
    </w:p>
    <w:p w14:paraId="32367E64" w14:textId="77777777" w:rsidR="00C33593" w:rsidRPr="00C83045" w:rsidRDefault="00C33593" w:rsidP="00D4304B">
      <w:pPr>
        <w:widowControl w:val="0"/>
        <w:ind w:left="0" w:firstLine="0"/>
        <w:rPr>
          <w:color w:val="000000"/>
          <w:szCs w:val="22"/>
        </w:rPr>
      </w:pPr>
    </w:p>
    <w:p w14:paraId="32367E65" w14:textId="77777777" w:rsidR="00847D15" w:rsidRPr="00C83045" w:rsidRDefault="007470D9" w:rsidP="00D4304B">
      <w:pPr>
        <w:pStyle w:val="EndnoteText"/>
        <w:widowControl w:val="0"/>
        <w:rPr>
          <w:color w:val="000000"/>
          <w:szCs w:val="22"/>
          <w:lang w:val="sk-SK"/>
        </w:rPr>
      </w:pPr>
      <w:r w:rsidRPr="00C83045">
        <w:rPr>
          <w:color w:val="000000"/>
          <w:szCs w:val="22"/>
          <w:lang w:val="sk-SK"/>
        </w:rPr>
        <w:t>O</w:t>
      </w:r>
      <w:r w:rsidR="00847D15" w:rsidRPr="00C83045">
        <w:rPr>
          <w:color w:val="000000"/>
          <w:szCs w:val="22"/>
          <w:lang w:val="sk-SK"/>
        </w:rPr>
        <w:t xml:space="preserve">dhadovaný podiel pacientov bez progresie do akcelerovanej fázy alebo blastickej krízy po </w:t>
      </w:r>
      <w:r w:rsidR="00C553DF" w:rsidRPr="00C83045">
        <w:rPr>
          <w:color w:val="000000"/>
          <w:szCs w:val="22"/>
          <w:lang w:val="sk-SK"/>
        </w:rPr>
        <w:t>84 </w:t>
      </w:r>
      <w:r w:rsidR="00847D15" w:rsidRPr="00C83045">
        <w:rPr>
          <w:color w:val="000000"/>
          <w:szCs w:val="22"/>
          <w:lang w:val="sk-SK"/>
        </w:rPr>
        <w:t xml:space="preserve">mesiacoch </w:t>
      </w:r>
      <w:r w:rsidRPr="00C83045">
        <w:rPr>
          <w:color w:val="000000"/>
          <w:szCs w:val="22"/>
          <w:lang w:val="sk-SK"/>
        </w:rPr>
        <w:t xml:space="preserve">bol </w:t>
      </w:r>
      <w:r w:rsidR="00847D15" w:rsidRPr="00C83045">
        <w:rPr>
          <w:color w:val="000000"/>
          <w:szCs w:val="22"/>
          <w:lang w:val="sk-SK"/>
        </w:rPr>
        <w:t>významne vyšší v skupine Glivecu v porovnaní so skupinou IFN (</w:t>
      </w:r>
      <w:r w:rsidR="00C553DF" w:rsidRPr="00C83045">
        <w:rPr>
          <w:color w:val="000000"/>
          <w:szCs w:val="22"/>
          <w:lang w:val="sk-SK"/>
        </w:rPr>
        <w:t>92,5</w:t>
      </w:r>
      <w:r w:rsidR="00847D15" w:rsidRPr="00C83045">
        <w:rPr>
          <w:color w:val="000000"/>
          <w:szCs w:val="22"/>
          <w:lang w:val="sk-SK"/>
        </w:rPr>
        <w:t xml:space="preserve">% oproti </w:t>
      </w:r>
      <w:r w:rsidR="00C553DF" w:rsidRPr="00C83045">
        <w:rPr>
          <w:color w:val="000000"/>
          <w:szCs w:val="22"/>
          <w:lang w:val="sk-SK"/>
        </w:rPr>
        <w:lastRenderedPageBreak/>
        <w:t>85,1</w:t>
      </w:r>
      <w:r w:rsidR="00847D15" w:rsidRPr="00C83045">
        <w:rPr>
          <w:color w:val="000000"/>
          <w:szCs w:val="22"/>
          <w:lang w:val="sk-SK"/>
        </w:rPr>
        <w:t>%, p</w:t>
      </w:r>
      <w:r w:rsidR="00847D15" w:rsidRPr="00C83045">
        <w:rPr>
          <w:color w:val="000000"/>
          <w:szCs w:val="22"/>
          <w:lang w:val="sk-SK"/>
        </w:rPr>
        <w:sym w:font="Symbol" w:char="F03C"/>
      </w:r>
      <w:r w:rsidR="00847D15" w:rsidRPr="00C83045">
        <w:rPr>
          <w:color w:val="000000"/>
          <w:szCs w:val="22"/>
          <w:lang w:val="sk-SK"/>
        </w:rPr>
        <w:t xml:space="preserve">0,001). </w:t>
      </w:r>
      <w:r w:rsidRPr="00C83045">
        <w:rPr>
          <w:color w:val="000000"/>
          <w:szCs w:val="22"/>
          <w:lang w:val="sk-SK"/>
        </w:rPr>
        <w:t xml:space="preserve">Ročný </w:t>
      </w:r>
      <w:r w:rsidR="007501EC" w:rsidRPr="00C83045">
        <w:rPr>
          <w:color w:val="000000"/>
          <w:szCs w:val="22"/>
          <w:lang w:val="sk-SK"/>
        </w:rPr>
        <w:t>výskyt</w:t>
      </w:r>
      <w:r w:rsidRPr="00C83045">
        <w:rPr>
          <w:color w:val="000000"/>
          <w:szCs w:val="22"/>
          <w:lang w:val="sk-SK"/>
        </w:rPr>
        <w:t xml:space="preserve"> progresií </w:t>
      </w:r>
      <w:r w:rsidR="003E76D1" w:rsidRPr="00C83045">
        <w:rPr>
          <w:color w:val="000000"/>
          <w:szCs w:val="22"/>
          <w:lang w:val="sk-SK"/>
        </w:rPr>
        <w:t xml:space="preserve">do akcelerovanej fázy alebo blastickej krízy </w:t>
      </w:r>
      <w:r w:rsidRPr="00C83045">
        <w:rPr>
          <w:color w:val="000000"/>
          <w:szCs w:val="22"/>
          <w:lang w:val="sk-SK"/>
        </w:rPr>
        <w:t>sa znižoval s trvaním liečby</w:t>
      </w:r>
      <w:r w:rsidR="003E76D1" w:rsidRPr="00C83045">
        <w:rPr>
          <w:color w:val="000000"/>
          <w:szCs w:val="22"/>
          <w:lang w:val="sk-SK"/>
        </w:rPr>
        <w:t xml:space="preserve"> a dosahoval menej ako 1% ročne vo štvrtom a piatom roku. </w:t>
      </w:r>
      <w:r w:rsidR="00847D15" w:rsidRPr="00C83045">
        <w:rPr>
          <w:color w:val="000000"/>
          <w:szCs w:val="22"/>
          <w:lang w:val="sk-SK"/>
        </w:rPr>
        <w:t xml:space="preserve">Odhadovaný podiel prežívania bez progresie po </w:t>
      </w:r>
      <w:r w:rsidR="00776EA7" w:rsidRPr="00C83045">
        <w:rPr>
          <w:color w:val="000000"/>
          <w:szCs w:val="22"/>
          <w:lang w:val="sk-SK"/>
        </w:rPr>
        <w:t>84 </w:t>
      </w:r>
      <w:r w:rsidR="00847D15" w:rsidRPr="00C83045">
        <w:rPr>
          <w:color w:val="000000"/>
          <w:szCs w:val="22"/>
          <w:lang w:val="sk-SK"/>
        </w:rPr>
        <w:t xml:space="preserve">mesiacoch bol </w:t>
      </w:r>
      <w:r w:rsidR="00776EA7" w:rsidRPr="00C83045">
        <w:rPr>
          <w:color w:val="000000"/>
          <w:szCs w:val="22"/>
          <w:lang w:val="sk-SK"/>
        </w:rPr>
        <w:t>81,2</w:t>
      </w:r>
      <w:r w:rsidR="00847D15" w:rsidRPr="00C83045">
        <w:rPr>
          <w:color w:val="000000"/>
          <w:szCs w:val="22"/>
          <w:lang w:val="sk-SK"/>
        </w:rPr>
        <w:t>% v skupine Glivecu a</w:t>
      </w:r>
      <w:r w:rsidR="009D6593" w:rsidRPr="00C83045">
        <w:rPr>
          <w:color w:val="000000"/>
          <w:szCs w:val="22"/>
          <w:lang w:val="sk-SK"/>
        </w:rPr>
        <w:t> </w:t>
      </w:r>
      <w:r w:rsidR="00776EA7" w:rsidRPr="00C83045">
        <w:rPr>
          <w:color w:val="000000"/>
          <w:szCs w:val="22"/>
          <w:lang w:val="sk-SK"/>
        </w:rPr>
        <w:t>60,6</w:t>
      </w:r>
      <w:r w:rsidR="00847D15" w:rsidRPr="00C83045">
        <w:rPr>
          <w:color w:val="000000"/>
          <w:szCs w:val="22"/>
          <w:lang w:val="sk-SK"/>
        </w:rPr>
        <w:t>% v kontrolnej skupine</w:t>
      </w:r>
      <w:r w:rsidR="009D6593" w:rsidRPr="00C83045">
        <w:rPr>
          <w:color w:val="000000"/>
          <w:szCs w:val="22"/>
          <w:lang w:val="sk-SK"/>
        </w:rPr>
        <w:t xml:space="preserve"> (p&lt;0,001</w:t>
      </w:r>
      <w:r w:rsidR="00C968D8" w:rsidRPr="00C83045">
        <w:rPr>
          <w:color w:val="000000"/>
          <w:szCs w:val="22"/>
          <w:lang w:val="sk-SK"/>
        </w:rPr>
        <w:t>). Ročné po</w:t>
      </w:r>
      <w:r w:rsidR="007501EC" w:rsidRPr="00C83045">
        <w:rPr>
          <w:color w:val="000000"/>
          <w:szCs w:val="22"/>
          <w:lang w:val="sk-SK"/>
        </w:rPr>
        <w:t>čty</w:t>
      </w:r>
      <w:r w:rsidR="00C968D8" w:rsidRPr="00C83045">
        <w:rPr>
          <w:color w:val="000000"/>
          <w:szCs w:val="22"/>
          <w:lang w:val="sk-SK"/>
        </w:rPr>
        <w:t xml:space="preserve"> progresi</w:t>
      </w:r>
      <w:r w:rsidR="003E76D1" w:rsidRPr="00C83045">
        <w:rPr>
          <w:color w:val="000000"/>
          <w:szCs w:val="22"/>
          <w:lang w:val="sk-SK"/>
        </w:rPr>
        <w:t>í</w:t>
      </w:r>
      <w:r w:rsidR="00C968D8" w:rsidRPr="00C83045">
        <w:rPr>
          <w:color w:val="000000"/>
          <w:szCs w:val="22"/>
          <w:lang w:val="sk-SK"/>
        </w:rPr>
        <w:t xml:space="preserve"> </w:t>
      </w:r>
      <w:r w:rsidR="003E76D1" w:rsidRPr="00C83045">
        <w:rPr>
          <w:color w:val="000000"/>
          <w:szCs w:val="22"/>
          <w:lang w:val="sk-SK"/>
        </w:rPr>
        <w:t xml:space="preserve">akéhokoľvek typu </w:t>
      </w:r>
      <w:r w:rsidR="00C968D8" w:rsidRPr="00C83045">
        <w:rPr>
          <w:color w:val="000000"/>
          <w:szCs w:val="22"/>
          <w:lang w:val="sk-SK"/>
        </w:rPr>
        <w:t xml:space="preserve">pri Glivecu </w:t>
      </w:r>
      <w:r w:rsidR="00F5461F" w:rsidRPr="00C83045">
        <w:rPr>
          <w:color w:val="000000"/>
          <w:szCs w:val="22"/>
          <w:lang w:val="sk-SK"/>
        </w:rPr>
        <w:t>časom tiež klesali.</w:t>
      </w:r>
    </w:p>
    <w:p w14:paraId="32367E66" w14:textId="77777777" w:rsidR="009A04CE" w:rsidRPr="00C83045" w:rsidRDefault="009A04CE" w:rsidP="00D4304B">
      <w:pPr>
        <w:widowControl w:val="0"/>
        <w:ind w:left="0" w:firstLine="0"/>
        <w:rPr>
          <w:color w:val="000000"/>
          <w:szCs w:val="22"/>
        </w:rPr>
      </w:pPr>
    </w:p>
    <w:p w14:paraId="32367E67" w14:textId="77777777" w:rsidR="00682FF8" w:rsidRPr="00C83045" w:rsidRDefault="009D6593" w:rsidP="00D4304B">
      <w:pPr>
        <w:pStyle w:val="EndnoteText"/>
        <w:widowControl w:val="0"/>
        <w:rPr>
          <w:color w:val="000000"/>
          <w:szCs w:val="22"/>
          <w:lang w:val="sk-SK"/>
        </w:rPr>
      </w:pPr>
      <w:r w:rsidRPr="00C83045">
        <w:rPr>
          <w:color w:val="000000"/>
          <w:szCs w:val="22"/>
          <w:lang w:val="sk-SK"/>
        </w:rPr>
        <w:t xml:space="preserve">Celkovo zomrelo </w:t>
      </w:r>
      <w:r w:rsidR="00776EA7" w:rsidRPr="00C83045">
        <w:rPr>
          <w:color w:val="000000"/>
          <w:szCs w:val="22"/>
          <w:lang w:val="sk-SK"/>
        </w:rPr>
        <w:t xml:space="preserve">71 </w:t>
      </w:r>
      <w:r w:rsidRPr="00C83045">
        <w:rPr>
          <w:color w:val="000000"/>
          <w:szCs w:val="22"/>
          <w:lang w:val="sk-SK"/>
        </w:rPr>
        <w:t>(</w:t>
      </w:r>
      <w:r w:rsidR="00776EA7" w:rsidRPr="00C83045">
        <w:rPr>
          <w:color w:val="000000"/>
          <w:szCs w:val="22"/>
          <w:lang w:val="sk-SK"/>
        </w:rPr>
        <w:t>12,8</w:t>
      </w:r>
      <w:r w:rsidRPr="00C83045">
        <w:rPr>
          <w:color w:val="000000"/>
          <w:szCs w:val="22"/>
          <w:lang w:val="sk-SK"/>
        </w:rPr>
        <w:t xml:space="preserve">%) pacientov v skupine Glivecu a </w:t>
      </w:r>
      <w:r w:rsidR="00776EA7" w:rsidRPr="00C83045">
        <w:rPr>
          <w:color w:val="000000"/>
          <w:szCs w:val="22"/>
          <w:lang w:val="sk-SK"/>
        </w:rPr>
        <w:t xml:space="preserve">85 </w:t>
      </w:r>
      <w:r w:rsidRPr="00C83045">
        <w:rPr>
          <w:color w:val="000000"/>
          <w:szCs w:val="22"/>
          <w:lang w:val="sk-SK"/>
        </w:rPr>
        <w:t>(</w:t>
      </w:r>
      <w:r w:rsidR="00776EA7" w:rsidRPr="00C83045">
        <w:rPr>
          <w:color w:val="000000"/>
          <w:szCs w:val="22"/>
          <w:lang w:val="sk-SK"/>
        </w:rPr>
        <w:t>15,4</w:t>
      </w:r>
      <w:r w:rsidRPr="00C83045">
        <w:rPr>
          <w:color w:val="000000"/>
          <w:szCs w:val="22"/>
          <w:lang w:val="sk-SK"/>
        </w:rPr>
        <w:t xml:space="preserve">%) v skupine IFN+Ara-C. Po </w:t>
      </w:r>
      <w:r w:rsidR="00776EA7" w:rsidRPr="00C83045">
        <w:rPr>
          <w:color w:val="000000"/>
          <w:szCs w:val="22"/>
          <w:lang w:val="sk-SK"/>
        </w:rPr>
        <w:t>84 </w:t>
      </w:r>
      <w:r w:rsidRPr="00C83045">
        <w:rPr>
          <w:color w:val="000000"/>
          <w:szCs w:val="22"/>
          <w:lang w:val="sk-SK"/>
        </w:rPr>
        <w:t xml:space="preserve">mesiacoch je odhadované celkové prežívanie </w:t>
      </w:r>
      <w:r w:rsidR="00776EA7" w:rsidRPr="00C83045">
        <w:rPr>
          <w:color w:val="000000"/>
          <w:szCs w:val="22"/>
          <w:lang w:val="sk-SK"/>
        </w:rPr>
        <w:t>86,4</w:t>
      </w:r>
      <w:r w:rsidRPr="00C83045">
        <w:rPr>
          <w:color w:val="000000"/>
          <w:szCs w:val="22"/>
          <w:lang w:val="sk-SK"/>
        </w:rPr>
        <w:t>% (</w:t>
      </w:r>
      <w:r w:rsidR="00776EA7" w:rsidRPr="00C83045">
        <w:rPr>
          <w:color w:val="000000"/>
          <w:szCs w:val="22"/>
          <w:lang w:val="sk-SK"/>
        </w:rPr>
        <w:t>83, 90</w:t>
      </w:r>
      <w:r w:rsidRPr="00C83045">
        <w:rPr>
          <w:color w:val="000000"/>
          <w:szCs w:val="22"/>
          <w:lang w:val="sk-SK"/>
        </w:rPr>
        <w:t xml:space="preserve">) oproti </w:t>
      </w:r>
      <w:r w:rsidR="00776EA7" w:rsidRPr="00C83045">
        <w:rPr>
          <w:color w:val="000000"/>
          <w:szCs w:val="22"/>
          <w:lang w:val="sk-SK"/>
        </w:rPr>
        <w:t>83,3</w:t>
      </w:r>
      <w:r w:rsidRPr="00C83045">
        <w:rPr>
          <w:color w:val="000000"/>
          <w:szCs w:val="22"/>
          <w:lang w:val="sk-SK"/>
        </w:rPr>
        <w:t>% (</w:t>
      </w:r>
      <w:r w:rsidR="00776EA7" w:rsidRPr="00C83045">
        <w:rPr>
          <w:color w:val="000000"/>
          <w:szCs w:val="22"/>
          <w:lang w:val="sk-SK"/>
        </w:rPr>
        <w:t>80, 87</w:t>
      </w:r>
      <w:r w:rsidRPr="00C83045">
        <w:rPr>
          <w:color w:val="000000"/>
          <w:szCs w:val="22"/>
          <w:lang w:val="sk-SK"/>
        </w:rPr>
        <w:t>) v randomizovaných skupinách Glivecu a IFN+Ara-C (p=0,</w:t>
      </w:r>
      <w:r w:rsidR="00776EA7" w:rsidRPr="00C83045">
        <w:rPr>
          <w:color w:val="000000"/>
          <w:szCs w:val="22"/>
          <w:lang w:val="sk-SK"/>
        </w:rPr>
        <w:t>073</w:t>
      </w:r>
      <w:r w:rsidRPr="00C83045">
        <w:rPr>
          <w:color w:val="000000"/>
          <w:szCs w:val="22"/>
          <w:lang w:val="sk-SK"/>
        </w:rPr>
        <w:t>, log-rank test). T</w:t>
      </w:r>
      <w:r w:rsidR="000F21CF" w:rsidRPr="00C83045">
        <w:rPr>
          <w:color w:val="000000"/>
          <w:szCs w:val="22"/>
          <w:lang w:val="sk-SK"/>
        </w:rPr>
        <w:t>ento parameter času-do-príhody je veľmi ovplyvnený vysokým po</w:t>
      </w:r>
      <w:r w:rsidR="007501EC" w:rsidRPr="00C83045">
        <w:rPr>
          <w:color w:val="000000"/>
          <w:szCs w:val="22"/>
          <w:lang w:val="sk-SK"/>
        </w:rPr>
        <w:t>čtom</w:t>
      </w:r>
      <w:r w:rsidR="000F21CF" w:rsidRPr="00C83045">
        <w:rPr>
          <w:color w:val="000000"/>
          <w:szCs w:val="22"/>
          <w:lang w:val="sk-SK"/>
        </w:rPr>
        <w:t xml:space="preserve"> zmeny liečby z </w:t>
      </w:r>
      <w:r w:rsidRPr="00C83045">
        <w:rPr>
          <w:color w:val="000000"/>
          <w:szCs w:val="22"/>
          <w:lang w:val="sk-SK"/>
        </w:rPr>
        <w:t xml:space="preserve">IFN+Ara-C </w:t>
      </w:r>
      <w:r w:rsidR="000F21CF" w:rsidRPr="00C83045">
        <w:rPr>
          <w:color w:val="000000"/>
          <w:szCs w:val="22"/>
          <w:lang w:val="sk-SK"/>
        </w:rPr>
        <w:t>na</w:t>
      </w:r>
      <w:r w:rsidRPr="00C83045">
        <w:rPr>
          <w:color w:val="000000"/>
          <w:szCs w:val="22"/>
          <w:lang w:val="sk-SK"/>
        </w:rPr>
        <w:t xml:space="preserve"> Glivec.</w:t>
      </w:r>
      <w:r w:rsidR="00F5461F" w:rsidRPr="00C83045">
        <w:rPr>
          <w:color w:val="000000"/>
          <w:szCs w:val="22"/>
          <w:lang w:val="sk-SK"/>
        </w:rPr>
        <w:t xml:space="preserve"> </w:t>
      </w:r>
      <w:r w:rsidR="0063460A" w:rsidRPr="00C83045">
        <w:rPr>
          <w:color w:val="000000"/>
          <w:szCs w:val="22"/>
          <w:lang w:val="sk-SK"/>
        </w:rPr>
        <w:t>Účinok liečby Glivecom na prežívanie v chronickej fáze novodiagnostikovan</w:t>
      </w:r>
      <w:r w:rsidR="007501EC" w:rsidRPr="00C83045">
        <w:rPr>
          <w:color w:val="000000"/>
          <w:szCs w:val="22"/>
          <w:lang w:val="sk-SK"/>
        </w:rPr>
        <w:t>ej</w:t>
      </w:r>
      <w:r w:rsidR="0063460A" w:rsidRPr="00C83045">
        <w:rPr>
          <w:color w:val="000000"/>
          <w:szCs w:val="22"/>
          <w:lang w:val="sk-SK"/>
        </w:rPr>
        <w:t xml:space="preserve"> </w:t>
      </w:r>
      <w:r w:rsidR="00682FF8" w:rsidRPr="00C83045">
        <w:rPr>
          <w:color w:val="000000"/>
          <w:szCs w:val="22"/>
          <w:lang w:val="sk-SK"/>
        </w:rPr>
        <w:t xml:space="preserve">CML </w:t>
      </w:r>
      <w:r w:rsidR="0063460A" w:rsidRPr="00C83045">
        <w:rPr>
          <w:color w:val="000000"/>
          <w:szCs w:val="22"/>
          <w:lang w:val="sk-SK"/>
        </w:rPr>
        <w:t xml:space="preserve">sa ďalej skúmal v retrospektívnej analýze vyššie uvedených údajov o </w:t>
      </w:r>
      <w:r w:rsidR="00682FF8" w:rsidRPr="00C83045">
        <w:rPr>
          <w:color w:val="000000"/>
          <w:szCs w:val="22"/>
          <w:lang w:val="sk-SK"/>
        </w:rPr>
        <w:t>Glivec</w:t>
      </w:r>
      <w:r w:rsidR="0063460A" w:rsidRPr="00C83045">
        <w:rPr>
          <w:color w:val="000000"/>
          <w:szCs w:val="22"/>
          <w:lang w:val="sk-SK"/>
        </w:rPr>
        <w:t xml:space="preserve">u spolu s primárnymi údajmi z ďalšieho klinického skúšania fázy </w:t>
      </w:r>
      <w:smartTag w:uri="urn:schemas-microsoft-com:office:smarttags" w:element="stockticker">
        <w:r w:rsidR="00682FF8" w:rsidRPr="00C83045">
          <w:rPr>
            <w:color w:val="000000"/>
            <w:szCs w:val="22"/>
            <w:lang w:val="sk-SK"/>
          </w:rPr>
          <w:t>III</w:t>
        </w:r>
      </w:smartTag>
      <w:r w:rsidR="0063460A" w:rsidRPr="00C83045">
        <w:rPr>
          <w:color w:val="000000"/>
          <w:szCs w:val="22"/>
          <w:lang w:val="sk-SK"/>
        </w:rPr>
        <w:t xml:space="preserve">, v ktorom sa použili </w:t>
      </w:r>
      <w:r w:rsidR="00682FF8" w:rsidRPr="00C83045">
        <w:rPr>
          <w:color w:val="000000"/>
          <w:szCs w:val="22"/>
          <w:lang w:val="sk-SK"/>
        </w:rPr>
        <w:t xml:space="preserve">IFN+Ara-C (n=325) </w:t>
      </w:r>
      <w:r w:rsidR="0063460A" w:rsidRPr="00C83045">
        <w:rPr>
          <w:color w:val="000000"/>
          <w:szCs w:val="22"/>
          <w:lang w:val="sk-SK"/>
        </w:rPr>
        <w:t>v rovnakom režime</w:t>
      </w:r>
      <w:r w:rsidR="00682FF8" w:rsidRPr="00C83045">
        <w:rPr>
          <w:color w:val="000000"/>
          <w:szCs w:val="22"/>
          <w:lang w:val="sk-SK"/>
        </w:rPr>
        <w:t xml:space="preserve">. </w:t>
      </w:r>
      <w:r w:rsidR="0063460A" w:rsidRPr="00C83045">
        <w:rPr>
          <w:color w:val="000000"/>
          <w:szCs w:val="22"/>
          <w:lang w:val="sk-SK"/>
        </w:rPr>
        <w:t>V tejto retrospektívnej analýze sa preukázal</w:t>
      </w:r>
      <w:r w:rsidR="005A112A" w:rsidRPr="00C83045">
        <w:rPr>
          <w:color w:val="000000"/>
          <w:szCs w:val="22"/>
          <w:lang w:val="sk-SK"/>
        </w:rPr>
        <w:t>o, že Glivec je lepší ako</w:t>
      </w:r>
      <w:r w:rsidR="00682FF8" w:rsidRPr="00C83045">
        <w:rPr>
          <w:color w:val="000000"/>
          <w:szCs w:val="22"/>
          <w:lang w:val="sk-SK"/>
        </w:rPr>
        <w:t xml:space="preserve"> IFN+Ara-C </w:t>
      </w:r>
      <w:r w:rsidR="005A112A" w:rsidRPr="00C83045">
        <w:rPr>
          <w:color w:val="000000"/>
          <w:szCs w:val="22"/>
          <w:lang w:val="sk-SK"/>
        </w:rPr>
        <w:t xml:space="preserve">vzhľadom na celkové prežívanie </w:t>
      </w:r>
      <w:r w:rsidR="00682FF8" w:rsidRPr="00C83045">
        <w:rPr>
          <w:color w:val="000000"/>
          <w:szCs w:val="22"/>
          <w:lang w:val="sk-SK"/>
        </w:rPr>
        <w:t>(p&lt;0</w:t>
      </w:r>
      <w:r w:rsidR="005A112A" w:rsidRPr="00C83045">
        <w:rPr>
          <w:color w:val="000000"/>
          <w:szCs w:val="22"/>
          <w:lang w:val="sk-SK"/>
        </w:rPr>
        <w:t>,</w:t>
      </w:r>
      <w:r w:rsidR="00682FF8" w:rsidRPr="00C83045">
        <w:rPr>
          <w:color w:val="000000"/>
          <w:szCs w:val="22"/>
          <w:lang w:val="sk-SK"/>
        </w:rPr>
        <w:t xml:space="preserve">001); </w:t>
      </w:r>
      <w:r w:rsidR="005A112A" w:rsidRPr="00C83045">
        <w:rPr>
          <w:color w:val="000000"/>
          <w:szCs w:val="22"/>
          <w:lang w:val="sk-SK"/>
        </w:rPr>
        <w:t xml:space="preserve">počas </w:t>
      </w:r>
      <w:r w:rsidR="00682FF8" w:rsidRPr="00C83045">
        <w:rPr>
          <w:color w:val="000000"/>
          <w:szCs w:val="22"/>
          <w:lang w:val="sk-SK"/>
        </w:rPr>
        <w:t>42 m</w:t>
      </w:r>
      <w:r w:rsidR="005A112A" w:rsidRPr="00C83045">
        <w:rPr>
          <w:color w:val="000000"/>
          <w:szCs w:val="22"/>
          <w:lang w:val="sk-SK"/>
        </w:rPr>
        <w:t xml:space="preserve">esiacov zomrelo </w:t>
      </w:r>
      <w:r w:rsidR="00682FF8" w:rsidRPr="00C83045">
        <w:rPr>
          <w:color w:val="000000"/>
          <w:szCs w:val="22"/>
          <w:lang w:val="sk-SK"/>
        </w:rPr>
        <w:t>47 (8</w:t>
      </w:r>
      <w:r w:rsidR="005A112A" w:rsidRPr="00C83045">
        <w:rPr>
          <w:color w:val="000000"/>
          <w:szCs w:val="22"/>
          <w:lang w:val="sk-SK"/>
        </w:rPr>
        <w:t>,</w:t>
      </w:r>
      <w:r w:rsidR="00682FF8" w:rsidRPr="00C83045">
        <w:rPr>
          <w:color w:val="000000"/>
          <w:szCs w:val="22"/>
          <w:lang w:val="sk-SK"/>
        </w:rPr>
        <w:t xml:space="preserve">5%) </w:t>
      </w:r>
      <w:r w:rsidR="005A112A" w:rsidRPr="00C83045">
        <w:rPr>
          <w:color w:val="000000"/>
          <w:szCs w:val="22"/>
          <w:lang w:val="sk-SK"/>
        </w:rPr>
        <w:t xml:space="preserve">pacientov liečených </w:t>
      </w:r>
      <w:r w:rsidR="00682FF8" w:rsidRPr="00C83045">
        <w:rPr>
          <w:color w:val="000000"/>
          <w:szCs w:val="22"/>
          <w:lang w:val="sk-SK"/>
        </w:rPr>
        <w:t>Glivec</w:t>
      </w:r>
      <w:r w:rsidR="005A112A" w:rsidRPr="00C83045">
        <w:rPr>
          <w:color w:val="000000"/>
          <w:szCs w:val="22"/>
          <w:lang w:val="sk-SK"/>
        </w:rPr>
        <w:t>om a</w:t>
      </w:r>
      <w:r w:rsidR="00682FF8" w:rsidRPr="00C83045">
        <w:rPr>
          <w:color w:val="000000"/>
          <w:szCs w:val="22"/>
          <w:lang w:val="sk-SK"/>
        </w:rPr>
        <w:t xml:space="preserve"> 63 (19</w:t>
      </w:r>
      <w:r w:rsidR="005A112A" w:rsidRPr="00C83045">
        <w:rPr>
          <w:color w:val="000000"/>
          <w:szCs w:val="22"/>
          <w:lang w:val="sk-SK"/>
        </w:rPr>
        <w:t>,</w:t>
      </w:r>
      <w:r w:rsidR="00682FF8" w:rsidRPr="00C83045">
        <w:rPr>
          <w:color w:val="000000"/>
          <w:szCs w:val="22"/>
          <w:lang w:val="sk-SK"/>
        </w:rPr>
        <w:t xml:space="preserve">4%) </w:t>
      </w:r>
      <w:r w:rsidR="005A112A" w:rsidRPr="00C83045">
        <w:rPr>
          <w:color w:val="000000"/>
          <w:szCs w:val="22"/>
          <w:lang w:val="sk-SK"/>
        </w:rPr>
        <w:t>pacientov liečených IFN+Ara-C</w:t>
      </w:r>
      <w:r w:rsidR="00682FF8" w:rsidRPr="00C83045">
        <w:rPr>
          <w:color w:val="000000"/>
          <w:szCs w:val="22"/>
          <w:lang w:val="sk-SK"/>
        </w:rPr>
        <w:t>.</w:t>
      </w:r>
    </w:p>
    <w:p w14:paraId="32367E68" w14:textId="77777777" w:rsidR="009D6593" w:rsidRPr="00C83045" w:rsidRDefault="009D6593" w:rsidP="00D4304B">
      <w:pPr>
        <w:widowControl w:val="0"/>
        <w:ind w:left="0" w:firstLine="0"/>
        <w:rPr>
          <w:color w:val="000000"/>
          <w:szCs w:val="22"/>
        </w:rPr>
      </w:pPr>
    </w:p>
    <w:p w14:paraId="32367E69" w14:textId="77777777" w:rsidR="009D6593" w:rsidRPr="00C83045" w:rsidRDefault="003F12F8" w:rsidP="00D4304B">
      <w:pPr>
        <w:pStyle w:val="EndnoteText"/>
        <w:widowControl w:val="0"/>
        <w:rPr>
          <w:color w:val="000000"/>
          <w:szCs w:val="22"/>
          <w:lang w:val="sk-SK"/>
        </w:rPr>
      </w:pPr>
      <w:r w:rsidRPr="00C83045">
        <w:rPr>
          <w:color w:val="000000"/>
          <w:szCs w:val="22"/>
          <w:lang w:val="sk-SK"/>
        </w:rPr>
        <w:t xml:space="preserve">Stupeň cytogenetickej odpovede </w:t>
      </w:r>
      <w:r w:rsidR="00F5461F" w:rsidRPr="00C83045">
        <w:rPr>
          <w:color w:val="000000"/>
          <w:szCs w:val="22"/>
          <w:lang w:val="sk-SK"/>
        </w:rPr>
        <w:t xml:space="preserve">a molekulárnej odpovede </w:t>
      </w:r>
      <w:r w:rsidRPr="00C83045">
        <w:rPr>
          <w:color w:val="000000"/>
          <w:szCs w:val="22"/>
          <w:lang w:val="sk-SK"/>
        </w:rPr>
        <w:t xml:space="preserve">mal jednoznačný vplyv na dlhodobé výsledky u pacientov liečených Glivecom. Zatiaľ čo odhadovaných </w:t>
      </w:r>
      <w:r w:rsidR="00776EA7" w:rsidRPr="00C83045">
        <w:rPr>
          <w:color w:val="000000"/>
          <w:szCs w:val="22"/>
          <w:lang w:val="sk-SK"/>
        </w:rPr>
        <w:t>96</w:t>
      </w:r>
      <w:r w:rsidR="006D66A8" w:rsidRPr="00C83045">
        <w:rPr>
          <w:color w:val="000000"/>
          <w:szCs w:val="22"/>
          <w:lang w:val="sk-SK"/>
        </w:rPr>
        <w:t xml:space="preserve">% (93%) </w:t>
      </w:r>
      <w:r w:rsidRPr="00C83045">
        <w:rPr>
          <w:color w:val="000000"/>
          <w:szCs w:val="22"/>
          <w:lang w:val="sk-SK"/>
        </w:rPr>
        <w:t>pacientov s</w:t>
      </w:r>
      <w:r w:rsidR="006D66A8" w:rsidRPr="00C83045">
        <w:rPr>
          <w:color w:val="000000"/>
          <w:szCs w:val="22"/>
          <w:lang w:val="sk-SK"/>
        </w:rPr>
        <w:t xml:space="preserve"> CCyR (PCyR) </w:t>
      </w:r>
      <w:r w:rsidRPr="00C83045">
        <w:rPr>
          <w:color w:val="000000"/>
          <w:szCs w:val="22"/>
          <w:lang w:val="sk-SK"/>
        </w:rPr>
        <w:t xml:space="preserve">po </w:t>
      </w:r>
      <w:r w:rsidR="006D66A8" w:rsidRPr="00C83045">
        <w:rPr>
          <w:color w:val="000000"/>
          <w:szCs w:val="22"/>
          <w:lang w:val="sk-SK"/>
        </w:rPr>
        <w:t>12 m</w:t>
      </w:r>
      <w:r w:rsidRPr="00C83045">
        <w:rPr>
          <w:color w:val="000000"/>
          <w:szCs w:val="22"/>
          <w:lang w:val="sk-SK"/>
        </w:rPr>
        <w:t xml:space="preserve">esiacoch nemalo progresiu do akcelerovanej fázy/blastickej krízy po </w:t>
      </w:r>
      <w:r w:rsidR="00776EA7" w:rsidRPr="00C83045">
        <w:rPr>
          <w:color w:val="000000"/>
          <w:szCs w:val="22"/>
          <w:lang w:val="sk-SK"/>
        </w:rPr>
        <w:t>84 </w:t>
      </w:r>
      <w:r w:rsidR="006D66A8" w:rsidRPr="00C83045">
        <w:rPr>
          <w:color w:val="000000"/>
          <w:szCs w:val="22"/>
          <w:lang w:val="sk-SK"/>
        </w:rPr>
        <w:t>m</w:t>
      </w:r>
      <w:r w:rsidRPr="00C83045">
        <w:rPr>
          <w:color w:val="000000"/>
          <w:szCs w:val="22"/>
          <w:lang w:val="sk-SK"/>
        </w:rPr>
        <w:t xml:space="preserve">esiacoch, len </w:t>
      </w:r>
      <w:r w:rsidR="006D66A8" w:rsidRPr="00C83045">
        <w:rPr>
          <w:color w:val="000000"/>
          <w:szCs w:val="22"/>
          <w:lang w:val="sk-SK"/>
        </w:rPr>
        <w:t xml:space="preserve">81% </w:t>
      </w:r>
      <w:r w:rsidRPr="00C83045">
        <w:rPr>
          <w:color w:val="000000"/>
          <w:szCs w:val="22"/>
          <w:lang w:val="sk-SK"/>
        </w:rPr>
        <w:t xml:space="preserve">pacientov bez </w:t>
      </w:r>
      <w:r w:rsidR="006D66A8" w:rsidRPr="00C83045">
        <w:rPr>
          <w:color w:val="000000"/>
          <w:szCs w:val="22"/>
          <w:lang w:val="sk-SK"/>
        </w:rPr>
        <w:t xml:space="preserve">MCyR </w:t>
      </w:r>
      <w:r w:rsidRPr="00C83045">
        <w:rPr>
          <w:color w:val="000000"/>
          <w:szCs w:val="22"/>
          <w:lang w:val="sk-SK"/>
        </w:rPr>
        <w:t xml:space="preserve">po </w:t>
      </w:r>
      <w:r w:rsidR="006D66A8" w:rsidRPr="00C83045">
        <w:rPr>
          <w:color w:val="000000"/>
          <w:szCs w:val="22"/>
          <w:lang w:val="sk-SK"/>
        </w:rPr>
        <w:t>12 m</w:t>
      </w:r>
      <w:r w:rsidRPr="00C83045">
        <w:rPr>
          <w:color w:val="000000"/>
          <w:szCs w:val="22"/>
          <w:lang w:val="sk-SK"/>
        </w:rPr>
        <w:t xml:space="preserve">esiacoch nemalo progresiu do pokročilej </w:t>
      </w:r>
      <w:r w:rsidR="006D66A8" w:rsidRPr="00C83045">
        <w:rPr>
          <w:color w:val="000000"/>
          <w:szCs w:val="22"/>
          <w:lang w:val="sk-SK"/>
        </w:rPr>
        <w:t xml:space="preserve">CML </w:t>
      </w:r>
      <w:r w:rsidRPr="00C83045">
        <w:rPr>
          <w:color w:val="000000"/>
          <w:szCs w:val="22"/>
          <w:lang w:val="sk-SK"/>
        </w:rPr>
        <w:t xml:space="preserve">po </w:t>
      </w:r>
      <w:r w:rsidR="00776EA7" w:rsidRPr="00C83045">
        <w:rPr>
          <w:color w:val="000000"/>
          <w:szCs w:val="22"/>
          <w:lang w:val="sk-SK"/>
        </w:rPr>
        <w:t>84 </w:t>
      </w:r>
      <w:r w:rsidR="006D66A8" w:rsidRPr="00C83045">
        <w:rPr>
          <w:color w:val="000000"/>
          <w:szCs w:val="22"/>
          <w:lang w:val="sk-SK"/>
        </w:rPr>
        <w:t>m</w:t>
      </w:r>
      <w:r w:rsidRPr="00C83045">
        <w:rPr>
          <w:color w:val="000000"/>
          <w:szCs w:val="22"/>
          <w:lang w:val="sk-SK"/>
        </w:rPr>
        <w:t>esiacoch</w:t>
      </w:r>
      <w:r w:rsidR="006D66A8" w:rsidRPr="00C83045">
        <w:rPr>
          <w:color w:val="000000"/>
          <w:szCs w:val="22"/>
          <w:lang w:val="sk-SK"/>
        </w:rPr>
        <w:t xml:space="preserve"> (p&lt;0</w:t>
      </w:r>
      <w:r w:rsidRPr="00C83045">
        <w:rPr>
          <w:color w:val="000000"/>
          <w:szCs w:val="22"/>
          <w:lang w:val="sk-SK"/>
        </w:rPr>
        <w:t>,</w:t>
      </w:r>
      <w:r w:rsidR="006D66A8" w:rsidRPr="00C83045">
        <w:rPr>
          <w:color w:val="000000"/>
          <w:szCs w:val="22"/>
          <w:lang w:val="sk-SK"/>
        </w:rPr>
        <w:t>001</w:t>
      </w:r>
      <w:r w:rsidRPr="00C83045">
        <w:rPr>
          <w:color w:val="000000"/>
          <w:szCs w:val="22"/>
          <w:lang w:val="sk-SK"/>
        </w:rPr>
        <w:t xml:space="preserve"> celkovo</w:t>
      </w:r>
      <w:r w:rsidR="006D66A8" w:rsidRPr="00C83045">
        <w:rPr>
          <w:color w:val="000000"/>
          <w:szCs w:val="22"/>
          <w:lang w:val="sk-SK"/>
        </w:rPr>
        <w:t>, p=0</w:t>
      </w:r>
      <w:r w:rsidRPr="00C83045">
        <w:rPr>
          <w:color w:val="000000"/>
          <w:szCs w:val="22"/>
          <w:lang w:val="sk-SK"/>
        </w:rPr>
        <w:t>,</w:t>
      </w:r>
      <w:r w:rsidR="006D66A8" w:rsidRPr="00C83045">
        <w:rPr>
          <w:color w:val="000000"/>
          <w:szCs w:val="22"/>
          <w:lang w:val="sk-SK"/>
        </w:rPr>
        <w:t>2</w:t>
      </w:r>
      <w:r w:rsidR="00776EA7" w:rsidRPr="00C83045">
        <w:rPr>
          <w:color w:val="000000"/>
          <w:szCs w:val="22"/>
          <w:lang w:val="sk-SK"/>
        </w:rPr>
        <w:t>5</w:t>
      </w:r>
      <w:r w:rsidR="006D66A8" w:rsidRPr="00C83045">
        <w:rPr>
          <w:color w:val="000000"/>
          <w:szCs w:val="22"/>
          <w:lang w:val="sk-SK"/>
        </w:rPr>
        <w:t xml:space="preserve"> </w:t>
      </w:r>
      <w:r w:rsidRPr="00C83045">
        <w:rPr>
          <w:color w:val="000000"/>
          <w:szCs w:val="22"/>
          <w:lang w:val="sk-SK"/>
        </w:rPr>
        <w:t>medzi</w:t>
      </w:r>
      <w:r w:rsidR="006D66A8" w:rsidRPr="00C83045">
        <w:rPr>
          <w:color w:val="000000"/>
          <w:szCs w:val="22"/>
          <w:lang w:val="sk-SK"/>
        </w:rPr>
        <w:t xml:space="preserve"> CCyR a PCyR). </w:t>
      </w:r>
      <w:r w:rsidR="00374663" w:rsidRPr="00C83045">
        <w:rPr>
          <w:color w:val="000000"/>
          <w:szCs w:val="22"/>
          <w:lang w:val="sk-SK"/>
        </w:rPr>
        <w:t>U pacientov s</w:t>
      </w:r>
      <w:r w:rsidR="00776EA7" w:rsidRPr="00C83045">
        <w:rPr>
          <w:color w:val="000000"/>
          <w:szCs w:val="22"/>
          <w:lang w:val="sk-SK"/>
        </w:rPr>
        <w:t>o</w:t>
      </w:r>
      <w:r w:rsidR="00374663" w:rsidRPr="00C83045">
        <w:rPr>
          <w:color w:val="000000"/>
          <w:szCs w:val="22"/>
          <w:lang w:val="sk-SK"/>
        </w:rPr>
        <w:t xml:space="preserve"> znížením množstva transkrip</w:t>
      </w:r>
      <w:r w:rsidR="00323C9F" w:rsidRPr="00C83045">
        <w:rPr>
          <w:color w:val="000000"/>
          <w:szCs w:val="22"/>
          <w:lang w:val="sk-SK"/>
        </w:rPr>
        <w:t>tov</w:t>
      </w:r>
      <w:r w:rsidR="00374663" w:rsidRPr="00C83045">
        <w:rPr>
          <w:color w:val="000000"/>
          <w:szCs w:val="22"/>
          <w:lang w:val="sk-SK"/>
        </w:rPr>
        <w:t xml:space="preserve"> </w:t>
      </w:r>
      <w:r w:rsidR="00EE6CB6" w:rsidRPr="00C83045">
        <w:rPr>
          <w:color w:val="000000"/>
          <w:szCs w:val="22"/>
          <w:lang w:val="sk-SK"/>
        </w:rPr>
        <w:t xml:space="preserve">Bcr-Abl </w:t>
      </w:r>
      <w:r w:rsidR="00F352CD" w:rsidRPr="00C83045">
        <w:rPr>
          <w:color w:val="000000"/>
          <w:szCs w:val="22"/>
          <w:lang w:val="sk-SK"/>
        </w:rPr>
        <w:t>o najmenej 3 logaritmy po 12 mesiacoch bola pravdep</w:t>
      </w:r>
      <w:r w:rsidR="00A24715" w:rsidRPr="00C83045">
        <w:rPr>
          <w:color w:val="000000"/>
          <w:szCs w:val="22"/>
          <w:lang w:val="sk-SK"/>
        </w:rPr>
        <w:t>o</w:t>
      </w:r>
      <w:r w:rsidR="00F352CD" w:rsidRPr="00C83045">
        <w:rPr>
          <w:color w:val="000000"/>
          <w:szCs w:val="22"/>
          <w:lang w:val="sk-SK"/>
        </w:rPr>
        <w:t>dobnosť</w:t>
      </w:r>
      <w:r w:rsidR="000840B4" w:rsidRPr="00C83045">
        <w:rPr>
          <w:color w:val="000000"/>
          <w:szCs w:val="22"/>
          <w:lang w:val="sk-SK"/>
        </w:rPr>
        <w:t xml:space="preserve"> </w:t>
      </w:r>
      <w:r w:rsidR="00776EA7" w:rsidRPr="00C83045">
        <w:rPr>
          <w:color w:val="000000"/>
          <w:szCs w:val="22"/>
          <w:lang w:val="sk-SK"/>
        </w:rPr>
        <w:t>99</w:t>
      </w:r>
      <w:r w:rsidR="000840B4" w:rsidRPr="00C83045">
        <w:rPr>
          <w:color w:val="000000"/>
          <w:szCs w:val="22"/>
          <w:lang w:val="sk-SK"/>
        </w:rPr>
        <w:t>%</w:t>
      </w:r>
      <w:r w:rsidR="00F352CD" w:rsidRPr="00C83045">
        <w:rPr>
          <w:color w:val="000000"/>
          <w:szCs w:val="22"/>
          <w:lang w:val="sk-SK"/>
        </w:rPr>
        <w:t xml:space="preserve">, že zostanú bez progresie </w:t>
      </w:r>
      <w:r w:rsidR="00F5461F" w:rsidRPr="00C83045">
        <w:rPr>
          <w:color w:val="000000"/>
          <w:szCs w:val="22"/>
          <w:lang w:val="sk-SK"/>
        </w:rPr>
        <w:t xml:space="preserve">do akcelerovanej fázy/blastickej krízy </w:t>
      </w:r>
      <w:r w:rsidR="00F352CD" w:rsidRPr="00C83045">
        <w:rPr>
          <w:color w:val="000000"/>
          <w:szCs w:val="22"/>
          <w:lang w:val="sk-SK"/>
        </w:rPr>
        <w:t xml:space="preserve">po </w:t>
      </w:r>
      <w:r w:rsidR="00776EA7" w:rsidRPr="00C83045">
        <w:rPr>
          <w:color w:val="000000"/>
          <w:szCs w:val="22"/>
          <w:lang w:val="sk-SK"/>
        </w:rPr>
        <w:t>84 </w:t>
      </w:r>
      <w:r w:rsidR="00F352CD" w:rsidRPr="00C83045">
        <w:rPr>
          <w:color w:val="000000"/>
          <w:szCs w:val="22"/>
          <w:lang w:val="sk-SK"/>
        </w:rPr>
        <w:t>mesiacoch</w:t>
      </w:r>
      <w:r w:rsidR="000840B4" w:rsidRPr="00C83045">
        <w:rPr>
          <w:color w:val="000000"/>
          <w:szCs w:val="22"/>
          <w:lang w:val="sk-SK"/>
        </w:rPr>
        <w:t xml:space="preserve">. </w:t>
      </w:r>
      <w:r w:rsidR="006D21EE" w:rsidRPr="00C83045">
        <w:rPr>
          <w:color w:val="000000"/>
          <w:szCs w:val="22"/>
          <w:lang w:val="sk-SK"/>
        </w:rPr>
        <w:t>N</w:t>
      </w:r>
      <w:r w:rsidR="000840B4" w:rsidRPr="00C83045">
        <w:rPr>
          <w:color w:val="000000"/>
          <w:szCs w:val="22"/>
          <w:lang w:val="sk-SK"/>
        </w:rPr>
        <w:t xml:space="preserve">álezy </w:t>
      </w:r>
      <w:r w:rsidR="006D21EE" w:rsidRPr="00C83045">
        <w:rPr>
          <w:color w:val="000000"/>
          <w:szCs w:val="22"/>
          <w:lang w:val="sk-SK"/>
        </w:rPr>
        <w:t xml:space="preserve">boli podobné </w:t>
      </w:r>
      <w:r w:rsidR="000840B4" w:rsidRPr="00C83045">
        <w:rPr>
          <w:color w:val="000000"/>
          <w:szCs w:val="22"/>
          <w:lang w:val="sk-SK"/>
        </w:rPr>
        <w:t xml:space="preserve">v analýze po </w:t>
      </w:r>
      <w:r w:rsidR="00D1012C" w:rsidRPr="00C83045">
        <w:rPr>
          <w:color w:val="000000"/>
          <w:szCs w:val="22"/>
          <w:lang w:val="sk-SK"/>
        </w:rPr>
        <w:t xml:space="preserve">18 mesiacoch ako </w:t>
      </w:r>
      <w:r w:rsidR="00EE6CB6" w:rsidRPr="00C83045">
        <w:rPr>
          <w:color w:val="000000"/>
          <w:szCs w:val="22"/>
          <w:lang w:val="sk-SK"/>
        </w:rPr>
        <w:t>hraničnej hodnote</w:t>
      </w:r>
      <w:r w:rsidR="000840B4" w:rsidRPr="00C83045">
        <w:rPr>
          <w:color w:val="000000"/>
          <w:szCs w:val="22"/>
          <w:lang w:val="sk-SK"/>
        </w:rPr>
        <w:t>.</w:t>
      </w:r>
    </w:p>
    <w:p w14:paraId="32367E6A" w14:textId="77777777" w:rsidR="009D6593" w:rsidRPr="00C83045" w:rsidRDefault="009D6593" w:rsidP="00D4304B">
      <w:pPr>
        <w:widowControl w:val="0"/>
        <w:ind w:left="0" w:firstLine="0"/>
        <w:rPr>
          <w:color w:val="000000"/>
          <w:szCs w:val="22"/>
        </w:rPr>
      </w:pPr>
    </w:p>
    <w:p w14:paraId="32367E6B" w14:textId="77777777" w:rsidR="009A04CE" w:rsidRPr="00C83045" w:rsidRDefault="009A04CE" w:rsidP="00D4304B">
      <w:pPr>
        <w:widowControl w:val="0"/>
        <w:ind w:left="0" w:firstLine="0"/>
        <w:rPr>
          <w:color w:val="000000"/>
          <w:szCs w:val="22"/>
        </w:rPr>
      </w:pPr>
      <w:r w:rsidRPr="00C83045">
        <w:rPr>
          <w:color w:val="000000"/>
          <w:szCs w:val="22"/>
        </w:rPr>
        <w:t xml:space="preserve">V tomto klinickom skúšaní boli povolené zvýšenia dávky zo 400 mg denne na 600 mg denne, potom zo 600 mg denne na 800 mg denne. </w:t>
      </w:r>
      <w:r w:rsidR="00C8444A" w:rsidRPr="00C83045">
        <w:rPr>
          <w:color w:val="000000"/>
          <w:szCs w:val="22"/>
        </w:rPr>
        <w:t xml:space="preserve">Po 42 mesiacoch následného sledovania došlo u 11 pacientov k potvrdenej strate (v priebehu 4 týždňov) cytogenetickej odpovede. </w:t>
      </w:r>
      <w:r w:rsidR="00A67588" w:rsidRPr="00C83045">
        <w:rPr>
          <w:color w:val="000000"/>
          <w:szCs w:val="22"/>
        </w:rPr>
        <w:t>Z týchto 11 pacientov sa zvýšila dávka až na 800 mg denne u 4 pacientov</w:t>
      </w:r>
      <w:r w:rsidR="0020534B" w:rsidRPr="00C83045">
        <w:rPr>
          <w:color w:val="000000"/>
          <w:szCs w:val="22"/>
        </w:rPr>
        <w:t>, z ktorých 2 znovu dosiahli cytogenetickú odpoveď (1 čiastočnú a 1 </w:t>
      </w:r>
      <w:r w:rsidR="001A1278" w:rsidRPr="00C83045">
        <w:rPr>
          <w:color w:val="000000"/>
          <w:szCs w:val="22"/>
        </w:rPr>
        <w:t>kompletn</w:t>
      </w:r>
      <w:r w:rsidR="0020534B" w:rsidRPr="00C83045">
        <w:rPr>
          <w:color w:val="000000"/>
          <w:szCs w:val="22"/>
        </w:rPr>
        <w:t xml:space="preserve">ú, pričom tento </w:t>
      </w:r>
      <w:r w:rsidR="00FD5C89" w:rsidRPr="00C83045">
        <w:rPr>
          <w:color w:val="000000"/>
          <w:szCs w:val="22"/>
        </w:rPr>
        <w:t xml:space="preserve">pacient </w:t>
      </w:r>
      <w:r w:rsidR="0020534B" w:rsidRPr="00C83045">
        <w:rPr>
          <w:color w:val="000000"/>
          <w:szCs w:val="22"/>
        </w:rPr>
        <w:t>dosiahol aj molekulárnu odpoveď)</w:t>
      </w:r>
      <w:r w:rsidR="00FD5C89" w:rsidRPr="00C83045">
        <w:rPr>
          <w:color w:val="000000"/>
          <w:szCs w:val="22"/>
        </w:rPr>
        <w:t xml:space="preserve">, zatiaľ čo zo 7 pacientov, u ktorých sa nezvýšila dávka, iba jeden znovu dosiahol </w:t>
      </w:r>
      <w:r w:rsidR="001A1278" w:rsidRPr="00C83045">
        <w:rPr>
          <w:color w:val="000000"/>
          <w:szCs w:val="22"/>
        </w:rPr>
        <w:t>kompletn</w:t>
      </w:r>
      <w:r w:rsidR="00564460" w:rsidRPr="00C83045">
        <w:rPr>
          <w:color w:val="000000"/>
          <w:szCs w:val="22"/>
        </w:rPr>
        <w:t xml:space="preserve">ú cytogenetickú odpoveď. </w:t>
      </w:r>
      <w:r w:rsidR="00410222" w:rsidRPr="00C83045">
        <w:rPr>
          <w:color w:val="000000"/>
          <w:szCs w:val="22"/>
        </w:rPr>
        <w:t>Percentuálna hodnota niektorých nežiaducich reakcií bola vyššia u 40 pacientov, ktorým sa dávka zvýšila na 800 mg denne</w:t>
      </w:r>
      <w:r w:rsidR="00946EFB" w:rsidRPr="00C83045">
        <w:rPr>
          <w:color w:val="000000"/>
          <w:szCs w:val="22"/>
        </w:rPr>
        <w:t xml:space="preserve"> v porovnaní s populáciou pacientov pred zvýšením dávky (n=551). K častejším nežiaducim reakciám patrili gastrointestinálne krvácania, konjunktivitíd</w:t>
      </w:r>
      <w:r w:rsidR="00952E1E" w:rsidRPr="00C83045">
        <w:rPr>
          <w:color w:val="000000"/>
          <w:szCs w:val="22"/>
        </w:rPr>
        <w:t>a</w:t>
      </w:r>
      <w:r w:rsidR="00946EFB" w:rsidRPr="00C83045">
        <w:rPr>
          <w:color w:val="000000"/>
          <w:szCs w:val="22"/>
        </w:rPr>
        <w:t xml:space="preserve"> a zvýšenie aminotransferáz alebo bilirubínu. </w:t>
      </w:r>
      <w:r w:rsidR="00283748" w:rsidRPr="00C83045">
        <w:rPr>
          <w:color w:val="000000"/>
          <w:szCs w:val="22"/>
        </w:rPr>
        <w:t>I</w:t>
      </w:r>
      <w:r w:rsidR="00952E1E" w:rsidRPr="00C83045">
        <w:rPr>
          <w:color w:val="000000"/>
          <w:szCs w:val="22"/>
        </w:rPr>
        <w:t>n</w:t>
      </w:r>
      <w:r w:rsidR="00283748" w:rsidRPr="00C83045">
        <w:rPr>
          <w:color w:val="000000"/>
          <w:szCs w:val="22"/>
        </w:rPr>
        <w:t>é</w:t>
      </w:r>
      <w:r w:rsidR="009E607F" w:rsidRPr="00C83045">
        <w:rPr>
          <w:color w:val="000000"/>
          <w:szCs w:val="22"/>
        </w:rPr>
        <w:t xml:space="preserve"> nežiaduc</w:t>
      </w:r>
      <w:r w:rsidR="00283748" w:rsidRPr="00C83045">
        <w:rPr>
          <w:color w:val="000000"/>
          <w:szCs w:val="22"/>
        </w:rPr>
        <w:t>e</w:t>
      </w:r>
      <w:r w:rsidR="009E607F" w:rsidRPr="00C83045">
        <w:rPr>
          <w:color w:val="000000"/>
          <w:szCs w:val="22"/>
        </w:rPr>
        <w:t xml:space="preserve"> reakci</w:t>
      </w:r>
      <w:r w:rsidR="00283748" w:rsidRPr="00C83045">
        <w:rPr>
          <w:color w:val="000000"/>
          <w:szCs w:val="22"/>
        </w:rPr>
        <w:t>e</w:t>
      </w:r>
      <w:r w:rsidR="009E607F" w:rsidRPr="00C83045">
        <w:rPr>
          <w:color w:val="000000"/>
          <w:szCs w:val="22"/>
        </w:rPr>
        <w:t xml:space="preserve"> </w:t>
      </w:r>
      <w:r w:rsidR="00283748" w:rsidRPr="00C83045">
        <w:rPr>
          <w:color w:val="000000"/>
          <w:szCs w:val="22"/>
        </w:rPr>
        <w:t>boli hlásené s nižším alebo rovnakým výskytom</w:t>
      </w:r>
      <w:r w:rsidR="009E607F" w:rsidRPr="00C83045">
        <w:rPr>
          <w:color w:val="000000"/>
          <w:szCs w:val="22"/>
        </w:rPr>
        <w:t>.</w:t>
      </w:r>
    </w:p>
    <w:p w14:paraId="32367E6C" w14:textId="77777777" w:rsidR="00847D15" w:rsidRPr="00C83045" w:rsidRDefault="00847D15" w:rsidP="00D4304B">
      <w:pPr>
        <w:widowControl w:val="0"/>
        <w:ind w:left="0" w:firstLine="0"/>
        <w:rPr>
          <w:color w:val="000000"/>
          <w:szCs w:val="22"/>
        </w:rPr>
      </w:pPr>
    </w:p>
    <w:p w14:paraId="32367E6D" w14:textId="77777777" w:rsidR="00847D15" w:rsidRPr="00C83045" w:rsidRDefault="00847D15" w:rsidP="00D4304B">
      <w:pPr>
        <w:widowControl w:val="0"/>
        <w:ind w:left="0" w:firstLine="0"/>
        <w:rPr>
          <w:color w:val="000000"/>
          <w:szCs w:val="22"/>
        </w:rPr>
      </w:pPr>
      <w:r w:rsidRPr="00C83045">
        <w:rPr>
          <w:i/>
          <w:color w:val="000000"/>
          <w:szCs w:val="22"/>
        </w:rPr>
        <w:t xml:space="preserve">Chronická fáza, zlyhanie interferónu: </w:t>
      </w:r>
      <w:r w:rsidRPr="00C83045">
        <w:rPr>
          <w:color w:val="000000"/>
          <w:szCs w:val="22"/>
        </w:rPr>
        <w:t>532 </w:t>
      </w:r>
      <w:r w:rsidR="00770CD3" w:rsidRPr="00C83045">
        <w:rPr>
          <w:color w:val="000000"/>
          <w:szCs w:val="22"/>
        </w:rPr>
        <w:t xml:space="preserve">dospelých </w:t>
      </w:r>
      <w:r w:rsidRPr="00C83045">
        <w:rPr>
          <w:color w:val="000000"/>
          <w:szCs w:val="22"/>
        </w:rPr>
        <w:t xml:space="preserve">pacientov sa liečilo začiatočnou dávkou 400 mg. Pacienti sa rozdelili do troch hlavných kategórií: hematologické zlyhanie (29%), cytogenetické zlyhanie (35%), alebo neznášanlivosť interferónu (36%). Pacienti predtým dostávali liečbu IFN s mediánom trvania 14 mesiacov v dávkach </w:t>
      </w:r>
      <w:r w:rsidRPr="00C83045">
        <w:rPr>
          <w:color w:val="000000"/>
          <w:szCs w:val="22"/>
        </w:rPr>
        <w:sym w:font="Symbol" w:char="F0B3"/>
      </w:r>
      <w:r w:rsidRPr="00C83045">
        <w:rPr>
          <w:color w:val="000000"/>
          <w:szCs w:val="22"/>
        </w:rPr>
        <w:t> 25 x</w:t>
      </w:r>
      <w:r w:rsidR="00956E85" w:rsidRPr="00C83045">
        <w:rPr>
          <w:color w:val="000000"/>
          <w:szCs w:val="22"/>
        </w:rPr>
        <w:t> </w:t>
      </w:r>
      <w:r w:rsidRPr="00C83045">
        <w:rPr>
          <w:color w:val="000000"/>
          <w:szCs w:val="22"/>
        </w:rPr>
        <w:t>10</w:t>
      </w:r>
      <w:r w:rsidRPr="00C83045">
        <w:rPr>
          <w:color w:val="000000"/>
          <w:szCs w:val="22"/>
          <w:vertAlign w:val="superscript"/>
        </w:rPr>
        <w:t>6</w:t>
      </w:r>
      <w:r w:rsidRPr="00C83045">
        <w:rPr>
          <w:color w:val="000000"/>
          <w:szCs w:val="22"/>
        </w:rPr>
        <w:t> </w:t>
      </w:r>
      <w:r w:rsidR="00BF0097" w:rsidRPr="00C83045">
        <w:rPr>
          <w:color w:val="000000"/>
          <w:szCs w:val="22"/>
        </w:rPr>
        <w:t>IU</w:t>
      </w:r>
      <w:r w:rsidRPr="00C83045">
        <w:rPr>
          <w:color w:val="000000"/>
          <w:szCs w:val="22"/>
        </w:rPr>
        <w:t xml:space="preserve">/týždeň a všetci boli v neskorej chronickej fáze s mediánom času od stanovenia diagnózy 32 mesiacov. Primárnou premennou účinnosti v tomto klinickom skúšaní bol stupeň </w:t>
      </w:r>
      <w:r w:rsidR="003F71FF" w:rsidRPr="00C83045">
        <w:rPr>
          <w:color w:val="000000"/>
          <w:szCs w:val="22"/>
        </w:rPr>
        <w:t>veľk</w:t>
      </w:r>
      <w:r w:rsidRPr="00C83045">
        <w:rPr>
          <w:color w:val="000000"/>
          <w:szCs w:val="22"/>
        </w:rPr>
        <w:t>ej cytogenetickej odpovede (</w:t>
      </w:r>
      <w:r w:rsidR="001A1278" w:rsidRPr="00C83045">
        <w:rPr>
          <w:color w:val="000000"/>
          <w:szCs w:val="22"/>
        </w:rPr>
        <w:t>kompletn</w:t>
      </w:r>
      <w:r w:rsidRPr="00C83045">
        <w:rPr>
          <w:color w:val="000000"/>
          <w:szCs w:val="22"/>
        </w:rPr>
        <w:t>ej a čiastočnej odpovede, 0 až 35% Ph+ metafáz v kostnej dreni).</w:t>
      </w:r>
    </w:p>
    <w:p w14:paraId="32367E6E" w14:textId="77777777" w:rsidR="00847D15" w:rsidRPr="00C83045" w:rsidRDefault="00847D15" w:rsidP="00D4304B">
      <w:pPr>
        <w:widowControl w:val="0"/>
        <w:ind w:left="0" w:firstLine="0"/>
        <w:rPr>
          <w:color w:val="000000"/>
          <w:szCs w:val="22"/>
        </w:rPr>
      </w:pPr>
    </w:p>
    <w:p w14:paraId="32367E6F" w14:textId="77777777" w:rsidR="00847D15" w:rsidRPr="00C83045" w:rsidRDefault="00847D15" w:rsidP="00D4304B">
      <w:pPr>
        <w:widowControl w:val="0"/>
        <w:ind w:left="0" w:firstLine="0"/>
        <w:rPr>
          <w:color w:val="000000"/>
          <w:szCs w:val="22"/>
        </w:rPr>
      </w:pPr>
      <w:r w:rsidRPr="00C83045">
        <w:rPr>
          <w:color w:val="000000"/>
          <w:szCs w:val="22"/>
        </w:rPr>
        <w:t>V tomto klinickom skúšaní sa u 6</w:t>
      </w:r>
      <w:r w:rsidR="00BE0037" w:rsidRPr="00C83045">
        <w:rPr>
          <w:color w:val="000000"/>
          <w:szCs w:val="22"/>
        </w:rPr>
        <w:t>5</w:t>
      </w:r>
      <w:r w:rsidRPr="00C83045">
        <w:rPr>
          <w:color w:val="000000"/>
          <w:szCs w:val="22"/>
        </w:rPr>
        <w:t xml:space="preserve">% pacientov dosiahla </w:t>
      </w:r>
      <w:r w:rsidR="003F71FF" w:rsidRPr="00C83045">
        <w:rPr>
          <w:color w:val="000000"/>
          <w:szCs w:val="22"/>
        </w:rPr>
        <w:t>veľk</w:t>
      </w:r>
      <w:r w:rsidRPr="00C83045">
        <w:rPr>
          <w:color w:val="000000"/>
          <w:szCs w:val="22"/>
        </w:rPr>
        <w:t xml:space="preserve">á cytogenetická odpoveď, ktorá bola </w:t>
      </w:r>
      <w:r w:rsidR="001A1278" w:rsidRPr="00C83045">
        <w:rPr>
          <w:color w:val="000000"/>
          <w:szCs w:val="22"/>
        </w:rPr>
        <w:t>kompletn</w:t>
      </w:r>
      <w:r w:rsidRPr="00C83045">
        <w:rPr>
          <w:color w:val="000000"/>
          <w:szCs w:val="22"/>
        </w:rPr>
        <w:t xml:space="preserve">á u </w:t>
      </w:r>
      <w:r w:rsidR="00BE0037" w:rsidRPr="00C83045">
        <w:rPr>
          <w:color w:val="000000"/>
          <w:szCs w:val="22"/>
        </w:rPr>
        <w:t>53</w:t>
      </w:r>
      <w:r w:rsidRPr="00C83045">
        <w:rPr>
          <w:color w:val="000000"/>
          <w:szCs w:val="22"/>
        </w:rPr>
        <w:t xml:space="preserve">% (potvrdená u </w:t>
      </w:r>
      <w:r w:rsidR="00BE0037" w:rsidRPr="00C83045">
        <w:rPr>
          <w:color w:val="000000"/>
          <w:szCs w:val="22"/>
        </w:rPr>
        <w:t>43</w:t>
      </w:r>
      <w:r w:rsidRPr="00C83045">
        <w:rPr>
          <w:color w:val="000000"/>
          <w:szCs w:val="22"/>
        </w:rPr>
        <w:t>%) pacientov (Tabuľka </w:t>
      </w:r>
      <w:r w:rsidR="00E57DA0" w:rsidRPr="00C83045">
        <w:rPr>
          <w:color w:val="000000"/>
          <w:szCs w:val="22"/>
        </w:rPr>
        <w:t>3</w:t>
      </w:r>
      <w:r w:rsidRPr="00C83045">
        <w:rPr>
          <w:color w:val="000000"/>
          <w:szCs w:val="22"/>
        </w:rPr>
        <w:t xml:space="preserve">). </w:t>
      </w:r>
      <w:r w:rsidR="001A1278" w:rsidRPr="00C83045">
        <w:rPr>
          <w:color w:val="000000"/>
          <w:szCs w:val="22"/>
        </w:rPr>
        <w:t>Kompletn</w:t>
      </w:r>
      <w:r w:rsidRPr="00C83045">
        <w:rPr>
          <w:color w:val="000000"/>
          <w:szCs w:val="22"/>
        </w:rPr>
        <w:t>á hematologická odpoveď sa dosiahla u 9</w:t>
      </w:r>
      <w:r w:rsidR="00BE0037" w:rsidRPr="00C83045">
        <w:rPr>
          <w:color w:val="000000"/>
          <w:szCs w:val="22"/>
        </w:rPr>
        <w:t>5</w:t>
      </w:r>
      <w:r w:rsidRPr="00C83045">
        <w:rPr>
          <w:color w:val="000000"/>
          <w:szCs w:val="22"/>
        </w:rPr>
        <w:t>% pacientov.</w:t>
      </w:r>
    </w:p>
    <w:p w14:paraId="32367E70" w14:textId="77777777" w:rsidR="00847D15" w:rsidRPr="00C83045" w:rsidRDefault="00847D15" w:rsidP="00D4304B">
      <w:pPr>
        <w:widowControl w:val="0"/>
        <w:ind w:left="0" w:firstLine="0"/>
        <w:rPr>
          <w:color w:val="000000"/>
          <w:szCs w:val="22"/>
        </w:rPr>
      </w:pPr>
    </w:p>
    <w:p w14:paraId="32367E71" w14:textId="77777777" w:rsidR="00847D15" w:rsidRPr="00C83045" w:rsidRDefault="00847D15" w:rsidP="00D4304B">
      <w:pPr>
        <w:widowControl w:val="0"/>
        <w:ind w:left="0" w:firstLine="0"/>
        <w:rPr>
          <w:color w:val="000000"/>
          <w:szCs w:val="22"/>
        </w:rPr>
      </w:pPr>
      <w:r w:rsidRPr="00C83045">
        <w:rPr>
          <w:i/>
          <w:color w:val="000000"/>
          <w:szCs w:val="22"/>
        </w:rPr>
        <w:t xml:space="preserve">Akcelerovaná fáza: </w:t>
      </w:r>
      <w:r w:rsidRPr="00C83045">
        <w:rPr>
          <w:color w:val="000000"/>
          <w:szCs w:val="22"/>
        </w:rPr>
        <w:t>Zaradených bolo 235 </w:t>
      </w:r>
      <w:r w:rsidR="00770CD3" w:rsidRPr="00C83045">
        <w:rPr>
          <w:color w:val="000000"/>
          <w:szCs w:val="22"/>
        </w:rPr>
        <w:t xml:space="preserve">dospelých </w:t>
      </w:r>
      <w:r w:rsidRPr="00C83045">
        <w:rPr>
          <w:color w:val="000000"/>
          <w:szCs w:val="22"/>
        </w:rPr>
        <w:t>pacientov v akcelerovanej fáze ochorenia. Prvých 77 pacientov začalo liečbu dávkou 400 mg, protokol sa následne upravil, aby sa umožnilo vyššie dávkovanie, a zvyšných 158 pacientov začalo dávkou 600 mg.</w:t>
      </w:r>
    </w:p>
    <w:p w14:paraId="32367E72" w14:textId="77777777" w:rsidR="00847D15" w:rsidRPr="00C83045" w:rsidRDefault="00847D15" w:rsidP="00D4304B">
      <w:pPr>
        <w:widowControl w:val="0"/>
        <w:ind w:left="0" w:firstLine="0"/>
        <w:rPr>
          <w:color w:val="000000"/>
          <w:szCs w:val="22"/>
        </w:rPr>
      </w:pPr>
    </w:p>
    <w:p w14:paraId="32367E73" w14:textId="77777777" w:rsidR="00847D15" w:rsidRPr="00C83045" w:rsidRDefault="00847D15" w:rsidP="00D4304B">
      <w:pPr>
        <w:widowControl w:val="0"/>
        <w:ind w:left="0" w:firstLine="0"/>
        <w:rPr>
          <w:color w:val="000000"/>
          <w:szCs w:val="22"/>
        </w:rPr>
      </w:pPr>
      <w:r w:rsidRPr="00C83045">
        <w:rPr>
          <w:color w:val="000000"/>
          <w:szCs w:val="22"/>
        </w:rPr>
        <w:t xml:space="preserve">Primárnou premennou účinnosti bol stupeň hematologickej odpovede, ktorá sa zaznamenala buď ako </w:t>
      </w:r>
      <w:r w:rsidR="001A1278" w:rsidRPr="00C83045">
        <w:rPr>
          <w:color w:val="000000"/>
          <w:szCs w:val="22"/>
        </w:rPr>
        <w:t>kompletn</w:t>
      </w:r>
      <w:r w:rsidRPr="00C83045">
        <w:rPr>
          <w:color w:val="000000"/>
          <w:szCs w:val="22"/>
        </w:rPr>
        <w:t xml:space="preserve">á hematologická odpoveď, alebo žiadny dôkaz leukémie (t.j. vymiznutie blastov z kostnej drene a krvi, ale bez úplného zotavenia periférnej krvi ako pri </w:t>
      </w:r>
      <w:r w:rsidR="001A1278" w:rsidRPr="00C83045">
        <w:rPr>
          <w:color w:val="000000"/>
          <w:szCs w:val="22"/>
        </w:rPr>
        <w:t>kompletn</w:t>
      </w:r>
      <w:r w:rsidRPr="00C83045">
        <w:rPr>
          <w:color w:val="000000"/>
          <w:szCs w:val="22"/>
        </w:rPr>
        <w:t>ej odpovedi), alebo návrat do chronickej fázy CML. Potvrdená hematologická odpoveď sa dosiahla u</w:t>
      </w:r>
      <w:r w:rsidR="00BE0037" w:rsidRPr="00C83045">
        <w:rPr>
          <w:color w:val="000000"/>
          <w:szCs w:val="22"/>
        </w:rPr>
        <w:t> </w:t>
      </w:r>
      <w:r w:rsidRPr="00C83045">
        <w:rPr>
          <w:color w:val="000000"/>
          <w:szCs w:val="22"/>
        </w:rPr>
        <w:t>7</w:t>
      </w:r>
      <w:r w:rsidR="00BE0037" w:rsidRPr="00C83045">
        <w:rPr>
          <w:color w:val="000000"/>
          <w:szCs w:val="22"/>
        </w:rPr>
        <w:t>1,5</w:t>
      </w:r>
      <w:r w:rsidRPr="00C83045">
        <w:rPr>
          <w:color w:val="000000"/>
          <w:szCs w:val="22"/>
        </w:rPr>
        <w:t>% pacientov (Tabuľka </w:t>
      </w:r>
      <w:r w:rsidR="00E57DA0" w:rsidRPr="00C83045">
        <w:rPr>
          <w:color w:val="000000"/>
          <w:szCs w:val="22"/>
        </w:rPr>
        <w:t>3</w:t>
      </w:r>
      <w:r w:rsidRPr="00C83045">
        <w:rPr>
          <w:color w:val="000000"/>
          <w:szCs w:val="22"/>
        </w:rPr>
        <w:t xml:space="preserve">). </w:t>
      </w:r>
      <w:r w:rsidRPr="00C83045">
        <w:rPr>
          <w:color w:val="000000"/>
          <w:szCs w:val="22"/>
        </w:rPr>
        <w:lastRenderedPageBreak/>
        <w:t xml:space="preserve">Dôležité je, že </w:t>
      </w:r>
      <w:r w:rsidR="00BE0037" w:rsidRPr="00C83045">
        <w:rPr>
          <w:color w:val="000000"/>
          <w:szCs w:val="22"/>
        </w:rPr>
        <w:t>2</w:t>
      </w:r>
      <w:r w:rsidR="0077281D" w:rsidRPr="00C83045">
        <w:rPr>
          <w:color w:val="000000"/>
          <w:szCs w:val="22"/>
        </w:rPr>
        <w:t>7,7</w:t>
      </w:r>
      <w:r w:rsidRPr="00C83045">
        <w:rPr>
          <w:color w:val="000000"/>
          <w:szCs w:val="22"/>
        </w:rPr>
        <w:t xml:space="preserve">% pacientov dosiahlo aj </w:t>
      </w:r>
      <w:r w:rsidR="003F71FF" w:rsidRPr="00C83045">
        <w:rPr>
          <w:color w:val="000000"/>
          <w:szCs w:val="22"/>
        </w:rPr>
        <w:t>veľk</w:t>
      </w:r>
      <w:r w:rsidRPr="00C83045">
        <w:rPr>
          <w:color w:val="000000"/>
          <w:szCs w:val="22"/>
        </w:rPr>
        <w:t xml:space="preserve">ú cytogenetickú odpoveď, ktorá bola </w:t>
      </w:r>
      <w:r w:rsidR="001A1278" w:rsidRPr="00C83045">
        <w:rPr>
          <w:color w:val="000000"/>
          <w:szCs w:val="22"/>
        </w:rPr>
        <w:t>kompletn</w:t>
      </w:r>
      <w:r w:rsidRPr="00C83045">
        <w:rPr>
          <w:color w:val="000000"/>
          <w:szCs w:val="22"/>
        </w:rPr>
        <w:t>á u</w:t>
      </w:r>
      <w:r w:rsidR="00126F6A" w:rsidRPr="00C83045">
        <w:rPr>
          <w:color w:val="000000"/>
          <w:szCs w:val="22"/>
        </w:rPr>
        <w:t> 20,4</w:t>
      </w:r>
      <w:r w:rsidRPr="00C83045">
        <w:rPr>
          <w:color w:val="000000"/>
          <w:szCs w:val="22"/>
        </w:rPr>
        <w:t>% (potvrdená u 1</w:t>
      </w:r>
      <w:r w:rsidR="00126F6A" w:rsidRPr="00C83045">
        <w:rPr>
          <w:color w:val="000000"/>
          <w:szCs w:val="22"/>
        </w:rPr>
        <w:t>6</w:t>
      </w:r>
      <w:r w:rsidRPr="00C83045">
        <w:rPr>
          <w:color w:val="000000"/>
          <w:szCs w:val="22"/>
        </w:rPr>
        <w:t xml:space="preserve">%) pacientov. U pacientov liečených dávkou 600 mg </w:t>
      </w:r>
      <w:r w:rsidR="0077281D" w:rsidRPr="00C83045">
        <w:rPr>
          <w:color w:val="000000"/>
          <w:szCs w:val="22"/>
        </w:rPr>
        <w:t>je</w:t>
      </w:r>
      <w:r w:rsidRPr="00C83045">
        <w:rPr>
          <w:color w:val="000000"/>
          <w:szCs w:val="22"/>
        </w:rPr>
        <w:t xml:space="preserve"> </w:t>
      </w:r>
      <w:r w:rsidR="00126F6A" w:rsidRPr="00C83045">
        <w:rPr>
          <w:color w:val="000000"/>
          <w:szCs w:val="22"/>
        </w:rPr>
        <w:t>súčasný</w:t>
      </w:r>
      <w:r w:rsidRPr="00C83045">
        <w:rPr>
          <w:color w:val="000000"/>
          <w:szCs w:val="22"/>
        </w:rPr>
        <w:t xml:space="preserve"> odhad </w:t>
      </w:r>
      <w:r w:rsidR="00126F6A" w:rsidRPr="00C83045">
        <w:rPr>
          <w:color w:val="000000"/>
          <w:szCs w:val="22"/>
        </w:rPr>
        <w:t xml:space="preserve">mediánu </w:t>
      </w:r>
      <w:r w:rsidRPr="00C83045">
        <w:rPr>
          <w:color w:val="000000"/>
          <w:szCs w:val="22"/>
        </w:rPr>
        <w:t xml:space="preserve">prežívania bez progresie ochorenia </w:t>
      </w:r>
      <w:r w:rsidR="0077281D" w:rsidRPr="00C83045">
        <w:rPr>
          <w:color w:val="000000"/>
          <w:szCs w:val="22"/>
        </w:rPr>
        <w:t>22,9</w:t>
      </w:r>
      <w:r w:rsidRPr="00C83045">
        <w:rPr>
          <w:color w:val="000000"/>
          <w:szCs w:val="22"/>
        </w:rPr>
        <w:t xml:space="preserve"> a celkového prežívania </w:t>
      </w:r>
      <w:r w:rsidR="0077281D" w:rsidRPr="00C83045">
        <w:rPr>
          <w:color w:val="000000"/>
          <w:szCs w:val="22"/>
        </w:rPr>
        <w:t>42,5</w:t>
      </w:r>
      <w:r w:rsidR="00E07AD1" w:rsidRPr="00C83045">
        <w:rPr>
          <w:color w:val="000000"/>
          <w:szCs w:val="22"/>
        </w:rPr>
        <w:t> </w:t>
      </w:r>
      <w:r w:rsidR="00EE471C" w:rsidRPr="00C83045">
        <w:rPr>
          <w:color w:val="000000"/>
          <w:szCs w:val="22"/>
        </w:rPr>
        <w:t>mesiacov</w:t>
      </w:r>
      <w:r w:rsidRPr="00C83045">
        <w:rPr>
          <w:color w:val="000000"/>
          <w:szCs w:val="22"/>
        </w:rPr>
        <w:t>.</w:t>
      </w:r>
    </w:p>
    <w:p w14:paraId="32367E74" w14:textId="77777777" w:rsidR="00847D15" w:rsidRPr="00C83045" w:rsidRDefault="00847D15" w:rsidP="00D4304B">
      <w:pPr>
        <w:widowControl w:val="0"/>
        <w:ind w:left="0" w:firstLine="0"/>
        <w:rPr>
          <w:color w:val="000000"/>
          <w:szCs w:val="22"/>
        </w:rPr>
      </w:pPr>
    </w:p>
    <w:p w14:paraId="32367E75" w14:textId="77777777" w:rsidR="00847D15" w:rsidRPr="00C83045" w:rsidRDefault="00847D15" w:rsidP="00D4304B">
      <w:pPr>
        <w:widowControl w:val="0"/>
        <w:ind w:left="0" w:firstLine="0"/>
        <w:rPr>
          <w:color w:val="000000"/>
          <w:szCs w:val="22"/>
        </w:rPr>
      </w:pPr>
      <w:r w:rsidRPr="00C83045">
        <w:rPr>
          <w:i/>
          <w:color w:val="000000"/>
          <w:szCs w:val="22"/>
        </w:rPr>
        <w:t xml:space="preserve">Myeloidná blastická kríza: </w:t>
      </w:r>
      <w:r w:rsidRPr="00C83045">
        <w:rPr>
          <w:color w:val="000000"/>
          <w:szCs w:val="22"/>
        </w:rPr>
        <w:t>Zaradených bolo 260 pacientov v myeloidnej blastickej kríze. 95 (37%) z nich dostalo predtým chemoterapiu ako liečbu buď akcelerovanej fázy, alebo blastickej krízy („predliečení pacienti“), zatiaľ čo 165 (63%) liečbu nedostalo („neliečení pacienti“). Prvých 37 pacientov začalo liečbu dávkou 400 mg, protokol sa následne upravil, aby sa umožnilo vyššie dávkovanie, a zvyšných 223 pacientov začalo dávkou 600 mg.</w:t>
      </w:r>
    </w:p>
    <w:p w14:paraId="32367E76" w14:textId="77777777" w:rsidR="00847D15" w:rsidRPr="00C83045" w:rsidRDefault="00847D15" w:rsidP="00D4304B">
      <w:pPr>
        <w:widowControl w:val="0"/>
        <w:ind w:left="0" w:firstLine="0"/>
        <w:rPr>
          <w:color w:val="000000"/>
          <w:szCs w:val="22"/>
        </w:rPr>
      </w:pPr>
    </w:p>
    <w:p w14:paraId="32367E77" w14:textId="77777777" w:rsidR="00847D15" w:rsidRPr="00C83045" w:rsidRDefault="00847D15" w:rsidP="00D4304B">
      <w:pPr>
        <w:widowControl w:val="0"/>
        <w:ind w:left="0" w:firstLine="0"/>
        <w:rPr>
          <w:color w:val="000000"/>
          <w:szCs w:val="22"/>
        </w:rPr>
      </w:pPr>
      <w:r w:rsidRPr="00C83045">
        <w:rPr>
          <w:color w:val="000000"/>
          <w:szCs w:val="22"/>
        </w:rPr>
        <w:t xml:space="preserve">Primárnou premennou účinnosti bol stupeň hematologickej odpovede, ktorá sa zaznamenala buď ako </w:t>
      </w:r>
      <w:r w:rsidR="001A1278" w:rsidRPr="00C83045">
        <w:rPr>
          <w:color w:val="000000"/>
          <w:szCs w:val="22"/>
        </w:rPr>
        <w:t>kompletn</w:t>
      </w:r>
      <w:r w:rsidRPr="00C83045">
        <w:rPr>
          <w:color w:val="000000"/>
          <w:szCs w:val="22"/>
        </w:rPr>
        <w:t>á hematologická odpoveď, alebo žiadny dôkaz leukémie, alebo návrat do chronickej fázy CML, pri čom sa použili rovnaké kritériá ako v klinickom skúšaní pri akcelerovanej fáze. V tomto klinickom skúšaní sa u 31% pacientov dosiahla hematologická odpoveď (36% u predtým neliečených pacientov a 22% u predtým liečených pacientov). Podiel odpovede bol tiež vyšší u pacientov liečených dávkou 600 mg (33%) v porovnaní s pacientmi liečenými dávkou 400 mg (16%, p=0,0220). Súčasný odhadovaný medián prežívania predtým neliečených pacientov bol 7,7 mesiacov, predtým liečených pacientov 4,7 mesiacov.</w:t>
      </w:r>
    </w:p>
    <w:p w14:paraId="32367E78" w14:textId="77777777" w:rsidR="00847D15" w:rsidRPr="00C83045" w:rsidRDefault="00847D15" w:rsidP="00D4304B">
      <w:pPr>
        <w:widowControl w:val="0"/>
        <w:ind w:left="0" w:firstLine="0"/>
        <w:rPr>
          <w:color w:val="000000"/>
          <w:szCs w:val="22"/>
        </w:rPr>
      </w:pPr>
    </w:p>
    <w:p w14:paraId="32367E79" w14:textId="77777777" w:rsidR="00847D15" w:rsidRPr="00C83045" w:rsidRDefault="00847D15" w:rsidP="00D4304B">
      <w:pPr>
        <w:widowControl w:val="0"/>
        <w:ind w:left="0" w:firstLine="0"/>
        <w:rPr>
          <w:color w:val="000000"/>
          <w:szCs w:val="22"/>
        </w:rPr>
      </w:pPr>
      <w:r w:rsidRPr="00C83045">
        <w:rPr>
          <w:i/>
          <w:color w:val="000000"/>
          <w:szCs w:val="22"/>
        </w:rPr>
        <w:t xml:space="preserve">Lymfoidná blastická kríza: </w:t>
      </w:r>
      <w:r w:rsidRPr="00C83045">
        <w:rPr>
          <w:color w:val="000000"/>
          <w:szCs w:val="22"/>
        </w:rPr>
        <w:t xml:space="preserve">Do klinických skúšaní </w:t>
      </w:r>
      <w:r w:rsidR="00E65F57" w:rsidRPr="00C83045">
        <w:rPr>
          <w:color w:val="000000"/>
          <w:szCs w:val="22"/>
        </w:rPr>
        <w:t>fáz</w:t>
      </w:r>
      <w:r w:rsidRPr="00C83045">
        <w:rPr>
          <w:color w:val="000000"/>
          <w:szCs w:val="22"/>
        </w:rPr>
        <w:t>y</w:t>
      </w:r>
      <w:r w:rsidR="00956E85" w:rsidRPr="00C83045">
        <w:rPr>
          <w:color w:val="000000"/>
          <w:szCs w:val="22"/>
        </w:rPr>
        <w:t> </w:t>
      </w:r>
      <w:r w:rsidRPr="00C83045">
        <w:rPr>
          <w:color w:val="000000"/>
          <w:szCs w:val="22"/>
        </w:rPr>
        <w:t>I bol zaradený obmedzený počet pacientov (n=10). Podiel hematologickej odpovede bol 70% a jej trvanie 2–3</w:t>
      </w:r>
      <w:r w:rsidRPr="00C83045">
        <w:rPr>
          <w:b/>
          <w:i/>
          <w:color w:val="000000"/>
          <w:szCs w:val="22"/>
        </w:rPr>
        <w:t> </w:t>
      </w:r>
      <w:r w:rsidRPr="00C83045">
        <w:rPr>
          <w:color w:val="000000"/>
          <w:szCs w:val="22"/>
        </w:rPr>
        <w:t>mesiace.</w:t>
      </w:r>
    </w:p>
    <w:p w14:paraId="32367E7A" w14:textId="77777777" w:rsidR="00847D15" w:rsidRPr="00C83045" w:rsidRDefault="00847D15" w:rsidP="00D4304B">
      <w:pPr>
        <w:widowControl w:val="0"/>
        <w:ind w:left="0" w:firstLine="0"/>
        <w:rPr>
          <w:color w:val="000000"/>
          <w:szCs w:val="22"/>
        </w:rPr>
      </w:pPr>
    </w:p>
    <w:p w14:paraId="32367E7B" w14:textId="77777777" w:rsidR="00847D15" w:rsidRPr="00C83045" w:rsidRDefault="00847D15" w:rsidP="00D4304B">
      <w:pPr>
        <w:keepNext/>
        <w:keepLines/>
        <w:widowControl w:val="0"/>
        <w:tabs>
          <w:tab w:val="left" w:pos="1440"/>
        </w:tabs>
        <w:ind w:left="0" w:firstLine="0"/>
        <w:rPr>
          <w:b/>
          <w:color w:val="000000"/>
          <w:szCs w:val="22"/>
        </w:rPr>
      </w:pPr>
      <w:r w:rsidRPr="00C83045">
        <w:rPr>
          <w:b/>
          <w:color w:val="000000"/>
          <w:szCs w:val="22"/>
        </w:rPr>
        <w:lastRenderedPageBreak/>
        <w:t>Tabuľka </w:t>
      </w:r>
      <w:r w:rsidR="00E57DA0" w:rsidRPr="00C83045">
        <w:rPr>
          <w:b/>
          <w:color w:val="000000"/>
          <w:szCs w:val="22"/>
        </w:rPr>
        <w:t>3</w:t>
      </w:r>
      <w:r w:rsidRPr="00C83045">
        <w:rPr>
          <w:b/>
          <w:color w:val="000000"/>
          <w:szCs w:val="22"/>
        </w:rPr>
        <w:tab/>
        <w:t xml:space="preserve">Odpoveď </w:t>
      </w:r>
      <w:r w:rsidR="00770CD3" w:rsidRPr="00C83045">
        <w:rPr>
          <w:b/>
          <w:color w:val="000000"/>
          <w:szCs w:val="22"/>
        </w:rPr>
        <w:t xml:space="preserve">u dospelých s CML </w:t>
      </w:r>
      <w:r w:rsidRPr="00C83045">
        <w:rPr>
          <w:b/>
          <w:color w:val="000000"/>
          <w:szCs w:val="22"/>
        </w:rPr>
        <w:t>v klinických skúšaniach</w:t>
      </w:r>
    </w:p>
    <w:p w14:paraId="32367E7C" w14:textId="77777777" w:rsidR="00847D15" w:rsidRPr="00C83045" w:rsidRDefault="00847D15" w:rsidP="00D4304B">
      <w:pPr>
        <w:keepNext/>
        <w:keepLines/>
        <w:widowControl w:val="0"/>
        <w:ind w:left="0" w:firstLine="0"/>
        <w:rPr>
          <w:color w:val="000000"/>
          <w:szCs w:val="22"/>
        </w:rPr>
      </w:pPr>
    </w:p>
    <w:tbl>
      <w:tblPr>
        <w:tblW w:w="0" w:type="auto"/>
        <w:tblLayout w:type="fixed"/>
        <w:tblCellMar>
          <w:left w:w="30" w:type="dxa"/>
          <w:right w:w="30" w:type="dxa"/>
        </w:tblCellMar>
        <w:tblLook w:val="0000" w:firstRow="0" w:lastRow="0" w:firstColumn="0" w:lastColumn="0" w:noHBand="0" w:noVBand="0"/>
      </w:tblPr>
      <w:tblGrid>
        <w:gridCol w:w="3150"/>
        <w:gridCol w:w="1920"/>
        <w:gridCol w:w="1920"/>
        <w:gridCol w:w="1920"/>
      </w:tblGrid>
      <w:tr w:rsidR="00847D15" w:rsidRPr="00C83045" w14:paraId="32367E8A" w14:textId="77777777" w:rsidTr="00D4304B">
        <w:trPr>
          <w:cantSplit/>
          <w:trHeight w:val="1046"/>
        </w:trPr>
        <w:tc>
          <w:tcPr>
            <w:tcW w:w="3150" w:type="dxa"/>
            <w:tcBorders>
              <w:top w:val="single" w:sz="6" w:space="0" w:color="auto"/>
              <w:left w:val="single" w:sz="6" w:space="0" w:color="auto"/>
              <w:bottom w:val="single" w:sz="4" w:space="0" w:color="auto"/>
              <w:right w:val="single" w:sz="6" w:space="0" w:color="auto"/>
            </w:tcBorders>
          </w:tcPr>
          <w:p w14:paraId="32367E7D" w14:textId="77777777" w:rsidR="00847D15" w:rsidRPr="00C83045" w:rsidRDefault="00847D15" w:rsidP="00D4304B">
            <w:pPr>
              <w:keepNext/>
              <w:keepLines/>
              <w:widowControl w:val="0"/>
              <w:ind w:left="0" w:firstLine="0"/>
              <w:rPr>
                <w:color w:val="000000"/>
                <w:szCs w:val="22"/>
              </w:rPr>
            </w:pPr>
          </w:p>
        </w:tc>
        <w:tc>
          <w:tcPr>
            <w:tcW w:w="1920" w:type="dxa"/>
            <w:tcBorders>
              <w:top w:val="single" w:sz="6" w:space="0" w:color="auto"/>
              <w:left w:val="single" w:sz="6" w:space="0" w:color="auto"/>
              <w:bottom w:val="single" w:sz="4" w:space="0" w:color="auto"/>
              <w:right w:val="single" w:sz="6" w:space="0" w:color="auto"/>
            </w:tcBorders>
          </w:tcPr>
          <w:p w14:paraId="32367E7E"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Klinické skúšanie 0110</w:t>
            </w:r>
          </w:p>
          <w:p w14:paraId="32367E7F" w14:textId="77777777" w:rsidR="008E0AD9" w:rsidRPr="00C83045" w:rsidRDefault="008E0AD9" w:rsidP="00D4304B">
            <w:pPr>
              <w:keepNext/>
              <w:keepLines/>
              <w:widowControl w:val="0"/>
              <w:ind w:left="0" w:firstLine="0"/>
              <w:jc w:val="center"/>
              <w:rPr>
                <w:color w:val="000000"/>
                <w:szCs w:val="22"/>
              </w:rPr>
            </w:pPr>
            <w:r w:rsidRPr="00C83045">
              <w:rPr>
                <w:color w:val="000000"/>
                <w:szCs w:val="22"/>
              </w:rPr>
              <w:t>Údaje po 37 mesiacoch</w:t>
            </w:r>
          </w:p>
          <w:p w14:paraId="32367E80"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Chronická fáza, zlyhanie IFN</w:t>
            </w:r>
          </w:p>
          <w:p w14:paraId="32367E81"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(n=532)</w:t>
            </w:r>
          </w:p>
        </w:tc>
        <w:tc>
          <w:tcPr>
            <w:tcW w:w="1920" w:type="dxa"/>
            <w:tcBorders>
              <w:top w:val="single" w:sz="6" w:space="0" w:color="auto"/>
              <w:left w:val="single" w:sz="6" w:space="0" w:color="auto"/>
              <w:bottom w:val="single" w:sz="4" w:space="0" w:color="auto"/>
              <w:right w:val="single" w:sz="6" w:space="0" w:color="auto"/>
            </w:tcBorders>
          </w:tcPr>
          <w:p w14:paraId="32367E82"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Klinické skúšanie 0109</w:t>
            </w:r>
          </w:p>
          <w:p w14:paraId="32367E83" w14:textId="77777777" w:rsidR="008E0AD9" w:rsidRPr="00C83045" w:rsidRDefault="008E0AD9" w:rsidP="00D4304B">
            <w:pPr>
              <w:keepNext/>
              <w:keepLines/>
              <w:widowControl w:val="0"/>
              <w:ind w:left="0" w:firstLine="0"/>
              <w:jc w:val="center"/>
              <w:rPr>
                <w:color w:val="000000"/>
                <w:szCs w:val="22"/>
              </w:rPr>
            </w:pPr>
            <w:r w:rsidRPr="00C83045">
              <w:rPr>
                <w:color w:val="000000"/>
                <w:szCs w:val="22"/>
              </w:rPr>
              <w:t>Údaje po 40,5 mesiacoch</w:t>
            </w:r>
          </w:p>
          <w:p w14:paraId="32367E84"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Akcelerovaná fáza</w:t>
            </w:r>
          </w:p>
          <w:p w14:paraId="32367E85"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(n=235)</w:t>
            </w:r>
          </w:p>
        </w:tc>
        <w:tc>
          <w:tcPr>
            <w:tcW w:w="1920" w:type="dxa"/>
            <w:tcBorders>
              <w:top w:val="single" w:sz="6" w:space="0" w:color="auto"/>
              <w:left w:val="single" w:sz="6" w:space="0" w:color="auto"/>
              <w:bottom w:val="single" w:sz="4" w:space="0" w:color="auto"/>
              <w:right w:val="single" w:sz="6" w:space="0" w:color="auto"/>
            </w:tcBorders>
          </w:tcPr>
          <w:p w14:paraId="32367E86"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Klinické skúšanie 0102</w:t>
            </w:r>
          </w:p>
          <w:p w14:paraId="32367E87" w14:textId="77777777" w:rsidR="008E0AD9" w:rsidRPr="00C83045" w:rsidRDefault="008E0AD9" w:rsidP="00D4304B">
            <w:pPr>
              <w:keepNext/>
              <w:keepLines/>
              <w:widowControl w:val="0"/>
              <w:ind w:left="0" w:firstLine="0"/>
              <w:jc w:val="center"/>
              <w:rPr>
                <w:color w:val="000000"/>
                <w:szCs w:val="22"/>
              </w:rPr>
            </w:pPr>
            <w:r w:rsidRPr="00C83045">
              <w:rPr>
                <w:color w:val="000000"/>
                <w:szCs w:val="22"/>
              </w:rPr>
              <w:t>Údaje po 38 mesiacoch</w:t>
            </w:r>
          </w:p>
          <w:p w14:paraId="32367E88"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Myeloidná blastická kríza</w:t>
            </w:r>
          </w:p>
          <w:p w14:paraId="32367E89"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(n=260)</w:t>
            </w:r>
          </w:p>
        </w:tc>
      </w:tr>
      <w:tr w:rsidR="00847D15" w:rsidRPr="00C83045" w14:paraId="32367E8D" w14:textId="77777777" w:rsidTr="00D4304B">
        <w:trPr>
          <w:cantSplit/>
          <w:trHeight w:val="250"/>
        </w:trPr>
        <w:tc>
          <w:tcPr>
            <w:tcW w:w="3150" w:type="dxa"/>
            <w:tcBorders>
              <w:top w:val="single" w:sz="4" w:space="0" w:color="auto"/>
              <w:left w:val="single" w:sz="4" w:space="0" w:color="auto"/>
              <w:bottom w:val="single" w:sz="4" w:space="0" w:color="auto"/>
              <w:right w:val="single" w:sz="6" w:space="0" w:color="auto"/>
            </w:tcBorders>
          </w:tcPr>
          <w:p w14:paraId="32367E8B" w14:textId="77777777" w:rsidR="00847D15" w:rsidRPr="00C83045" w:rsidRDefault="00847D15" w:rsidP="00D4304B">
            <w:pPr>
              <w:keepNext/>
              <w:keepLines/>
              <w:widowControl w:val="0"/>
              <w:ind w:left="0" w:firstLine="0"/>
              <w:rPr>
                <w:color w:val="000000"/>
                <w:szCs w:val="22"/>
              </w:rPr>
            </w:pPr>
          </w:p>
        </w:tc>
        <w:tc>
          <w:tcPr>
            <w:tcW w:w="5760" w:type="dxa"/>
            <w:gridSpan w:val="3"/>
            <w:tcBorders>
              <w:top w:val="single" w:sz="4" w:space="0" w:color="auto"/>
              <w:left w:val="single" w:sz="6" w:space="0" w:color="auto"/>
              <w:bottom w:val="single" w:sz="4" w:space="0" w:color="auto"/>
              <w:right w:val="single" w:sz="4" w:space="0" w:color="auto"/>
            </w:tcBorders>
          </w:tcPr>
          <w:p w14:paraId="32367E8C"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 pacientov (CI</w:t>
            </w:r>
            <w:r w:rsidRPr="00C83045">
              <w:rPr>
                <w:color w:val="000000"/>
                <w:szCs w:val="22"/>
                <w:vertAlign w:val="subscript"/>
              </w:rPr>
              <w:t>95%</w:t>
            </w:r>
            <w:r w:rsidRPr="00C83045">
              <w:rPr>
                <w:color w:val="000000"/>
                <w:szCs w:val="22"/>
              </w:rPr>
              <w:t>)</w:t>
            </w:r>
          </w:p>
        </w:tc>
      </w:tr>
      <w:tr w:rsidR="008E0AD9" w:rsidRPr="00C83045" w14:paraId="32367E92" w14:textId="77777777" w:rsidTr="00D4304B">
        <w:trPr>
          <w:cantSplit/>
          <w:trHeight w:val="278"/>
        </w:trPr>
        <w:tc>
          <w:tcPr>
            <w:tcW w:w="3150" w:type="dxa"/>
            <w:tcBorders>
              <w:top w:val="single" w:sz="4" w:space="0" w:color="auto"/>
              <w:left w:val="single" w:sz="4" w:space="0" w:color="auto"/>
              <w:right w:val="single" w:sz="4" w:space="0" w:color="auto"/>
            </w:tcBorders>
          </w:tcPr>
          <w:p w14:paraId="32367E8E" w14:textId="77777777" w:rsidR="008E0AD9" w:rsidRPr="00C83045" w:rsidRDefault="008E0AD9" w:rsidP="00D4304B">
            <w:pPr>
              <w:keepNext/>
              <w:keepLines/>
              <w:widowControl w:val="0"/>
              <w:ind w:left="0" w:firstLine="0"/>
              <w:rPr>
                <w:color w:val="000000"/>
                <w:szCs w:val="22"/>
                <w:vertAlign w:val="superscript"/>
              </w:rPr>
            </w:pPr>
            <w:r w:rsidRPr="00C83045">
              <w:rPr>
                <w:color w:val="000000"/>
                <w:szCs w:val="22"/>
              </w:rPr>
              <w:t>Hematologická odpoveď</w:t>
            </w:r>
            <w:r w:rsidRPr="00C83045">
              <w:rPr>
                <w:color w:val="000000"/>
                <w:szCs w:val="22"/>
                <w:vertAlign w:val="superscript"/>
              </w:rPr>
              <w:t>1</w:t>
            </w:r>
          </w:p>
        </w:tc>
        <w:tc>
          <w:tcPr>
            <w:tcW w:w="1920" w:type="dxa"/>
            <w:tcBorders>
              <w:top w:val="single" w:sz="4" w:space="0" w:color="auto"/>
              <w:left w:val="single" w:sz="4" w:space="0" w:color="auto"/>
              <w:right w:val="single" w:sz="4" w:space="0" w:color="auto"/>
            </w:tcBorders>
          </w:tcPr>
          <w:p w14:paraId="32367E8F" w14:textId="77777777" w:rsidR="008E0AD9" w:rsidRPr="00C83045" w:rsidRDefault="008E0AD9" w:rsidP="00D4304B">
            <w:pPr>
              <w:keepNext/>
              <w:keepLines/>
              <w:widowControl w:val="0"/>
              <w:ind w:left="0" w:firstLine="0"/>
              <w:jc w:val="center"/>
              <w:rPr>
                <w:color w:val="000000"/>
                <w:szCs w:val="22"/>
              </w:rPr>
            </w:pPr>
            <w:r w:rsidRPr="00C83045">
              <w:rPr>
                <w:color w:val="000000"/>
                <w:szCs w:val="22"/>
              </w:rPr>
              <w:t>95% (92</w:t>
            </w:r>
            <w:r w:rsidR="00FD01EF" w:rsidRPr="00C83045">
              <w:rPr>
                <w:color w:val="000000"/>
                <w:szCs w:val="22"/>
              </w:rPr>
              <w:t>,</w:t>
            </w:r>
            <w:r w:rsidRPr="00C83045">
              <w:rPr>
                <w:color w:val="000000"/>
                <w:szCs w:val="22"/>
              </w:rPr>
              <w:t>3–96</w:t>
            </w:r>
            <w:r w:rsidR="00FD01EF" w:rsidRPr="00C83045">
              <w:rPr>
                <w:color w:val="000000"/>
                <w:szCs w:val="22"/>
              </w:rPr>
              <w:t>,</w:t>
            </w:r>
            <w:r w:rsidRPr="00C83045">
              <w:rPr>
                <w:color w:val="000000"/>
                <w:szCs w:val="22"/>
              </w:rPr>
              <w:t>3)</w:t>
            </w:r>
          </w:p>
        </w:tc>
        <w:tc>
          <w:tcPr>
            <w:tcW w:w="1920" w:type="dxa"/>
            <w:tcBorders>
              <w:top w:val="single" w:sz="4" w:space="0" w:color="auto"/>
              <w:left w:val="single" w:sz="4" w:space="0" w:color="auto"/>
              <w:right w:val="single" w:sz="4" w:space="0" w:color="auto"/>
            </w:tcBorders>
          </w:tcPr>
          <w:p w14:paraId="32367E90" w14:textId="77777777" w:rsidR="008E0AD9" w:rsidRPr="00C83045" w:rsidRDefault="008E0AD9" w:rsidP="00D4304B">
            <w:pPr>
              <w:keepNext/>
              <w:keepLines/>
              <w:widowControl w:val="0"/>
              <w:ind w:left="0" w:firstLine="0"/>
              <w:jc w:val="center"/>
              <w:rPr>
                <w:color w:val="000000"/>
                <w:szCs w:val="22"/>
              </w:rPr>
            </w:pPr>
            <w:r w:rsidRPr="00C83045">
              <w:rPr>
                <w:color w:val="000000"/>
                <w:szCs w:val="22"/>
              </w:rPr>
              <w:t>71% (65</w:t>
            </w:r>
            <w:r w:rsidR="00FD01EF" w:rsidRPr="00C83045">
              <w:rPr>
                <w:color w:val="000000"/>
                <w:szCs w:val="22"/>
              </w:rPr>
              <w:t>,</w:t>
            </w:r>
            <w:r w:rsidRPr="00C83045">
              <w:rPr>
                <w:color w:val="000000"/>
                <w:szCs w:val="22"/>
              </w:rPr>
              <w:t>3–77</w:t>
            </w:r>
            <w:r w:rsidR="00FD01EF" w:rsidRPr="00C83045">
              <w:rPr>
                <w:color w:val="000000"/>
                <w:szCs w:val="22"/>
              </w:rPr>
              <w:t>,</w:t>
            </w:r>
            <w:r w:rsidRPr="00C83045">
              <w:rPr>
                <w:color w:val="000000"/>
                <w:szCs w:val="22"/>
              </w:rPr>
              <w:t>2)</w:t>
            </w:r>
          </w:p>
        </w:tc>
        <w:tc>
          <w:tcPr>
            <w:tcW w:w="1920" w:type="dxa"/>
            <w:tcBorders>
              <w:top w:val="single" w:sz="4" w:space="0" w:color="auto"/>
              <w:left w:val="single" w:sz="4" w:space="0" w:color="auto"/>
              <w:right w:val="single" w:sz="4" w:space="0" w:color="auto"/>
            </w:tcBorders>
          </w:tcPr>
          <w:p w14:paraId="32367E91" w14:textId="77777777" w:rsidR="008E0AD9" w:rsidRPr="00C83045" w:rsidRDefault="008E0AD9" w:rsidP="00D4304B">
            <w:pPr>
              <w:keepNext/>
              <w:keepLines/>
              <w:widowControl w:val="0"/>
              <w:ind w:left="0" w:firstLine="0"/>
              <w:jc w:val="center"/>
              <w:rPr>
                <w:color w:val="000000"/>
                <w:szCs w:val="22"/>
              </w:rPr>
            </w:pPr>
            <w:r w:rsidRPr="00C83045">
              <w:rPr>
                <w:color w:val="000000"/>
                <w:szCs w:val="22"/>
              </w:rPr>
              <w:t>31% (25</w:t>
            </w:r>
            <w:r w:rsidR="00FD01EF" w:rsidRPr="00C83045">
              <w:rPr>
                <w:color w:val="000000"/>
                <w:szCs w:val="22"/>
              </w:rPr>
              <w:t>,</w:t>
            </w:r>
            <w:r w:rsidRPr="00C83045">
              <w:rPr>
                <w:color w:val="000000"/>
                <w:szCs w:val="22"/>
              </w:rPr>
              <w:t>2–36</w:t>
            </w:r>
            <w:r w:rsidR="00FD01EF" w:rsidRPr="00C83045">
              <w:rPr>
                <w:color w:val="000000"/>
                <w:szCs w:val="22"/>
              </w:rPr>
              <w:t>,</w:t>
            </w:r>
            <w:r w:rsidRPr="00C83045">
              <w:rPr>
                <w:color w:val="000000"/>
                <w:szCs w:val="22"/>
              </w:rPr>
              <w:t>8)</w:t>
            </w:r>
          </w:p>
        </w:tc>
      </w:tr>
      <w:tr w:rsidR="008E0AD9" w:rsidRPr="00C83045" w14:paraId="32367E97" w14:textId="77777777" w:rsidTr="00D4304B">
        <w:trPr>
          <w:cantSplit/>
          <w:trHeight w:val="499"/>
        </w:trPr>
        <w:tc>
          <w:tcPr>
            <w:tcW w:w="3150" w:type="dxa"/>
            <w:tcBorders>
              <w:left w:val="single" w:sz="4" w:space="0" w:color="auto"/>
              <w:right w:val="single" w:sz="4" w:space="0" w:color="auto"/>
            </w:tcBorders>
          </w:tcPr>
          <w:p w14:paraId="32367E93" w14:textId="77777777" w:rsidR="008E0AD9" w:rsidRPr="00C83045" w:rsidRDefault="001A1278" w:rsidP="00D4304B">
            <w:pPr>
              <w:keepNext/>
              <w:keepLines/>
              <w:widowControl w:val="0"/>
              <w:ind w:left="284" w:firstLine="0"/>
              <w:rPr>
                <w:color w:val="000000"/>
                <w:szCs w:val="22"/>
              </w:rPr>
            </w:pPr>
            <w:r w:rsidRPr="00C83045">
              <w:rPr>
                <w:color w:val="000000"/>
                <w:szCs w:val="22"/>
              </w:rPr>
              <w:t>Kompletn</w:t>
            </w:r>
            <w:r w:rsidR="008E0AD9" w:rsidRPr="00C83045">
              <w:rPr>
                <w:color w:val="000000"/>
                <w:szCs w:val="22"/>
              </w:rPr>
              <w:t>á hematologická odpoveď (</w:t>
            </w:r>
            <w:smartTag w:uri="urn:schemas-microsoft-com:office:smarttags" w:element="stockticker">
              <w:r w:rsidR="008E0AD9" w:rsidRPr="00C83045">
                <w:rPr>
                  <w:color w:val="000000"/>
                  <w:szCs w:val="22"/>
                </w:rPr>
                <w:t>CHR</w:t>
              </w:r>
            </w:smartTag>
            <w:r w:rsidR="008E0AD9" w:rsidRPr="00C83045">
              <w:rPr>
                <w:color w:val="000000"/>
                <w:szCs w:val="22"/>
              </w:rPr>
              <w:t>)</w:t>
            </w:r>
          </w:p>
        </w:tc>
        <w:tc>
          <w:tcPr>
            <w:tcW w:w="1920" w:type="dxa"/>
            <w:tcBorders>
              <w:left w:val="single" w:sz="4" w:space="0" w:color="auto"/>
              <w:right w:val="single" w:sz="4" w:space="0" w:color="auto"/>
            </w:tcBorders>
          </w:tcPr>
          <w:p w14:paraId="32367E94" w14:textId="77777777" w:rsidR="008E0AD9" w:rsidRPr="00C83045" w:rsidRDefault="008E0AD9" w:rsidP="00D4304B">
            <w:pPr>
              <w:keepNext/>
              <w:keepLines/>
              <w:widowControl w:val="0"/>
              <w:ind w:left="0" w:firstLine="0"/>
              <w:jc w:val="center"/>
              <w:rPr>
                <w:color w:val="000000"/>
                <w:szCs w:val="22"/>
              </w:rPr>
            </w:pPr>
            <w:r w:rsidRPr="00C83045">
              <w:rPr>
                <w:color w:val="000000"/>
                <w:szCs w:val="22"/>
              </w:rPr>
              <w:t>95%</w:t>
            </w:r>
          </w:p>
        </w:tc>
        <w:tc>
          <w:tcPr>
            <w:tcW w:w="1920" w:type="dxa"/>
            <w:tcBorders>
              <w:left w:val="single" w:sz="4" w:space="0" w:color="auto"/>
              <w:right w:val="single" w:sz="4" w:space="0" w:color="auto"/>
            </w:tcBorders>
          </w:tcPr>
          <w:p w14:paraId="32367E95" w14:textId="77777777" w:rsidR="008E0AD9" w:rsidRPr="00C83045" w:rsidRDefault="008E0AD9" w:rsidP="00D4304B">
            <w:pPr>
              <w:keepNext/>
              <w:keepLines/>
              <w:widowControl w:val="0"/>
              <w:ind w:left="0" w:firstLine="0"/>
              <w:jc w:val="center"/>
              <w:rPr>
                <w:color w:val="000000"/>
                <w:szCs w:val="22"/>
              </w:rPr>
            </w:pPr>
            <w:r w:rsidRPr="00C83045">
              <w:rPr>
                <w:color w:val="000000"/>
                <w:szCs w:val="22"/>
              </w:rPr>
              <w:t>42%</w:t>
            </w:r>
          </w:p>
        </w:tc>
        <w:tc>
          <w:tcPr>
            <w:tcW w:w="1920" w:type="dxa"/>
            <w:tcBorders>
              <w:left w:val="single" w:sz="4" w:space="0" w:color="auto"/>
              <w:right w:val="single" w:sz="4" w:space="0" w:color="auto"/>
            </w:tcBorders>
          </w:tcPr>
          <w:p w14:paraId="32367E96" w14:textId="77777777" w:rsidR="008E0AD9" w:rsidRPr="00C83045" w:rsidRDefault="008E0AD9" w:rsidP="00D4304B">
            <w:pPr>
              <w:keepNext/>
              <w:keepLines/>
              <w:widowControl w:val="0"/>
              <w:ind w:left="0" w:firstLine="0"/>
              <w:jc w:val="center"/>
              <w:rPr>
                <w:color w:val="000000"/>
                <w:szCs w:val="22"/>
              </w:rPr>
            </w:pPr>
            <w:r w:rsidRPr="00C83045">
              <w:rPr>
                <w:color w:val="000000"/>
                <w:szCs w:val="22"/>
              </w:rPr>
              <w:t>8%</w:t>
            </w:r>
          </w:p>
        </w:tc>
      </w:tr>
      <w:tr w:rsidR="00847D15" w:rsidRPr="00C83045" w14:paraId="32367E9D" w14:textId="77777777" w:rsidTr="00D4304B">
        <w:trPr>
          <w:cantSplit/>
          <w:trHeight w:val="499"/>
        </w:trPr>
        <w:tc>
          <w:tcPr>
            <w:tcW w:w="3150" w:type="dxa"/>
            <w:tcBorders>
              <w:left w:val="single" w:sz="4" w:space="0" w:color="auto"/>
              <w:right w:val="single" w:sz="4" w:space="0" w:color="auto"/>
            </w:tcBorders>
          </w:tcPr>
          <w:p w14:paraId="32367E98" w14:textId="77777777" w:rsidR="00847D15" w:rsidRPr="00C83045" w:rsidRDefault="00847D15" w:rsidP="00D4304B">
            <w:pPr>
              <w:keepNext/>
              <w:keepLines/>
              <w:widowControl w:val="0"/>
              <w:ind w:left="284" w:firstLine="0"/>
              <w:rPr>
                <w:color w:val="000000"/>
                <w:szCs w:val="22"/>
              </w:rPr>
            </w:pPr>
            <w:r w:rsidRPr="00C83045">
              <w:rPr>
                <w:color w:val="000000"/>
                <w:szCs w:val="22"/>
              </w:rPr>
              <w:t>Žiadny dôkaz leukémie</w:t>
            </w:r>
          </w:p>
          <w:p w14:paraId="32367E99" w14:textId="77777777" w:rsidR="00847D15" w:rsidRPr="00C83045" w:rsidRDefault="00847D15" w:rsidP="00D4304B">
            <w:pPr>
              <w:keepNext/>
              <w:keepLines/>
              <w:widowControl w:val="0"/>
              <w:ind w:left="284" w:firstLine="0"/>
              <w:rPr>
                <w:color w:val="000000"/>
                <w:szCs w:val="22"/>
              </w:rPr>
            </w:pPr>
            <w:r w:rsidRPr="00C83045">
              <w:rPr>
                <w:color w:val="000000"/>
                <w:szCs w:val="22"/>
              </w:rPr>
              <w:t>(</w:t>
            </w:r>
            <w:r w:rsidR="00E65F57" w:rsidRPr="00C83045">
              <w:rPr>
                <w:color w:val="000000"/>
                <w:szCs w:val="22"/>
              </w:rPr>
              <w:t>NEL</w:t>
            </w:r>
            <w:r w:rsidRPr="00C83045">
              <w:rPr>
                <w:color w:val="000000"/>
                <w:szCs w:val="22"/>
              </w:rPr>
              <w:t>)</w:t>
            </w:r>
          </w:p>
        </w:tc>
        <w:tc>
          <w:tcPr>
            <w:tcW w:w="1920" w:type="dxa"/>
            <w:tcBorders>
              <w:left w:val="single" w:sz="4" w:space="0" w:color="auto"/>
              <w:right w:val="single" w:sz="4" w:space="0" w:color="auto"/>
            </w:tcBorders>
          </w:tcPr>
          <w:p w14:paraId="32367E9A"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Nedá sa použiť</w:t>
            </w:r>
          </w:p>
        </w:tc>
        <w:tc>
          <w:tcPr>
            <w:tcW w:w="1920" w:type="dxa"/>
            <w:tcBorders>
              <w:left w:val="single" w:sz="4" w:space="0" w:color="auto"/>
              <w:right w:val="single" w:sz="4" w:space="0" w:color="auto"/>
            </w:tcBorders>
          </w:tcPr>
          <w:p w14:paraId="32367E9B"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12%</w:t>
            </w:r>
          </w:p>
        </w:tc>
        <w:tc>
          <w:tcPr>
            <w:tcW w:w="1920" w:type="dxa"/>
            <w:tcBorders>
              <w:left w:val="single" w:sz="4" w:space="0" w:color="auto"/>
              <w:right w:val="single" w:sz="4" w:space="0" w:color="auto"/>
            </w:tcBorders>
          </w:tcPr>
          <w:p w14:paraId="32367E9C"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5%</w:t>
            </w:r>
          </w:p>
        </w:tc>
      </w:tr>
      <w:tr w:rsidR="00847D15" w:rsidRPr="00C83045" w14:paraId="32367EA2" w14:textId="77777777" w:rsidTr="00D4304B">
        <w:trPr>
          <w:cantSplit/>
          <w:trHeight w:val="499"/>
        </w:trPr>
        <w:tc>
          <w:tcPr>
            <w:tcW w:w="3150" w:type="dxa"/>
            <w:tcBorders>
              <w:left w:val="single" w:sz="4" w:space="0" w:color="auto"/>
              <w:bottom w:val="single" w:sz="4" w:space="0" w:color="auto"/>
              <w:right w:val="single" w:sz="4" w:space="0" w:color="auto"/>
            </w:tcBorders>
          </w:tcPr>
          <w:p w14:paraId="32367E9E" w14:textId="77777777" w:rsidR="00847D15" w:rsidRPr="00C83045" w:rsidRDefault="00847D15" w:rsidP="00D4304B">
            <w:pPr>
              <w:keepNext/>
              <w:keepLines/>
              <w:widowControl w:val="0"/>
              <w:ind w:left="284" w:firstLine="0"/>
              <w:rPr>
                <w:color w:val="000000"/>
                <w:szCs w:val="22"/>
              </w:rPr>
            </w:pPr>
            <w:r w:rsidRPr="00C83045">
              <w:rPr>
                <w:color w:val="000000"/>
                <w:szCs w:val="22"/>
              </w:rPr>
              <w:t>Návrat do chronickej fázy (</w:t>
            </w:r>
            <w:smartTag w:uri="urn:schemas-microsoft-com:office:smarttags" w:element="stockticker">
              <w:r w:rsidR="00E65F57" w:rsidRPr="00C83045">
                <w:rPr>
                  <w:color w:val="000000"/>
                  <w:szCs w:val="22"/>
                </w:rPr>
                <w:t>RTC</w:t>
              </w:r>
            </w:smartTag>
            <w:r w:rsidRPr="00C83045">
              <w:rPr>
                <w:color w:val="000000"/>
                <w:szCs w:val="22"/>
              </w:rPr>
              <w:t>)</w:t>
            </w:r>
          </w:p>
        </w:tc>
        <w:tc>
          <w:tcPr>
            <w:tcW w:w="1920" w:type="dxa"/>
            <w:tcBorders>
              <w:left w:val="single" w:sz="4" w:space="0" w:color="auto"/>
              <w:bottom w:val="single" w:sz="4" w:space="0" w:color="auto"/>
              <w:right w:val="single" w:sz="4" w:space="0" w:color="auto"/>
            </w:tcBorders>
          </w:tcPr>
          <w:p w14:paraId="32367E9F"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Nedá sa použiť</w:t>
            </w:r>
          </w:p>
        </w:tc>
        <w:tc>
          <w:tcPr>
            <w:tcW w:w="1920" w:type="dxa"/>
            <w:tcBorders>
              <w:left w:val="single" w:sz="4" w:space="0" w:color="auto"/>
              <w:bottom w:val="single" w:sz="4" w:space="0" w:color="auto"/>
              <w:right w:val="single" w:sz="4" w:space="0" w:color="auto"/>
            </w:tcBorders>
          </w:tcPr>
          <w:p w14:paraId="32367EA0" w14:textId="77777777" w:rsidR="00847D15" w:rsidRPr="00C83045" w:rsidRDefault="00FD01EF" w:rsidP="00D4304B">
            <w:pPr>
              <w:keepNext/>
              <w:keepLines/>
              <w:widowControl w:val="0"/>
              <w:ind w:left="0" w:firstLine="0"/>
              <w:jc w:val="center"/>
              <w:rPr>
                <w:color w:val="000000"/>
                <w:szCs w:val="22"/>
              </w:rPr>
            </w:pPr>
            <w:r w:rsidRPr="00C83045">
              <w:rPr>
                <w:color w:val="000000"/>
                <w:szCs w:val="22"/>
              </w:rPr>
              <w:t>17</w:t>
            </w:r>
            <w:r w:rsidR="00847D15" w:rsidRPr="00C83045">
              <w:rPr>
                <w:color w:val="000000"/>
                <w:szCs w:val="22"/>
              </w:rPr>
              <w:t>%</w:t>
            </w:r>
          </w:p>
        </w:tc>
        <w:tc>
          <w:tcPr>
            <w:tcW w:w="1920" w:type="dxa"/>
            <w:tcBorders>
              <w:left w:val="single" w:sz="4" w:space="0" w:color="auto"/>
              <w:bottom w:val="single" w:sz="4" w:space="0" w:color="auto"/>
              <w:right w:val="single" w:sz="4" w:space="0" w:color="auto"/>
            </w:tcBorders>
          </w:tcPr>
          <w:p w14:paraId="32367EA1" w14:textId="77777777" w:rsidR="00847D15" w:rsidRPr="00C83045" w:rsidRDefault="00847D15" w:rsidP="00D4304B">
            <w:pPr>
              <w:keepNext/>
              <w:keepLines/>
              <w:widowControl w:val="0"/>
              <w:ind w:left="0" w:firstLine="0"/>
              <w:jc w:val="center"/>
              <w:rPr>
                <w:color w:val="000000"/>
                <w:szCs w:val="22"/>
              </w:rPr>
            </w:pPr>
            <w:r w:rsidRPr="00C83045">
              <w:rPr>
                <w:color w:val="000000"/>
                <w:szCs w:val="22"/>
              </w:rPr>
              <w:t>18%</w:t>
            </w:r>
          </w:p>
        </w:tc>
      </w:tr>
      <w:tr w:rsidR="00FD01EF" w:rsidRPr="00C83045" w14:paraId="32367EA7" w14:textId="77777777" w:rsidTr="00D4304B">
        <w:trPr>
          <w:cantSplit/>
          <w:trHeight w:val="528"/>
        </w:trPr>
        <w:tc>
          <w:tcPr>
            <w:tcW w:w="3150" w:type="dxa"/>
            <w:tcBorders>
              <w:top w:val="single" w:sz="4" w:space="0" w:color="auto"/>
              <w:left w:val="single" w:sz="4" w:space="0" w:color="auto"/>
              <w:right w:val="single" w:sz="4" w:space="0" w:color="auto"/>
            </w:tcBorders>
          </w:tcPr>
          <w:p w14:paraId="32367EA3" w14:textId="77777777" w:rsidR="00FD01EF" w:rsidRPr="00C83045" w:rsidRDefault="003F71FF" w:rsidP="00D4304B">
            <w:pPr>
              <w:keepNext/>
              <w:keepLines/>
              <w:widowControl w:val="0"/>
              <w:ind w:left="0" w:firstLine="0"/>
              <w:rPr>
                <w:i/>
                <w:color w:val="000000"/>
                <w:szCs w:val="22"/>
                <w:vertAlign w:val="superscript"/>
              </w:rPr>
            </w:pPr>
            <w:r w:rsidRPr="00C83045">
              <w:rPr>
                <w:color w:val="000000"/>
                <w:szCs w:val="22"/>
              </w:rPr>
              <w:t>Veľk</w:t>
            </w:r>
            <w:r w:rsidR="00FD01EF" w:rsidRPr="00C83045">
              <w:rPr>
                <w:color w:val="000000"/>
                <w:szCs w:val="22"/>
              </w:rPr>
              <w:t>á cytogenetická odpoveď</w:t>
            </w:r>
            <w:r w:rsidR="00FD01EF" w:rsidRPr="00C83045">
              <w:rPr>
                <w:color w:val="000000"/>
                <w:szCs w:val="22"/>
                <w:vertAlign w:val="superscript"/>
              </w:rPr>
              <w:t>2</w:t>
            </w:r>
          </w:p>
        </w:tc>
        <w:tc>
          <w:tcPr>
            <w:tcW w:w="1920" w:type="dxa"/>
            <w:tcBorders>
              <w:top w:val="single" w:sz="4" w:space="0" w:color="auto"/>
              <w:left w:val="single" w:sz="4" w:space="0" w:color="auto"/>
              <w:right w:val="single" w:sz="4" w:space="0" w:color="auto"/>
            </w:tcBorders>
          </w:tcPr>
          <w:p w14:paraId="32367EA4" w14:textId="77777777" w:rsidR="00FD01EF" w:rsidRPr="00C83045" w:rsidRDefault="00FD01EF" w:rsidP="00D4304B">
            <w:pPr>
              <w:keepNext/>
              <w:keepLines/>
              <w:widowControl w:val="0"/>
              <w:ind w:left="0" w:firstLine="0"/>
              <w:jc w:val="center"/>
              <w:rPr>
                <w:color w:val="000000"/>
                <w:szCs w:val="22"/>
              </w:rPr>
            </w:pPr>
            <w:r w:rsidRPr="00C83045">
              <w:rPr>
                <w:color w:val="000000"/>
                <w:szCs w:val="22"/>
              </w:rPr>
              <w:t>65% (61</w:t>
            </w:r>
            <w:r w:rsidR="00B84E61" w:rsidRPr="00C83045">
              <w:rPr>
                <w:color w:val="000000"/>
                <w:szCs w:val="22"/>
              </w:rPr>
              <w:t>,</w:t>
            </w:r>
            <w:r w:rsidRPr="00C83045">
              <w:rPr>
                <w:color w:val="000000"/>
                <w:szCs w:val="22"/>
              </w:rPr>
              <w:t>2–69</w:t>
            </w:r>
            <w:r w:rsidR="00B84E61" w:rsidRPr="00C83045">
              <w:rPr>
                <w:color w:val="000000"/>
                <w:szCs w:val="22"/>
              </w:rPr>
              <w:t>,</w:t>
            </w:r>
            <w:r w:rsidRPr="00C83045">
              <w:rPr>
                <w:color w:val="000000"/>
                <w:szCs w:val="22"/>
              </w:rPr>
              <w:t>5)</w:t>
            </w:r>
          </w:p>
        </w:tc>
        <w:tc>
          <w:tcPr>
            <w:tcW w:w="1920" w:type="dxa"/>
            <w:tcBorders>
              <w:top w:val="single" w:sz="4" w:space="0" w:color="auto"/>
              <w:left w:val="single" w:sz="4" w:space="0" w:color="auto"/>
              <w:right w:val="single" w:sz="4" w:space="0" w:color="auto"/>
            </w:tcBorders>
          </w:tcPr>
          <w:p w14:paraId="32367EA5" w14:textId="77777777" w:rsidR="00FD01EF" w:rsidRPr="00C83045" w:rsidRDefault="00FD01EF" w:rsidP="00D4304B">
            <w:pPr>
              <w:keepNext/>
              <w:keepLines/>
              <w:widowControl w:val="0"/>
              <w:ind w:left="0" w:firstLine="0"/>
              <w:jc w:val="center"/>
              <w:rPr>
                <w:color w:val="000000"/>
                <w:szCs w:val="22"/>
              </w:rPr>
            </w:pPr>
            <w:r w:rsidRPr="00C83045">
              <w:rPr>
                <w:color w:val="000000"/>
                <w:szCs w:val="22"/>
              </w:rPr>
              <w:t>28% (22</w:t>
            </w:r>
            <w:r w:rsidR="00B84E61" w:rsidRPr="00C83045">
              <w:rPr>
                <w:color w:val="000000"/>
                <w:szCs w:val="22"/>
              </w:rPr>
              <w:t>,</w:t>
            </w:r>
            <w:r w:rsidRPr="00C83045">
              <w:rPr>
                <w:color w:val="000000"/>
                <w:szCs w:val="22"/>
              </w:rPr>
              <w:t>0–33</w:t>
            </w:r>
            <w:r w:rsidR="00B84E61" w:rsidRPr="00C83045">
              <w:rPr>
                <w:color w:val="000000"/>
                <w:szCs w:val="22"/>
              </w:rPr>
              <w:t>,</w:t>
            </w:r>
            <w:r w:rsidRPr="00C83045">
              <w:rPr>
                <w:color w:val="000000"/>
                <w:szCs w:val="22"/>
              </w:rPr>
              <w:t>9)</w:t>
            </w:r>
          </w:p>
        </w:tc>
        <w:tc>
          <w:tcPr>
            <w:tcW w:w="1920" w:type="dxa"/>
            <w:tcBorders>
              <w:top w:val="single" w:sz="4" w:space="0" w:color="auto"/>
              <w:left w:val="single" w:sz="4" w:space="0" w:color="auto"/>
              <w:right w:val="single" w:sz="4" w:space="0" w:color="auto"/>
            </w:tcBorders>
          </w:tcPr>
          <w:p w14:paraId="32367EA6" w14:textId="77777777" w:rsidR="00FD01EF" w:rsidRPr="00C83045" w:rsidRDefault="00FD01EF" w:rsidP="00D4304B">
            <w:pPr>
              <w:keepNext/>
              <w:keepLines/>
              <w:widowControl w:val="0"/>
              <w:ind w:left="0" w:firstLine="0"/>
              <w:jc w:val="center"/>
              <w:rPr>
                <w:color w:val="000000"/>
                <w:szCs w:val="22"/>
              </w:rPr>
            </w:pPr>
            <w:r w:rsidRPr="00C83045">
              <w:rPr>
                <w:color w:val="000000"/>
                <w:szCs w:val="22"/>
              </w:rPr>
              <w:t>15% (11,2–20,4)</w:t>
            </w:r>
          </w:p>
        </w:tc>
      </w:tr>
      <w:tr w:rsidR="00FD01EF" w:rsidRPr="00C83045" w14:paraId="32367EAC" w14:textId="77777777" w:rsidTr="00D4304B">
        <w:trPr>
          <w:cantSplit/>
          <w:trHeight w:val="250"/>
        </w:trPr>
        <w:tc>
          <w:tcPr>
            <w:tcW w:w="3150" w:type="dxa"/>
            <w:tcBorders>
              <w:left w:val="single" w:sz="4" w:space="0" w:color="auto"/>
              <w:right w:val="single" w:sz="4" w:space="0" w:color="auto"/>
            </w:tcBorders>
          </w:tcPr>
          <w:p w14:paraId="32367EA8" w14:textId="77777777" w:rsidR="00FD01EF" w:rsidRPr="00C83045" w:rsidRDefault="001A1278" w:rsidP="00D4304B">
            <w:pPr>
              <w:keepNext/>
              <w:keepLines/>
              <w:widowControl w:val="0"/>
              <w:ind w:left="284" w:firstLine="0"/>
              <w:rPr>
                <w:color w:val="000000"/>
                <w:szCs w:val="22"/>
              </w:rPr>
            </w:pPr>
            <w:r w:rsidRPr="00C83045">
              <w:rPr>
                <w:color w:val="000000"/>
                <w:szCs w:val="22"/>
              </w:rPr>
              <w:t>Kompletn</w:t>
            </w:r>
            <w:r w:rsidR="00FD01EF" w:rsidRPr="00C83045">
              <w:rPr>
                <w:color w:val="000000"/>
                <w:szCs w:val="22"/>
              </w:rPr>
              <w:t>á</w:t>
            </w:r>
          </w:p>
        </w:tc>
        <w:tc>
          <w:tcPr>
            <w:tcW w:w="1920" w:type="dxa"/>
            <w:tcBorders>
              <w:left w:val="single" w:sz="4" w:space="0" w:color="auto"/>
              <w:right w:val="single" w:sz="4" w:space="0" w:color="auto"/>
            </w:tcBorders>
          </w:tcPr>
          <w:p w14:paraId="32367EA9" w14:textId="77777777" w:rsidR="00FD01EF" w:rsidRPr="00C83045" w:rsidRDefault="00FD01EF" w:rsidP="00D4304B">
            <w:pPr>
              <w:keepNext/>
              <w:keepLines/>
              <w:widowControl w:val="0"/>
              <w:ind w:left="0" w:firstLine="0"/>
              <w:jc w:val="center"/>
              <w:rPr>
                <w:color w:val="000000"/>
                <w:szCs w:val="22"/>
              </w:rPr>
            </w:pPr>
            <w:r w:rsidRPr="00C83045">
              <w:rPr>
                <w:color w:val="000000"/>
                <w:szCs w:val="22"/>
              </w:rPr>
              <w:t>53%</w:t>
            </w:r>
          </w:p>
        </w:tc>
        <w:tc>
          <w:tcPr>
            <w:tcW w:w="1920" w:type="dxa"/>
            <w:tcBorders>
              <w:left w:val="single" w:sz="4" w:space="0" w:color="auto"/>
              <w:right w:val="single" w:sz="4" w:space="0" w:color="auto"/>
            </w:tcBorders>
          </w:tcPr>
          <w:p w14:paraId="32367EAA" w14:textId="77777777" w:rsidR="00FD01EF" w:rsidRPr="00C83045" w:rsidRDefault="00FD01EF" w:rsidP="00D4304B">
            <w:pPr>
              <w:keepNext/>
              <w:keepLines/>
              <w:widowControl w:val="0"/>
              <w:ind w:left="0" w:firstLine="0"/>
              <w:jc w:val="center"/>
              <w:rPr>
                <w:color w:val="000000"/>
                <w:szCs w:val="22"/>
              </w:rPr>
            </w:pPr>
            <w:r w:rsidRPr="00C83045">
              <w:rPr>
                <w:color w:val="000000"/>
                <w:szCs w:val="22"/>
              </w:rPr>
              <w:t>20%</w:t>
            </w:r>
          </w:p>
        </w:tc>
        <w:tc>
          <w:tcPr>
            <w:tcW w:w="1920" w:type="dxa"/>
            <w:tcBorders>
              <w:left w:val="single" w:sz="4" w:space="0" w:color="auto"/>
              <w:right w:val="single" w:sz="4" w:space="0" w:color="auto"/>
            </w:tcBorders>
          </w:tcPr>
          <w:p w14:paraId="32367EAB" w14:textId="77777777" w:rsidR="00FD01EF" w:rsidRPr="00C83045" w:rsidRDefault="00FD01EF" w:rsidP="00D4304B">
            <w:pPr>
              <w:keepNext/>
              <w:keepLines/>
              <w:widowControl w:val="0"/>
              <w:ind w:left="0" w:firstLine="0"/>
              <w:jc w:val="center"/>
              <w:rPr>
                <w:color w:val="000000"/>
                <w:szCs w:val="22"/>
              </w:rPr>
            </w:pPr>
            <w:r w:rsidRPr="00C83045">
              <w:rPr>
                <w:color w:val="000000"/>
                <w:szCs w:val="22"/>
              </w:rPr>
              <w:t>7%</w:t>
            </w:r>
          </w:p>
        </w:tc>
      </w:tr>
      <w:tr w:rsidR="00FD01EF" w:rsidRPr="00C83045" w14:paraId="32367EB1" w14:textId="77777777" w:rsidTr="00D4304B">
        <w:trPr>
          <w:cantSplit/>
          <w:trHeight w:val="250"/>
        </w:trPr>
        <w:tc>
          <w:tcPr>
            <w:tcW w:w="3150" w:type="dxa"/>
            <w:tcBorders>
              <w:left w:val="single" w:sz="4" w:space="0" w:color="auto"/>
              <w:right w:val="single" w:sz="4" w:space="0" w:color="auto"/>
            </w:tcBorders>
          </w:tcPr>
          <w:p w14:paraId="32367EAD" w14:textId="77777777" w:rsidR="00FD01EF" w:rsidRPr="00C83045" w:rsidRDefault="00FD01EF" w:rsidP="00D4304B">
            <w:pPr>
              <w:keepNext/>
              <w:keepLines/>
              <w:widowControl w:val="0"/>
              <w:ind w:left="284" w:firstLine="0"/>
              <w:rPr>
                <w:color w:val="000000"/>
                <w:szCs w:val="22"/>
              </w:rPr>
            </w:pPr>
            <w:r w:rsidRPr="00C83045">
              <w:rPr>
                <w:color w:val="000000"/>
                <w:szCs w:val="22"/>
              </w:rPr>
              <w:t>(Potvrdená</w:t>
            </w:r>
            <w:r w:rsidRPr="00C83045">
              <w:rPr>
                <w:color w:val="000000"/>
                <w:szCs w:val="22"/>
                <w:vertAlign w:val="superscript"/>
              </w:rPr>
              <w:t>3</w:t>
            </w:r>
            <w:r w:rsidRPr="00C83045">
              <w:rPr>
                <w:color w:val="000000"/>
                <w:szCs w:val="22"/>
              </w:rPr>
              <w:t>) [95% CI]</w:t>
            </w:r>
          </w:p>
        </w:tc>
        <w:tc>
          <w:tcPr>
            <w:tcW w:w="1920" w:type="dxa"/>
            <w:tcBorders>
              <w:left w:val="single" w:sz="4" w:space="0" w:color="auto"/>
              <w:right w:val="single" w:sz="4" w:space="0" w:color="auto"/>
            </w:tcBorders>
          </w:tcPr>
          <w:p w14:paraId="32367EAE" w14:textId="77777777" w:rsidR="00FD01EF" w:rsidRPr="00C83045" w:rsidRDefault="00FD01EF" w:rsidP="00D4304B">
            <w:pPr>
              <w:keepNext/>
              <w:keepLines/>
              <w:widowControl w:val="0"/>
              <w:ind w:left="0" w:firstLine="0"/>
              <w:jc w:val="center"/>
              <w:rPr>
                <w:color w:val="000000"/>
                <w:szCs w:val="22"/>
              </w:rPr>
            </w:pPr>
            <w:r w:rsidRPr="00C83045">
              <w:rPr>
                <w:color w:val="000000"/>
                <w:szCs w:val="22"/>
              </w:rPr>
              <w:t>(43%) [38</w:t>
            </w:r>
            <w:r w:rsidR="00B84E61" w:rsidRPr="00C83045">
              <w:rPr>
                <w:color w:val="000000"/>
                <w:szCs w:val="22"/>
              </w:rPr>
              <w:t>,</w:t>
            </w:r>
            <w:r w:rsidRPr="00C83045">
              <w:rPr>
                <w:color w:val="000000"/>
                <w:szCs w:val="22"/>
              </w:rPr>
              <w:t>6–47</w:t>
            </w:r>
            <w:r w:rsidR="00B84E61" w:rsidRPr="00C83045">
              <w:rPr>
                <w:color w:val="000000"/>
                <w:szCs w:val="22"/>
              </w:rPr>
              <w:t>,</w:t>
            </w:r>
            <w:r w:rsidRPr="00C83045">
              <w:rPr>
                <w:color w:val="000000"/>
                <w:szCs w:val="22"/>
              </w:rPr>
              <w:t>2]</w:t>
            </w:r>
          </w:p>
        </w:tc>
        <w:tc>
          <w:tcPr>
            <w:tcW w:w="1920" w:type="dxa"/>
            <w:tcBorders>
              <w:left w:val="single" w:sz="4" w:space="0" w:color="auto"/>
              <w:right w:val="single" w:sz="4" w:space="0" w:color="auto"/>
            </w:tcBorders>
          </w:tcPr>
          <w:p w14:paraId="32367EAF" w14:textId="77777777" w:rsidR="00FD01EF" w:rsidRPr="00C83045" w:rsidRDefault="00FD01EF" w:rsidP="00D4304B">
            <w:pPr>
              <w:keepNext/>
              <w:keepLines/>
              <w:widowControl w:val="0"/>
              <w:ind w:left="0" w:firstLine="0"/>
              <w:jc w:val="center"/>
              <w:rPr>
                <w:color w:val="000000"/>
                <w:szCs w:val="22"/>
              </w:rPr>
            </w:pPr>
            <w:r w:rsidRPr="00C83045">
              <w:rPr>
                <w:color w:val="000000"/>
                <w:szCs w:val="22"/>
              </w:rPr>
              <w:t>(16%) [11</w:t>
            </w:r>
            <w:r w:rsidR="00B84E61" w:rsidRPr="00C83045">
              <w:rPr>
                <w:color w:val="000000"/>
                <w:szCs w:val="22"/>
              </w:rPr>
              <w:t>,</w:t>
            </w:r>
            <w:r w:rsidRPr="00C83045">
              <w:rPr>
                <w:color w:val="000000"/>
                <w:szCs w:val="22"/>
              </w:rPr>
              <w:t>3–21</w:t>
            </w:r>
            <w:r w:rsidR="00B84E61" w:rsidRPr="00C83045">
              <w:rPr>
                <w:color w:val="000000"/>
                <w:szCs w:val="22"/>
              </w:rPr>
              <w:t>,</w:t>
            </w:r>
            <w:r w:rsidRPr="00C83045">
              <w:rPr>
                <w:color w:val="000000"/>
                <w:szCs w:val="22"/>
              </w:rPr>
              <w:t>0]</w:t>
            </w:r>
          </w:p>
        </w:tc>
        <w:tc>
          <w:tcPr>
            <w:tcW w:w="1920" w:type="dxa"/>
            <w:tcBorders>
              <w:left w:val="single" w:sz="4" w:space="0" w:color="auto"/>
              <w:right w:val="single" w:sz="4" w:space="0" w:color="auto"/>
            </w:tcBorders>
          </w:tcPr>
          <w:p w14:paraId="32367EB0" w14:textId="77777777" w:rsidR="00FD01EF" w:rsidRPr="00C83045" w:rsidRDefault="00FD01EF" w:rsidP="00D4304B">
            <w:pPr>
              <w:keepNext/>
              <w:keepLines/>
              <w:widowControl w:val="0"/>
              <w:ind w:left="0" w:firstLine="0"/>
              <w:jc w:val="center"/>
              <w:rPr>
                <w:color w:val="000000"/>
                <w:szCs w:val="22"/>
              </w:rPr>
            </w:pPr>
            <w:r w:rsidRPr="00C83045">
              <w:rPr>
                <w:color w:val="000000"/>
                <w:szCs w:val="22"/>
              </w:rPr>
              <w:t>(2%) [0</w:t>
            </w:r>
            <w:r w:rsidR="00B84E61" w:rsidRPr="00C83045">
              <w:rPr>
                <w:color w:val="000000"/>
                <w:szCs w:val="22"/>
              </w:rPr>
              <w:t>,</w:t>
            </w:r>
            <w:r w:rsidRPr="00C83045">
              <w:rPr>
                <w:color w:val="000000"/>
                <w:szCs w:val="22"/>
              </w:rPr>
              <w:t>6–4</w:t>
            </w:r>
            <w:r w:rsidR="00B84E61" w:rsidRPr="00C83045">
              <w:rPr>
                <w:color w:val="000000"/>
                <w:szCs w:val="22"/>
              </w:rPr>
              <w:t>,</w:t>
            </w:r>
            <w:r w:rsidRPr="00C83045">
              <w:rPr>
                <w:color w:val="000000"/>
                <w:szCs w:val="22"/>
              </w:rPr>
              <w:t>4]</w:t>
            </w:r>
          </w:p>
        </w:tc>
      </w:tr>
      <w:tr w:rsidR="00FD01EF" w:rsidRPr="00C83045" w14:paraId="32367EB6" w14:textId="77777777" w:rsidTr="00D4304B">
        <w:trPr>
          <w:cantSplit/>
          <w:trHeight w:val="250"/>
        </w:trPr>
        <w:tc>
          <w:tcPr>
            <w:tcW w:w="3150" w:type="dxa"/>
            <w:tcBorders>
              <w:left w:val="single" w:sz="4" w:space="0" w:color="auto"/>
              <w:bottom w:val="single" w:sz="4" w:space="0" w:color="auto"/>
              <w:right w:val="single" w:sz="4" w:space="0" w:color="auto"/>
            </w:tcBorders>
          </w:tcPr>
          <w:p w14:paraId="32367EB2" w14:textId="77777777" w:rsidR="00FD01EF" w:rsidRPr="00C83045" w:rsidRDefault="00FD01EF" w:rsidP="00D4304B">
            <w:pPr>
              <w:keepNext/>
              <w:keepLines/>
              <w:widowControl w:val="0"/>
              <w:ind w:left="284" w:firstLine="0"/>
              <w:rPr>
                <w:color w:val="000000"/>
                <w:szCs w:val="22"/>
              </w:rPr>
            </w:pPr>
            <w:r w:rsidRPr="00C83045">
              <w:rPr>
                <w:color w:val="000000"/>
                <w:szCs w:val="22"/>
              </w:rPr>
              <w:t>Čiastočná</w:t>
            </w:r>
          </w:p>
        </w:tc>
        <w:tc>
          <w:tcPr>
            <w:tcW w:w="1920" w:type="dxa"/>
            <w:tcBorders>
              <w:left w:val="single" w:sz="4" w:space="0" w:color="auto"/>
              <w:bottom w:val="single" w:sz="4" w:space="0" w:color="auto"/>
              <w:right w:val="single" w:sz="4" w:space="0" w:color="auto"/>
            </w:tcBorders>
          </w:tcPr>
          <w:p w14:paraId="32367EB3" w14:textId="77777777" w:rsidR="00FD01EF" w:rsidRPr="00C83045" w:rsidRDefault="00FD01EF" w:rsidP="00D4304B">
            <w:pPr>
              <w:keepNext/>
              <w:keepLines/>
              <w:widowControl w:val="0"/>
              <w:ind w:left="0" w:firstLine="0"/>
              <w:jc w:val="center"/>
              <w:rPr>
                <w:color w:val="000000"/>
                <w:szCs w:val="22"/>
              </w:rPr>
            </w:pPr>
            <w:r w:rsidRPr="00C83045">
              <w:rPr>
                <w:color w:val="000000"/>
                <w:szCs w:val="22"/>
              </w:rPr>
              <w:t>12%</w:t>
            </w:r>
          </w:p>
        </w:tc>
        <w:tc>
          <w:tcPr>
            <w:tcW w:w="1920" w:type="dxa"/>
            <w:tcBorders>
              <w:left w:val="single" w:sz="4" w:space="0" w:color="auto"/>
              <w:bottom w:val="single" w:sz="4" w:space="0" w:color="auto"/>
              <w:right w:val="single" w:sz="4" w:space="0" w:color="auto"/>
            </w:tcBorders>
          </w:tcPr>
          <w:p w14:paraId="32367EB4" w14:textId="77777777" w:rsidR="00FD01EF" w:rsidRPr="00C83045" w:rsidRDefault="00FD01EF" w:rsidP="00D4304B">
            <w:pPr>
              <w:keepNext/>
              <w:keepLines/>
              <w:widowControl w:val="0"/>
              <w:ind w:left="0" w:firstLine="0"/>
              <w:jc w:val="center"/>
              <w:rPr>
                <w:color w:val="000000"/>
                <w:szCs w:val="22"/>
              </w:rPr>
            </w:pPr>
            <w:r w:rsidRPr="00C83045">
              <w:rPr>
                <w:color w:val="000000"/>
                <w:szCs w:val="22"/>
              </w:rPr>
              <w:t>7%</w:t>
            </w:r>
          </w:p>
        </w:tc>
        <w:tc>
          <w:tcPr>
            <w:tcW w:w="1920" w:type="dxa"/>
            <w:tcBorders>
              <w:left w:val="single" w:sz="4" w:space="0" w:color="auto"/>
              <w:bottom w:val="single" w:sz="4" w:space="0" w:color="auto"/>
              <w:right w:val="single" w:sz="4" w:space="0" w:color="auto"/>
            </w:tcBorders>
          </w:tcPr>
          <w:p w14:paraId="32367EB5" w14:textId="77777777" w:rsidR="00FD01EF" w:rsidRPr="00C83045" w:rsidRDefault="00FD01EF" w:rsidP="00D4304B">
            <w:pPr>
              <w:keepNext/>
              <w:keepLines/>
              <w:widowControl w:val="0"/>
              <w:ind w:left="0" w:firstLine="0"/>
              <w:jc w:val="center"/>
              <w:rPr>
                <w:color w:val="000000"/>
                <w:szCs w:val="22"/>
              </w:rPr>
            </w:pPr>
            <w:r w:rsidRPr="00C83045">
              <w:rPr>
                <w:color w:val="000000"/>
                <w:szCs w:val="22"/>
              </w:rPr>
              <w:t>8%</w:t>
            </w:r>
          </w:p>
        </w:tc>
      </w:tr>
      <w:tr w:rsidR="00847D15" w:rsidRPr="00C83045" w14:paraId="32367EBF" w14:textId="77777777" w:rsidTr="00D4304B">
        <w:trPr>
          <w:cantSplit/>
          <w:trHeight w:val="250"/>
        </w:trPr>
        <w:tc>
          <w:tcPr>
            <w:tcW w:w="8910" w:type="dxa"/>
            <w:gridSpan w:val="4"/>
            <w:tcBorders>
              <w:left w:val="single" w:sz="4" w:space="0" w:color="auto"/>
              <w:bottom w:val="single" w:sz="4" w:space="0" w:color="auto"/>
              <w:right w:val="single" w:sz="4" w:space="0" w:color="auto"/>
            </w:tcBorders>
          </w:tcPr>
          <w:p w14:paraId="32367EB7" w14:textId="77777777" w:rsidR="00847D15" w:rsidRPr="00C83045" w:rsidRDefault="00847D15" w:rsidP="00D4304B">
            <w:pPr>
              <w:keepNext/>
              <w:keepLines/>
              <w:widowControl w:val="0"/>
              <w:rPr>
                <w:b/>
                <w:color w:val="000000"/>
                <w:szCs w:val="22"/>
              </w:rPr>
            </w:pPr>
            <w:r w:rsidRPr="00C83045">
              <w:rPr>
                <w:b/>
                <w:color w:val="000000"/>
                <w:szCs w:val="22"/>
                <w:vertAlign w:val="superscript"/>
              </w:rPr>
              <w:t>1</w:t>
            </w:r>
            <w:r w:rsidRPr="00C83045">
              <w:rPr>
                <w:b/>
                <w:color w:val="000000"/>
                <w:szCs w:val="22"/>
              </w:rPr>
              <w:t xml:space="preserve"> Kritériá hematologickej odpovede (všetky odpovede sa majú potvrdiť po </w:t>
            </w:r>
            <w:r w:rsidRPr="00C83045">
              <w:rPr>
                <w:b/>
                <w:color w:val="000000"/>
                <w:szCs w:val="22"/>
              </w:rPr>
              <w:sym w:font="Symbol" w:char="F0B3"/>
            </w:r>
            <w:r w:rsidRPr="00C83045">
              <w:rPr>
                <w:b/>
                <w:color w:val="000000"/>
                <w:szCs w:val="22"/>
              </w:rPr>
              <w:t> 4 týždňoch):</w:t>
            </w:r>
          </w:p>
          <w:p w14:paraId="32367EB8" w14:textId="77777777" w:rsidR="00847D15" w:rsidRPr="00C83045" w:rsidRDefault="00BF0097" w:rsidP="00D4304B">
            <w:pPr>
              <w:pStyle w:val="Footer"/>
              <w:keepNext/>
              <w:keepLines/>
              <w:widowControl w:val="0"/>
              <w:rPr>
                <w:color w:val="000000"/>
                <w:szCs w:val="22"/>
              </w:rPr>
            </w:pPr>
            <w:smartTag w:uri="urn:schemas-microsoft-com:office:smarttags" w:element="stockticker">
              <w:r w:rsidRPr="00C83045">
                <w:rPr>
                  <w:color w:val="000000"/>
                  <w:szCs w:val="22"/>
                </w:rPr>
                <w:t>CHR</w:t>
              </w:r>
            </w:smartTag>
            <w:r w:rsidR="00847D15" w:rsidRPr="00C83045">
              <w:rPr>
                <w:color w:val="000000"/>
                <w:szCs w:val="22"/>
              </w:rPr>
              <w:t>: klinické skúšanie 0110 [</w:t>
            </w:r>
            <w:r w:rsidR="007F0728" w:rsidRPr="00C83045">
              <w:rPr>
                <w:color w:val="000000"/>
                <w:szCs w:val="22"/>
              </w:rPr>
              <w:t>WBC </w:t>
            </w:r>
            <w:r w:rsidR="00847D15" w:rsidRPr="00C83045">
              <w:rPr>
                <w:color w:val="000000"/>
                <w:szCs w:val="22"/>
              </w:rPr>
              <w:t>&lt; 10 x</w:t>
            </w:r>
            <w:r w:rsidR="00C57729" w:rsidRPr="00C83045">
              <w:rPr>
                <w:color w:val="000000"/>
                <w:szCs w:val="22"/>
              </w:rPr>
              <w:t> </w:t>
            </w:r>
            <w:r w:rsidR="00847D15" w:rsidRPr="00C83045">
              <w:rPr>
                <w:color w:val="000000"/>
                <w:szCs w:val="22"/>
              </w:rPr>
              <w:t>10</w:t>
            </w:r>
            <w:r w:rsidR="00847D15" w:rsidRPr="00C83045">
              <w:rPr>
                <w:color w:val="000000"/>
                <w:szCs w:val="22"/>
                <w:vertAlign w:val="superscript"/>
              </w:rPr>
              <w:t>9</w:t>
            </w:r>
            <w:r w:rsidR="00847D15" w:rsidRPr="00C83045">
              <w:rPr>
                <w:color w:val="000000"/>
                <w:szCs w:val="22"/>
              </w:rPr>
              <w:t>/l, trombocyt</w:t>
            </w:r>
            <w:r w:rsidR="00C57729" w:rsidRPr="00C83045">
              <w:rPr>
                <w:color w:val="000000"/>
                <w:szCs w:val="22"/>
              </w:rPr>
              <w:t>y</w:t>
            </w:r>
            <w:r w:rsidR="00AC1B1C" w:rsidRPr="00C83045">
              <w:rPr>
                <w:color w:val="000000"/>
                <w:szCs w:val="22"/>
              </w:rPr>
              <w:t> </w:t>
            </w:r>
            <w:r w:rsidR="00847D15" w:rsidRPr="00C83045">
              <w:rPr>
                <w:color w:val="000000"/>
                <w:szCs w:val="22"/>
              </w:rPr>
              <w:t>&lt; 450 x</w:t>
            </w:r>
            <w:r w:rsidR="00956E85" w:rsidRPr="00C83045">
              <w:rPr>
                <w:color w:val="000000"/>
                <w:szCs w:val="22"/>
              </w:rPr>
              <w:t> </w:t>
            </w:r>
            <w:r w:rsidR="00847D15" w:rsidRPr="00C83045">
              <w:rPr>
                <w:color w:val="000000"/>
                <w:szCs w:val="22"/>
              </w:rPr>
              <w:t>10</w:t>
            </w:r>
            <w:r w:rsidR="00847D15" w:rsidRPr="00C83045">
              <w:rPr>
                <w:color w:val="000000"/>
                <w:szCs w:val="22"/>
                <w:vertAlign w:val="superscript"/>
              </w:rPr>
              <w:t>9</w:t>
            </w:r>
            <w:r w:rsidR="00847D15" w:rsidRPr="00C83045">
              <w:rPr>
                <w:color w:val="000000"/>
                <w:szCs w:val="22"/>
              </w:rPr>
              <w:t>/l, myelocyt</w:t>
            </w:r>
            <w:r w:rsidR="00C57729" w:rsidRPr="00C83045">
              <w:rPr>
                <w:color w:val="000000"/>
                <w:szCs w:val="22"/>
              </w:rPr>
              <w:t>y</w:t>
            </w:r>
            <w:r w:rsidR="00847D15" w:rsidRPr="00C83045">
              <w:rPr>
                <w:color w:val="000000"/>
                <w:szCs w:val="22"/>
              </w:rPr>
              <w:t>+metamyelocyt</w:t>
            </w:r>
            <w:r w:rsidR="00C57729" w:rsidRPr="00C83045">
              <w:rPr>
                <w:color w:val="000000"/>
                <w:szCs w:val="22"/>
              </w:rPr>
              <w:t>y</w:t>
            </w:r>
            <w:r w:rsidR="00AC1B1C" w:rsidRPr="00C83045">
              <w:rPr>
                <w:color w:val="000000"/>
                <w:szCs w:val="22"/>
              </w:rPr>
              <w:t> </w:t>
            </w:r>
            <w:r w:rsidR="00847D15" w:rsidRPr="00C83045">
              <w:rPr>
                <w:color w:val="000000"/>
                <w:szCs w:val="22"/>
              </w:rPr>
              <w:t>&lt; 5% v krvi, žiadne blasty a promyelocyty v krvi, bazofily</w:t>
            </w:r>
            <w:r w:rsidR="00AC1B1C" w:rsidRPr="00C83045">
              <w:rPr>
                <w:color w:val="000000"/>
                <w:szCs w:val="22"/>
              </w:rPr>
              <w:t> </w:t>
            </w:r>
            <w:r w:rsidR="00847D15" w:rsidRPr="00C83045">
              <w:rPr>
                <w:color w:val="000000"/>
                <w:szCs w:val="22"/>
              </w:rPr>
              <w:t>&lt; 20%, žiadne extramedulárne postihnutie] a klinické skúšania 0102 a 0109 [</w:t>
            </w:r>
            <w:r w:rsidR="000A087F" w:rsidRPr="00C83045">
              <w:rPr>
                <w:color w:val="000000"/>
                <w:szCs w:val="22"/>
              </w:rPr>
              <w:t>ANC</w:t>
            </w:r>
            <w:r w:rsidR="00AC1B1C" w:rsidRPr="00C83045">
              <w:rPr>
                <w:color w:val="000000"/>
                <w:szCs w:val="22"/>
              </w:rPr>
              <w:t> </w:t>
            </w:r>
            <w:r w:rsidR="00847D15" w:rsidRPr="00C83045">
              <w:rPr>
                <w:color w:val="000000"/>
                <w:szCs w:val="22"/>
              </w:rPr>
              <w:sym w:font="Symbol" w:char="F0B3"/>
            </w:r>
            <w:r w:rsidR="00847D15" w:rsidRPr="00C83045">
              <w:rPr>
                <w:color w:val="000000"/>
                <w:szCs w:val="22"/>
              </w:rPr>
              <w:t> 1,5 x</w:t>
            </w:r>
            <w:r w:rsidR="00956E85" w:rsidRPr="00C83045">
              <w:rPr>
                <w:color w:val="000000"/>
                <w:szCs w:val="22"/>
              </w:rPr>
              <w:t> </w:t>
            </w:r>
            <w:r w:rsidR="00847D15" w:rsidRPr="00C83045">
              <w:rPr>
                <w:color w:val="000000"/>
                <w:szCs w:val="22"/>
              </w:rPr>
              <w:t>10</w:t>
            </w:r>
            <w:r w:rsidR="00847D15" w:rsidRPr="00C83045">
              <w:rPr>
                <w:color w:val="000000"/>
                <w:szCs w:val="22"/>
                <w:vertAlign w:val="superscript"/>
              </w:rPr>
              <w:t>9</w:t>
            </w:r>
            <w:r w:rsidR="00847D15" w:rsidRPr="00C83045">
              <w:rPr>
                <w:color w:val="000000"/>
                <w:szCs w:val="22"/>
              </w:rPr>
              <w:t>/l, trombocyt</w:t>
            </w:r>
            <w:r w:rsidR="00C57729" w:rsidRPr="00C83045">
              <w:rPr>
                <w:color w:val="000000"/>
                <w:szCs w:val="22"/>
              </w:rPr>
              <w:t>y</w:t>
            </w:r>
            <w:r w:rsidR="00AC1B1C" w:rsidRPr="00C83045">
              <w:rPr>
                <w:color w:val="000000"/>
                <w:szCs w:val="22"/>
              </w:rPr>
              <w:t> </w:t>
            </w:r>
            <w:r w:rsidR="00847D15" w:rsidRPr="00C83045">
              <w:rPr>
                <w:color w:val="000000"/>
                <w:szCs w:val="22"/>
              </w:rPr>
              <w:sym w:font="Symbol" w:char="F0B3"/>
            </w:r>
            <w:r w:rsidR="00847D15" w:rsidRPr="00C83045">
              <w:rPr>
                <w:color w:val="000000"/>
                <w:szCs w:val="22"/>
              </w:rPr>
              <w:t> 100 x</w:t>
            </w:r>
            <w:r w:rsidR="00956E85" w:rsidRPr="00C83045">
              <w:rPr>
                <w:color w:val="000000"/>
                <w:szCs w:val="22"/>
              </w:rPr>
              <w:t> </w:t>
            </w:r>
            <w:r w:rsidR="00847D15" w:rsidRPr="00C83045">
              <w:rPr>
                <w:color w:val="000000"/>
                <w:szCs w:val="22"/>
              </w:rPr>
              <w:t>10</w:t>
            </w:r>
            <w:r w:rsidR="00847D15" w:rsidRPr="00C83045">
              <w:rPr>
                <w:color w:val="000000"/>
                <w:szCs w:val="22"/>
                <w:vertAlign w:val="superscript"/>
              </w:rPr>
              <w:t>9</w:t>
            </w:r>
            <w:r w:rsidR="00847D15" w:rsidRPr="00C83045">
              <w:rPr>
                <w:color w:val="000000"/>
                <w:szCs w:val="22"/>
              </w:rPr>
              <w:t xml:space="preserve">/l, žiadne blasty v krvi, blasty v </w:t>
            </w:r>
            <w:r w:rsidR="003A4342" w:rsidRPr="00C83045">
              <w:rPr>
                <w:color w:val="000000"/>
                <w:szCs w:val="22"/>
              </w:rPr>
              <w:t>BM</w:t>
            </w:r>
            <w:r w:rsidR="00AC1B1C" w:rsidRPr="00C83045">
              <w:rPr>
                <w:color w:val="000000"/>
                <w:szCs w:val="22"/>
              </w:rPr>
              <w:t> </w:t>
            </w:r>
            <w:r w:rsidR="00847D15" w:rsidRPr="00C83045">
              <w:rPr>
                <w:color w:val="000000"/>
                <w:szCs w:val="22"/>
              </w:rPr>
              <w:t>&lt; 5% a žiadne extramedulárne postihnutie]</w:t>
            </w:r>
          </w:p>
          <w:p w14:paraId="32367EB9" w14:textId="77777777" w:rsidR="00847D15" w:rsidRPr="00C83045" w:rsidRDefault="00E65F57" w:rsidP="00D4304B">
            <w:pPr>
              <w:pStyle w:val="Footer"/>
              <w:keepNext/>
              <w:keepLines/>
              <w:widowControl w:val="0"/>
              <w:rPr>
                <w:color w:val="000000"/>
                <w:szCs w:val="22"/>
              </w:rPr>
            </w:pPr>
            <w:r w:rsidRPr="00C83045">
              <w:rPr>
                <w:color w:val="000000"/>
                <w:szCs w:val="22"/>
              </w:rPr>
              <w:t>NEL</w:t>
            </w:r>
            <w:r w:rsidR="00847D15" w:rsidRPr="00C83045">
              <w:rPr>
                <w:color w:val="000000"/>
                <w:szCs w:val="22"/>
              </w:rPr>
              <w:t xml:space="preserve">: rovnaké kritériá ako </w:t>
            </w:r>
            <w:smartTag w:uri="urn:schemas-microsoft-com:office:smarttags" w:element="stockticker">
              <w:r w:rsidR="00BF0097" w:rsidRPr="00C83045">
                <w:rPr>
                  <w:color w:val="000000"/>
                  <w:szCs w:val="22"/>
                </w:rPr>
                <w:t>CHR</w:t>
              </w:r>
            </w:smartTag>
            <w:r w:rsidR="00847D15" w:rsidRPr="00C83045">
              <w:rPr>
                <w:color w:val="000000"/>
                <w:szCs w:val="22"/>
              </w:rPr>
              <w:t xml:space="preserve">, ale </w:t>
            </w:r>
            <w:r w:rsidR="000A087F" w:rsidRPr="00C83045">
              <w:rPr>
                <w:color w:val="000000"/>
                <w:szCs w:val="22"/>
              </w:rPr>
              <w:t>ANC</w:t>
            </w:r>
            <w:r w:rsidR="00AC1B1C" w:rsidRPr="00C83045">
              <w:rPr>
                <w:color w:val="000000"/>
                <w:szCs w:val="22"/>
              </w:rPr>
              <w:t> </w:t>
            </w:r>
            <w:r w:rsidR="00847D15" w:rsidRPr="00C83045">
              <w:rPr>
                <w:color w:val="000000"/>
                <w:szCs w:val="22"/>
              </w:rPr>
              <w:sym w:font="Symbol" w:char="F0B3"/>
            </w:r>
            <w:r w:rsidR="00847D15" w:rsidRPr="00C83045">
              <w:rPr>
                <w:color w:val="000000"/>
                <w:szCs w:val="22"/>
              </w:rPr>
              <w:t> 1 </w:t>
            </w:r>
            <w:r w:rsidR="004D05B6" w:rsidRPr="00C83045">
              <w:rPr>
                <w:color w:val="000000"/>
                <w:szCs w:val="22"/>
              </w:rPr>
              <w:t>x 1</w:t>
            </w:r>
            <w:r w:rsidR="00847D15" w:rsidRPr="00C83045">
              <w:rPr>
                <w:color w:val="000000"/>
                <w:szCs w:val="22"/>
              </w:rPr>
              <w:t>0</w:t>
            </w:r>
            <w:r w:rsidR="00847D15" w:rsidRPr="00C83045">
              <w:rPr>
                <w:color w:val="000000"/>
                <w:szCs w:val="22"/>
                <w:vertAlign w:val="superscript"/>
              </w:rPr>
              <w:t>9</w:t>
            </w:r>
            <w:r w:rsidR="00847D15" w:rsidRPr="00C83045">
              <w:rPr>
                <w:color w:val="000000"/>
                <w:szCs w:val="22"/>
              </w:rPr>
              <w:t>/l a trombocyt</w:t>
            </w:r>
            <w:r w:rsidR="00C57729" w:rsidRPr="00C83045">
              <w:rPr>
                <w:color w:val="000000"/>
                <w:szCs w:val="22"/>
              </w:rPr>
              <w:t>y</w:t>
            </w:r>
            <w:r w:rsidR="00AC1B1C" w:rsidRPr="00C83045">
              <w:rPr>
                <w:color w:val="000000"/>
                <w:szCs w:val="22"/>
              </w:rPr>
              <w:t> </w:t>
            </w:r>
            <w:r w:rsidR="00847D15" w:rsidRPr="00C83045">
              <w:rPr>
                <w:color w:val="000000"/>
                <w:szCs w:val="22"/>
              </w:rPr>
              <w:sym w:font="Symbol" w:char="F0B3"/>
            </w:r>
            <w:r w:rsidR="00847D15" w:rsidRPr="00C83045">
              <w:rPr>
                <w:color w:val="000000"/>
                <w:szCs w:val="22"/>
              </w:rPr>
              <w:t> 20 </w:t>
            </w:r>
            <w:r w:rsidR="004D05B6" w:rsidRPr="00C83045">
              <w:rPr>
                <w:color w:val="000000"/>
                <w:szCs w:val="22"/>
              </w:rPr>
              <w:t>x 1</w:t>
            </w:r>
            <w:r w:rsidR="00847D15" w:rsidRPr="00C83045">
              <w:rPr>
                <w:color w:val="000000"/>
                <w:szCs w:val="22"/>
              </w:rPr>
              <w:t>0</w:t>
            </w:r>
            <w:r w:rsidR="00847D15" w:rsidRPr="00C83045">
              <w:rPr>
                <w:color w:val="000000"/>
                <w:szCs w:val="22"/>
                <w:vertAlign w:val="superscript"/>
              </w:rPr>
              <w:t>9</w:t>
            </w:r>
            <w:r w:rsidR="00847D15" w:rsidRPr="00C83045">
              <w:rPr>
                <w:color w:val="000000"/>
                <w:szCs w:val="22"/>
              </w:rPr>
              <w:t>/l (len klinické skúšanie 0102 a 0109)</w:t>
            </w:r>
          </w:p>
          <w:p w14:paraId="32367EBA" w14:textId="77777777" w:rsidR="00847D15" w:rsidRPr="00C83045" w:rsidRDefault="00D77DB1" w:rsidP="00D4304B">
            <w:pPr>
              <w:pStyle w:val="Footer"/>
              <w:keepNext/>
              <w:keepLines/>
              <w:widowControl w:val="0"/>
              <w:rPr>
                <w:color w:val="000000"/>
                <w:szCs w:val="22"/>
              </w:rPr>
            </w:pPr>
            <w:smartTag w:uri="urn:schemas-microsoft-com:office:smarttags" w:element="stockticker">
              <w:r w:rsidRPr="00C83045">
                <w:rPr>
                  <w:color w:val="000000"/>
                  <w:szCs w:val="22"/>
                </w:rPr>
                <w:t>RTC</w:t>
              </w:r>
            </w:smartTag>
            <w:r w:rsidR="00847D15" w:rsidRPr="00C83045">
              <w:rPr>
                <w:color w:val="000000"/>
                <w:szCs w:val="22"/>
              </w:rPr>
              <w:t xml:space="preserve">: blasty v </w:t>
            </w:r>
            <w:r w:rsidR="003A4342" w:rsidRPr="00C83045">
              <w:rPr>
                <w:color w:val="000000"/>
                <w:szCs w:val="22"/>
              </w:rPr>
              <w:t>BM</w:t>
            </w:r>
            <w:r w:rsidR="00847D15" w:rsidRPr="00C83045">
              <w:rPr>
                <w:color w:val="000000"/>
                <w:szCs w:val="22"/>
              </w:rPr>
              <w:t xml:space="preserve"> a </w:t>
            </w:r>
            <w:r w:rsidR="003A4342" w:rsidRPr="00C83045">
              <w:rPr>
                <w:color w:val="000000"/>
                <w:szCs w:val="22"/>
              </w:rPr>
              <w:t>PB</w:t>
            </w:r>
            <w:r w:rsidR="00AC1B1C" w:rsidRPr="00C83045">
              <w:rPr>
                <w:color w:val="000000"/>
                <w:szCs w:val="22"/>
              </w:rPr>
              <w:t> </w:t>
            </w:r>
            <w:r w:rsidR="00847D15" w:rsidRPr="00C83045">
              <w:rPr>
                <w:color w:val="000000"/>
                <w:szCs w:val="22"/>
              </w:rPr>
              <w:t xml:space="preserve">&lt; 15%, blasty+promyelocyty v </w:t>
            </w:r>
            <w:r w:rsidR="003A4342" w:rsidRPr="00C83045">
              <w:rPr>
                <w:color w:val="000000"/>
                <w:szCs w:val="22"/>
              </w:rPr>
              <w:t>BM</w:t>
            </w:r>
            <w:r w:rsidR="00847D15" w:rsidRPr="00C83045">
              <w:rPr>
                <w:color w:val="000000"/>
                <w:szCs w:val="22"/>
              </w:rPr>
              <w:t xml:space="preserve"> a </w:t>
            </w:r>
            <w:r w:rsidR="003A4342" w:rsidRPr="00C83045">
              <w:rPr>
                <w:color w:val="000000"/>
                <w:szCs w:val="22"/>
              </w:rPr>
              <w:t>PB</w:t>
            </w:r>
            <w:r w:rsidR="00AC1B1C" w:rsidRPr="00C83045">
              <w:rPr>
                <w:color w:val="000000"/>
                <w:szCs w:val="22"/>
              </w:rPr>
              <w:t> </w:t>
            </w:r>
            <w:r w:rsidR="00847D15" w:rsidRPr="00C83045">
              <w:rPr>
                <w:color w:val="000000"/>
                <w:szCs w:val="22"/>
              </w:rPr>
              <w:t xml:space="preserve">&lt; 30%, bazofily v </w:t>
            </w:r>
            <w:r w:rsidR="003A4342" w:rsidRPr="00C83045">
              <w:rPr>
                <w:color w:val="000000"/>
                <w:szCs w:val="22"/>
              </w:rPr>
              <w:t>PB</w:t>
            </w:r>
            <w:r w:rsidR="00AC1B1C" w:rsidRPr="00C83045">
              <w:rPr>
                <w:color w:val="000000"/>
                <w:szCs w:val="22"/>
              </w:rPr>
              <w:t> </w:t>
            </w:r>
            <w:r w:rsidR="00847D15" w:rsidRPr="00C83045">
              <w:rPr>
                <w:color w:val="000000"/>
                <w:szCs w:val="22"/>
              </w:rPr>
              <w:t>&lt; 20%, žiadne extramedulárne postihnutie okrem sleziny a pečene (len klinické skúšania 0102 a 0109)</w:t>
            </w:r>
          </w:p>
          <w:p w14:paraId="32367EBB" w14:textId="77777777" w:rsidR="004F5B12" w:rsidRPr="00C83045" w:rsidRDefault="004F5B12" w:rsidP="00D4304B">
            <w:pPr>
              <w:pStyle w:val="Footer"/>
              <w:keepNext/>
              <w:keepLines/>
              <w:widowControl w:val="0"/>
              <w:rPr>
                <w:color w:val="000000"/>
                <w:szCs w:val="22"/>
              </w:rPr>
            </w:pPr>
            <w:r w:rsidRPr="00C83045">
              <w:rPr>
                <w:color w:val="000000"/>
                <w:szCs w:val="22"/>
              </w:rPr>
              <w:t>BM = kostná dreň, PB = periférna krv</w:t>
            </w:r>
          </w:p>
          <w:p w14:paraId="32367EBC" w14:textId="77777777" w:rsidR="00847D15" w:rsidRPr="00C83045" w:rsidRDefault="00847D15" w:rsidP="00D4304B">
            <w:pPr>
              <w:pStyle w:val="Footer"/>
              <w:keepNext/>
              <w:keepLines/>
              <w:widowControl w:val="0"/>
              <w:ind w:left="0" w:firstLine="0"/>
              <w:rPr>
                <w:b/>
                <w:color w:val="000000"/>
                <w:szCs w:val="22"/>
              </w:rPr>
            </w:pPr>
            <w:r w:rsidRPr="00C83045">
              <w:rPr>
                <w:b/>
                <w:color w:val="000000"/>
                <w:szCs w:val="22"/>
                <w:vertAlign w:val="superscript"/>
              </w:rPr>
              <w:t xml:space="preserve">2 </w:t>
            </w:r>
            <w:r w:rsidRPr="00C83045">
              <w:rPr>
                <w:b/>
                <w:color w:val="000000"/>
                <w:szCs w:val="22"/>
              </w:rPr>
              <w:t>Kritériá cytogenetickej odpovede:</w:t>
            </w:r>
          </w:p>
          <w:p w14:paraId="32367EBD" w14:textId="77777777" w:rsidR="00847D15" w:rsidRPr="00C83045" w:rsidRDefault="003F71FF" w:rsidP="00D4304B">
            <w:pPr>
              <w:pStyle w:val="Footer"/>
              <w:keepNext/>
              <w:keepLines/>
              <w:widowControl w:val="0"/>
              <w:ind w:left="0" w:firstLine="0"/>
              <w:rPr>
                <w:color w:val="000000"/>
                <w:szCs w:val="22"/>
              </w:rPr>
            </w:pPr>
            <w:r w:rsidRPr="00C83045">
              <w:rPr>
                <w:color w:val="000000"/>
                <w:szCs w:val="22"/>
              </w:rPr>
              <w:t>Veľk</w:t>
            </w:r>
            <w:r w:rsidR="00847D15" w:rsidRPr="00C83045">
              <w:rPr>
                <w:color w:val="000000"/>
                <w:szCs w:val="22"/>
              </w:rPr>
              <w:t xml:space="preserve">á odpoveď zahŕňa </w:t>
            </w:r>
            <w:r w:rsidR="001A1278" w:rsidRPr="00C83045">
              <w:rPr>
                <w:color w:val="000000"/>
                <w:szCs w:val="22"/>
              </w:rPr>
              <w:t>kompletn</w:t>
            </w:r>
            <w:r w:rsidR="00847D15" w:rsidRPr="00C83045">
              <w:rPr>
                <w:color w:val="000000"/>
                <w:szCs w:val="22"/>
              </w:rPr>
              <w:t xml:space="preserve">é aj čiastočné odpovede: </w:t>
            </w:r>
            <w:r w:rsidR="001A1278" w:rsidRPr="00C83045">
              <w:rPr>
                <w:color w:val="000000"/>
                <w:szCs w:val="22"/>
              </w:rPr>
              <w:t>kompletn</w:t>
            </w:r>
            <w:r w:rsidR="00847D15" w:rsidRPr="00C83045">
              <w:rPr>
                <w:color w:val="000000"/>
                <w:szCs w:val="22"/>
              </w:rPr>
              <w:t>é (0% Ph+ metafáz), čiastočné (1–35%)</w:t>
            </w:r>
          </w:p>
          <w:p w14:paraId="32367EBE" w14:textId="77777777" w:rsidR="00847D15" w:rsidRPr="00C83045" w:rsidRDefault="00847D15" w:rsidP="00D4304B">
            <w:pPr>
              <w:keepNext/>
              <w:keepLines/>
              <w:widowControl w:val="0"/>
              <w:ind w:left="0" w:firstLine="0"/>
              <w:rPr>
                <w:color w:val="000000"/>
                <w:szCs w:val="22"/>
              </w:rPr>
            </w:pPr>
            <w:r w:rsidRPr="00C83045">
              <w:rPr>
                <w:color w:val="000000"/>
                <w:szCs w:val="22"/>
                <w:vertAlign w:val="superscript"/>
              </w:rPr>
              <w:t>3</w:t>
            </w:r>
            <w:r w:rsidRPr="00C83045">
              <w:rPr>
                <w:color w:val="000000"/>
                <w:szCs w:val="22"/>
              </w:rPr>
              <w:t xml:space="preserve"> </w:t>
            </w:r>
            <w:r w:rsidR="001A1278" w:rsidRPr="00C83045">
              <w:rPr>
                <w:color w:val="000000"/>
                <w:szCs w:val="22"/>
              </w:rPr>
              <w:t>Kompletn</w:t>
            </w:r>
            <w:r w:rsidRPr="00C83045">
              <w:rPr>
                <w:color w:val="000000"/>
                <w:szCs w:val="22"/>
              </w:rPr>
              <w:t>á cytogenetická odpoveď potvrdená druhým cytogenetickým vyhodnotením kostnej drene vykonaným najmenej 1 mesiac po začiatočnom vyšetrení kostnej drene.</w:t>
            </w:r>
          </w:p>
        </w:tc>
      </w:tr>
    </w:tbl>
    <w:p w14:paraId="32367EC0" w14:textId="77777777" w:rsidR="00847D15" w:rsidRPr="00C83045" w:rsidRDefault="00847D15" w:rsidP="00D4304B">
      <w:pPr>
        <w:widowControl w:val="0"/>
        <w:ind w:left="0" w:firstLine="0"/>
        <w:rPr>
          <w:color w:val="000000"/>
          <w:szCs w:val="22"/>
        </w:rPr>
      </w:pPr>
    </w:p>
    <w:p w14:paraId="32367EC1" w14:textId="77777777" w:rsidR="00847D15" w:rsidRPr="00C83045" w:rsidRDefault="00847D15" w:rsidP="00D4304B">
      <w:pPr>
        <w:widowControl w:val="0"/>
        <w:ind w:left="0" w:firstLine="0"/>
        <w:rPr>
          <w:color w:val="000000"/>
          <w:szCs w:val="22"/>
        </w:rPr>
      </w:pPr>
      <w:r w:rsidRPr="00C83045">
        <w:rPr>
          <w:i/>
          <w:color w:val="000000"/>
          <w:szCs w:val="22"/>
        </w:rPr>
        <w:t xml:space="preserve">Pediatrickí pacienti: </w:t>
      </w:r>
      <w:r w:rsidRPr="00C83045">
        <w:rPr>
          <w:color w:val="000000"/>
          <w:szCs w:val="22"/>
        </w:rPr>
        <w:t xml:space="preserve">Celkovo bolo zaradených 26 pediatrických pacientov vo veku &lt; 18 rokov buď s CML v chronickej fáze (n=11), alebo s CML v blastickej kríze alebo s Ph+ akútnymi leukémiami (n=15) do klinického skúšania </w:t>
      </w:r>
      <w:r w:rsidR="00E65F57" w:rsidRPr="00C83045">
        <w:rPr>
          <w:color w:val="000000"/>
          <w:szCs w:val="22"/>
        </w:rPr>
        <w:t>fáz</w:t>
      </w:r>
      <w:r w:rsidRPr="00C83045">
        <w:rPr>
          <w:color w:val="000000"/>
          <w:szCs w:val="22"/>
        </w:rPr>
        <w:t>y</w:t>
      </w:r>
      <w:r w:rsidR="00956E85" w:rsidRPr="00C83045">
        <w:rPr>
          <w:color w:val="000000"/>
          <w:szCs w:val="22"/>
        </w:rPr>
        <w:t> </w:t>
      </w:r>
      <w:r w:rsidRPr="00C83045">
        <w:rPr>
          <w:color w:val="000000"/>
          <w:szCs w:val="22"/>
        </w:rPr>
        <w:t xml:space="preserve">I so stupňujúcim sa dávkovaním. Bola to skupina intenzívne predliečených pacientov, z ktorých predtým 46% dostalo transplantáciu kostnej drene </w:t>
      </w:r>
      <w:r w:rsidR="00823E15" w:rsidRPr="00C83045">
        <w:rPr>
          <w:color w:val="000000"/>
          <w:szCs w:val="22"/>
        </w:rPr>
        <w:t xml:space="preserve">(BMT) </w:t>
      </w:r>
      <w:r w:rsidRPr="00C83045">
        <w:rPr>
          <w:color w:val="000000"/>
          <w:szCs w:val="22"/>
        </w:rPr>
        <w:t>a 73% kombinovanú chemoterapiu. Pacienti dostávali Glivec v dávke 260 mg/m</w:t>
      </w:r>
      <w:r w:rsidRPr="00C83045">
        <w:rPr>
          <w:color w:val="000000"/>
          <w:szCs w:val="22"/>
          <w:vertAlign w:val="superscript"/>
        </w:rPr>
        <w:t>2</w:t>
      </w:r>
      <w:r w:rsidRPr="00C83045">
        <w:rPr>
          <w:color w:val="000000"/>
          <w:szCs w:val="22"/>
        </w:rPr>
        <w:t>/deň (n=5), 340 mg/m</w:t>
      </w:r>
      <w:r w:rsidRPr="00C83045">
        <w:rPr>
          <w:color w:val="000000"/>
          <w:szCs w:val="22"/>
          <w:vertAlign w:val="superscript"/>
        </w:rPr>
        <w:t>2</w:t>
      </w:r>
      <w:r w:rsidRPr="00C83045">
        <w:rPr>
          <w:color w:val="000000"/>
          <w:szCs w:val="22"/>
        </w:rPr>
        <w:t>/deň (n=9), 440 mg/m</w:t>
      </w:r>
      <w:r w:rsidRPr="00C83045">
        <w:rPr>
          <w:color w:val="000000"/>
          <w:szCs w:val="22"/>
          <w:vertAlign w:val="superscript"/>
        </w:rPr>
        <w:t>2</w:t>
      </w:r>
      <w:r w:rsidRPr="00C83045">
        <w:rPr>
          <w:color w:val="000000"/>
          <w:szCs w:val="22"/>
        </w:rPr>
        <w:t>/deň (n=7) a 570 mg/m</w:t>
      </w:r>
      <w:r w:rsidRPr="00C83045">
        <w:rPr>
          <w:color w:val="000000"/>
          <w:szCs w:val="22"/>
          <w:vertAlign w:val="superscript"/>
        </w:rPr>
        <w:t>2</w:t>
      </w:r>
      <w:r w:rsidRPr="00C83045">
        <w:rPr>
          <w:color w:val="000000"/>
          <w:szCs w:val="22"/>
        </w:rPr>
        <w:t xml:space="preserve">/deň (n=5). Z deviatich pacientov v chronickej fáze CML, u ktorých sú dostupné cytogenetické údaje, dosiahli štyria (44%) </w:t>
      </w:r>
      <w:r w:rsidR="001A1278" w:rsidRPr="00C83045">
        <w:rPr>
          <w:color w:val="000000"/>
          <w:szCs w:val="22"/>
        </w:rPr>
        <w:t>kompletn</w:t>
      </w:r>
      <w:r w:rsidRPr="00C83045">
        <w:rPr>
          <w:color w:val="000000"/>
          <w:szCs w:val="22"/>
        </w:rPr>
        <w:t xml:space="preserve">ú a traja (33%) čiastočnú cytogenetickú odpoveď, s podielom </w:t>
      </w:r>
      <w:r w:rsidR="00452EDB" w:rsidRPr="00C83045">
        <w:rPr>
          <w:color w:val="000000"/>
          <w:szCs w:val="22"/>
        </w:rPr>
        <w:t>MCyR</w:t>
      </w:r>
      <w:r w:rsidRPr="00C83045">
        <w:rPr>
          <w:color w:val="000000"/>
          <w:szCs w:val="22"/>
        </w:rPr>
        <w:t xml:space="preserve"> 77%.</w:t>
      </w:r>
    </w:p>
    <w:p w14:paraId="32367EC2" w14:textId="77777777" w:rsidR="008513D9" w:rsidRPr="00C83045" w:rsidRDefault="008513D9" w:rsidP="00D4304B">
      <w:pPr>
        <w:widowControl w:val="0"/>
        <w:ind w:left="0" w:firstLine="0"/>
        <w:rPr>
          <w:color w:val="000000"/>
          <w:szCs w:val="22"/>
          <w:u w:val="single"/>
        </w:rPr>
      </w:pPr>
    </w:p>
    <w:p w14:paraId="32367EC3" w14:textId="77777777" w:rsidR="008513D9" w:rsidRPr="00C83045" w:rsidRDefault="008513D9" w:rsidP="00D4304B">
      <w:pPr>
        <w:widowControl w:val="0"/>
        <w:ind w:left="0" w:firstLine="0"/>
        <w:rPr>
          <w:color w:val="000000"/>
          <w:szCs w:val="22"/>
        </w:rPr>
      </w:pPr>
      <w:r w:rsidRPr="00C83045">
        <w:rPr>
          <w:color w:val="000000"/>
          <w:szCs w:val="22"/>
        </w:rPr>
        <w:t>Celkovo 51 pediatrických pacientov s novodiagnostikovanou a neliečenou CML v chronickej fáze bolo zaradených do otvoreného, multicentrického klinického skúšania fázy II s jedným ramenom liečby. Pacientom sa podával Glivec v dávke 340 mg/m</w:t>
      </w:r>
      <w:r w:rsidRPr="00C83045">
        <w:rPr>
          <w:color w:val="000000"/>
          <w:szCs w:val="22"/>
          <w:vertAlign w:val="superscript"/>
        </w:rPr>
        <w:t>2</w:t>
      </w:r>
      <w:r w:rsidRPr="00C83045">
        <w:rPr>
          <w:color w:val="000000"/>
          <w:szCs w:val="22"/>
        </w:rPr>
        <w:t>/deň bez prerušení, ak neboli prítomné toxické príznaky obmedzujúce dávku. Liečba Glivecom vyvoláva rýchlu odpoveď u novodiagnostikovaných pediatrických pacientov s CML, s </w:t>
      </w:r>
      <w:smartTag w:uri="urn:schemas-microsoft-com:office:smarttags" w:element="stockticker">
        <w:r w:rsidRPr="00C83045">
          <w:rPr>
            <w:color w:val="000000"/>
            <w:szCs w:val="22"/>
          </w:rPr>
          <w:t>CHR</w:t>
        </w:r>
      </w:smartTag>
      <w:r w:rsidRPr="00C83045">
        <w:rPr>
          <w:color w:val="000000"/>
          <w:szCs w:val="22"/>
        </w:rPr>
        <w:t xml:space="preserve"> 78% po 8 týždňoch liečby. Vysoký stupeň </w:t>
      </w:r>
      <w:smartTag w:uri="urn:schemas-microsoft-com:office:smarttags" w:element="stockticker">
        <w:r w:rsidRPr="00C83045">
          <w:rPr>
            <w:color w:val="000000"/>
            <w:szCs w:val="22"/>
          </w:rPr>
          <w:t>CHR</w:t>
        </w:r>
      </w:smartTag>
      <w:r w:rsidRPr="00C83045">
        <w:rPr>
          <w:color w:val="000000"/>
          <w:szCs w:val="22"/>
        </w:rPr>
        <w:t xml:space="preserve"> sprevádza vývoj </w:t>
      </w:r>
      <w:r w:rsidR="008452C9" w:rsidRPr="00C83045">
        <w:rPr>
          <w:color w:val="000000"/>
          <w:szCs w:val="22"/>
        </w:rPr>
        <w:t xml:space="preserve">kompletnej </w:t>
      </w:r>
      <w:r w:rsidRPr="00C83045">
        <w:rPr>
          <w:color w:val="000000"/>
          <w:szCs w:val="22"/>
        </w:rPr>
        <w:t xml:space="preserve">cytogenetickej odpovede (CCyR) dosahujúcej 65%, ktorá je porovnateľná s výsledkami pozorovanými u dospelých. Navyše sa u 16% pozorovala čiastočná cytogenetická </w:t>
      </w:r>
      <w:r w:rsidRPr="00C83045">
        <w:rPr>
          <w:color w:val="000000"/>
          <w:szCs w:val="22"/>
        </w:rPr>
        <w:lastRenderedPageBreak/>
        <w:t>odpoveď (PCyR) s MCyR 81%. U väčšiny pacientov, ktorí dosiahli CCyR, sa vyvinula CCyR medzi 3. a 10. mesiacom, pričom medián času do odpovede na základe odhadu podľa Kaplana-Meiera bol 5,6 mesiacov.</w:t>
      </w:r>
    </w:p>
    <w:p w14:paraId="32367EC4" w14:textId="77777777" w:rsidR="008513D9" w:rsidRPr="00C83045" w:rsidRDefault="008513D9" w:rsidP="00D4304B">
      <w:pPr>
        <w:widowControl w:val="0"/>
        <w:ind w:left="0" w:firstLine="0"/>
        <w:rPr>
          <w:color w:val="000000"/>
          <w:szCs w:val="22"/>
          <w:u w:val="single"/>
        </w:rPr>
      </w:pPr>
    </w:p>
    <w:p w14:paraId="32367EC5" w14:textId="77777777" w:rsidR="00C6653A" w:rsidRPr="00C83045" w:rsidRDefault="00C6653A" w:rsidP="00D4304B">
      <w:pPr>
        <w:widowControl w:val="0"/>
        <w:ind w:left="0" w:firstLine="0"/>
        <w:rPr>
          <w:rFonts w:eastAsia="SimSun"/>
          <w:color w:val="000000"/>
          <w:szCs w:val="22"/>
          <w:lang w:eastAsia="zh-CN"/>
        </w:rPr>
      </w:pPr>
      <w:r w:rsidRPr="00C83045">
        <w:rPr>
          <w:noProof/>
          <w:color w:val="000000"/>
          <w:szCs w:val="22"/>
        </w:rPr>
        <w:t xml:space="preserve">Európska agentúra pre lieky udelila výnimku z povinnosti </w:t>
      </w:r>
      <w:r w:rsidRPr="00C83045">
        <w:rPr>
          <w:rFonts w:eastAsia="SimSun"/>
          <w:color w:val="000000"/>
          <w:szCs w:val="22"/>
          <w:lang w:eastAsia="zh-CN"/>
        </w:rPr>
        <w:t xml:space="preserve">predložiť výsledky štúdií pre Glivec u všetkých vekových podskupín detí a dospievajúcich s </w:t>
      </w:r>
      <w:r w:rsidRPr="00C83045">
        <w:rPr>
          <w:color w:val="000000"/>
          <w:szCs w:val="22"/>
        </w:rPr>
        <w:t>chronickou myelocytovou leukémiou s pozitívnym chromozómom Philadelphia (translokácia bcr-abl)</w:t>
      </w:r>
      <w:r w:rsidRPr="00C83045">
        <w:rPr>
          <w:rFonts w:eastAsia="SimSun"/>
          <w:i/>
          <w:color w:val="000000"/>
          <w:szCs w:val="22"/>
          <w:lang w:eastAsia="zh-CN"/>
        </w:rPr>
        <w:t xml:space="preserve"> </w:t>
      </w:r>
      <w:r w:rsidRPr="00C83045">
        <w:rPr>
          <w:rFonts w:eastAsia="SimSun"/>
          <w:color w:val="000000"/>
          <w:szCs w:val="22"/>
          <w:lang w:eastAsia="zh-CN"/>
        </w:rPr>
        <w:t>(informácie o pediatrickom použití, pozri časť 4.2).</w:t>
      </w:r>
    </w:p>
    <w:p w14:paraId="32367EC6" w14:textId="77777777" w:rsidR="007A33D0" w:rsidRPr="00C83045" w:rsidRDefault="007A33D0" w:rsidP="00D4304B">
      <w:pPr>
        <w:widowControl w:val="0"/>
        <w:ind w:left="0" w:firstLine="0"/>
        <w:rPr>
          <w:color w:val="000000"/>
          <w:szCs w:val="22"/>
          <w:u w:val="single"/>
        </w:rPr>
      </w:pPr>
    </w:p>
    <w:p w14:paraId="32367EC7" w14:textId="77777777" w:rsidR="000E5202" w:rsidRPr="00C83045" w:rsidRDefault="000E5202" w:rsidP="00D4304B">
      <w:pPr>
        <w:keepNext/>
        <w:widowControl w:val="0"/>
        <w:ind w:left="0" w:firstLine="0"/>
        <w:rPr>
          <w:color w:val="000000"/>
          <w:szCs w:val="22"/>
          <w:u w:val="single"/>
        </w:rPr>
      </w:pPr>
      <w:r w:rsidRPr="00C83045">
        <w:rPr>
          <w:color w:val="000000"/>
          <w:szCs w:val="22"/>
          <w:u w:val="single"/>
        </w:rPr>
        <w:t xml:space="preserve">Klinické skúšania pri Ph+ </w:t>
      </w:r>
      <w:smartTag w:uri="urn:schemas-microsoft-com:office:smarttags" w:element="stockticker">
        <w:r w:rsidRPr="00C83045">
          <w:rPr>
            <w:color w:val="000000"/>
            <w:szCs w:val="22"/>
            <w:u w:val="single"/>
          </w:rPr>
          <w:t>ALL</w:t>
        </w:r>
      </w:smartTag>
    </w:p>
    <w:p w14:paraId="32367EC8" w14:textId="77777777" w:rsidR="000E5202" w:rsidRPr="00C83045" w:rsidRDefault="000E5202" w:rsidP="00D4304B">
      <w:pPr>
        <w:widowControl w:val="0"/>
        <w:ind w:left="0" w:firstLine="0"/>
        <w:rPr>
          <w:color w:val="000000"/>
          <w:szCs w:val="22"/>
        </w:rPr>
      </w:pPr>
      <w:r w:rsidRPr="00C83045">
        <w:rPr>
          <w:i/>
          <w:color w:val="000000"/>
          <w:szCs w:val="22"/>
        </w:rPr>
        <w:t xml:space="preserve">Novodiagnostikovaná Ph+ </w:t>
      </w:r>
      <w:smartTag w:uri="urn:schemas-microsoft-com:office:smarttags" w:element="stockticker">
        <w:r w:rsidRPr="00C83045">
          <w:rPr>
            <w:i/>
            <w:color w:val="000000"/>
            <w:szCs w:val="22"/>
          </w:rPr>
          <w:t>ALL</w:t>
        </w:r>
      </w:smartTag>
      <w:r w:rsidRPr="00C83045">
        <w:rPr>
          <w:i/>
          <w:color w:val="000000"/>
          <w:szCs w:val="22"/>
        </w:rPr>
        <w:t>:</w:t>
      </w:r>
      <w:r w:rsidRPr="00C83045">
        <w:rPr>
          <w:color w:val="000000"/>
          <w:szCs w:val="22"/>
        </w:rPr>
        <w:t xml:space="preserve"> V kontrolovanom klinickom skúšaní (ADE10) porovnávajúcom imatinib a indukčnú chemoterapiu u 55 novodiagnostikovaných pacientov vo veku 55 rokov a viac sa pri imatinibe podanom ako monoterapia dosiahol významne vyšší podiel kompletnej hematologickej odpovede ako pri chemoterapii (96,3% oproti 50%; p=0,0001). Keď sa imatinib podal ako záchranná liečba pacientom, ktorí nereagovali alebo slabo reagovali na chemoterapiu, dosiahla sa kompletná hematologická odpoveď u 9 (81,8%) z 11 pacientov. Tento klinický účinok sa spájal s väčším poklesom transkriptov bcr-abl</w:t>
      </w:r>
      <w:r w:rsidRPr="00C83045">
        <w:rPr>
          <w:caps/>
          <w:color w:val="000000"/>
          <w:szCs w:val="22"/>
        </w:rPr>
        <w:t xml:space="preserve"> </w:t>
      </w:r>
      <w:r w:rsidRPr="00C83045">
        <w:rPr>
          <w:color w:val="000000"/>
          <w:szCs w:val="22"/>
        </w:rPr>
        <w:t>u pacientov liečených imatinibom</w:t>
      </w:r>
      <w:r w:rsidRPr="00C83045">
        <w:rPr>
          <w:caps/>
          <w:color w:val="000000"/>
          <w:szCs w:val="22"/>
        </w:rPr>
        <w:t xml:space="preserve"> </w:t>
      </w:r>
      <w:r w:rsidRPr="00C83045">
        <w:rPr>
          <w:color w:val="000000"/>
          <w:szCs w:val="22"/>
        </w:rPr>
        <w:t>oproti skupine liečených chemoterapiou po 2 týždňoch liečby (p=0,02). Všetci pacienti dostávali po začatí liečby imatinib a konsolidačnú chemoterapiu (pozri Tabuľku</w:t>
      </w:r>
      <w:r w:rsidR="00357569" w:rsidRPr="00C83045">
        <w:rPr>
          <w:color w:val="000000"/>
          <w:szCs w:val="22"/>
        </w:rPr>
        <w:t> </w:t>
      </w:r>
      <w:r w:rsidR="00E57DA0" w:rsidRPr="00C83045">
        <w:rPr>
          <w:color w:val="000000"/>
          <w:szCs w:val="22"/>
        </w:rPr>
        <w:t>4</w:t>
      </w:r>
      <w:r w:rsidRPr="00C83045">
        <w:rPr>
          <w:color w:val="000000"/>
          <w:szCs w:val="22"/>
        </w:rPr>
        <w:t>) a hladiny transkriptov bcr-abl</w:t>
      </w:r>
      <w:r w:rsidRPr="00C83045">
        <w:rPr>
          <w:caps/>
          <w:color w:val="000000"/>
          <w:szCs w:val="22"/>
        </w:rPr>
        <w:t xml:space="preserve"> </w:t>
      </w:r>
      <w:r w:rsidRPr="00C83045">
        <w:rPr>
          <w:color w:val="000000"/>
          <w:szCs w:val="22"/>
        </w:rPr>
        <w:t>boli po 8 týždňoch rovnaké v obidvoch skupinách. Ako sa očakávalo vzhľadom na usporiadanie klinického skúšania, nepozoroval sa rozdiel v trvaní remisie, prežívaní bez ochorenia alebo celkovom prežívaní, hoci pacienti s kompletnou molekulárnou odpoveďou a pretrvávajúcim minimálnym zvyškovým ochorením mali lepšie výsledky z hľadiska trvania remisie (p=0,01) aj prežívania bez ochorenia (p=0,02).</w:t>
      </w:r>
    </w:p>
    <w:p w14:paraId="32367EC9" w14:textId="77777777" w:rsidR="000E5202" w:rsidRPr="00C83045" w:rsidRDefault="000E5202" w:rsidP="00D4304B">
      <w:pPr>
        <w:widowControl w:val="0"/>
        <w:ind w:left="0" w:firstLine="0"/>
        <w:rPr>
          <w:color w:val="000000"/>
          <w:szCs w:val="22"/>
        </w:rPr>
      </w:pPr>
    </w:p>
    <w:p w14:paraId="32367ECA" w14:textId="77777777" w:rsidR="000E5202" w:rsidRPr="00C83045" w:rsidRDefault="000E5202" w:rsidP="00D4304B">
      <w:pPr>
        <w:pStyle w:val="EndnoteText"/>
        <w:widowControl w:val="0"/>
        <w:rPr>
          <w:color w:val="000000"/>
          <w:szCs w:val="22"/>
          <w:lang w:val="sk-SK"/>
        </w:rPr>
      </w:pPr>
      <w:r w:rsidRPr="00C83045">
        <w:rPr>
          <w:color w:val="000000"/>
          <w:szCs w:val="22"/>
          <w:lang w:val="sk-SK"/>
        </w:rPr>
        <w:t xml:space="preserve">Výsledky pozorované v populácii 211 pacientov s novodiagnostikovanou Ph+ </w:t>
      </w:r>
      <w:smartTag w:uri="urn:schemas-microsoft-com:office:smarttags" w:element="stockticker">
        <w:r w:rsidRPr="00C83045">
          <w:rPr>
            <w:color w:val="000000"/>
            <w:szCs w:val="22"/>
            <w:lang w:val="sk-SK"/>
          </w:rPr>
          <w:t>ALL</w:t>
        </w:r>
      </w:smartTag>
      <w:r w:rsidRPr="00C83045">
        <w:rPr>
          <w:color w:val="000000"/>
          <w:szCs w:val="22"/>
          <w:lang w:val="sk-SK"/>
        </w:rPr>
        <w:t xml:space="preserve"> v štyroch nekontrolovaných klinických skúšaniach (AAU02, ADE04, AJP01 a AUS01) sa zhodujú s výsledkami opísanými vyššie. Pri imatinibe v kombinácii s indukčnou chemoterapiou (pozri Tabuľku </w:t>
      </w:r>
      <w:r w:rsidR="00E57DA0" w:rsidRPr="00C83045">
        <w:rPr>
          <w:color w:val="000000"/>
          <w:szCs w:val="22"/>
          <w:lang w:val="sk-SK"/>
        </w:rPr>
        <w:t>4</w:t>
      </w:r>
      <w:r w:rsidRPr="00C83045">
        <w:rPr>
          <w:color w:val="000000"/>
          <w:szCs w:val="22"/>
          <w:lang w:val="sk-SK"/>
        </w:rPr>
        <w:t>) sa dosiahol podiel kompletnej hematologickej odpovede 93% (147 zo 158 vyhodnotiteľných pacientov) a podiel veľkej cytogenetickej odpovede 90% (19 z 21 vyhodnotiteľných pacientov). Podiel kompletnej molekulárnej odpovede bol 48% (49 zo 102 vyhodnotiteľných pacientov). Prežívanie bez ochorenia (</w:t>
      </w:r>
      <w:smartTag w:uri="urn:schemas-microsoft-com:office:smarttags" w:element="stockticker">
        <w:r w:rsidRPr="00C83045">
          <w:rPr>
            <w:color w:val="000000"/>
            <w:szCs w:val="22"/>
            <w:lang w:val="sk-SK"/>
          </w:rPr>
          <w:t>DFS</w:t>
        </w:r>
      </w:smartTag>
      <w:r w:rsidRPr="00C83045">
        <w:rPr>
          <w:color w:val="000000"/>
          <w:szCs w:val="22"/>
          <w:lang w:val="sk-SK"/>
        </w:rPr>
        <w:t>) a celkové prežívanie (OS) konštantne prekračovali 1 rok a boli lepšie ako historická kontrola (</w:t>
      </w:r>
      <w:smartTag w:uri="urn:schemas-microsoft-com:office:smarttags" w:element="stockticker">
        <w:r w:rsidRPr="00C83045">
          <w:rPr>
            <w:color w:val="000000"/>
            <w:szCs w:val="22"/>
            <w:lang w:val="sk-SK"/>
          </w:rPr>
          <w:t>DFS</w:t>
        </w:r>
      </w:smartTag>
      <w:r w:rsidRPr="00C83045">
        <w:rPr>
          <w:color w:val="000000"/>
          <w:szCs w:val="22"/>
          <w:lang w:val="sk-SK"/>
        </w:rPr>
        <w:t xml:space="preserve"> p&lt;0,001; OS p&lt;0,0001) v dvoch klinických skúšaniach (AJP01 a AUS01).</w:t>
      </w:r>
    </w:p>
    <w:p w14:paraId="32367ECB" w14:textId="77777777" w:rsidR="000E5202" w:rsidRPr="00C83045" w:rsidRDefault="000E5202" w:rsidP="00D4304B">
      <w:pPr>
        <w:pStyle w:val="Text"/>
        <w:widowControl w:val="0"/>
        <w:spacing w:before="0"/>
        <w:jc w:val="left"/>
        <w:rPr>
          <w:color w:val="000000"/>
          <w:sz w:val="22"/>
          <w:szCs w:val="22"/>
          <w:lang w:val="sk-SK"/>
        </w:rPr>
      </w:pPr>
    </w:p>
    <w:p w14:paraId="32367ECC" w14:textId="77777777" w:rsidR="000E5202" w:rsidRPr="00C83045" w:rsidRDefault="000E5202" w:rsidP="00D4304B">
      <w:pPr>
        <w:pStyle w:val="EndnoteText"/>
        <w:keepNext/>
        <w:widowControl w:val="0"/>
        <w:tabs>
          <w:tab w:val="clear" w:pos="567"/>
          <w:tab w:val="left" w:pos="1440"/>
        </w:tabs>
        <w:rPr>
          <w:b/>
          <w:bCs/>
          <w:color w:val="000000"/>
          <w:szCs w:val="22"/>
          <w:lang w:val="sk-SK"/>
        </w:rPr>
      </w:pPr>
      <w:r w:rsidRPr="00C83045">
        <w:rPr>
          <w:b/>
          <w:bCs/>
          <w:color w:val="000000"/>
          <w:szCs w:val="22"/>
          <w:lang w:val="sk-SK"/>
        </w:rPr>
        <w:lastRenderedPageBreak/>
        <w:t>Tabuľka </w:t>
      </w:r>
      <w:r w:rsidR="00E57DA0" w:rsidRPr="00C83045">
        <w:rPr>
          <w:b/>
          <w:bCs/>
          <w:color w:val="000000"/>
          <w:szCs w:val="22"/>
          <w:lang w:val="sk-SK"/>
        </w:rPr>
        <w:t>4</w:t>
      </w:r>
      <w:r w:rsidRPr="00C83045">
        <w:rPr>
          <w:b/>
          <w:bCs/>
          <w:color w:val="000000"/>
          <w:szCs w:val="22"/>
          <w:lang w:val="sk-SK"/>
        </w:rPr>
        <w:tab/>
        <w:t>Režim c</w:t>
      </w:r>
      <w:r w:rsidRPr="00C83045">
        <w:rPr>
          <w:b/>
          <w:color w:val="000000"/>
          <w:szCs w:val="22"/>
          <w:lang w:val="sk-SK"/>
        </w:rPr>
        <w:t>hemoterapie použitý v kombinácii s imatinibom</w:t>
      </w:r>
    </w:p>
    <w:p w14:paraId="32367ECD" w14:textId="77777777" w:rsidR="000E5202" w:rsidRPr="00C83045" w:rsidRDefault="000E5202" w:rsidP="00D4304B">
      <w:pPr>
        <w:pStyle w:val="EndnoteText"/>
        <w:keepNext/>
        <w:widowControl w:val="0"/>
        <w:rPr>
          <w:color w:val="000000"/>
          <w:szCs w:val="22"/>
          <w:lang w:val="sk-SK"/>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6732"/>
      </w:tblGrid>
      <w:tr w:rsidR="004648BE" w:rsidRPr="00C83045" w14:paraId="32367ECF" w14:textId="77777777" w:rsidTr="00BE6051">
        <w:trPr>
          <w:cantSplit/>
        </w:trPr>
        <w:tc>
          <w:tcPr>
            <w:tcW w:w="8880" w:type="dxa"/>
            <w:gridSpan w:val="2"/>
            <w:tcBorders>
              <w:top w:val="single" w:sz="4" w:space="0" w:color="auto"/>
              <w:bottom w:val="single" w:sz="4" w:space="0" w:color="auto"/>
            </w:tcBorders>
            <w:shd w:val="clear" w:color="auto" w:fill="auto"/>
          </w:tcPr>
          <w:p w14:paraId="32367ECE" w14:textId="77777777" w:rsidR="004648BE" w:rsidRPr="00C83045" w:rsidRDefault="004648BE"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b/>
                <w:color w:val="000000"/>
                <w:sz w:val="22"/>
                <w:szCs w:val="22"/>
                <w:lang w:val="sk-SK"/>
              </w:rPr>
              <w:t>Klinické skúšanie A</w:t>
            </w:r>
            <w:smartTag w:uri="urn:schemas-microsoft-com:office:smarttags" w:element="PersonName">
              <w:r w:rsidRPr="00C83045">
                <w:rPr>
                  <w:rFonts w:ascii="Times New Roman" w:hAnsi="Times New Roman"/>
                  <w:b/>
                  <w:color w:val="000000"/>
                  <w:sz w:val="22"/>
                  <w:szCs w:val="22"/>
                  <w:lang w:val="sk-SK"/>
                </w:rPr>
                <w:t>DE</w:t>
              </w:r>
            </w:smartTag>
            <w:r w:rsidRPr="00C83045">
              <w:rPr>
                <w:rFonts w:ascii="Times New Roman" w:hAnsi="Times New Roman"/>
                <w:b/>
                <w:color w:val="000000"/>
                <w:sz w:val="22"/>
                <w:szCs w:val="22"/>
                <w:lang w:val="sk-SK"/>
              </w:rPr>
              <w:t>10</w:t>
            </w:r>
          </w:p>
        </w:tc>
      </w:tr>
      <w:tr w:rsidR="000E5202" w:rsidRPr="00C83045" w14:paraId="32367ED4" w14:textId="77777777" w:rsidTr="00BE6051">
        <w:trPr>
          <w:cantSplit/>
        </w:trPr>
        <w:tc>
          <w:tcPr>
            <w:tcW w:w="2148" w:type="dxa"/>
            <w:tcBorders>
              <w:top w:val="single" w:sz="4" w:space="0" w:color="auto"/>
              <w:bottom w:val="single" w:sz="4" w:space="0" w:color="auto"/>
            </w:tcBorders>
            <w:shd w:val="clear" w:color="auto" w:fill="auto"/>
          </w:tcPr>
          <w:p w14:paraId="32367ED0"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Prefáza</w:t>
            </w:r>
          </w:p>
        </w:tc>
        <w:tc>
          <w:tcPr>
            <w:tcW w:w="6732" w:type="dxa"/>
            <w:tcBorders>
              <w:top w:val="single" w:sz="4" w:space="0" w:color="auto"/>
              <w:bottom w:val="single" w:sz="4" w:space="0" w:color="auto"/>
            </w:tcBorders>
            <w:shd w:val="clear" w:color="auto" w:fill="auto"/>
          </w:tcPr>
          <w:p w14:paraId="32367ED1" w14:textId="77777777" w:rsidR="00174A59"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DEX 10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1-5;</w:t>
            </w:r>
          </w:p>
          <w:p w14:paraId="32367ED2" w14:textId="77777777" w:rsidR="00174A59"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CP 200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dni 3, 4, 5;</w:t>
            </w:r>
          </w:p>
          <w:p w14:paraId="32367ED3"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MTX 12 mg intratekálne, deň 1</w:t>
            </w:r>
          </w:p>
        </w:tc>
      </w:tr>
      <w:tr w:rsidR="000E5202" w:rsidRPr="00C83045" w14:paraId="32367EDB" w14:textId="77777777" w:rsidTr="00BE6051">
        <w:trPr>
          <w:cantSplit/>
        </w:trPr>
        <w:tc>
          <w:tcPr>
            <w:tcW w:w="2148" w:type="dxa"/>
            <w:tcBorders>
              <w:top w:val="single" w:sz="4" w:space="0" w:color="auto"/>
              <w:bottom w:val="single" w:sz="4" w:space="0" w:color="auto"/>
            </w:tcBorders>
            <w:shd w:val="clear" w:color="auto" w:fill="auto"/>
          </w:tcPr>
          <w:p w14:paraId="32367ED5"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Indukcia remisie</w:t>
            </w:r>
          </w:p>
        </w:tc>
        <w:tc>
          <w:tcPr>
            <w:tcW w:w="6732" w:type="dxa"/>
            <w:tcBorders>
              <w:top w:val="single" w:sz="4" w:space="0" w:color="auto"/>
              <w:bottom w:val="single" w:sz="4" w:space="0" w:color="auto"/>
            </w:tcBorders>
            <w:shd w:val="clear" w:color="auto" w:fill="auto"/>
          </w:tcPr>
          <w:p w14:paraId="32367ED6" w14:textId="77777777" w:rsidR="00174A59"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DEX 10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6-7, 13-16;</w:t>
            </w:r>
          </w:p>
          <w:p w14:paraId="32367ED7" w14:textId="77777777" w:rsidR="00174A59"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VCR 1 mg i.v., dni 7, 14;</w:t>
            </w:r>
          </w:p>
          <w:p w14:paraId="32367ED8" w14:textId="77777777" w:rsidR="00174A59"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IDA 8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(0,5 h), dni 7, 8, 14, 15;</w:t>
            </w:r>
          </w:p>
          <w:p w14:paraId="32367ED9" w14:textId="77777777" w:rsidR="00174A59"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CP 500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i.v.(1 h) deň 1;</w:t>
            </w:r>
          </w:p>
          <w:p w14:paraId="32367EDA"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Ara-C 60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dni 22-25, 29-32</w:t>
            </w:r>
          </w:p>
        </w:tc>
      </w:tr>
      <w:tr w:rsidR="000E5202" w:rsidRPr="00C83045" w14:paraId="32367EDF" w14:textId="77777777" w:rsidTr="00BE6051">
        <w:trPr>
          <w:cantSplit/>
        </w:trPr>
        <w:tc>
          <w:tcPr>
            <w:tcW w:w="2148" w:type="dxa"/>
            <w:tcBorders>
              <w:top w:val="single" w:sz="4" w:space="0" w:color="auto"/>
              <w:bottom w:val="single" w:sz="4" w:space="0" w:color="auto"/>
            </w:tcBorders>
            <w:shd w:val="clear" w:color="auto" w:fill="auto"/>
          </w:tcPr>
          <w:p w14:paraId="32367EDC"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 xml:space="preserve">Konsolidačná liečba I, </w:t>
            </w:r>
            <w:smartTag w:uri="urn:schemas-microsoft-com:office:smarttags" w:element="stockticker">
              <w:r w:rsidRPr="00C83045">
                <w:rPr>
                  <w:rFonts w:ascii="Times New Roman" w:hAnsi="Times New Roman"/>
                  <w:color w:val="000000"/>
                  <w:sz w:val="22"/>
                  <w:szCs w:val="22"/>
                  <w:lang w:val="sk-SK"/>
                </w:rPr>
                <w:t>III</w:t>
              </w:r>
            </w:smartTag>
            <w:r w:rsidRPr="00C83045">
              <w:rPr>
                <w:rFonts w:ascii="Times New Roman" w:hAnsi="Times New Roman"/>
                <w:color w:val="000000"/>
                <w:sz w:val="22"/>
                <w:szCs w:val="22"/>
                <w:lang w:val="sk-SK"/>
              </w:rPr>
              <w:t>, V</w:t>
            </w:r>
          </w:p>
        </w:tc>
        <w:tc>
          <w:tcPr>
            <w:tcW w:w="6732" w:type="dxa"/>
            <w:tcBorders>
              <w:top w:val="single" w:sz="4" w:space="0" w:color="auto"/>
              <w:bottom w:val="single" w:sz="4" w:space="0" w:color="auto"/>
            </w:tcBorders>
            <w:shd w:val="clear" w:color="auto" w:fill="auto"/>
          </w:tcPr>
          <w:p w14:paraId="32367EDD" w14:textId="77777777" w:rsidR="00174A59" w:rsidRPr="00C83045" w:rsidRDefault="000E5202" w:rsidP="00D4304B">
            <w:pPr>
              <w:pStyle w:val="Table"/>
              <w:keepLines w:val="0"/>
              <w:widowControl w:val="0"/>
              <w:spacing w:before="0" w:after="0"/>
              <w:rPr>
                <w:rFonts w:ascii="Times New Roman" w:hAnsi="Times New Roman"/>
                <w:color w:val="000000"/>
                <w:sz w:val="22"/>
                <w:szCs w:val="22"/>
                <w:lang w:val="sk-SK"/>
              </w:rPr>
            </w:pPr>
            <w:smartTag w:uri="urn:schemas-microsoft-com:office:smarttags" w:element="stockticker">
              <w:r w:rsidRPr="00C83045">
                <w:rPr>
                  <w:rFonts w:ascii="Times New Roman" w:hAnsi="Times New Roman"/>
                  <w:color w:val="000000"/>
                  <w:sz w:val="22"/>
                  <w:szCs w:val="22"/>
                  <w:lang w:val="sk-SK"/>
                </w:rPr>
                <w:t>MTX</w:t>
              </w:r>
            </w:smartTag>
            <w:r w:rsidRPr="00C83045">
              <w:rPr>
                <w:rFonts w:ascii="Times New Roman" w:hAnsi="Times New Roman"/>
                <w:color w:val="000000"/>
                <w:sz w:val="22"/>
                <w:szCs w:val="22"/>
                <w:lang w:val="sk-SK"/>
              </w:rPr>
              <w:t xml:space="preserve"> 500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(24 h), dni 1, 15;</w:t>
            </w:r>
          </w:p>
          <w:p w14:paraId="32367EDE"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6-MP 25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1-20</w:t>
            </w:r>
          </w:p>
        </w:tc>
      </w:tr>
      <w:tr w:rsidR="000E5202" w:rsidRPr="00C83045" w14:paraId="32367EE3" w14:textId="77777777" w:rsidTr="00BE6051">
        <w:trPr>
          <w:cantSplit/>
        </w:trPr>
        <w:tc>
          <w:tcPr>
            <w:tcW w:w="2148" w:type="dxa"/>
            <w:tcBorders>
              <w:top w:val="single" w:sz="4" w:space="0" w:color="auto"/>
              <w:bottom w:val="single" w:sz="4" w:space="0" w:color="auto"/>
            </w:tcBorders>
            <w:shd w:val="clear" w:color="auto" w:fill="auto"/>
          </w:tcPr>
          <w:p w14:paraId="32367EE0"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Konsolidačná liečba II, IV</w:t>
            </w:r>
          </w:p>
        </w:tc>
        <w:tc>
          <w:tcPr>
            <w:tcW w:w="6732" w:type="dxa"/>
            <w:tcBorders>
              <w:top w:val="single" w:sz="4" w:space="0" w:color="auto"/>
              <w:bottom w:val="single" w:sz="4" w:space="0" w:color="auto"/>
            </w:tcBorders>
            <w:shd w:val="clear" w:color="auto" w:fill="auto"/>
          </w:tcPr>
          <w:p w14:paraId="32367EE1" w14:textId="77777777" w:rsidR="00174A59"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Ara-C 75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(1 h), dni 1-5;</w:t>
            </w:r>
          </w:p>
          <w:p w14:paraId="32367EE2"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VM26 60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(1 h), dni 1-5</w:t>
            </w:r>
          </w:p>
        </w:tc>
      </w:tr>
      <w:tr w:rsidR="004648BE" w:rsidRPr="00C83045" w14:paraId="32367EE5" w14:textId="77777777" w:rsidTr="00BE6051">
        <w:trPr>
          <w:cantSplit/>
        </w:trPr>
        <w:tc>
          <w:tcPr>
            <w:tcW w:w="8880" w:type="dxa"/>
            <w:gridSpan w:val="2"/>
            <w:tcBorders>
              <w:top w:val="single" w:sz="4" w:space="0" w:color="auto"/>
              <w:bottom w:val="single" w:sz="4" w:space="0" w:color="auto"/>
            </w:tcBorders>
            <w:shd w:val="clear" w:color="auto" w:fill="auto"/>
          </w:tcPr>
          <w:p w14:paraId="32367EE4" w14:textId="77777777" w:rsidR="004648BE" w:rsidRPr="00C83045" w:rsidRDefault="004648BE"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b/>
                <w:color w:val="000000"/>
                <w:sz w:val="22"/>
                <w:szCs w:val="22"/>
                <w:lang w:val="sk-SK"/>
              </w:rPr>
              <w:t>Klinické skúšanie AAU02</w:t>
            </w:r>
          </w:p>
        </w:tc>
      </w:tr>
      <w:tr w:rsidR="000E5202" w:rsidRPr="00C83045" w14:paraId="32367EEF" w14:textId="77777777" w:rsidTr="00BE6051">
        <w:trPr>
          <w:cantSplit/>
        </w:trPr>
        <w:tc>
          <w:tcPr>
            <w:tcW w:w="2148" w:type="dxa"/>
            <w:tcBorders>
              <w:top w:val="single" w:sz="4" w:space="0" w:color="auto"/>
              <w:bottom w:val="single" w:sz="4" w:space="0" w:color="auto"/>
            </w:tcBorders>
            <w:shd w:val="clear" w:color="auto" w:fill="auto"/>
          </w:tcPr>
          <w:p w14:paraId="32367EE6"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Indukčná liečba (</w:t>
            </w:r>
            <w:r w:rsidRPr="00C83045">
              <w:rPr>
                <w:rFonts w:ascii="Times New Roman" w:hAnsi="Times New Roman"/>
                <w:i/>
                <w:color w:val="000000"/>
                <w:sz w:val="22"/>
                <w:szCs w:val="22"/>
                <w:lang w:val="sk-SK"/>
              </w:rPr>
              <w:t>de novo</w:t>
            </w:r>
            <w:r w:rsidRPr="00C83045">
              <w:rPr>
                <w:rFonts w:ascii="Times New Roman" w:hAnsi="Times New Roman"/>
                <w:color w:val="000000"/>
                <w:sz w:val="22"/>
                <w:szCs w:val="22"/>
                <w:lang w:val="sk-SK"/>
              </w:rPr>
              <w:t xml:space="preserve"> Ph+ </w:t>
            </w:r>
            <w:smartTag w:uri="urn:schemas-microsoft-com:office:smarttags" w:element="stockticker">
              <w:r w:rsidRPr="00C83045">
                <w:rPr>
                  <w:rFonts w:ascii="Times New Roman" w:hAnsi="Times New Roman"/>
                  <w:color w:val="000000"/>
                  <w:sz w:val="22"/>
                  <w:szCs w:val="22"/>
                  <w:lang w:val="sk-SK"/>
                </w:rPr>
                <w:t>ALL</w:t>
              </w:r>
            </w:smartTag>
            <w:r w:rsidRPr="00C83045">
              <w:rPr>
                <w:rFonts w:ascii="Times New Roman" w:hAnsi="Times New Roman"/>
                <w:color w:val="000000"/>
                <w:sz w:val="22"/>
                <w:szCs w:val="22"/>
                <w:lang w:val="sk-SK"/>
              </w:rPr>
              <w:t>)</w:t>
            </w:r>
          </w:p>
        </w:tc>
        <w:tc>
          <w:tcPr>
            <w:tcW w:w="6732" w:type="dxa"/>
            <w:tcBorders>
              <w:top w:val="single" w:sz="4" w:space="0" w:color="auto"/>
              <w:bottom w:val="single" w:sz="4" w:space="0" w:color="auto"/>
            </w:tcBorders>
            <w:shd w:val="clear" w:color="auto" w:fill="auto"/>
          </w:tcPr>
          <w:p w14:paraId="32367EE7" w14:textId="77777777" w:rsidR="00370F67"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Daunorubicín 30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dni 1-3, 15-16;</w:t>
            </w:r>
          </w:p>
          <w:p w14:paraId="32367EE8" w14:textId="77777777" w:rsidR="00370F67"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VCR 2 mg celková dávka i.v., dni 1, 8, 15, 22;</w:t>
            </w:r>
          </w:p>
          <w:p w14:paraId="32367EE9" w14:textId="77777777" w:rsidR="00370F67"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CP 750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dni 1, 8;</w:t>
            </w:r>
          </w:p>
          <w:p w14:paraId="32367EEA" w14:textId="77777777" w:rsidR="00370F67" w:rsidRPr="00C83045" w:rsidRDefault="00370F67"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P</w:t>
            </w:r>
            <w:r w:rsidR="000E5202" w:rsidRPr="00C83045">
              <w:rPr>
                <w:rFonts w:ascii="Times New Roman" w:hAnsi="Times New Roman"/>
                <w:color w:val="000000"/>
                <w:sz w:val="22"/>
                <w:szCs w:val="22"/>
                <w:lang w:val="sk-SK"/>
              </w:rPr>
              <w:t>rednizón 60 mg/m</w:t>
            </w:r>
            <w:r w:rsidR="000E5202" w:rsidRPr="00C83045">
              <w:rPr>
                <w:rFonts w:ascii="Times New Roman" w:hAnsi="Times New Roman"/>
                <w:color w:val="000000"/>
                <w:sz w:val="22"/>
                <w:szCs w:val="22"/>
                <w:vertAlign w:val="superscript"/>
                <w:lang w:val="sk-SK"/>
              </w:rPr>
              <w:t>2</w:t>
            </w:r>
            <w:r w:rsidR="000E5202" w:rsidRPr="00C83045">
              <w:rPr>
                <w:rFonts w:ascii="Times New Roman" w:hAnsi="Times New Roman"/>
                <w:color w:val="000000"/>
                <w:sz w:val="22"/>
                <w:szCs w:val="22"/>
                <w:lang w:val="sk-SK"/>
              </w:rPr>
              <w:t xml:space="preserve"> perorálne, dni 1-7, 15-21;</w:t>
            </w:r>
          </w:p>
          <w:p w14:paraId="32367EEB" w14:textId="77777777" w:rsidR="00370F67"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IDA 9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1-28;</w:t>
            </w:r>
          </w:p>
          <w:p w14:paraId="32367EEC" w14:textId="77777777" w:rsidR="00370F67"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MTX 15 mg intratekálne, dni 1, 8, 15, 22;</w:t>
            </w:r>
          </w:p>
          <w:p w14:paraId="32367EED" w14:textId="77777777" w:rsidR="00370F67"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Ara-C 40 mg intratekálne, dni 1, 8, 15, 22;</w:t>
            </w:r>
          </w:p>
          <w:p w14:paraId="32367EEE" w14:textId="77777777" w:rsidR="000E5202" w:rsidRPr="00C83045" w:rsidRDefault="00370F67"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w:t>
            </w:r>
            <w:r w:rsidR="000E5202" w:rsidRPr="00C83045">
              <w:rPr>
                <w:rFonts w:ascii="Times New Roman" w:hAnsi="Times New Roman"/>
                <w:color w:val="000000"/>
                <w:sz w:val="22"/>
                <w:szCs w:val="22"/>
                <w:lang w:val="sk-SK"/>
              </w:rPr>
              <w:t>etylprednizolón 40 mg intratekálne, dni 1, 8, 15, 22</w:t>
            </w:r>
          </w:p>
        </w:tc>
      </w:tr>
      <w:tr w:rsidR="000E5202" w:rsidRPr="00C83045" w14:paraId="32367EF5" w14:textId="77777777" w:rsidTr="00BE6051">
        <w:trPr>
          <w:cantSplit/>
        </w:trPr>
        <w:tc>
          <w:tcPr>
            <w:tcW w:w="2148" w:type="dxa"/>
            <w:tcBorders>
              <w:top w:val="single" w:sz="4" w:space="0" w:color="auto"/>
              <w:bottom w:val="single" w:sz="4" w:space="0" w:color="auto"/>
            </w:tcBorders>
            <w:shd w:val="clear" w:color="auto" w:fill="auto"/>
          </w:tcPr>
          <w:p w14:paraId="32367EF0" w14:textId="77777777" w:rsidR="000E5202" w:rsidRPr="00C83045" w:rsidRDefault="000E5202" w:rsidP="00D4304B">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Konsolidácia (</w:t>
            </w:r>
            <w:r w:rsidRPr="00C83045">
              <w:rPr>
                <w:rFonts w:ascii="Times New Roman" w:hAnsi="Times New Roman"/>
                <w:i/>
                <w:color w:val="000000"/>
                <w:sz w:val="22"/>
                <w:szCs w:val="22"/>
                <w:lang w:val="sk-SK"/>
              </w:rPr>
              <w:t>de novo</w:t>
            </w:r>
            <w:r w:rsidRPr="00C83045">
              <w:rPr>
                <w:rFonts w:ascii="Times New Roman" w:hAnsi="Times New Roman"/>
                <w:color w:val="000000"/>
                <w:sz w:val="22"/>
                <w:szCs w:val="22"/>
                <w:lang w:val="sk-SK"/>
              </w:rPr>
              <w:t xml:space="preserve"> Ph+ </w:t>
            </w:r>
            <w:smartTag w:uri="urn:schemas-microsoft-com:office:smarttags" w:element="stockticker">
              <w:r w:rsidRPr="00C83045">
                <w:rPr>
                  <w:rFonts w:ascii="Times New Roman" w:hAnsi="Times New Roman"/>
                  <w:color w:val="000000"/>
                  <w:sz w:val="22"/>
                  <w:szCs w:val="22"/>
                  <w:lang w:val="sk-SK"/>
                </w:rPr>
                <w:t>ALL</w:t>
              </w:r>
            </w:smartTag>
            <w:r w:rsidRPr="00C83045">
              <w:rPr>
                <w:rFonts w:ascii="Times New Roman" w:hAnsi="Times New Roman"/>
                <w:color w:val="000000"/>
                <w:sz w:val="22"/>
                <w:szCs w:val="22"/>
                <w:lang w:val="sk-SK"/>
              </w:rPr>
              <w:t>)</w:t>
            </w:r>
          </w:p>
        </w:tc>
        <w:tc>
          <w:tcPr>
            <w:tcW w:w="6732" w:type="dxa"/>
            <w:tcBorders>
              <w:top w:val="single" w:sz="4" w:space="0" w:color="auto"/>
              <w:bottom w:val="single" w:sz="4" w:space="0" w:color="auto"/>
            </w:tcBorders>
            <w:shd w:val="clear" w:color="auto" w:fill="auto"/>
          </w:tcPr>
          <w:p w14:paraId="32367EF1" w14:textId="77777777" w:rsidR="00A75483" w:rsidRPr="00C83045" w:rsidRDefault="000E5202" w:rsidP="00D4304B">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Ara-C 1 000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/12 h i.v.(3 h), dni 1-4;</w:t>
            </w:r>
          </w:p>
          <w:p w14:paraId="32367EF2" w14:textId="77777777" w:rsidR="00A75483" w:rsidRPr="00C83045" w:rsidRDefault="00A75483" w:rsidP="00D4304B">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w:t>
            </w:r>
            <w:r w:rsidR="000E5202" w:rsidRPr="00C83045">
              <w:rPr>
                <w:rFonts w:ascii="Times New Roman" w:hAnsi="Times New Roman"/>
                <w:color w:val="000000"/>
                <w:sz w:val="22"/>
                <w:szCs w:val="22"/>
                <w:lang w:val="sk-SK"/>
              </w:rPr>
              <w:t>itoxantrón 10 mg/m</w:t>
            </w:r>
            <w:r w:rsidR="000E5202" w:rsidRPr="00C83045">
              <w:rPr>
                <w:rFonts w:ascii="Times New Roman" w:hAnsi="Times New Roman"/>
                <w:color w:val="000000"/>
                <w:sz w:val="22"/>
                <w:szCs w:val="22"/>
                <w:vertAlign w:val="superscript"/>
                <w:lang w:val="sk-SK"/>
              </w:rPr>
              <w:t>2</w:t>
            </w:r>
            <w:r w:rsidR="000E5202" w:rsidRPr="00C83045">
              <w:rPr>
                <w:rFonts w:ascii="Times New Roman" w:hAnsi="Times New Roman"/>
                <w:color w:val="000000"/>
                <w:sz w:val="22"/>
                <w:szCs w:val="22"/>
                <w:lang w:val="sk-SK"/>
              </w:rPr>
              <w:t xml:space="preserve"> i.v. dni 3-5;</w:t>
            </w:r>
          </w:p>
          <w:p w14:paraId="32367EF3" w14:textId="77777777" w:rsidR="00A75483" w:rsidRPr="00C83045" w:rsidRDefault="000E5202" w:rsidP="00D4304B">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MTX 15 mg intratekálne, deň 1;</w:t>
            </w:r>
          </w:p>
          <w:p w14:paraId="32367EF4" w14:textId="77777777" w:rsidR="000E5202" w:rsidRPr="00C83045" w:rsidRDefault="00A75483" w:rsidP="00D4304B">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w:t>
            </w:r>
            <w:r w:rsidR="000E5202" w:rsidRPr="00C83045">
              <w:rPr>
                <w:rFonts w:ascii="Times New Roman" w:hAnsi="Times New Roman"/>
                <w:color w:val="000000"/>
                <w:sz w:val="22"/>
                <w:szCs w:val="22"/>
                <w:lang w:val="sk-SK"/>
              </w:rPr>
              <w:t>etylprednizolón 40 mg intratekálne, deň 1</w:t>
            </w:r>
          </w:p>
        </w:tc>
      </w:tr>
      <w:tr w:rsidR="004648BE" w:rsidRPr="00C83045" w14:paraId="32367EF7" w14:textId="77777777" w:rsidTr="00BE6051">
        <w:trPr>
          <w:cantSplit/>
        </w:trPr>
        <w:tc>
          <w:tcPr>
            <w:tcW w:w="8880" w:type="dxa"/>
            <w:gridSpan w:val="2"/>
            <w:tcBorders>
              <w:top w:val="single" w:sz="4" w:space="0" w:color="auto"/>
              <w:bottom w:val="single" w:sz="4" w:space="0" w:color="auto"/>
            </w:tcBorders>
            <w:shd w:val="clear" w:color="auto" w:fill="auto"/>
          </w:tcPr>
          <w:p w14:paraId="32367EF6" w14:textId="77777777" w:rsidR="004648BE" w:rsidRPr="00C83045" w:rsidRDefault="004648BE"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b/>
                <w:color w:val="000000"/>
                <w:sz w:val="22"/>
                <w:szCs w:val="22"/>
                <w:lang w:val="sk-SK"/>
              </w:rPr>
              <w:t>Klinické skúšanie A</w:t>
            </w:r>
            <w:smartTag w:uri="urn:schemas-microsoft-com:office:smarttags" w:element="PersonName">
              <w:r w:rsidRPr="00C83045">
                <w:rPr>
                  <w:rFonts w:ascii="Times New Roman" w:hAnsi="Times New Roman"/>
                  <w:b/>
                  <w:color w:val="000000"/>
                  <w:sz w:val="22"/>
                  <w:szCs w:val="22"/>
                  <w:lang w:val="sk-SK"/>
                </w:rPr>
                <w:t>DE</w:t>
              </w:r>
            </w:smartTag>
            <w:r w:rsidRPr="00C83045">
              <w:rPr>
                <w:rFonts w:ascii="Times New Roman" w:hAnsi="Times New Roman"/>
                <w:b/>
                <w:color w:val="000000"/>
                <w:sz w:val="22"/>
                <w:szCs w:val="22"/>
                <w:lang w:val="sk-SK"/>
              </w:rPr>
              <w:t>04</w:t>
            </w:r>
          </w:p>
        </w:tc>
      </w:tr>
      <w:tr w:rsidR="000E5202" w:rsidRPr="00C83045" w14:paraId="32367EFC" w14:textId="77777777" w:rsidTr="00BE6051">
        <w:trPr>
          <w:cantSplit/>
        </w:trPr>
        <w:tc>
          <w:tcPr>
            <w:tcW w:w="2148" w:type="dxa"/>
            <w:tcBorders>
              <w:top w:val="single" w:sz="4" w:space="0" w:color="auto"/>
              <w:bottom w:val="single" w:sz="4" w:space="0" w:color="auto"/>
            </w:tcBorders>
            <w:shd w:val="clear" w:color="auto" w:fill="auto"/>
          </w:tcPr>
          <w:p w14:paraId="32367EF8"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Prefáza</w:t>
            </w:r>
          </w:p>
        </w:tc>
        <w:tc>
          <w:tcPr>
            <w:tcW w:w="6732" w:type="dxa"/>
            <w:tcBorders>
              <w:top w:val="single" w:sz="4" w:space="0" w:color="auto"/>
              <w:bottom w:val="single" w:sz="4" w:space="0" w:color="auto"/>
            </w:tcBorders>
            <w:shd w:val="clear" w:color="auto" w:fill="auto"/>
          </w:tcPr>
          <w:p w14:paraId="32367EF9" w14:textId="77777777" w:rsidR="007C395B"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DEX 10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1-5;</w:t>
            </w:r>
          </w:p>
          <w:p w14:paraId="32367EFA" w14:textId="77777777" w:rsidR="007C395B"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CP 200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dni 3-5;</w:t>
            </w:r>
          </w:p>
          <w:p w14:paraId="32367EFB"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MTX 15 mg intratekálne, deň 1</w:t>
            </w:r>
          </w:p>
        </w:tc>
      </w:tr>
      <w:tr w:rsidR="000E5202" w:rsidRPr="00C83045" w14:paraId="32367F01" w14:textId="77777777" w:rsidTr="00BE6051">
        <w:trPr>
          <w:cantSplit/>
        </w:trPr>
        <w:tc>
          <w:tcPr>
            <w:tcW w:w="2148" w:type="dxa"/>
            <w:tcBorders>
              <w:top w:val="single" w:sz="4" w:space="0" w:color="auto"/>
              <w:bottom w:val="single" w:sz="4" w:space="0" w:color="auto"/>
            </w:tcBorders>
            <w:shd w:val="clear" w:color="auto" w:fill="auto"/>
          </w:tcPr>
          <w:p w14:paraId="32367EFD"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Indukčná liečba I</w:t>
            </w:r>
          </w:p>
        </w:tc>
        <w:tc>
          <w:tcPr>
            <w:tcW w:w="6732" w:type="dxa"/>
            <w:tcBorders>
              <w:top w:val="single" w:sz="4" w:space="0" w:color="auto"/>
              <w:bottom w:val="single" w:sz="4" w:space="0" w:color="auto"/>
            </w:tcBorders>
            <w:shd w:val="clear" w:color="auto" w:fill="auto"/>
          </w:tcPr>
          <w:p w14:paraId="32367EFE" w14:textId="77777777" w:rsidR="007C395B"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DEX 10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1-5;</w:t>
            </w:r>
          </w:p>
          <w:p w14:paraId="32367EFF" w14:textId="77777777" w:rsidR="007C395B"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VCR 2 mg i.v., dni 6, 13, 20;</w:t>
            </w:r>
          </w:p>
          <w:p w14:paraId="32367F00" w14:textId="77777777" w:rsidR="000E5202" w:rsidRPr="00C83045" w:rsidRDefault="007C395B"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w:t>
            </w:r>
            <w:r w:rsidR="000E5202" w:rsidRPr="00C83045">
              <w:rPr>
                <w:rFonts w:ascii="Times New Roman" w:hAnsi="Times New Roman"/>
                <w:color w:val="000000"/>
                <w:sz w:val="22"/>
                <w:szCs w:val="22"/>
                <w:lang w:val="sk-SK"/>
              </w:rPr>
              <w:t>aunorubicín 45 mg/m</w:t>
            </w:r>
            <w:r w:rsidR="000E5202" w:rsidRPr="00C83045">
              <w:rPr>
                <w:rFonts w:ascii="Times New Roman" w:hAnsi="Times New Roman"/>
                <w:color w:val="000000"/>
                <w:sz w:val="22"/>
                <w:szCs w:val="22"/>
                <w:vertAlign w:val="superscript"/>
                <w:lang w:val="sk-SK"/>
              </w:rPr>
              <w:t>2</w:t>
            </w:r>
            <w:r w:rsidR="000E5202" w:rsidRPr="00C83045">
              <w:rPr>
                <w:rFonts w:ascii="Times New Roman" w:hAnsi="Times New Roman"/>
                <w:color w:val="000000"/>
                <w:sz w:val="22"/>
                <w:szCs w:val="22"/>
                <w:lang w:val="sk-SK"/>
              </w:rPr>
              <w:t xml:space="preserve"> i.v., dni 6-7, 13-14</w:t>
            </w:r>
          </w:p>
        </w:tc>
      </w:tr>
      <w:tr w:rsidR="000E5202" w:rsidRPr="00C83045" w14:paraId="32367F06" w14:textId="77777777" w:rsidTr="00BE6051">
        <w:trPr>
          <w:cantSplit/>
        </w:trPr>
        <w:tc>
          <w:tcPr>
            <w:tcW w:w="2148" w:type="dxa"/>
            <w:tcBorders>
              <w:top w:val="single" w:sz="4" w:space="0" w:color="auto"/>
              <w:bottom w:val="single" w:sz="4" w:space="0" w:color="auto"/>
            </w:tcBorders>
            <w:shd w:val="clear" w:color="auto" w:fill="auto"/>
          </w:tcPr>
          <w:p w14:paraId="32367F02"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Indukčná liečba II</w:t>
            </w:r>
          </w:p>
        </w:tc>
        <w:tc>
          <w:tcPr>
            <w:tcW w:w="6732" w:type="dxa"/>
            <w:tcBorders>
              <w:top w:val="single" w:sz="4" w:space="0" w:color="auto"/>
              <w:bottom w:val="single" w:sz="4" w:space="0" w:color="auto"/>
            </w:tcBorders>
            <w:shd w:val="clear" w:color="auto" w:fill="auto"/>
          </w:tcPr>
          <w:p w14:paraId="32367F03" w14:textId="77777777" w:rsidR="007C395B"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CP 1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(1 h), dni 26, 46;</w:t>
            </w:r>
          </w:p>
          <w:p w14:paraId="32367F04" w14:textId="77777777" w:rsidR="007C395B"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Ara-C 75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(1 h), dni 28-31, 35-38, 42-45;</w:t>
            </w:r>
          </w:p>
          <w:p w14:paraId="32367F05"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6-MP 60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26-46</w:t>
            </w:r>
          </w:p>
        </w:tc>
      </w:tr>
      <w:tr w:rsidR="000E5202" w:rsidRPr="00C83045" w14:paraId="32367F0D" w14:textId="77777777" w:rsidTr="00BE6051">
        <w:trPr>
          <w:cantSplit/>
        </w:trPr>
        <w:tc>
          <w:tcPr>
            <w:tcW w:w="2148" w:type="dxa"/>
            <w:tcBorders>
              <w:top w:val="nil"/>
              <w:bottom w:val="single" w:sz="4" w:space="0" w:color="auto"/>
            </w:tcBorders>
            <w:shd w:val="clear" w:color="auto" w:fill="auto"/>
          </w:tcPr>
          <w:p w14:paraId="32367F07" w14:textId="77777777" w:rsidR="000E5202" w:rsidRPr="00C83045" w:rsidRDefault="000E5202" w:rsidP="00D4304B">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Konsolidačná liečba</w:t>
            </w:r>
          </w:p>
        </w:tc>
        <w:tc>
          <w:tcPr>
            <w:tcW w:w="6732" w:type="dxa"/>
            <w:tcBorders>
              <w:top w:val="nil"/>
              <w:bottom w:val="single" w:sz="4" w:space="0" w:color="auto"/>
            </w:tcBorders>
            <w:shd w:val="clear" w:color="auto" w:fill="auto"/>
          </w:tcPr>
          <w:p w14:paraId="32367F08" w14:textId="77777777" w:rsidR="007C395B" w:rsidRPr="00C83045" w:rsidRDefault="000E5202" w:rsidP="00D4304B">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DEX 10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1-5;</w:t>
            </w:r>
          </w:p>
          <w:p w14:paraId="32367F09" w14:textId="77777777" w:rsidR="007C395B" w:rsidRPr="00C83045" w:rsidRDefault="007C395B" w:rsidP="00D4304B">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w:t>
            </w:r>
            <w:r w:rsidR="000E5202" w:rsidRPr="00C83045">
              <w:rPr>
                <w:rFonts w:ascii="Times New Roman" w:hAnsi="Times New Roman"/>
                <w:color w:val="000000"/>
                <w:sz w:val="22"/>
                <w:szCs w:val="22"/>
                <w:lang w:val="sk-SK"/>
              </w:rPr>
              <w:t>indezín 3 mg/m</w:t>
            </w:r>
            <w:r w:rsidR="000E5202" w:rsidRPr="00C83045">
              <w:rPr>
                <w:rFonts w:ascii="Times New Roman" w:hAnsi="Times New Roman"/>
                <w:color w:val="000000"/>
                <w:sz w:val="22"/>
                <w:szCs w:val="22"/>
                <w:vertAlign w:val="superscript"/>
                <w:lang w:val="sk-SK"/>
              </w:rPr>
              <w:t>2</w:t>
            </w:r>
            <w:r w:rsidR="000E5202" w:rsidRPr="00C83045">
              <w:rPr>
                <w:rFonts w:ascii="Times New Roman" w:hAnsi="Times New Roman"/>
                <w:color w:val="000000"/>
                <w:sz w:val="22"/>
                <w:szCs w:val="22"/>
                <w:lang w:val="sk-SK"/>
              </w:rPr>
              <w:t xml:space="preserve"> i.v., deň 1;</w:t>
            </w:r>
          </w:p>
          <w:p w14:paraId="32367F0A" w14:textId="77777777" w:rsidR="007C395B" w:rsidRPr="00C83045" w:rsidRDefault="000E5202" w:rsidP="00D4304B">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MTX 1,5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(24 h), deň 1;</w:t>
            </w:r>
          </w:p>
          <w:p w14:paraId="32367F0B" w14:textId="77777777" w:rsidR="007C395B" w:rsidRPr="00C83045" w:rsidRDefault="007C395B" w:rsidP="00D4304B">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E</w:t>
            </w:r>
            <w:r w:rsidR="000E5202" w:rsidRPr="00C83045">
              <w:rPr>
                <w:rFonts w:ascii="Times New Roman" w:hAnsi="Times New Roman"/>
                <w:color w:val="000000"/>
                <w:sz w:val="22"/>
                <w:szCs w:val="22"/>
                <w:lang w:val="sk-SK"/>
              </w:rPr>
              <w:t>topozid 250 mg/m</w:t>
            </w:r>
            <w:r w:rsidR="000E5202" w:rsidRPr="00C83045">
              <w:rPr>
                <w:rFonts w:ascii="Times New Roman" w:hAnsi="Times New Roman"/>
                <w:color w:val="000000"/>
                <w:sz w:val="22"/>
                <w:szCs w:val="22"/>
                <w:vertAlign w:val="superscript"/>
                <w:lang w:val="sk-SK"/>
              </w:rPr>
              <w:t>2</w:t>
            </w:r>
            <w:r w:rsidR="000E5202" w:rsidRPr="00C83045">
              <w:rPr>
                <w:rFonts w:ascii="Times New Roman" w:hAnsi="Times New Roman"/>
                <w:color w:val="000000"/>
                <w:sz w:val="22"/>
                <w:szCs w:val="22"/>
                <w:lang w:val="sk-SK"/>
              </w:rPr>
              <w:t xml:space="preserve"> i.v. (1 h) dni 4-5;</w:t>
            </w:r>
          </w:p>
          <w:p w14:paraId="32367F0C" w14:textId="77777777" w:rsidR="000E5202" w:rsidRPr="00C83045" w:rsidRDefault="000E5202" w:rsidP="00D4304B">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Ara-C 2x 2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(3 h, q 12 h), deň 5</w:t>
            </w:r>
          </w:p>
        </w:tc>
      </w:tr>
      <w:tr w:rsidR="004648BE" w:rsidRPr="00C83045" w14:paraId="32367F0F" w14:textId="77777777" w:rsidTr="00BE6051">
        <w:trPr>
          <w:cantSplit/>
        </w:trPr>
        <w:tc>
          <w:tcPr>
            <w:tcW w:w="8880" w:type="dxa"/>
            <w:gridSpan w:val="2"/>
            <w:tcBorders>
              <w:top w:val="nil"/>
              <w:bottom w:val="single" w:sz="4" w:space="0" w:color="auto"/>
            </w:tcBorders>
            <w:shd w:val="clear" w:color="auto" w:fill="auto"/>
          </w:tcPr>
          <w:p w14:paraId="32367F0E" w14:textId="77777777" w:rsidR="004648BE" w:rsidRPr="00C83045" w:rsidRDefault="004648BE"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b/>
                <w:color w:val="000000"/>
                <w:sz w:val="22"/>
                <w:szCs w:val="22"/>
                <w:lang w:val="sk-SK"/>
              </w:rPr>
              <w:t>Klinické skúšanie AJP01</w:t>
            </w:r>
          </w:p>
        </w:tc>
      </w:tr>
      <w:tr w:rsidR="000E5202" w:rsidRPr="00C83045" w14:paraId="32367F15" w14:textId="77777777" w:rsidTr="00BE6051">
        <w:trPr>
          <w:cantSplit/>
        </w:trPr>
        <w:tc>
          <w:tcPr>
            <w:tcW w:w="2148" w:type="dxa"/>
            <w:tcBorders>
              <w:top w:val="nil"/>
              <w:bottom w:val="single" w:sz="4" w:space="0" w:color="auto"/>
            </w:tcBorders>
            <w:shd w:val="clear" w:color="auto" w:fill="auto"/>
          </w:tcPr>
          <w:p w14:paraId="32367F10" w14:textId="77777777" w:rsidR="000E5202" w:rsidRPr="00C83045" w:rsidRDefault="000E5202" w:rsidP="00D4304B">
            <w:pPr>
              <w:pStyle w:val="Table"/>
              <w:keepLines w:val="0"/>
              <w:widowControl w:val="0"/>
              <w:spacing w:before="0" w:after="0"/>
              <w:jc w:val="both"/>
              <w:rPr>
                <w:rFonts w:ascii="Times New Roman" w:hAnsi="Times New Roman"/>
                <w:color w:val="000000"/>
                <w:sz w:val="22"/>
                <w:szCs w:val="22"/>
                <w:lang w:val="sk-SK"/>
              </w:rPr>
            </w:pPr>
            <w:r w:rsidRPr="00C83045">
              <w:rPr>
                <w:rFonts w:ascii="Times New Roman" w:hAnsi="Times New Roman"/>
                <w:color w:val="000000"/>
                <w:sz w:val="22"/>
                <w:szCs w:val="22"/>
                <w:lang w:val="sk-SK"/>
              </w:rPr>
              <w:t>Indukčná liečba</w:t>
            </w:r>
          </w:p>
        </w:tc>
        <w:tc>
          <w:tcPr>
            <w:tcW w:w="6732" w:type="dxa"/>
            <w:tcBorders>
              <w:top w:val="nil"/>
              <w:bottom w:val="single" w:sz="4" w:space="0" w:color="auto"/>
            </w:tcBorders>
            <w:shd w:val="clear" w:color="auto" w:fill="auto"/>
          </w:tcPr>
          <w:p w14:paraId="32367F11" w14:textId="77777777" w:rsidR="00B27D69"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CP 1,2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(3 h), deň 1;</w:t>
            </w:r>
          </w:p>
          <w:p w14:paraId="32367F12" w14:textId="77777777" w:rsidR="00B27D69" w:rsidRPr="00C83045" w:rsidRDefault="00B27D69"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w:t>
            </w:r>
            <w:r w:rsidR="000E5202" w:rsidRPr="00C83045">
              <w:rPr>
                <w:rFonts w:ascii="Times New Roman" w:hAnsi="Times New Roman"/>
                <w:color w:val="000000"/>
                <w:sz w:val="22"/>
                <w:szCs w:val="22"/>
                <w:lang w:val="sk-SK"/>
              </w:rPr>
              <w:t>aunorubicín 60 mg/m</w:t>
            </w:r>
            <w:r w:rsidR="000E5202" w:rsidRPr="00C83045">
              <w:rPr>
                <w:rFonts w:ascii="Times New Roman" w:hAnsi="Times New Roman"/>
                <w:color w:val="000000"/>
                <w:sz w:val="22"/>
                <w:szCs w:val="22"/>
                <w:vertAlign w:val="superscript"/>
                <w:lang w:val="sk-SK"/>
              </w:rPr>
              <w:t>2</w:t>
            </w:r>
            <w:r w:rsidR="000E5202" w:rsidRPr="00C83045">
              <w:rPr>
                <w:rFonts w:ascii="Times New Roman" w:hAnsi="Times New Roman"/>
                <w:color w:val="000000"/>
                <w:sz w:val="22"/>
                <w:szCs w:val="22"/>
                <w:lang w:val="sk-SK"/>
              </w:rPr>
              <w:t xml:space="preserve"> i.v. (1 h), dni 1-3;</w:t>
            </w:r>
          </w:p>
          <w:p w14:paraId="32367F13" w14:textId="77777777" w:rsidR="00B27D69" w:rsidRPr="00C83045" w:rsidRDefault="00B27D69"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w:t>
            </w:r>
            <w:r w:rsidR="000E5202" w:rsidRPr="00C83045">
              <w:rPr>
                <w:rFonts w:ascii="Times New Roman" w:hAnsi="Times New Roman"/>
                <w:color w:val="000000"/>
                <w:sz w:val="22"/>
                <w:szCs w:val="22"/>
                <w:lang w:val="sk-SK"/>
              </w:rPr>
              <w:t>inkristín 1,3 mg/m</w:t>
            </w:r>
            <w:r w:rsidR="000E5202" w:rsidRPr="00C83045">
              <w:rPr>
                <w:rFonts w:ascii="Times New Roman" w:hAnsi="Times New Roman"/>
                <w:color w:val="000000"/>
                <w:sz w:val="22"/>
                <w:szCs w:val="22"/>
                <w:vertAlign w:val="superscript"/>
                <w:lang w:val="sk-SK"/>
              </w:rPr>
              <w:t>2</w:t>
            </w:r>
            <w:r w:rsidR="000E5202" w:rsidRPr="00C83045">
              <w:rPr>
                <w:rFonts w:ascii="Times New Roman" w:hAnsi="Times New Roman"/>
                <w:color w:val="000000"/>
                <w:sz w:val="22"/>
                <w:szCs w:val="22"/>
                <w:lang w:val="sk-SK"/>
              </w:rPr>
              <w:t xml:space="preserve"> i.v., dni 1, 8, 15, 21;</w:t>
            </w:r>
          </w:p>
          <w:p w14:paraId="32367F14" w14:textId="77777777" w:rsidR="000E5202" w:rsidRPr="00C83045" w:rsidRDefault="00B27D69"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P</w:t>
            </w:r>
            <w:r w:rsidR="000E5202" w:rsidRPr="00C83045">
              <w:rPr>
                <w:rFonts w:ascii="Times New Roman" w:hAnsi="Times New Roman"/>
                <w:color w:val="000000"/>
                <w:sz w:val="22"/>
                <w:szCs w:val="22"/>
                <w:lang w:val="sk-SK"/>
              </w:rPr>
              <w:t>rednizolón 60 mg/m</w:t>
            </w:r>
            <w:r w:rsidR="000E5202" w:rsidRPr="00C83045">
              <w:rPr>
                <w:rFonts w:ascii="Times New Roman" w:hAnsi="Times New Roman"/>
                <w:color w:val="000000"/>
                <w:sz w:val="22"/>
                <w:szCs w:val="22"/>
                <w:vertAlign w:val="superscript"/>
                <w:lang w:val="sk-SK"/>
              </w:rPr>
              <w:t>2</w:t>
            </w:r>
            <w:r w:rsidR="000E5202" w:rsidRPr="00C83045">
              <w:rPr>
                <w:rFonts w:ascii="Times New Roman" w:hAnsi="Times New Roman"/>
                <w:color w:val="000000"/>
                <w:sz w:val="22"/>
                <w:szCs w:val="22"/>
                <w:lang w:val="sk-SK"/>
              </w:rPr>
              <w:t>/deň perorálne</w:t>
            </w:r>
          </w:p>
        </w:tc>
      </w:tr>
      <w:tr w:rsidR="000E5202" w:rsidRPr="00C83045" w14:paraId="32367F18" w14:textId="77777777" w:rsidTr="00BE6051">
        <w:trPr>
          <w:cantSplit/>
        </w:trPr>
        <w:tc>
          <w:tcPr>
            <w:tcW w:w="2148" w:type="dxa"/>
            <w:tcBorders>
              <w:top w:val="single" w:sz="4" w:space="0" w:color="auto"/>
              <w:bottom w:val="single" w:sz="4" w:space="0" w:color="auto"/>
            </w:tcBorders>
            <w:shd w:val="clear" w:color="auto" w:fill="auto"/>
          </w:tcPr>
          <w:p w14:paraId="32367F16" w14:textId="77777777" w:rsidR="000E5202" w:rsidRPr="00C83045" w:rsidRDefault="000E5202" w:rsidP="00D4304B">
            <w:pPr>
              <w:pStyle w:val="Table"/>
              <w:keepLines w:val="0"/>
              <w:widowControl w:val="0"/>
              <w:tabs>
                <w:tab w:val="left" w:pos="0"/>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Konsolidačná liečba</w:t>
            </w:r>
          </w:p>
        </w:tc>
        <w:tc>
          <w:tcPr>
            <w:tcW w:w="6732" w:type="dxa"/>
            <w:tcBorders>
              <w:top w:val="single" w:sz="4" w:space="0" w:color="auto"/>
              <w:bottom w:val="single" w:sz="4" w:space="0" w:color="auto"/>
            </w:tcBorders>
            <w:shd w:val="clear" w:color="auto" w:fill="auto"/>
          </w:tcPr>
          <w:p w14:paraId="32367F17" w14:textId="77777777" w:rsidR="000E5202" w:rsidRPr="00C83045" w:rsidRDefault="000E5202" w:rsidP="00D4304B">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 xml:space="preserve">Striedavý cyklus chemoterapie: chemoterapia vysokými dávkami </w:t>
            </w:r>
            <w:smartTag w:uri="urn:schemas-microsoft-com:office:smarttags" w:element="stockticker">
              <w:r w:rsidRPr="00C83045">
                <w:rPr>
                  <w:rFonts w:ascii="Times New Roman" w:hAnsi="Times New Roman"/>
                  <w:color w:val="000000"/>
                  <w:sz w:val="22"/>
                  <w:szCs w:val="22"/>
                  <w:lang w:val="sk-SK"/>
                </w:rPr>
                <w:t>MTX</w:t>
              </w:r>
            </w:smartTag>
            <w:r w:rsidRPr="00C83045">
              <w:rPr>
                <w:rFonts w:ascii="Times New Roman" w:hAnsi="Times New Roman"/>
                <w:color w:val="000000"/>
                <w:sz w:val="22"/>
                <w:szCs w:val="22"/>
                <w:lang w:val="sk-SK"/>
              </w:rPr>
              <w:t xml:space="preserve"> 1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(24 h), deň 1, a Ara-C 2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(q 12 h), dni 2-3, počas 4 cyklov</w:t>
            </w:r>
          </w:p>
        </w:tc>
      </w:tr>
      <w:tr w:rsidR="000E5202" w:rsidRPr="00C83045" w14:paraId="32367F1C" w14:textId="77777777" w:rsidTr="00BE6051">
        <w:trPr>
          <w:cantSplit/>
        </w:trPr>
        <w:tc>
          <w:tcPr>
            <w:tcW w:w="2148" w:type="dxa"/>
            <w:tcBorders>
              <w:top w:val="single" w:sz="4" w:space="0" w:color="auto"/>
              <w:bottom w:val="single" w:sz="4" w:space="0" w:color="auto"/>
            </w:tcBorders>
            <w:shd w:val="clear" w:color="auto" w:fill="auto"/>
          </w:tcPr>
          <w:p w14:paraId="32367F19" w14:textId="77777777" w:rsidR="000E5202" w:rsidRPr="00C83045" w:rsidRDefault="000E5202" w:rsidP="00D4304B">
            <w:pPr>
              <w:pStyle w:val="Table"/>
              <w:keepNext w:val="0"/>
              <w:keepLines w:val="0"/>
              <w:widowControl w:val="0"/>
              <w:tabs>
                <w:tab w:val="left" w:pos="0"/>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Udržiavacia liečba</w:t>
            </w:r>
          </w:p>
        </w:tc>
        <w:tc>
          <w:tcPr>
            <w:tcW w:w="6732" w:type="dxa"/>
            <w:tcBorders>
              <w:top w:val="single" w:sz="4" w:space="0" w:color="auto"/>
              <w:bottom w:val="single" w:sz="4" w:space="0" w:color="auto"/>
            </w:tcBorders>
            <w:shd w:val="clear" w:color="auto" w:fill="auto"/>
          </w:tcPr>
          <w:p w14:paraId="32367F1A" w14:textId="77777777" w:rsidR="00C92309" w:rsidRPr="00C83045" w:rsidRDefault="000E5202" w:rsidP="00D4304B">
            <w:pPr>
              <w:pStyle w:val="Table"/>
              <w:keepNext w:val="0"/>
              <w:keepLines w:val="0"/>
              <w:widowControl w:val="0"/>
              <w:spacing w:before="0" w:after="0"/>
              <w:rPr>
                <w:rFonts w:ascii="Times New Roman" w:hAnsi="Times New Roman"/>
                <w:color w:val="000000"/>
                <w:sz w:val="22"/>
                <w:szCs w:val="22"/>
                <w:lang w:val="sk-SK"/>
              </w:rPr>
            </w:pPr>
            <w:smartTag w:uri="urn:schemas-microsoft-com:office:smarttags" w:element="stockticker">
              <w:r w:rsidRPr="00C83045">
                <w:rPr>
                  <w:rFonts w:ascii="Times New Roman" w:hAnsi="Times New Roman"/>
                  <w:color w:val="000000"/>
                  <w:sz w:val="22"/>
                  <w:szCs w:val="22"/>
                  <w:lang w:val="sk-SK"/>
                </w:rPr>
                <w:t>VCR</w:t>
              </w:r>
            </w:smartTag>
            <w:r w:rsidRPr="00C83045">
              <w:rPr>
                <w:rFonts w:ascii="Times New Roman" w:hAnsi="Times New Roman"/>
                <w:color w:val="000000"/>
                <w:sz w:val="22"/>
                <w:szCs w:val="22"/>
                <w:lang w:val="sk-SK"/>
              </w:rPr>
              <w:t xml:space="preserve"> 1,3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deň 1;</w:t>
            </w:r>
          </w:p>
          <w:p w14:paraId="32367F1B" w14:textId="77777777" w:rsidR="000E5202" w:rsidRPr="00C83045" w:rsidRDefault="00C92309" w:rsidP="00D4304B">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P</w:t>
            </w:r>
            <w:r w:rsidR="000E5202" w:rsidRPr="00C83045">
              <w:rPr>
                <w:rFonts w:ascii="Times New Roman" w:hAnsi="Times New Roman"/>
                <w:color w:val="000000"/>
                <w:sz w:val="22"/>
                <w:szCs w:val="22"/>
                <w:lang w:val="sk-SK"/>
              </w:rPr>
              <w:t>rednizolón 60 mg/m</w:t>
            </w:r>
            <w:r w:rsidR="000E5202" w:rsidRPr="00C83045">
              <w:rPr>
                <w:rFonts w:ascii="Times New Roman" w:hAnsi="Times New Roman"/>
                <w:color w:val="000000"/>
                <w:sz w:val="22"/>
                <w:szCs w:val="22"/>
                <w:vertAlign w:val="superscript"/>
                <w:lang w:val="sk-SK"/>
              </w:rPr>
              <w:t>2</w:t>
            </w:r>
            <w:r w:rsidR="000E5202" w:rsidRPr="00C83045">
              <w:rPr>
                <w:rFonts w:ascii="Times New Roman" w:hAnsi="Times New Roman"/>
                <w:color w:val="000000"/>
                <w:sz w:val="22"/>
                <w:szCs w:val="22"/>
                <w:lang w:val="sk-SK"/>
              </w:rPr>
              <w:t xml:space="preserve"> perorálne, dni 1-5</w:t>
            </w:r>
          </w:p>
        </w:tc>
      </w:tr>
      <w:tr w:rsidR="004648BE" w:rsidRPr="00C83045" w14:paraId="32367F1E" w14:textId="77777777" w:rsidTr="00BE6051">
        <w:trPr>
          <w:cantSplit/>
        </w:trPr>
        <w:tc>
          <w:tcPr>
            <w:tcW w:w="8880" w:type="dxa"/>
            <w:gridSpan w:val="2"/>
            <w:tcBorders>
              <w:top w:val="single" w:sz="4" w:space="0" w:color="auto"/>
              <w:bottom w:val="single" w:sz="4" w:space="0" w:color="auto"/>
            </w:tcBorders>
            <w:shd w:val="clear" w:color="auto" w:fill="auto"/>
          </w:tcPr>
          <w:p w14:paraId="32367F1D" w14:textId="77777777" w:rsidR="004648BE" w:rsidRPr="00C83045" w:rsidRDefault="004648BE" w:rsidP="00D4304B">
            <w:pPr>
              <w:pStyle w:val="Table"/>
              <w:widowControl w:val="0"/>
              <w:spacing w:before="0" w:after="0"/>
              <w:rPr>
                <w:rFonts w:ascii="Times New Roman" w:hAnsi="Times New Roman"/>
                <w:color w:val="000000"/>
                <w:sz w:val="22"/>
                <w:szCs w:val="22"/>
                <w:lang w:val="sk-SK"/>
              </w:rPr>
            </w:pPr>
            <w:r w:rsidRPr="00C83045">
              <w:rPr>
                <w:rFonts w:ascii="Times New Roman" w:hAnsi="Times New Roman"/>
                <w:b/>
                <w:color w:val="000000"/>
                <w:sz w:val="22"/>
                <w:szCs w:val="22"/>
                <w:lang w:val="sk-SK"/>
              </w:rPr>
              <w:lastRenderedPageBreak/>
              <w:t>Klinické skúšanie AUS01</w:t>
            </w:r>
          </w:p>
        </w:tc>
      </w:tr>
      <w:tr w:rsidR="000E5202" w:rsidRPr="00C83045" w14:paraId="32367F24" w14:textId="77777777" w:rsidTr="00BE6051">
        <w:trPr>
          <w:cantSplit/>
        </w:trPr>
        <w:tc>
          <w:tcPr>
            <w:tcW w:w="2148" w:type="dxa"/>
            <w:tcBorders>
              <w:top w:val="single" w:sz="4" w:space="0" w:color="auto"/>
              <w:bottom w:val="single" w:sz="4" w:space="0" w:color="auto"/>
            </w:tcBorders>
            <w:shd w:val="clear" w:color="auto" w:fill="auto"/>
          </w:tcPr>
          <w:p w14:paraId="32367F1F" w14:textId="77777777" w:rsidR="000E5202" w:rsidRPr="00C83045" w:rsidRDefault="000E5202" w:rsidP="00D4304B">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Indukčno-konsolidačná liečba</w:t>
            </w:r>
          </w:p>
        </w:tc>
        <w:tc>
          <w:tcPr>
            <w:tcW w:w="6732" w:type="dxa"/>
            <w:tcBorders>
              <w:top w:val="single" w:sz="4" w:space="0" w:color="auto"/>
              <w:bottom w:val="single" w:sz="4" w:space="0" w:color="auto"/>
            </w:tcBorders>
            <w:shd w:val="clear" w:color="auto" w:fill="auto"/>
          </w:tcPr>
          <w:p w14:paraId="32367F20" w14:textId="77777777" w:rsidR="00F34577" w:rsidRPr="00C83045" w:rsidRDefault="000E5202" w:rsidP="00D4304B">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Režim hyper-CVAD: CP 300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(3 h, q 12 h), dni 1-3;</w:t>
            </w:r>
          </w:p>
          <w:p w14:paraId="32367F21" w14:textId="77777777" w:rsidR="00F34577" w:rsidRPr="00C83045" w:rsidRDefault="00F34577" w:rsidP="00D4304B">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w:t>
            </w:r>
            <w:r w:rsidR="000E5202" w:rsidRPr="00C83045">
              <w:rPr>
                <w:rFonts w:ascii="Times New Roman" w:hAnsi="Times New Roman"/>
                <w:color w:val="000000"/>
                <w:sz w:val="22"/>
                <w:szCs w:val="22"/>
                <w:lang w:val="sk-SK"/>
              </w:rPr>
              <w:t>inkristín 2 mg i.v., dni 4, 11;</w:t>
            </w:r>
          </w:p>
          <w:p w14:paraId="32367F22" w14:textId="77777777" w:rsidR="00F34577" w:rsidRPr="00C83045" w:rsidRDefault="00F34577" w:rsidP="00D4304B">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w:t>
            </w:r>
            <w:r w:rsidR="000E5202" w:rsidRPr="00C83045">
              <w:rPr>
                <w:rFonts w:ascii="Times New Roman" w:hAnsi="Times New Roman"/>
                <w:color w:val="000000"/>
                <w:sz w:val="22"/>
                <w:szCs w:val="22"/>
                <w:lang w:val="sk-SK"/>
              </w:rPr>
              <w:t>oxorubicín 50 mg/m</w:t>
            </w:r>
            <w:r w:rsidR="000E5202" w:rsidRPr="00C83045">
              <w:rPr>
                <w:rFonts w:ascii="Times New Roman" w:hAnsi="Times New Roman"/>
                <w:color w:val="000000"/>
                <w:sz w:val="22"/>
                <w:szCs w:val="22"/>
                <w:vertAlign w:val="superscript"/>
                <w:lang w:val="sk-SK"/>
              </w:rPr>
              <w:t>2</w:t>
            </w:r>
            <w:r w:rsidR="000E5202" w:rsidRPr="00C83045">
              <w:rPr>
                <w:rFonts w:ascii="Times New Roman" w:hAnsi="Times New Roman"/>
                <w:color w:val="000000"/>
                <w:sz w:val="22"/>
                <w:szCs w:val="22"/>
                <w:lang w:val="sk-SK"/>
              </w:rPr>
              <w:t xml:space="preserve"> i.v. (24 h), deň 4;</w:t>
            </w:r>
          </w:p>
          <w:p w14:paraId="32367F23" w14:textId="77777777" w:rsidR="000E5202" w:rsidRPr="00C83045" w:rsidRDefault="000E5202" w:rsidP="00D4304B">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 xml:space="preserve">DEX 40 mg/deň v dňoch 1-4 a 11-14, striedavo s </w:t>
            </w:r>
            <w:smartTag w:uri="urn:schemas-microsoft-com:office:smarttags" w:element="stockticker">
              <w:r w:rsidRPr="00C83045">
                <w:rPr>
                  <w:rFonts w:ascii="Times New Roman" w:hAnsi="Times New Roman"/>
                  <w:color w:val="000000"/>
                  <w:sz w:val="22"/>
                  <w:szCs w:val="22"/>
                  <w:lang w:val="sk-SK"/>
                </w:rPr>
                <w:t>MTX</w:t>
              </w:r>
            </w:smartTag>
            <w:r w:rsidRPr="00C83045">
              <w:rPr>
                <w:rFonts w:ascii="Times New Roman" w:hAnsi="Times New Roman"/>
                <w:color w:val="000000"/>
                <w:sz w:val="22"/>
                <w:szCs w:val="22"/>
                <w:lang w:val="sk-SK"/>
              </w:rPr>
              <w:t xml:space="preserve"> 1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(24 h), deň 1, Ara-C 1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(2 h, q 12 h), dni 2-3 (celkovo 8 cyklov)</w:t>
            </w:r>
          </w:p>
        </w:tc>
      </w:tr>
      <w:tr w:rsidR="000E5202" w:rsidRPr="00C83045" w14:paraId="32367F28" w14:textId="77777777" w:rsidTr="00BE6051">
        <w:trPr>
          <w:cantSplit/>
        </w:trPr>
        <w:tc>
          <w:tcPr>
            <w:tcW w:w="2148" w:type="dxa"/>
            <w:tcBorders>
              <w:top w:val="single" w:sz="4" w:space="0" w:color="auto"/>
              <w:bottom w:val="single" w:sz="4" w:space="0" w:color="auto"/>
            </w:tcBorders>
            <w:shd w:val="clear" w:color="auto" w:fill="auto"/>
          </w:tcPr>
          <w:p w14:paraId="32367F25" w14:textId="77777777" w:rsidR="000E5202" w:rsidRPr="00C83045" w:rsidRDefault="000E5202" w:rsidP="00D4304B">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Udržiavacia liečba</w:t>
            </w:r>
          </w:p>
        </w:tc>
        <w:tc>
          <w:tcPr>
            <w:tcW w:w="6732" w:type="dxa"/>
            <w:tcBorders>
              <w:top w:val="single" w:sz="4" w:space="0" w:color="auto"/>
              <w:bottom w:val="single" w:sz="4" w:space="0" w:color="auto"/>
            </w:tcBorders>
            <w:shd w:val="clear" w:color="auto" w:fill="auto"/>
          </w:tcPr>
          <w:p w14:paraId="32367F26" w14:textId="77777777" w:rsidR="00F34577" w:rsidRPr="00C83045" w:rsidRDefault="000E5202" w:rsidP="00D4304B">
            <w:pPr>
              <w:pStyle w:val="Table"/>
              <w:widowControl w:val="0"/>
              <w:spacing w:before="0" w:after="0"/>
              <w:rPr>
                <w:rFonts w:ascii="Times New Roman" w:hAnsi="Times New Roman"/>
                <w:color w:val="000000"/>
                <w:sz w:val="22"/>
                <w:szCs w:val="22"/>
                <w:lang w:val="sk-SK"/>
              </w:rPr>
            </w:pPr>
            <w:smartTag w:uri="urn:schemas-microsoft-com:office:smarttags" w:element="stockticker">
              <w:r w:rsidRPr="00C83045">
                <w:rPr>
                  <w:rFonts w:ascii="Times New Roman" w:hAnsi="Times New Roman"/>
                  <w:color w:val="000000"/>
                  <w:sz w:val="22"/>
                  <w:szCs w:val="22"/>
                  <w:lang w:val="sk-SK"/>
                </w:rPr>
                <w:t>VCR</w:t>
              </w:r>
            </w:smartTag>
            <w:r w:rsidRPr="00C83045">
              <w:rPr>
                <w:rFonts w:ascii="Times New Roman" w:hAnsi="Times New Roman"/>
                <w:color w:val="000000"/>
                <w:sz w:val="22"/>
                <w:szCs w:val="22"/>
                <w:lang w:val="sk-SK"/>
              </w:rPr>
              <w:t xml:space="preserve"> 2 mg i.v. každý mesiac počas 13 mesiacov;</w:t>
            </w:r>
          </w:p>
          <w:p w14:paraId="32367F27" w14:textId="77777777" w:rsidR="000E5202" w:rsidRPr="00C83045" w:rsidRDefault="00F34577" w:rsidP="00D4304B">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P</w:t>
            </w:r>
            <w:r w:rsidR="000E5202" w:rsidRPr="00C83045">
              <w:rPr>
                <w:rFonts w:ascii="Times New Roman" w:hAnsi="Times New Roman"/>
                <w:color w:val="000000"/>
                <w:sz w:val="22"/>
                <w:szCs w:val="22"/>
                <w:lang w:val="sk-SK"/>
              </w:rPr>
              <w:t>rednizolón 200 mg perorálne, 5 dní v mesiaci počas 13 mesiacov</w:t>
            </w:r>
          </w:p>
        </w:tc>
      </w:tr>
      <w:tr w:rsidR="000E5202" w:rsidRPr="00C83045" w14:paraId="32367F2A" w14:textId="77777777" w:rsidTr="00BE6051">
        <w:trPr>
          <w:cantSplit/>
        </w:trPr>
        <w:tc>
          <w:tcPr>
            <w:tcW w:w="8880" w:type="dxa"/>
            <w:gridSpan w:val="2"/>
            <w:tcBorders>
              <w:top w:val="single" w:sz="4" w:space="0" w:color="auto"/>
              <w:bottom w:val="single" w:sz="4" w:space="0" w:color="auto"/>
            </w:tcBorders>
            <w:shd w:val="clear" w:color="auto" w:fill="auto"/>
          </w:tcPr>
          <w:p w14:paraId="32367F29" w14:textId="77777777" w:rsidR="000E5202" w:rsidRPr="00C83045" w:rsidRDefault="000E5202" w:rsidP="00D4304B">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 xml:space="preserve">Všetky režimy liečby zahŕňajú podanie steroidov na profylaxiu </w:t>
            </w:r>
            <w:smartTag w:uri="urn:schemas-microsoft-com:office:smarttags" w:element="stockticker">
              <w:r w:rsidRPr="00C83045">
                <w:rPr>
                  <w:rFonts w:ascii="Times New Roman" w:hAnsi="Times New Roman"/>
                  <w:color w:val="000000"/>
                  <w:sz w:val="22"/>
                  <w:szCs w:val="22"/>
                  <w:lang w:val="sk-SK"/>
                </w:rPr>
                <w:t>CNS</w:t>
              </w:r>
            </w:smartTag>
            <w:r w:rsidRPr="00C83045">
              <w:rPr>
                <w:rFonts w:ascii="Times New Roman" w:hAnsi="Times New Roman"/>
                <w:color w:val="000000"/>
                <w:sz w:val="22"/>
                <w:szCs w:val="22"/>
                <w:lang w:val="sk-SK"/>
              </w:rPr>
              <w:t>.</w:t>
            </w:r>
          </w:p>
        </w:tc>
      </w:tr>
      <w:tr w:rsidR="000E5202" w:rsidRPr="00C83045" w14:paraId="32367F2C" w14:textId="77777777" w:rsidTr="00BE6051">
        <w:trPr>
          <w:cantSplit/>
        </w:trPr>
        <w:tc>
          <w:tcPr>
            <w:tcW w:w="8880" w:type="dxa"/>
            <w:gridSpan w:val="2"/>
            <w:tcBorders>
              <w:top w:val="single" w:sz="4" w:space="0" w:color="auto"/>
              <w:bottom w:val="single" w:sz="4" w:space="0" w:color="auto"/>
            </w:tcBorders>
            <w:shd w:val="clear" w:color="auto" w:fill="auto"/>
          </w:tcPr>
          <w:p w14:paraId="32367F2B" w14:textId="77777777" w:rsidR="000E5202" w:rsidRPr="00C83045" w:rsidRDefault="000E5202" w:rsidP="00D4304B">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 xml:space="preserve">Ara-C: cytozínarabinozid; CP: cyklofosfamid; DEX: dexametazón; </w:t>
            </w:r>
            <w:smartTag w:uri="urn:schemas-microsoft-com:office:smarttags" w:element="stockticker">
              <w:r w:rsidRPr="00C83045">
                <w:rPr>
                  <w:rFonts w:ascii="Times New Roman" w:hAnsi="Times New Roman"/>
                  <w:color w:val="000000"/>
                  <w:sz w:val="22"/>
                  <w:szCs w:val="22"/>
                  <w:lang w:val="sk-SK"/>
                </w:rPr>
                <w:t>MTX</w:t>
              </w:r>
            </w:smartTag>
            <w:r w:rsidRPr="00C83045">
              <w:rPr>
                <w:rFonts w:ascii="Times New Roman" w:hAnsi="Times New Roman"/>
                <w:color w:val="000000"/>
                <w:sz w:val="22"/>
                <w:szCs w:val="22"/>
                <w:lang w:val="sk-SK"/>
              </w:rPr>
              <w:t xml:space="preserve">: metotrexát; 6-MP: 6-merkaptopurín; VM26: tenipozid; </w:t>
            </w:r>
            <w:smartTag w:uri="urn:schemas-microsoft-com:office:smarttags" w:element="stockticker">
              <w:r w:rsidRPr="00C83045">
                <w:rPr>
                  <w:rFonts w:ascii="Times New Roman" w:hAnsi="Times New Roman"/>
                  <w:color w:val="000000"/>
                  <w:sz w:val="22"/>
                  <w:szCs w:val="22"/>
                  <w:lang w:val="sk-SK"/>
                </w:rPr>
                <w:t>VCR</w:t>
              </w:r>
            </w:smartTag>
            <w:r w:rsidRPr="00C83045">
              <w:rPr>
                <w:rFonts w:ascii="Times New Roman" w:hAnsi="Times New Roman"/>
                <w:color w:val="000000"/>
                <w:sz w:val="22"/>
                <w:szCs w:val="22"/>
                <w:lang w:val="sk-SK"/>
              </w:rPr>
              <w:t xml:space="preserve">: vinkristín; </w:t>
            </w:r>
            <w:smartTag w:uri="urn:schemas-microsoft-com:office:smarttags" w:element="stockticker">
              <w:r w:rsidRPr="00C83045">
                <w:rPr>
                  <w:rFonts w:ascii="Times New Roman" w:hAnsi="Times New Roman"/>
                  <w:color w:val="000000"/>
                  <w:sz w:val="22"/>
                  <w:szCs w:val="22"/>
                  <w:lang w:val="sk-SK"/>
                </w:rPr>
                <w:t>IDA</w:t>
              </w:r>
            </w:smartTag>
            <w:r w:rsidRPr="00C83045">
              <w:rPr>
                <w:rFonts w:ascii="Times New Roman" w:hAnsi="Times New Roman"/>
                <w:color w:val="000000"/>
                <w:sz w:val="22"/>
                <w:szCs w:val="22"/>
                <w:lang w:val="sk-SK"/>
              </w:rPr>
              <w:t>: idarubicín; i.v.: intravenózne</w:t>
            </w:r>
          </w:p>
        </w:tc>
      </w:tr>
    </w:tbl>
    <w:p w14:paraId="32367F2D" w14:textId="77777777" w:rsidR="000B4887" w:rsidRPr="00C83045" w:rsidRDefault="000B4887" w:rsidP="00D4304B">
      <w:pPr>
        <w:pStyle w:val="EndnoteText"/>
        <w:widowControl w:val="0"/>
        <w:rPr>
          <w:i/>
          <w:color w:val="000000"/>
          <w:lang w:val="sk-SK"/>
        </w:rPr>
      </w:pPr>
    </w:p>
    <w:p w14:paraId="32367F2E" w14:textId="77777777" w:rsidR="00F31B44" w:rsidRPr="00C83045" w:rsidRDefault="006C2F85" w:rsidP="00D4304B">
      <w:pPr>
        <w:pStyle w:val="EndnoteText"/>
        <w:widowControl w:val="0"/>
        <w:rPr>
          <w:color w:val="000000"/>
          <w:lang w:val="sk-SK"/>
        </w:rPr>
      </w:pPr>
      <w:r w:rsidRPr="00C83045">
        <w:rPr>
          <w:i/>
          <w:color w:val="000000"/>
          <w:lang w:val="sk-SK"/>
        </w:rPr>
        <w:t>P</w:t>
      </w:r>
      <w:r w:rsidR="00F31B44" w:rsidRPr="00C83045">
        <w:rPr>
          <w:i/>
          <w:color w:val="000000"/>
          <w:lang w:val="sk-SK"/>
        </w:rPr>
        <w:t>ediatric</w:t>
      </w:r>
      <w:r w:rsidRPr="00C83045">
        <w:rPr>
          <w:i/>
          <w:color w:val="000000"/>
          <w:lang w:val="sk-SK"/>
        </w:rPr>
        <w:t>kí</w:t>
      </w:r>
      <w:r w:rsidR="00F31B44" w:rsidRPr="00C83045">
        <w:rPr>
          <w:i/>
          <w:color w:val="000000"/>
          <w:lang w:val="sk-SK"/>
        </w:rPr>
        <w:t xml:space="preserve"> pa</w:t>
      </w:r>
      <w:r w:rsidRPr="00C83045">
        <w:rPr>
          <w:i/>
          <w:color w:val="000000"/>
          <w:lang w:val="sk-SK"/>
        </w:rPr>
        <w:t>c</w:t>
      </w:r>
      <w:r w:rsidR="00F31B44" w:rsidRPr="00C83045">
        <w:rPr>
          <w:i/>
          <w:color w:val="000000"/>
          <w:lang w:val="sk-SK"/>
        </w:rPr>
        <w:t>ient</w:t>
      </w:r>
      <w:r w:rsidRPr="00C83045">
        <w:rPr>
          <w:i/>
          <w:color w:val="000000"/>
          <w:lang w:val="sk-SK"/>
        </w:rPr>
        <w:t>i</w:t>
      </w:r>
      <w:r w:rsidR="00F31B44" w:rsidRPr="00C83045">
        <w:rPr>
          <w:color w:val="000000"/>
          <w:lang w:val="sk-SK"/>
        </w:rPr>
        <w:t>:</w:t>
      </w:r>
      <w:r w:rsidR="00F31B44" w:rsidRPr="00C83045">
        <w:rPr>
          <w:lang w:val="sk-SK"/>
        </w:rPr>
        <w:t xml:space="preserve"> </w:t>
      </w:r>
      <w:r w:rsidR="00430B56" w:rsidRPr="00C83045">
        <w:rPr>
          <w:lang w:val="sk-SK"/>
        </w:rPr>
        <w:t xml:space="preserve">V štúdii </w:t>
      </w:r>
      <w:r w:rsidR="00F31B44" w:rsidRPr="00C83045">
        <w:rPr>
          <w:color w:val="000000"/>
          <w:lang w:val="sk-SK"/>
        </w:rPr>
        <w:t>I2301</w:t>
      </w:r>
      <w:r w:rsidR="00430B56" w:rsidRPr="00C83045">
        <w:rPr>
          <w:color w:val="000000"/>
          <w:lang w:val="sk-SK"/>
        </w:rPr>
        <w:t xml:space="preserve"> - otvorenom, multicentrickom, sekvenčne kohortnom, nerandomizovanom klinickom skúšaní fázy III bolo celkovo zaradených </w:t>
      </w:r>
      <w:r w:rsidR="00F31B44" w:rsidRPr="00C83045">
        <w:rPr>
          <w:color w:val="000000"/>
          <w:lang w:val="sk-SK"/>
        </w:rPr>
        <w:t>93</w:t>
      </w:r>
      <w:r w:rsidR="00176776" w:rsidRPr="00C83045">
        <w:rPr>
          <w:color w:val="000000"/>
          <w:lang w:val="sk-SK"/>
        </w:rPr>
        <w:t> </w:t>
      </w:r>
      <w:r w:rsidR="00430B56" w:rsidRPr="00C83045">
        <w:rPr>
          <w:color w:val="000000"/>
          <w:lang w:val="sk-SK"/>
        </w:rPr>
        <w:t>detských</w:t>
      </w:r>
      <w:r w:rsidR="00F31B44" w:rsidRPr="00C83045">
        <w:rPr>
          <w:color w:val="000000"/>
          <w:lang w:val="sk-SK"/>
        </w:rPr>
        <w:t xml:space="preserve">, </w:t>
      </w:r>
      <w:r w:rsidR="00430B56" w:rsidRPr="00C83045">
        <w:rPr>
          <w:color w:val="000000"/>
          <w:lang w:val="sk-SK"/>
        </w:rPr>
        <w:t>dospievajúcich a mladších dospelých pacientov</w:t>
      </w:r>
      <w:r w:rsidR="00F31B44" w:rsidRPr="00C83045">
        <w:rPr>
          <w:color w:val="000000"/>
          <w:lang w:val="sk-SK"/>
        </w:rPr>
        <w:t xml:space="preserve"> (</w:t>
      </w:r>
      <w:r w:rsidR="00430B56" w:rsidRPr="00C83045">
        <w:rPr>
          <w:color w:val="000000"/>
          <w:lang w:val="sk-SK"/>
        </w:rPr>
        <w:t xml:space="preserve">vo veku od </w:t>
      </w:r>
      <w:r w:rsidR="00F31B44" w:rsidRPr="00C83045">
        <w:rPr>
          <w:color w:val="000000"/>
          <w:lang w:val="sk-SK"/>
        </w:rPr>
        <w:t xml:space="preserve">1 </w:t>
      </w:r>
      <w:r w:rsidR="00430B56" w:rsidRPr="00C83045">
        <w:rPr>
          <w:color w:val="000000"/>
          <w:lang w:val="sk-SK"/>
        </w:rPr>
        <w:t>do</w:t>
      </w:r>
      <w:r w:rsidR="00F31B44" w:rsidRPr="00C83045">
        <w:rPr>
          <w:color w:val="000000"/>
          <w:lang w:val="sk-SK"/>
        </w:rPr>
        <w:t xml:space="preserve"> 22 </w:t>
      </w:r>
      <w:r w:rsidR="00430B56" w:rsidRPr="00C83045">
        <w:rPr>
          <w:color w:val="000000"/>
          <w:lang w:val="sk-SK"/>
        </w:rPr>
        <w:t>rokov</w:t>
      </w:r>
      <w:r w:rsidR="00F31B44" w:rsidRPr="00C83045">
        <w:rPr>
          <w:color w:val="000000"/>
          <w:lang w:val="sk-SK"/>
        </w:rPr>
        <w:t xml:space="preserve">) </w:t>
      </w:r>
      <w:r w:rsidR="00430B56" w:rsidRPr="00C83045">
        <w:rPr>
          <w:color w:val="000000"/>
          <w:lang w:val="sk-SK"/>
        </w:rPr>
        <w:t>s</w:t>
      </w:r>
      <w:r w:rsidR="00F31B44" w:rsidRPr="00C83045">
        <w:rPr>
          <w:color w:val="000000"/>
          <w:lang w:val="sk-SK"/>
        </w:rPr>
        <w:t xml:space="preserve"> Ph+ ALL</w:t>
      </w:r>
      <w:r w:rsidR="00430B56" w:rsidRPr="00C83045">
        <w:rPr>
          <w:color w:val="000000"/>
          <w:lang w:val="sk-SK"/>
        </w:rPr>
        <w:t>, ktorí boli liečení</w:t>
      </w:r>
      <w:r w:rsidR="00F31B44" w:rsidRPr="00C83045">
        <w:rPr>
          <w:color w:val="000000"/>
          <w:lang w:val="sk-SK"/>
        </w:rPr>
        <w:t xml:space="preserve"> Glivec</w:t>
      </w:r>
      <w:r w:rsidR="00430B56" w:rsidRPr="00C83045">
        <w:rPr>
          <w:color w:val="000000"/>
          <w:lang w:val="sk-SK"/>
        </w:rPr>
        <w:t>om</w:t>
      </w:r>
      <w:r w:rsidR="00F31B44" w:rsidRPr="00C83045">
        <w:rPr>
          <w:color w:val="000000"/>
          <w:lang w:val="sk-SK"/>
        </w:rPr>
        <w:t xml:space="preserve"> (340 mg/m</w:t>
      </w:r>
      <w:r w:rsidR="00F31B44" w:rsidRPr="00C83045">
        <w:rPr>
          <w:color w:val="000000"/>
          <w:vertAlign w:val="superscript"/>
          <w:lang w:val="sk-SK"/>
        </w:rPr>
        <w:t>2</w:t>
      </w:r>
      <w:r w:rsidR="00F31B44" w:rsidRPr="00C83045">
        <w:rPr>
          <w:color w:val="000000"/>
          <w:lang w:val="sk-SK"/>
        </w:rPr>
        <w:t>/d</w:t>
      </w:r>
      <w:r w:rsidR="00430B56" w:rsidRPr="00C83045">
        <w:rPr>
          <w:color w:val="000000"/>
          <w:lang w:val="sk-SK"/>
        </w:rPr>
        <w:t>eň</w:t>
      </w:r>
      <w:r w:rsidR="00F31B44" w:rsidRPr="00C83045">
        <w:rPr>
          <w:color w:val="000000"/>
          <w:lang w:val="sk-SK"/>
        </w:rPr>
        <w:t xml:space="preserve">) </w:t>
      </w:r>
      <w:r w:rsidR="00430B56" w:rsidRPr="00C83045">
        <w:rPr>
          <w:color w:val="000000"/>
          <w:lang w:val="sk-SK"/>
        </w:rPr>
        <w:t>v kombinácii s intenzívnou</w:t>
      </w:r>
      <w:r w:rsidR="00F31B44" w:rsidRPr="00C83045">
        <w:rPr>
          <w:color w:val="000000"/>
          <w:lang w:val="sk-SK"/>
        </w:rPr>
        <w:t xml:space="preserve"> chemoterap</w:t>
      </w:r>
      <w:r w:rsidR="00430B56" w:rsidRPr="00C83045">
        <w:rPr>
          <w:color w:val="000000"/>
          <w:lang w:val="sk-SK"/>
        </w:rPr>
        <w:t>iou</w:t>
      </w:r>
      <w:r w:rsidR="00F31B44" w:rsidRPr="00C83045">
        <w:rPr>
          <w:color w:val="000000"/>
          <w:lang w:val="sk-SK"/>
        </w:rPr>
        <w:t xml:space="preserve"> </w:t>
      </w:r>
      <w:r w:rsidR="00430B56" w:rsidRPr="00C83045">
        <w:rPr>
          <w:color w:val="000000"/>
          <w:lang w:val="sk-SK"/>
        </w:rPr>
        <w:t>po</w:t>
      </w:r>
      <w:r w:rsidR="0046423E" w:rsidRPr="00C83045">
        <w:rPr>
          <w:color w:val="000000"/>
          <w:lang w:val="sk-SK"/>
        </w:rPr>
        <w:t xml:space="preserve"> indukčnej</w:t>
      </w:r>
      <w:r w:rsidR="00430B56" w:rsidRPr="00C83045">
        <w:rPr>
          <w:color w:val="000000"/>
          <w:lang w:val="sk-SK"/>
        </w:rPr>
        <w:t xml:space="preserve"> liečbe</w:t>
      </w:r>
      <w:r w:rsidR="00F31B44" w:rsidRPr="00C83045">
        <w:rPr>
          <w:color w:val="000000"/>
          <w:lang w:val="sk-SK"/>
        </w:rPr>
        <w:t>. G</w:t>
      </w:r>
      <w:r w:rsidR="00915BE0" w:rsidRPr="00C83045">
        <w:rPr>
          <w:color w:val="000000"/>
          <w:lang w:val="sk-SK"/>
        </w:rPr>
        <w:t>l</w:t>
      </w:r>
      <w:r w:rsidR="00F31B44" w:rsidRPr="00C83045">
        <w:rPr>
          <w:color w:val="000000"/>
          <w:lang w:val="sk-SK"/>
        </w:rPr>
        <w:t xml:space="preserve">ivec </w:t>
      </w:r>
      <w:r w:rsidR="00430B56" w:rsidRPr="00C83045">
        <w:rPr>
          <w:color w:val="000000"/>
          <w:lang w:val="sk-SK"/>
        </w:rPr>
        <w:t xml:space="preserve">sa podával </w:t>
      </w:r>
      <w:r w:rsidR="008C09CB" w:rsidRPr="00C83045">
        <w:rPr>
          <w:color w:val="000000"/>
          <w:lang w:val="sk-SK"/>
        </w:rPr>
        <w:t>str</w:t>
      </w:r>
      <w:r w:rsidR="00430B56" w:rsidRPr="00C83045">
        <w:rPr>
          <w:color w:val="000000"/>
          <w:lang w:val="sk-SK"/>
        </w:rPr>
        <w:t>i</w:t>
      </w:r>
      <w:r w:rsidR="008C09CB" w:rsidRPr="00C83045">
        <w:rPr>
          <w:color w:val="000000"/>
          <w:lang w:val="sk-SK"/>
        </w:rPr>
        <w:t>e</w:t>
      </w:r>
      <w:r w:rsidR="00430B56" w:rsidRPr="00C83045">
        <w:rPr>
          <w:color w:val="000000"/>
          <w:lang w:val="sk-SK"/>
        </w:rPr>
        <w:t>davo v kohortách</w:t>
      </w:r>
      <w:r w:rsidR="00F31B44" w:rsidRPr="00C83045">
        <w:rPr>
          <w:color w:val="000000"/>
          <w:lang w:val="sk-SK"/>
        </w:rPr>
        <w:t xml:space="preserve"> 1</w:t>
      </w:r>
      <w:r w:rsidR="00F31B44" w:rsidRPr="00C83045">
        <w:rPr>
          <w:color w:val="000000"/>
          <w:lang w:val="sk-SK"/>
        </w:rPr>
        <w:noBreakHyphen/>
        <w:t xml:space="preserve">5, </w:t>
      </w:r>
      <w:r w:rsidR="00430B56" w:rsidRPr="00C83045">
        <w:rPr>
          <w:color w:val="000000"/>
          <w:lang w:val="sk-SK"/>
        </w:rPr>
        <w:t xml:space="preserve">s predlžovaním dĺžky liečby a </w:t>
      </w:r>
      <w:r w:rsidR="008C09CB" w:rsidRPr="00C83045">
        <w:rPr>
          <w:color w:val="000000"/>
          <w:lang w:val="sk-SK"/>
        </w:rPr>
        <w:t>skorším nástupom liečby od kohorty ku kohorte</w:t>
      </w:r>
      <w:r w:rsidR="00F31B44" w:rsidRPr="00C83045">
        <w:rPr>
          <w:color w:val="000000"/>
          <w:lang w:val="sk-SK"/>
        </w:rPr>
        <w:t xml:space="preserve">; </w:t>
      </w:r>
      <w:r w:rsidR="008C09CB" w:rsidRPr="00C83045">
        <w:rPr>
          <w:color w:val="000000"/>
          <w:lang w:val="sk-SK"/>
        </w:rPr>
        <w:t>v kohorte</w:t>
      </w:r>
      <w:r w:rsidR="00F31B44" w:rsidRPr="00C83045">
        <w:rPr>
          <w:color w:val="000000"/>
          <w:lang w:val="sk-SK"/>
        </w:rPr>
        <w:t xml:space="preserve"> 1 </w:t>
      </w:r>
      <w:r w:rsidR="008C09CB" w:rsidRPr="00C83045">
        <w:rPr>
          <w:color w:val="000000"/>
          <w:lang w:val="sk-SK"/>
        </w:rPr>
        <w:t>sa podávala na</w:t>
      </w:r>
      <w:r w:rsidR="0046423E" w:rsidRPr="00C83045">
        <w:rPr>
          <w:color w:val="000000"/>
          <w:lang w:val="sk-SK"/>
        </w:rPr>
        <w:t>j</w:t>
      </w:r>
      <w:r w:rsidR="008C09CB" w:rsidRPr="00C83045">
        <w:rPr>
          <w:color w:val="000000"/>
          <w:lang w:val="sk-SK"/>
        </w:rPr>
        <w:t>menej intenzívna a v</w:t>
      </w:r>
      <w:r w:rsidR="00F31B44" w:rsidRPr="00C83045">
        <w:rPr>
          <w:color w:val="000000"/>
          <w:lang w:val="sk-SK"/>
        </w:rPr>
        <w:t xml:space="preserve"> </w:t>
      </w:r>
      <w:r w:rsidR="008C09CB" w:rsidRPr="00C83045">
        <w:rPr>
          <w:color w:val="000000"/>
          <w:lang w:val="sk-SK"/>
        </w:rPr>
        <w:t>k</w:t>
      </w:r>
      <w:r w:rsidR="00F31B44" w:rsidRPr="00C83045">
        <w:rPr>
          <w:color w:val="000000"/>
          <w:lang w:val="sk-SK"/>
        </w:rPr>
        <w:t>ohort</w:t>
      </w:r>
      <w:r w:rsidR="008C09CB" w:rsidRPr="00C83045">
        <w:rPr>
          <w:color w:val="000000"/>
          <w:lang w:val="sk-SK"/>
        </w:rPr>
        <w:t>e</w:t>
      </w:r>
      <w:r w:rsidR="00F31B44" w:rsidRPr="00C83045">
        <w:rPr>
          <w:color w:val="000000"/>
          <w:lang w:val="sk-SK"/>
        </w:rPr>
        <w:t xml:space="preserve"> 5 </w:t>
      </w:r>
      <w:r w:rsidR="008C09CB" w:rsidRPr="00C83045">
        <w:rPr>
          <w:color w:val="000000"/>
          <w:lang w:val="sk-SK"/>
        </w:rPr>
        <w:t>najviac intenzívna liečba Glivecom</w:t>
      </w:r>
      <w:r w:rsidR="00F31B44" w:rsidRPr="00C83045">
        <w:rPr>
          <w:color w:val="000000"/>
          <w:lang w:val="sk-SK"/>
        </w:rPr>
        <w:t xml:space="preserve"> (</w:t>
      </w:r>
      <w:r w:rsidR="008C09CB" w:rsidRPr="00C83045">
        <w:rPr>
          <w:color w:val="000000"/>
          <w:lang w:val="sk-SK"/>
        </w:rPr>
        <w:t>najdlhšie trvanie liečby</w:t>
      </w:r>
      <w:r w:rsidR="00F31B44" w:rsidRPr="00C83045">
        <w:rPr>
          <w:color w:val="000000"/>
          <w:lang w:val="sk-SK"/>
        </w:rPr>
        <w:t xml:space="preserve"> </w:t>
      </w:r>
      <w:r w:rsidR="008C09CB" w:rsidRPr="00C83045">
        <w:rPr>
          <w:color w:val="000000"/>
          <w:lang w:val="sk-SK"/>
        </w:rPr>
        <w:t xml:space="preserve">s nepretržitým denným dávkovaním Glivecu počas prvého </w:t>
      </w:r>
      <w:r w:rsidR="00E33779" w:rsidRPr="00C83045">
        <w:rPr>
          <w:color w:val="000000"/>
          <w:lang w:val="sk-SK"/>
        </w:rPr>
        <w:t>liečebného cyklu chemoterapiou</w:t>
      </w:r>
      <w:r w:rsidR="00F31B44" w:rsidRPr="00C83045">
        <w:rPr>
          <w:color w:val="000000"/>
          <w:lang w:val="sk-SK"/>
        </w:rPr>
        <w:t xml:space="preserve">). </w:t>
      </w:r>
      <w:r w:rsidR="00E33779" w:rsidRPr="00C83045">
        <w:rPr>
          <w:color w:val="000000"/>
          <w:lang w:val="sk-SK"/>
        </w:rPr>
        <w:t>Nepretržité denné expozíciie Glivecu v skorom štádiu liečby v kombinácii s c</w:t>
      </w:r>
      <w:r w:rsidR="00F31B44" w:rsidRPr="00C83045">
        <w:rPr>
          <w:color w:val="000000"/>
          <w:lang w:val="sk-SK"/>
        </w:rPr>
        <w:t>hemoterap</w:t>
      </w:r>
      <w:r w:rsidR="00E33779" w:rsidRPr="00C83045">
        <w:rPr>
          <w:color w:val="000000"/>
          <w:lang w:val="sk-SK"/>
        </w:rPr>
        <w:t xml:space="preserve">iou u pacientov v kohorte 5 </w:t>
      </w:r>
      <w:r w:rsidR="00F31B44" w:rsidRPr="00C83045">
        <w:rPr>
          <w:color w:val="000000"/>
          <w:lang w:val="sk-SK"/>
        </w:rPr>
        <w:t xml:space="preserve">(n=50) </w:t>
      </w:r>
      <w:r w:rsidR="00327586" w:rsidRPr="00C83045">
        <w:rPr>
          <w:color w:val="000000"/>
          <w:lang w:val="sk-SK"/>
        </w:rPr>
        <w:t>zlepšili</w:t>
      </w:r>
      <w:r w:rsidR="00F31B44" w:rsidRPr="00C83045">
        <w:rPr>
          <w:color w:val="000000"/>
          <w:lang w:val="sk-SK"/>
        </w:rPr>
        <w:t xml:space="preserve"> </w:t>
      </w:r>
      <w:r w:rsidR="00327586" w:rsidRPr="00C83045">
        <w:rPr>
          <w:color w:val="000000"/>
          <w:lang w:val="sk-SK"/>
        </w:rPr>
        <w:t xml:space="preserve">v porovnaní s historickými kontrolnými prípadmi (n=120) so štandardnou chemoterapeutickou liečbou bez Glivecu </w:t>
      </w:r>
      <w:r w:rsidR="00F31B44" w:rsidRPr="00C83045">
        <w:rPr>
          <w:color w:val="000000"/>
          <w:lang w:val="sk-SK"/>
        </w:rPr>
        <w:t>4-</w:t>
      </w:r>
      <w:r w:rsidR="00327586" w:rsidRPr="00C83045">
        <w:rPr>
          <w:color w:val="000000"/>
          <w:lang w:val="sk-SK"/>
        </w:rPr>
        <w:t>ročné</w:t>
      </w:r>
      <w:r w:rsidR="00F31B44" w:rsidRPr="00C83045">
        <w:rPr>
          <w:color w:val="000000"/>
          <w:lang w:val="sk-SK"/>
        </w:rPr>
        <w:t xml:space="preserve"> </w:t>
      </w:r>
      <w:r w:rsidR="00327586" w:rsidRPr="00C83045">
        <w:rPr>
          <w:color w:val="000000"/>
          <w:lang w:val="sk-SK"/>
        </w:rPr>
        <w:t>prežívanie bez príhody</w:t>
      </w:r>
      <w:r w:rsidR="00F31B44" w:rsidRPr="00C83045">
        <w:rPr>
          <w:color w:val="000000"/>
          <w:lang w:val="sk-SK"/>
        </w:rPr>
        <w:t xml:space="preserve"> (EFS) (69</w:t>
      </w:r>
      <w:r w:rsidR="00327586" w:rsidRPr="00C83045">
        <w:rPr>
          <w:color w:val="000000"/>
          <w:lang w:val="sk-SK"/>
        </w:rPr>
        <w:t>,</w:t>
      </w:r>
      <w:r w:rsidR="00F31B44" w:rsidRPr="00C83045">
        <w:rPr>
          <w:color w:val="000000"/>
          <w:lang w:val="sk-SK"/>
        </w:rPr>
        <w:t xml:space="preserve">6% </w:t>
      </w:r>
      <w:r w:rsidR="00327586" w:rsidRPr="00C83045">
        <w:rPr>
          <w:color w:val="000000"/>
          <w:lang w:val="sk-SK"/>
        </w:rPr>
        <w:t>oproti</w:t>
      </w:r>
      <w:r w:rsidR="00F31B44" w:rsidRPr="00C83045">
        <w:rPr>
          <w:color w:val="000000"/>
          <w:lang w:val="sk-SK"/>
        </w:rPr>
        <w:t xml:space="preserve"> 31</w:t>
      </w:r>
      <w:r w:rsidR="00327586" w:rsidRPr="00C83045">
        <w:rPr>
          <w:color w:val="000000"/>
          <w:lang w:val="sk-SK"/>
        </w:rPr>
        <w:t>,</w:t>
      </w:r>
      <w:r w:rsidR="00F31B44" w:rsidRPr="00C83045">
        <w:rPr>
          <w:color w:val="000000"/>
          <w:lang w:val="sk-SK"/>
        </w:rPr>
        <w:t xml:space="preserve">6%). </w:t>
      </w:r>
      <w:r w:rsidR="00BF1EAB" w:rsidRPr="00C83045">
        <w:rPr>
          <w:color w:val="000000"/>
          <w:lang w:val="sk-SK"/>
        </w:rPr>
        <w:t xml:space="preserve">Odhadované </w:t>
      </w:r>
      <w:r w:rsidR="0097655D" w:rsidRPr="00C83045">
        <w:rPr>
          <w:color w:val="000000"/>
          <w:lang w:val="sk-SK"/>
        </w:rPr>
        <w:t xml:space="preserve">4-ročné </w:t>
      </w:r>
      <w:r w:rsidR="00BF1EAB" w:rsidRPr="00C83045">
        <w:rPr>
          <w:color w:val="000000"/>
          <w:lang w:val="sk-SK"/>
        </w:rPr>
        <w:t xml:space="preserve">celkové </w:t>
      </w:r>
      <w:r w:rsidR="0097655D" w:rsidRPr="00C83045">
        <w:rPr>
          <w:color w:val="000000"/>
          <w:lang w:val="sk-SK"/>
        </w:rPr>
        <w:t>prežívanie</w:t>
      </w:r>
      <w:r w:rsidR="00BF1EAB" w:rsidRPr="00C83045">
        <w:rPr>
          <w:color w:val="000000"/>
          <w:lang w:val="sk-SK"/>
        </w:rPr>
        <w:t xml:space="preserve"> (</w:t>
      </w:r>
      <w:r w:rsidR="00F31B44" w:rsidRPr="00C83045">
        <w:rPr>
          <w:color w:val="000000"/>
          <w:lang w:val="sk-SK"/>
        </w:rPr>
        <w:t>OS</w:t>
      </w:r>
      <w:r w:rsidR="00BF1EAB" w:rsidRPr="00C83045">
        <w:rPr>
          <w:color w:val="000000"/>
          <w:lang w:val="sk-SK"/>
        </w:rPr>
        <w:t>) u pacientov v kohorte</w:t>
      </w:r>
      <w:r w:rsidR="00F31B44" w:rsidRPr="00C83045">
        <w:rPr>
          <w:color w:val="000000"/>
          <w:lang w:val="sk-SK"/>
        </w:rPr>
        <w:t xml:space="preserve"> 5</w:t>
      </w:r>
      <w:r w:rsidR="00BF1EAB" w:rsidRPr="00C83045">
        <w:rPr>
          <w:color w:val="000000"/>
          <w:lang w:val="sk-SK"/>
        </w:rPr>
        <w:t xml:space="preserve"> bolo</w:t>
      </w:r>
      <w:r w:rsidR="00F31B44" w:rsidRPr="00C83045">
        <w:rPr>
          <w:color w:val="000000"/>
          <w:lang w:val="sk-SK"/>
        </w:rPr>
        <w:t xml:space="preserve"> 83</w:t>
      </w:r>
      <w:r w:rsidR="00BF1EAB" w:rsidRPr="00C83045">
        <w:rPr>
          <w:color w:val="000000"/>
          <w:lang w:val="sk-SK"/>
        </w:rPr>
        <w:t>,</w:t>
      </w:r>
      <w:r w:rsidR="00F31B44" w:rsidRPr="00C83045">
        <w:rPr>
          <w:color w:val="000000"/>
          <w:lang w:val="sk-SK"/>
        </w:rPr>
        <w:t xml:space="preserve">6% </w:t>
      </w:r>
      <w:r w:rsidR="00BF1EAB" w:rsidRPr="00C83045">
        <w:rPr>
          <w:color w:val="000000"/>
          <w:lang w:val="sk-SK"/>
        </w:rPr>
        <w:t>v porovnaní s 44,</w:t>
      </w:r>
      <w:r w:rsidR="00F31B44" w:rsidRPr="00C83045">
        <w:rPr>
          <w:color w:val="000000"/>
          <w:lang w:val="sk-SK"/>
        </w:rPr>
        <w:t xml:space="preserve">8% </w:t>
      </w:r>
      <w:r w:rsidR="00BF1EAB" w:rsidRPr="00C83045">
        <w:rPr>
          <w:color w:val="000000"/>
          <w:lang w:val="sk-SK"/>
        </w:rPr>
        <w:t>u historických kontrolných prípadov</w:t>
      </w:r>
      <w:r w:rsidR="00F31B44" w:rsidRPr="00C83045">
        <w:rPr>
          <w:color w:val="000000"/>
          <w:lang w:val="sk-SK"/>
        </w:rPr>
        <w:t xml:space="preserve">. 20 </w:t>
      </w:r>
      <w:r w:rsidR="00BF1EAB" w:rsidRPr="00C83045">
        <w:rPr>
          <w:color w:val="000000"/>
          <w:lang w:val="sk-SK"/>
        </w:rPr>
        <w:t>z</w:t>
      </w:r>
      <w:r w:rsidR="00F31B44" w:rsidRPr="00C83045">
        <w:rPr>
          <w:color w:val="000000"/>
          <w:lang w:val="sk-SK"/>
        </w:rPr>
        <w:t xml:space="preserve"> 50 (40%) pa</w:t>
      </w:r>
      <w:r w:rsidR="00BF1EAB" w:rsidRPr="00C83045">
        <w:rPr>
          <w:color w:val="000000"/>
          <w:lang w:val="sk-SK"/>
        </w:rPr>
        <w:t>cientov v</w:t>
      </w:r>
      <w:r w:rsidR="00F31B44" w:rsidRPr="00C83045">
        <w:rPr>
          <w:color w:val="000000"/>
          <w:lang w:val="sk-SK"/>
        </w:rPr>
        <w:t xml:space="preserve"> </w:t>
      </w:r>
      <w:r w:rsidR="00BF1EAB" w:rsidRPr="00C83045">
        <w:rPr>
          <w:color w:val="000000"/>
          <w:lang w:val="sk-SK"/>
        </w:rPr>
        <w:t>k</w:t>
      </w:r>
      <w:r w:rsidR="00F31B44" w:rsidRPr="00C83045">
        <w:rPr>
          <w:color w:val="000000"/>
          <w:lang w:val="sk-SK"/>
        </w:rPr>
        <w:t>ohort</w:t>
      </w:r>
      <w:r w:rsidR="00BF1EAB" w:rsidRPr="00C83045">
        <w:rPr>
          <w:color w:val="000000"/>
          <w:lang w:val="sk-SK"/>
        </w:rPr>
        <w:t>e</w:t>
      </w:r>
      <w:r w:rsidR="00F31B44" w:rsidRPr="00C83045">
        <w:rPr>
          <w:color w:val="000000"/>
          <w:lang w:val="sk-SK"/>
        </w:rPr>
        <w:t xml:space="preserve"> 5 </w:t>
      </w:r>
      <w:r w:rsidR="00BF1EAB" w:rsidRPr="00C83045">
        <w:rPr>
          <w:color w:val="000000"/>
          <w:lang w:val="sk-SK"/>
        </w:rPr>
        <w:t xml:space="preserve">dostalo transplantáciu </w:t>
      </w:r>
      <w:r w:rsidR="00F31B44" w:rsidRPr="00C83045">
        <w:rPr>
          <w:color w:val="000000"/>
          <w:lang w:val="sk-SK"/>
        </w:rPr>
        <w:t>hematopo</w:t>
      </w:r>
      <w:r w:rsidR="00BF1EAB" w:rsidRPr="00C83045">
        <w:rPr>
          <w:color w:val="000000"/>
          <w:lang w:val="sk-SK"/>
        </w:rPr>
        <w:t>e</w:t>
      </w:r>
      <w:r w:rsidR="00F31B44" w:rsidRPr="00C83045">
        <w:rPr>
          <w:color w:val="000000"/>
          <w:lang w:val="sk-SK"/>
        </w:rPr>
        <w:t>tic</w:t>
      </w:r>
      <w:r w:rsidR="00BF1EAB" w:rsidRPr="00C83045">
        <w:rPr>
          <w:color w:val="000000"/>
          <w:lang w:val="sk-SK"/>
        </w:rPr>
        <w:t>kých kmeňových buniek</w:t>
      </w:r>
      <w:r w:rsidR="00F31B44" w:rsidRPr="00C83045">
        <w:rPr>
          <w:color w:val="000000"/>
          <w:lang w:val="sk-SK"/>
        </w:rPr>
        <w:t>.</w:t>
      </w:r>
    </w:p>
    <w:p w14:paraId="32367F2F" w14:textId="77777777" w:rsidR="00F31B44" w:rsidRPr="00C83045" w:rsidRDefault="00F31B44" w:rsidP="00D4304B">
      <w:pPr>
        <w:pStyle w:val="EndnoteText"/>
        <w:widowControl w:val="0"/>
        <w:rPr>
          <w:color w:val="000000"/>
          <w:lang w:val="sk-SK"/>
        </w:rPr>
      </w:pPr>
    </w:p>
    <w:p w14:paraId="32367F30" w14:textId="77777777" w:rsidR="00F31B44" w:rsidRPr="00C83045" w:rsidRDefault="00F31B44" w:rsidP="00D4304B">
      <w:pPr>
        <w:pStyle w:val="EndnoteText"/>
        <w:keepNext/>
        <w:widowControl w:val="0"/>
        <w:tabs>
          <w:tab w:val="clear" w:pos="567"/>
          <w:tab w:val="left" w:pos="720"/>
        </w:tabs>
        <w:ind w:left="1418" w:hanging="1418"/>
        <w:rPr>
          <w:b/>
          <w:color w:val="000000"/>
          <w:lang w:val="sk-SK"/>
        </w:rPr>
      </w:pPr>
      <w:r w:rsidRPr="00C83045">
        <w:rPr>
          <w:b/>
          <w:color w:val="000000"/>
          <w:lang w:val="sk-SK"/>
        </w:rPr>
        <w:t>Tab</w:t>
      </w:r>
      <w:r w:rsidR="004A5DFD" w:rsidRPr="00C83045">
        <w:rPr>
          <w:b/>
          <w:color w:val="000000"/>
          <w:lang w:val="sk-SK"/>
        </w:rPr>
        <w:t>uľka</w:t>
      </w:r>
      <w:r w:rsidRPr="00C83045">
        <w:rPr>
          <w:b/>
          <w:color w:val="000000"/>
          <w:lang w:val="sk-SK"/>
        </w:rPr>
        <w:t> </w:t>
      </w:r>
      <w:r w:rsidR="00E57DA0" w:rsidRPr="00C83045">
        <w:rPr>
          <w:b/>
          <w:color w:val="000000"/>
          <w:lang w:val="sk-SK"/>
        </w:rPr>
        <w:t>5</w:t>
      </w:r>
      <w:r w:rsidRPr="00C83045">
        <w:rPr>
          <w:b/>
          <w:color w:val="000000"/>
          <w:lang w:val="sk-SK"/>
        </w:rPr>
        <w:tab/>
      </w:r>
      <w:r w:rsidR="004A5DFD" w:rsidRPr="00C83045">
        <w:rPr>
          <w:b/>
          <w:color w:val="000000"/>
          <w:lang w:val="sk-SK"/>
        </w:rPr>
        <w:t>Režim c</w:t>
      </w:r>
      <w:r w:rsidRPr="00C83045">
        <w:rPr>
          <w:b/>
          <w:color w:val="000000"/>
          <w:lang w:val="sk-SK"/>
        </w:rPr>
        <w:t>hemoterap</w:t>
      </w:r>
      <w:r w:rsidR="004A5DFD" w:rsidRPr="00C83045">
        <w:rPr>
          <w:b/>
          <w:color w:val="000000"/>
          <w:lang w:val="sk-SK"/>
        </w:rPr>
        <w:t>ie použitý v</w:t>
      </w:r>
      <w:r w:rsidRPr="00C83045">
        <w:rPr>
          <w:b/>
          <w:color w:val="000000"/>
          <w:lang w:val="sk-SK"/>
        </w:rPr>
        <w:t xml:space="preserve"> </w:t>
      </w:r>
      <w:r w:rsidR="004A5DFD" w:rsidRPr="00C83045">
        <w:rPr>
          <w:b/>
          <w:color w:val="000000"/>
          <w:lang w:val="sk-SK"/>
        </w:rPr>
        <w:t>k</w:t>
      </w:r>
      <w:r w:rsidRPr="00C83045">
        <w:rPr>
          <w:b/>
          <w:color w:val="000000"/>
          <w:lang w:val="sk-SK"/>
        </w:rPr>
        <w:t>ombin</w:t>
      </w:r>
      <w:r w:rsidR="004A5DFD" w:rsidRPr="00C83045">
        <w:rPr>
          <w:b/>
          <w:color w:val="000000"/>
          <w:lang w:val="sk-SK"/>
        </w:rPr>
        <w:t>ácii s</w:t>
      </w:r>
      <w:r w:rsidRPr="00C83045">
        <w:rPr>
          <w:b/>
          <w:color w:val="000000"/>
          <w:lang w:val="sk-SK"/>
        </w:rPr>
        <w:t xml:space="preserve"> imatinib</w:t>
      </w:r>
      <w:r w:rsidR="004A5DFD" w:rsidRPr="00C83045">
        <w:rPr>
          <w:b/>
          <w:color w:val="000000"/>
          <w:lang w:val="sk-SK"/>
        </w:rPr>
        <w:t>om v štúdii</w:t>
      </w:r>
      <w:r w:rsidRPr="00C83045">
        <w:rPr>
          <w:b/>
          <w:color w:val="000000"/>
          <w:lang w:val="sk-SK"/>
        </w:rPr>
        <w:t xml:space="preserve"> I2301</w:t>
      </w:r>
    </w:p>
    <w:p w14:paraId="32367F31" w14:textId="77777777" w:rsidR="00F31B44" w:rsidRPr="00C83045" w:rsidRDefault="00F31B44" w:rsidP="00D4304B">
      <w:pPr>
        <w:pStyle w:val="EndnoteText"/>
        <w:keepNext/>
        <w:widowControl w:val="0"/>
        <w:rPr>
          <w:color w:val="000000"/>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6736"/>
      </w:tblGrid>
      <w:tr w:rsidR="00F31B44" w:rsidRPr="00C83045" w14:paraId="32367F3A" w14:textId="77777777" w:rsidTr="00BE6051">
        <w:trPr>
          <w:cantSplit/>
        </w:trPr>
        <w:tc>
          <w:tcPr>
            <w:tcW w:w="2358" w:type="dxa"/>
            <w:tcBorders>
              <w:top w:val="single" w:sz="4" w:space="0" w:color="auto"/>
              <w:left w:val="single" w:sz="4" w:space="0" w:color="auto"/>
              <w:bottom w:val="single" w:sz="4" w:space="0" w:color="auto"/>
              <w:right w:val="single" w:sz="4" w:space="0" w:color="auto"/>
            </w:tcBorders>
            <w:hideMark/>
          </w:tcPr>
          <w:p w14:paraId="32367F32" w14:textId="77777777" w:rsidR="00F31B44" w:rsidRPr="00C83045" w:rsidRDefault="0046423E" w:rsidP="00D4304B">
            <w:pPr>
              <w:pStyle w:val="EndnoteText"/>
              <w:keepNext/>
              <w:widowControl w:val="0"/>
              <w:rPr>
                <w:color w:val="000000"/>
                <w:lang w:val="sk-SK"/>
              </w:rPr>
            </w:pPr>
            <w:r w:rsidRPr="00C83045">
              <w:rPr>
                <w:color w:val="000000"/>
                <w:lang w:val="sk-SK"/>
              </w:rPr>
              <w:t>K</w:t>
            </w:r>
            <w:r w:rsidR="00F31B44" w:rsidRPr="00C83045">
              <w:rPr>
                <w:color w:val="000000"/>
                <w:lang w:val="sk-SK"/>
              </w:rPr>
              <w:t>onsolida</w:t>
            </w:r>
            <w:r w:rsidRPr="00C83045">
              <w:rPr>
                <w:color w:val="000000"/>
                <w:lang w:val="sk-SK"/>
              </w:rPr>
              <w:t>čný blok</w:t>
            </w:r>
            <w:r w:rsidR="00F31B44" w:rsidRPr="00C83045">
              <w:rPr>
                <w:color w:val="000000"/>
                <w:lang w:val="sk-SK"/>
              </w:rPr>
              <w:t> 1</w:t>
            </w:r>
          </w:p>
          <w:p w14:paraId="32367F33" w14:textId="77777777" w:rsidR="00F31B44" w:rsidRPr="00C83045" w:rsidRDefault="00F31B44" w:rsidP="00D4304B">
            <w:pPr>
              <w:pStyle w:val="EndnoteText"/>
              <w:keepNext/>
              <w:widowControl w:val="0"/>
              <w:rPr>
                <w:color w:val="000000"/>
                <w:lang w:val="sk-SK"/>
              </w:rPr>
            </w:pPr>
            <w:r w:rsidRPr="00C83045">
              <w:rPr>
                <w:color w:val="000000"/>
                <w:lang w:val="sk-SK"/>
              </w:rPr>
              <w:t>(3 </w:t>
            </w:r>
            <w:r w:rsidR="0046423E" w:rsidRPr="00C83045">
              <w:rPr>
                <w:color w:val="000000"/>
                <w:lang w:val="sk-SK"/>
              </w:rPr>
              <w:t>týždne</w:t>
            </w:r>
            <w:r w:rsidRPr="00C83045">
              <w:rPr>
                <w:color w:val="000000"/>
                <w:lang w:val="sk-SK"/>
              </w:rPr>
              <w:t>)</w:t>
            </w:r>
          </w:p>
        </w:tc>
        <w:tc>
          <w:tcPr>
            <w:tcW w:w="6929" w:type="dxa"/>
            <w:tcBorders>
              <w:top w:val="single" w:sz="4" w:space="0" w:color="auto"/>
              <w:left w:val="single" w:sz="4" w:space="0" w:color="auto"/>
              <w:bottom w:val="single" w:sz="4" w:space="0" w:color="auto"/>
              <w:right w:val="single" w:sz="4" w:space="0" w:color="auto"/>
            </w:tcBorders>
            <w:hideMark/>
          </w:tcPr>
          <w:p w14:paraId="32367F34" w14:textId="77777777" w:rsidR="00F31B44" w:rsidRPr="00C83045" w:rsidRDefault="00F31B44" w:rsidP="00D4304B">
            <w:pPr>
              <w:pStyle w:val="EndnoteText"/>
              <w:keepNext/>
              <w:widowControl w:val="0"/>
              <w:rPr>
                <w:color w:val="000000"/>
                <w:lang w:val="sk-SK"/>
              </w:rPr>
            </w:pPr>
            <w:r w:rsidRPr="00C83045">
              <w:rPr>
                <w:color w:val="000000"/>
                <w:lang w:val="sk-SK"/>
              </w:rPr>
              <w:t>VP-16 (100 mg/m</w:t>
            </w:r>
            <w:r w:rsidRPr="00C83045">
              <w:rPr>
                <w:color w:val="000000"/>
                <w:vertAlign w:val="superscript"/>
                <w:lang w:val="sk-SK"/>
              </w:rPr>
              <w:t>2</w:t>
            </w:r>
            <w:r w:rsidRPr="00C83045">
              <w:rPr>
                <w:color w:val="000000"/>
                <w:lang w:val="sk-SK"/>
              </w:rPr>
              <w:t>/d</w:t>
            </w:r>
            <w:r w:rsidR="00F53C54" w:rsidRPr="00C83045">
              <w:rPr>
                <w:color w:val="000000"/>
                <w:lang w:val="sk-SK"/>
              </w:rPr>
              <w:t>eň</w:t>
            </w:r>
            <w:r w:rsidRPr="00C83045">
              <w:rPr>
                <w:color w:val="000000"/>
                <w:lang w:val="sk-SK"/>
              </w:rPr>
              <w:t xml:space="preserve">, </w:t>
            </w:r>
            <w:r w:rsidR="00F53C54" w:rsidRPr="00C83045">
              <w:rPr>
                <w:color w:val="000000"/>
                <w:lang w:val="sk-SK"/>
              </w:rPr>
              <w:t>i.v.</w:t>
            </w:r>
            <w:r w:rsidRPr="00C83045">
              <w:rPr>
                <w:color w:val="000000"/>
                <w:lang w:val="sk-SK"/>
              </w:rPr>
              <w:t>): d</w:t>
            </w:r>
            <w:r w:rsidR="00F53C54" w:rsidRPr="00C83045">
              <w:rPr>
                <w:color w:val="000000"/>
                <w:lang w:val="sk-SK"/>
              </w:rPr>
              <w:t>ni</w:t>
            </w:r>
            <w:r w:rsidRPr="00C83045">
              <w:rPr>
                <w:color w:val="000000"/>
                <w:lang w:val="sk-SK"/>
              </w:rPr>
              <w:t> 1</w:t>
            </w:r>
            <w:r w:rsidRPr="00C83045">
              <w:rPr>
                <w:color w:val="000000"/>
                <w:lang w:val="sk-SK"/>
              </w:rPr>
              <w:noBreakHyphen/>
              <w:t>5</w:t>
            </w:r>
          </w:p>
          <w:p w14:paraId="32367F35" w14:textId="77777777" w:rsidR="00F31B44" w:rsidRPr="00C83045" w:rsidRDefault="00F31B44" w:rsidP="00D4304B">
            <w:pPr>
              <w:pStyle w:val="EndnoteText"/>
              <w:keepNext/>
              <w:widowControl w:val="0"/>
              <w:rPr>
                <w:color w:val="000000"/>
                <w:lang w:val="sk-SK"/>
              </w:rPr>
            </w:pPr>
            <w:r w:rsidRPr="00C83045">
              <w:rPr>
                <w:color w:val="000000"/>
                <w:lang w:val="sk-SK"/>
              </w:rPr>
              <w:t>Ifosfamid (1</w:t>
            </w:r>
            <w:r w:rsidR="00F53C54" w:rsidRPr="00C83045">
              <w:rPr>
                <w:color w:val="000000"/>
                <w:lang w:val="sk-SK"/>
              </w:rPr>
              <w:t>,</w:t>
            </w:r>
            <w:r w:rsidRPr="00C83045">
              <w:rPr>
                <w:color w:val="000000"/>
                <w:lang w:val="sk-SK"/>
              </w:rPr>
              <w:t>8 g/m</w:t>
            </w:r>
            <w:r w:rsidRPr="00C83045">
              <w:rPr>
                <w:color w:val="000000"/>
                <w:vertAlign w:val="superscript"/>
                <w:lang w:val="sk-SK"/>
              </w:rPr>
              <w:t>2</w:t>
            </w:r>
            <w:r w:rsidRPr="00C83045">
              <w:rPr>
                <w:color w:val="000000"/>
                <w:lang w:val="sk-SK"/>
              </w:rPr>
              <w:t>/d</w:t>
            </w:r>
            <w:r w:rsidR="00F53C54" w:rsidRPr="00C83045">
              <w:rPr>
                <w:color w:val="000000"/>
                <w:lang w:val="sk-SK"/>
              </w:rPr>
              <w:t>eň</w:t>
            </w:r>
            <w:r w:rsidRPr="00C83045">
              <w:rPr>
                <w:color w:val="000000"/>
                <w:lang w:val="sk-SK"/>
              </w:rPr>
              <w:t xml:space="preserve">, </w:t>
            </w:r>
            <w:r w:rsidR="00F53C54" w:rsidRPr="00C83045">
              <w:rPr>
                <w:color w:val="000000"/>
                <w:lang w:val="sk-SK"/>
              </w:rPr>
              <w:t>i.v.</w:t>
            </w:r>
            <w:r w:rsidRPr="00C83045">
              <w:rPr>
                <w:color w:val="000000"/>
                <w:lang w:val="sk-SK"/>
              </w:rPr>
              <w:t>): d</w:t>
            </w:r>
            <w:r w:rsidR="00F53C54" w:rsidRPr="00C83045">
              <w:rPr>
                <w:color w:val="000000"/>
                <w:lang w:val="sk-SK"/>
              </w:rPr>
              <w:t>ni</w:t>
            </w:r>
            <w:r w:rsidRPr="00C83045">
              <w:rPr>
                <w:color w:val="000000"/>
                <w:lang w:val="sk-SK"/>
              </w:rPr>
              <w:t> 1</w:t>
            </w:r>
            <w:r w:rsidRPr="00C83045">
              <w:rPr>
                <w:color w:val="000000"/>
                <w:lang w:val="sk-SK"/>
              </w:rPr>
              <w:noBreakHyphen/>
              <w:t>5</w:t>
            </w:r>
          </w:p>
          <w:p w14:paraId="32367F36" w14:textId="77777777" w:rsidR="00F31B44" w:rsidRPr="00C83045" w:rsidRDefault="00F31B44" w:rsidP="00D4304B">
            <w:pPr>
              <w:pStyle w:val="EndnoteText"/>
              <w:keepNext/>
              <w:widowControl w:val="0"/>
              <w:rPr>
                <w:color w:val="000000"/>
                <w:lang w:val="sk-SK"/>
              </w:rPr>
            </w:pPr>
            <w:r w:rsidRPr="00C83045">
              <w:rPr>
                <w:color w:val="000000"/>
                <w:lang w:val="sk-SK"/>
              </w:rPr>
              <w:t>MESNA (360 mg/m</w:t>
            </w:r>
            <w:r w:rsidRPr="00C83045">
              <w:rPr>
                <w:color w:val="000000"/>
                <w:vertAlign w:val="superscript"/>
                <w:lang w:val="sk-SK"/>
              </w:rPr>
              <w:t>2</w:t>
            </w:r>
            <w:r w:rsidRPr="00C83045">
              <w:rPr>
                <w:color w:val="000000"/>
                <w:lang w:val="sk-SK"/>
              </w:rPr>
              <w:t>/d</w:t>
            </w:r>
            <w:r w:rsidR="00F53C54" w:rsidRPr="00C83045">
              <w:rPr>
                <w:color w:val="000000"/>
                <w:lang w:val="sk-SK"/>
              </w:rPr>
              <w:t>ávka</w:t>
            </w:r>
            <w:r w:rsidRPr="00C83045">
              <w:rPr>
                <w:color w:val="000000"/>
                <w:lang w:val="sk-SK"/>
              </w:rPr>
              <w:t xml:space="preserve"> q3h, x 8 d</w:t>
            </w:r>
            <w:r w:rsidR="00F53C54" w:rsidRPr="00C83045">
              <w:rPr>
                <w:color w:val="000000"/>
                <w:lang w:val="sk-SK"/>
              </w:rPr>
              <w:t>ávok</w:t>
            </w:r>
            <w:r w:rsidRPr="00C83045">
              <w:rPr>
                <w:color w:val="000000"/>
                <w:lang w:val="sk-SK"/>
              </w:rPr>
              <w:t>/d</w:t>
            </w:r>
            <w:r w:rsidR="00F53C54" w:rsidRPr="00C83045">
              <w:rPr>
                <w:color w:val="000000"/>
                <w:lang w:val="sk-SK"/>
              </w:rPr>
              <w:t>eň</w:t>
            </w:r>
            <w:r w:rsidRPr="00C83045">
              <w:rPr>
                <w:color w:val="000000"/>
                <w:lang w:val="sk-SK"/>
              </w:rPr>
              <w:t xml:space="preserve">, </w:t>
            </w:r>
            <w:r w:rsidR="00F53C54" w:rsidRPr="00C83045">
              <w:rPr>
                <w:color w:val="000000"/>
                <w:lang w:val="sk-SK"/>
              </w:rPr>
              <w:t>i.v.</w:t>
            </w:r>
            <w:r w:rsidRPr="00C83045">
              <w:rPr>
                <w:color w:val="000000"/>
                <w:lang w:val="sk-SK"/>
              </w:rPr>
              <w:t>): d</w:t>
            </w:r>
            <w:r w:rsidR="00F53C54" w:rsidRPr="00C83045">
              <w:rPr>
                <w:color w:val="000000"/>
                <w:lang w:val="sk-SK"/>
              </w:rPr>
              <w:t>ni</w:t>
            </w:r>
            <w:r w:rsidRPr="00C83045">
              <w:rPr>
                <w:color w:val="000000"/>
                <w:lang w:val="sk-SK"/>
              </w:rPr>
              <w:t> 1</w:t>
            </w:r>
            <w:r w:rsidRPr="00C83045">
              <w:rPr>
                <w:color w:val="000000"/>
                <w:lang w:val="sk-SK"/>
              </w:rPr>
              <w:noBreakHyphen/>
              <w:t>5</w:t>
            </w:r>
          </w:p>
          <w:p w14:paraId="32367F37" w14:textId="77777777" w:rsidR="00F31B44" w:rsidRPr="00C83045" w:rsidRDefault="00F31B44" w:rsidP="00D4304B">
            <w:pPr>
              <w:pStyle w:val="EndnoteText"/>
              <w:keepNext/>
              <w:widowControl w:val="0"/>
              <w:rPr>
                <w:color w:val="000000"/>
                <w:lang w:val="sk-SK"/>
              </w:rPr>
            </w:pPr>
            <w:r w:rsidRPr="00C83045">
              <w:rPr>
                <w:color w:val="000000"/>
                <w:lang w:val="sk-SK"/>
              </w:rPr>
              <w:t xml:space="preserve">G-CSF (5 μg/kg, </w:t>
            </w:r>
            <w:r w:rsidR="00F53C54" w:rsidRPr="00C83045">
              <w:rPr>
                <w:color w:val="000000"/>
                <w:lang w:val="sk-SK"/>
              </w:rPr>
              <w:t>s.c.)</w:t>
            </w:r>
            <w:r w:rsidRPr="00C83045">
              <w:rPr>
                <w:color w:val="000000"/>
                <w:lang w:val="sk-SK"/>
              </w:rPr>
              <w:t>: d</w:t>
            </w:r>
            <w:r w:rsidR="00F53C54" w:rsidRPr="00C83045">
              <w:rPr>
                <w:color w:val="000000"/>
                <w:lang w:val="sk-SK"/>
              </w:rPr>
              <w:t>ni</w:t>
            </w:r>
            <w:r w:rsidRPr="00C83045">
              <w:rPr>
                <w:color w:val="000000"/>
                <w:lang w:val="sk-SK"/>
              </w:rPr>
              <w:t> 6</w:t>
            </w:r>
            <w:r w:rsidRPr="00C83045">
              <w:rPr>
                <w:color w:val="000000"/>
                <w:lang w:val="sk-SK"/>
              </w:rPr>
              <w:noBreakHyphen/>
              <w:t xml:space="preserve">15 </w:t>
            </w:r>
            <w:r w:rsidR="00F53C54" w:rsidRPr="00C83045">
              <w:rPr>
                <w:color w:val="000000"/>
                <w:lang w:val="sk-SK"/>
              </w:rPr>
              <w:t>alebo pokiaľ</w:t>
            </w:r>
            <w:r w:rsidRPr="00C83045">
              <w:rPr>
                <w:color w:val="000000"/>
                <w:lang w:val="sk-SK"/>
              </w:rPr>
              <w:t xml:space="preserve"> ANC &gt; 1500 po nadir</w:t>
            </w:r>
            <w:r w:rsidR="00F53C54" w:rsidRPr="00C83045">
              <w:rPr>
                <w:color w:val="000000"/>
                <w:lang w:val="sk-SK"/>
              </w:rPr>
              <w:t>e</w:t>
            </w:r>
          </w:p>
          <w:p w14:paraId="32367F38" w14:textId="77777777" w:rsidR="00F53C54" w:rsidRPr="00C83045" w:rsidRDefault="00F31B44" w:rsidP="00D4304B">
            <w:pPr>
              <w:pStyle w:val="EndnoteText"/>
              <w:keepNext/>
              <w:widowControl w:val="0"/>
              <w:rPr>
                <w:color w:val="000000"/>
                <w:lang w:val="sk-SK"/>
              </w:rPr>
            </w:pPr>
            <w:r w:rsidRPr="00C83045">
              <w:rPr>
                <w:color w:val="000000"/>
                <w:lang w:val="sk-SK"/>
              </w:rPr>
              <w:t>Metotrex</w:t>
            </w:r>
            <w:r w:rsidR="00F53C54" w:rsidRPr="00C83045">
              <w:rPr>
                <w:color w:val="000000"/>
                <w:lang w:val="sk-SK"/>
              </w:rPr>
              <w:t>á</w:t>
            </w:r>
            <w:r w:rsidRPr="00C83045">
              <w:rPr>
                <w:color w:val="000000"/>
                <w:lang w:val="sk-SK"/>
              </w:rPr>
              <w:t xml:space="preserve">t </w:t>
            </w:r>
            <w:r w:rsidR="00D7180D" w:rsidRPr="00C83045">
              <w:rPr>
                <w:color w:val="000000"/>
                <w:lang w:val="sk-SK"/>
              </w:rPr>
              <w:t xml:space="preserve">i.t. </w:t>
            </w:r>
            <w:r w:rsidRPr="00C83045">
              <w:rPr>
                <w:color w:val="000000"/>
                <w:lang w:val="sk-SK"/>
              </w:rPr>
              <w:t>(</w:t>
            </w:r>
            <w:r w:rsidR="00F53C54" w:rsidRPr="00C83045">
              <w:rPr>
                <w:color w:val="000000"/>
                <w:lang w:val="sk-SK"/>
              </w:rPr>
              <w:t>upravený podľa veku</w:t>
            </w:r>
            <w:r w:rsidRPr="00C83045">
              <w:rPr>
                <w:color w:val="000000"/>
                <w:lang w:val="sk-SK"/>
              </w:rPr>
              <w:t xml:space="preserve">): </w:t>
            </w:r>
            <w:r w:rsidR="00F53C54" w:rsidRPr="00C83045">
              <w:rPr>
                <w:color w:val="000000"/>
                <w:lang w:val="sk-SK"/>
              </w:rPr>
              <w:t xml:space="preserve">IBA deň </w:t>
            </w:r>
            <w:r w:rsidRPr="00C83045">
              <w:rPr>
                <w:color w:val="000000"/>
                <w:lang w:val="sk-SK"/>
              </w:rPr>
              <w:t>1</w:t>
            </w:r>
          </w:p>
          <w:p w14:paraId="32367F39" w14:textId="77777777" w:rsidR="00F31B44" w:rsidRPr="00C83045" w:rsidRDefault="00F31B44" w:rsidP="00D4304B">
            <w:pPr>
              <w:pStyle w:val="EndnoteText"/>
              <w:keepNext/>
              <w:widowControl w:val="0"/>
              <w:rPr>
                <w:color w:val="000000"/>
                <w:lang w:val="sk-SK"/>
              </w:rPr>
            </w:pPr>
            <w:r w:rsidRPr="00C83045">
              <w:rPr>
                <w:color w:val="000000"/>
                <w:lang w:val="sk-SK"/>
              </w:rPr>
              <w:t>T</w:t>
            </w:r>
            <w:r w:rsidR="00D7180D" w:rsidRPr="00C83045">
              <w:rPr>
                <w:color w:val="000000"/>
                <w:lang w:val="sk-SK"/>
              </w:rPr>
              <w:t>rojitá</w:t>
            </w:r>
            <w:r w:rsidRPr="00C83045">
              <w:rPr>
                <w:color w:val="000000"/>
                <w:lang w:val="sk-SK"/>
              </w:rPr>
              <w:t xml:space="preserve"> </w:t>
            </w:r>
            <w:r w:rsidR="00D7180D" w:rsidRPr="00C83045">
              <w:rPr>
                <w:color w:val="000000"/>
                <w:lang w:val="sk-SK"/>
              </w:rPr>
              <w:t>i.t. liečba</w:t>
            </w:r>
            <w:r w:rsidRPr="00C83045">
              <w:rPr>
                <w:color w:val="000000"/>
                <w:lang w:val="sk-SK"/>
              </w:rPr>
              <w:t xml:space="preserve"> (</w:t>
            </w:r>
            <w:r w:rsidR="00D7180D" w:rsidRPr="00C83045">
              <w:rPr>
                <w:color w:val="000000"/>
                <w:lang w:val="sk-SK"/>
              </w:rPr>
              <w:t>upravená podľa veku</w:t>
            </w:r>
            <w:r w:rsidRPr="00C83045">
              <w:rPr>
                <w:color w:val="000000"/>
                <w:lang w:val="sk-SK"/>
              </w:rPr>
              <w:t>): d</w:t>
            </w:r>
            <w:r w:rsidR="00D7180D" w:rsidRPr="00C83045">
              <w:rPr>
                <w:color w:val="000000"/>
                <w:lang w:val="sk-SK"/>
              </w:rPr>
              <w:t>ni</w:t>
            </w:r>
            <w:r w:rsidRPr="00C83045">
              <w:rPr>
                <w:color w:val="000000"/>
                <w:lang w:val="sk-SK"/>
              </w:rPr>
              <w:t> 8, 15</w:t>
            </w:r>
          </w:p>
        </w:tc>
      </w:tr>
      <w:tr w:rsidR="00F31B44" w:rsidRPr="00C83045" w14:paraId="32367F42" w14:textId="77777777" w:rsidTr="00BE6051">
        <w:trPr>
          <w:cantSplit/>
        </w:trPr>
        <w:tc>
          <w:tcPr>
            <w:tcW w:w="2358" w:type="dxa"/>
            <w:tcBorders>
              <w:top w:val="single" w:sz="4" w:space="0" w:color="auto"/>
              <w:left w:val="single" w:sz="4" w:space="0" w:color="auto"/>
              <w:bottom w:val="single" w:sz="4" w:space="0" w:color="auto"/>
              <w:right w:val="single" w:sz="4" w:space="0" w:color="auto"/>
            </w:tcBorders>
            <w:hideMark/>
          </w:tcPr>
          <w:p w14:paraId="32367F3B" w14:textId="77777777" w:rsidR="00F31B44" w:rsidRPr="00C83045" w:rsidRDefault="0046423E" w:rsidP="00D4304B">
            <w:pPr>
              <w:pStyle w:val="EndnoteText"/>
              <w:widowControl w:val="0"/>
              <w:rPr>
                <w:color w:val="000000"/>
                <w:lang w:val="sk-SK"/>
              </w:rPr>
            </w:pPr>
            <w:r w:rsidRPr="00C83045">
              <w:rPr>
                <w:color w:val="000000"/>
                <w:lang w:val="sk-SK"/>
              </w:rPr>
              <w:t>K</w:t>
            </w:r>
            <w:r w:rsidR="00F31B44" w:rsidRPr="00C83045">
              <w:rPr>
                <w:color w:val="000000"/>
                <w:lang w:val="sk-SK"/>
              </w:rPr>
              <w:t>onsolida</w:t>
            </w:r>
            <w:r w:rsidRPr="00C83045">
              <w:rPr>
                <w:color w:val="000000"/>
                <w:lang w:val="sk-SK"/>
              </w:rPr>
              <w:t>čný blok</w:t>
            </w:r>
            <w:r w:rsidR="00F31B44" w:rsidRPr="00C83045">
              <w:rPr>
                <w:color w:val="000000"/>
                <w:lang w:val="sk-SK"/>
              </w:rPr>
              <w:t> 2</w:t>
            </w:r>
          </w:p>
          <w:p w14:paraId="32367F3C" w14:textId="77777777" w:rsidR="00F31B44" w:rsidRPr="00C83045" w:rsidRDefault="00F31B44" w:rsidP="00D4304B">
            <w:pPr>
              <w:pStyle w:val="EndnoteText"/>
              <w:widowControl w:val="0"/>
              <w:rPr>
                <w:color w:val="000000"/>
                <w:lang w:val="sk-SK"/>
              </w:rPr>
            </w:pPr>
            <w:r w:rsidRPr="00C83045">
              <w:rPr>
                <w:color w:val="000000"/>
                <w:lang w:val="sk-SK"/>
              </w:rPr>
              <w:t>(3 </w:t>
            </w:r>
            <w:r w:rsidR="0046423E" w:rsidRPr="00C83045">
              <w:rPr>
                <w:color w:val="000000"/>
                <w:lang w:val="sk-SK"/>
              </w:rPr>
              <w:t>týždne</w:t>
            </w:r>
            <w:r w:rsidRPr="00C83045">
              <w:rPr>
                <w:color w:val="000000"/>
                <w:lang w:val="sk-SK"/>
              </w:rPr>
              <w:t>)</w:t>
            </w:r>
          </w:p>
        </w:tc>
        <w:tc>
          <w:tcPr>
            <w:tcW w:w="6929" w:type="dxa"/>
            <w:tcBorders>
              <w:top w:val="single" w:sz="4" w:space="0" w:color="auto"/>
              <w:left w:val="single" w:sz="4" w:space="0" w:color="auto"/>
              <w:bottom w:val="single" w:sz="4" w:space="0" w:color="auto"/>
              <w:right w:val="single" w:sz="4" w:space="0" w:color="auto"/>
            </w:tcBorders>
            <w:hideMark/>
          </w:tcPr>
          <w:p w14:paraId="32367F3D" w14:textId="77777777" w:rsidR="00F31B44" w:rsidRPr="00C83045" w:rsidRDefault="00F31B44" w:rsidP="00D4304B">
            <w:pPr>
              <w:pStyle w:val="EndnoteText"/>
              <w:widowControl w:val="0"/>
              <w:rPr>
                <w:color w:val="000000"/>
                <w:lang w:val="sk-SK"/>
              </w:rPr>
            </w:pPr>
            <w:r w:rsidRPr="00C83045">
              <w:rPr>
                <w:color w:val="000000"/>
                <w:lang w:val="sk-SK"/>
              </w:rPr>
              <w:t>Metotrex</w:t>
            </w:r>
            <w:r w:rsidR="00D7180D" w:rsidRPr="00C83045">
              <w:rPr>
                <w:color w:val="000000"/>
                <w:lang w:val="sk-SK"/>
              </w:rPr>
              <w:t>á</w:t>
            </w:r>
            <w:r w:rsidRPr="00C83045">
              <w:rPr>
                <w:color w:val="000000"/>
                <w:lang w:val="sk-SK"/>
              </w:rPr>
              <w:t>t (5 g/m</w:t>
            </w:r>
            <w:r w:rsidRPr="00C83045">
              <w:rPr>
                <w:color w:val="000000"/>
                <w:vertAlign w:val="superscript"/>
                <w:lang w:val="sk-SK"/>
              </w:rPr>
              <w:t>2</w:t>
            </w:r>
            <w:r w:rsidRPr="00C83045">
              <w:rPr>
                <w:color w:val="000000"/>
                <w:lang w:val="sk-SK"/>
              </w:rPr>
              <w:t xml:space="preserve"> </w:t>
            </w:r>
            <w:r w:rsidR="00D7180D" w:rsidRPr="00C83045">
              <w:rPr>
                <w:color w:val="000000"/>
                <w:lang w:val="sk-SK"/>
              </w:rPr>
              <w:t>počas</w:t>
            </w:r>
            <w:r w:rsidRPr="00C83045">
              <w:rPr>
                <w:color w:val="000000"/>
                <w:lang w:val="sk-SK"/>
              </w:rPr>
              <w:t xml:space="preserve"> 24 h, </w:t>
            </w:r>
            <w:r w:rsidR="00D7180D" w:rsidRPr="00C83045">
              <w:rPr>
                <w:color w:val="000000"/>
                <w:lang w:val="sk-SK"/>
              </w:rPr>
              <w:t>i.v.)</w:t>
            </w:r>
            <w:r w:rsidRPr="00C83045">
              <w:rPr>
                <w:color w:val="000000"/>
                <w:lang w:val="sk-SK"/>
              </w:rPr>
              <w:t>: d</w:t>
            </w:r>
            <w:r w:rsidR="00D7180D" w:rsidRPr="00C83045">
              <w:rPr>
                <w:color w:val="000000"/>
                <w:lang w:val="sk-SK"/>
              </w:rPr>
              <w:t>eň</w:t>
            </w:r>
            <w:r w:rsidRPr="00C83045">
              <w:rPr>
                <w:color w:val="000000"/>
                <w:lang w:val="sk-SK"/>
              </w:rPr>
              <w:t> 1</w:t>
            </w:r>
          </w:p>
          <w:p w14:paraId="32367F3E" w14:textId="77777777" w:rsidR="00F31B44" w:rsidRPr="00C83045" w:rsidRDefault="00F31B44" w:rsidP="00D4304B">
            <w:pPr>
              <w:pStyle w:val="EndnoteText"/>
              <w:widowControl w:val="0"/>
              <w:rPr>
                <w:color w:val="000000"/>
                <w:lang w:val="sk-SK"/>
              </w:rPr>
            </w:pPr>
            <w:r w:rsidRPr="00C83045">
              <w:rPr>
                <w:color w:val="000000"/>
                <w:lang w:val="sk-SK"/>
              </w:rPr>
              <w:t>Leu</w:t>
            </w:r>
            <w:r w:rsidR="00C04DDD" w:rsidRPr="00C83045">
              <w:rPr>
                <w:color w:val="000000"/>
                <w:lang w:val="sk-SK"/>
              </w:rPr>
              <w:t>k</w:t>
            </w:r>
            <w:r w:rsidRPr="00C83045">
              <w:rPr>
                <w:color w:val="000000"/>
                <w:lang w:val="sk-SK"/>
              </w:rPr>
              <w:t>ovor</w:t>
            </w:r>
            <w:r w:rsidR="00C04DDD" w:rsidRPr="00C83045">
              <w:rPr>
                <w:color w:val="000000"/>
                <w:lang w:val="sk-SK"/>
              </w:rPr>
              <w:t>í</w:t>
            </w:r>
            <w:r w:rsidRPr="00C83045">
              <w:rPr>
                <w:color w:val="000000"/>
                <w:lang w:val="sk-SK"/>
              </w:rPr>
              <w:t>n (75 mg/m</w:t>
            </w:r>
            <w:r w:rsidRPr="00C83045">
              <w:rPr>
                <w:color w:val="000000"/>
                <w:vertAlign w:val="superscript"/>
                <w:lang w:val="sk-SK"/>
              </w:rPr>
              <w:t>2</w:t>
            </w:r>
            <w:r w:rsidRPr="00C83045">
              <w:rPr>
                <w:color w:val="000000"/>
                <w:lang w:val="sk-SK"/>
              </w:rPr>
              <w:t xml:space="preserve"> </w:t>
            </w:r>
            <w:r w:rsidR="00C04DDD" w:rsidRPr="00C83045">
              <w:rPr>
                <w:color w:val="000000"/>
                <w:lang w:val="sk-SK"/>
              </w:rPr>
              <w:t>v 36</w:t>
            </w:r>
            <w:r w:rsidRPr="00C83045">
              <w:rPr>
                <w:color w:val="000000"/>
                <w:lang w:val="sk-SK"/>
              </w:rPr>
              <w:t> </w:t>
            </w:r>
            <w:r w:rsidR="00C04DDD" w:rsidRPr="00C83045">
              <w:rPr>
                <w:color w:val="000000"/>
                <w:lang w:val="sk-SK"/>
              </w:rPr>
              <w:t>h</w:t>
            </w:r>
            <w:r w:rsidRPr="00C83045">
              <w:rPr>
                <w:color w:val="000000"/>
                <w:lang w:val="sk-SK"/>
              </w:rPr>
              <w:t xml:space="preserve">, </w:t>
            </w:r>
            <w:r w:rsidR="00C04DDD" w:rsidRPr="00C83045">
              <w:rPr>
                <w:color w:val="000000"/>
                <w:lang w:val="sk-SK"/>
              </w:rPr>
              <w:t>i.v.</w:t>
            </w:r>
            <w:r w:rsidRPr="00C83045">
              <w:rPr>
                <w:color w:val="000000"/>
                <w:lang w:val="sk-SK"/>
              </w:rPr>
              <w:t>; 15 mg/m</w:t>
            </w:r>
            <w:r w:rsidRPr="00C83045">
              <w:rPr>
                <w:color w:val="000000"/>
                <w:vertAlign w:val="superscript"/>
                <w:lang w:val="sk-SK"/>
              </w:rPr>
              <w:t>2</w:t>
            </w:r>
            <w:r w:rsidRPr="00C83045">
              <w:rPr>
                <w:color w:val="000000"/>
                <w:lang w:val="sk-SK"/>
              </w:rPr>
              <w:t xml:space="preserve"> </w:t>
            </w:r>
            <w:r w:rsidR="00C04DDD" w:rsidRPr="00C83045">
              <w:rPr>
                <w:color w:val="000000"/>
                <w:lang w:val="sk-SK"/>
              </w:rPr>
              <w:t>i.v.</w:t>
            </w:r>
            <w:r w:rsidRPr="00C83045">
              <w:rPr>
                <w:color w:val="000000"/>
                <w:lang w:val="sk-SK"/>
              </w:rPr>
              <w:t xml:space="preserve"> </w:t>
            </w:r>
            <w:r w:rsidR="00C04DDD" w:rsidRPr="00C83045">
              <w:rPr>
                <w:color w:val="000000"/>
                <w:lang w:val="sk-SK"/>
              </w:rPr>
              <w:t>alebo</w:t>
            </w:r>
            <w:r w:rsidRPr="00C83045">
              <w:rPr>
                <w:color w:val="000000"/>
                <w:lang w:val="sk-SK"/>
              </w:rPr>
              <w:t xml:space="preserve"> </w:t>
            </w:r>
            <w:r w:rsidR="00C04DDD" w:rsidRPr="00C83045">
              <w:rPr>
                <w:color w:val="000000"/>
                <w:lang w:val="sk-SK"/>
              </w:rPr>
              <w:t>p.o.</w:t>
            </w:r>
            <w:r w:rsidRPr="00C83045">
              <w:rPr>
                <w:color w:val="000000"/>
                <w:lang w:val="sk-SK"/>
              </w:rPr>
              <w:t xml:space="preserve"> q6h x 6 d</w:t>
            </w:r>
            <w:r w:rsidR="00C04DDD" w:rsidRPr="00C83045">
              <w:rPr>
                <w:color w:val="000000"/>
                <w:lang w:val="sk-SK"/>
              </w:rPr>
              <w:t>ávok</w:t>
            </w:r>
            <w:r w:rsidRPr="00C83045">
              <w:rPr>
                <w:color w:val="000000"/>
                <w:lang w:val="sk-SK"/>
              </w:rPr>
              <w:t xml:space="preserve">)iii: </w:t>
            </w:r>
            <w:r w:rsidR="00C04DDD" w:rsidRPr="00C83045">
              <w:rPr>
                <w:color w:val="000000"/>
                <w:lang w:val="sk-SK"/>
              </w:rPr>
              <w:t>dni</w:t>
            </w:r>
            <w:r w:rsidRPr="00C83045">
              <w:rPr>
                <w:color w:val="000000"/>
                <w:lang w:val="sk-SK"/>
              </w:rPr>
              <w:t> 2 a 3</w:t>
            </w:r>
          </w:p>
          <w:p w14:paraId="32367F3F" w14:textId="77777777" w:rsidR="00F31B44" w:rsidRPr="00C83045" w:rsidRDefault="00695306" w:rsidP="00D4304B">
            <w:pPr>
              <w:pStyle w:val="EndnoteText"/>
              <w:widowControl w:val="0"/>
              <w:rPr>
                <w:color w:val="000000"/>
                <w:lang w:val="sk-SK"/>
              </w:rPr>
            </w:pPr>
            <w:r w:rsidRPr="00C83045">
              <w:rPr>
                <w:color w:val="000000"/>
                <w:lang w:val="sk-SK"/>
              </w:rPr>
              <w:t xml:space="preserve">Trojitá i.t. liečba (upravená podľa veku): </w:t>
            </w:r>
            <w:r w:rsidR="00F31B44" w:rsidRPr="00C83045">
              <w:rPr>
                <w:color w:val="000000"/>
                <w:lang w:val="sk-SK"/>
              </w:rPr>
              <w:t>d</w:t>
            </w:r>
            <w:r w:rsidRPr="00C83045">
              <w:rPr>
                <w:color w:val="000000"/>
                <w:lang w:val="sk-SK"/>
              </w:rPr>
              <w:t>eň</w:t>
            </w:r>
            <w:r w:rsidR="00F31B44" w:rsidRPr="00C83045">
              <w:rPr>
                <w:color w:val="000000"/>
                <w:lang w:val="sk-SK"/>
              </w:rPr>
              <w:t> 1</w:t>
            </w:r>
          </w:p>
          <w:p w14:paraId="32367F40" w14:textId="77777777" w:rsidR="00F31B44" w:rsidRPr="00C83045" w:rsidRDefault="00F31B44" w:rsidP="00D4304B">
            <w:pPr>
              <w:pStyle w:val="EndnoteText"/>
              <w:widowControl w:val="0"/>
              <w:rPr>
                <w:color w:val="000000"/>
                <w:lang w:val="sk-SK"/>
              </w:rPr>
            </w:pPr>
            <w:r w:rsidRPr="00C83045">
              <w:rPr>
                <w:color w:val="000000"/>
                <w:lang w:val="sk-SK"/>
              </w:rPr>
              <w:t>ARA-C (3 g/m</w:t>
            </w:r>
            <w:r w:rsidRPr="00C83045">
              <w:rPr>
                <w:color w:val="000000"/>
                <w:vertAlign w:val="superscript"/>
                <w:lang w:val="sk-SK"/>
              </w:rPr>
              <w:t>2</w:t>
            </w:r>
            <w:r w:rsidRPr="00C83045">
              <w:rPr>
                <w:color w:val="000000"/>
                <w:lang w:val="sk-SK"/>
              </w:rPr>
              <w:t>/d</w:t>
            </w:r>
            <w:r w:rsidR="005A0ECC" w:rsidRPr="00C83045">
              <w:rPr>
                <w:color w:val="000000"/>
                <w:lang w:val="sk-SK"/>
              </w:rPr>
              <w:t>ávka</w:t>
            </w:r>
            <w:r w:rsidRPr="00C83045">
              <w:rPr>
                <w:color w:val="000000"/>
                <w:lang w:val="sk-SK"/>
              </w:rPr>
              <w:t xml:space="preserve"> q 12 h x 4, </w:t>
            </w:r>
            <w:r w:rsidR="005A0ECC" w:rsidRPr="00C83045">
              <w:rPr>
                <w:color w:val="000000"/>
                <w:lang w:val="sk-SK"/>
              </w:rPr>
              <w:t>i.v.</w:t>
            </w:r>
            <w:r w:rsidRPr="00C83045">
              <w:rPr>
                <w:color w:val="000000"/>
                <w:lang w:val="sk-SK"/>
              </w:rPr>
              <w:t>): d</w:t>
            </w:r>
            <w:r w:rsidR="005A0ECC" w:rsidRPr="00C83045">
              <w:rPr>
                <w:color w:val="000000"/>
                <w:lang w:val="sk-SK"/>
              </w:rPr>
              <w:t>ni</w:t>
            </w:r>
            <w:r w:rsidRPr="00C83045">
              <w:rPr>
                <w:color w:val="000000"/>
                <w:lang w:val="sk-SK"/>
              </w:rPr>
              <w:t> 2 a 3</w:t>
            </w:r>
          </w:p>
          <w:p w14:paraId="32367F41" w14:textId="77777777" w:rsidR="00F31B44" w:rsidRPr="00C83045" w:rsidRDefault="00F31B44" w:rsidP="00D4304B">
            <w:pPr>
              <w:pStyle w:val="EndnoteText"/>
              <w:widowControl w:val="0"/>
              <w:rPr>
                <w:color w:val="000000"/>
                <w:lang w:val="sk-SK"/>
              </w:rPr>
            </w:pPr>
            <w:r w:rsidRPr="00C83045">
              <w:rPr>
                <w:color w:val="000000"/>
                <w:lang w:val="sk-SK"/>
              </w:rPr>
              <w:t xml:space="preserve">G-CSF (5 μg/kg, </w:t>
            </w:r>
            <w:r w:rsidR="00681323" w:rsidRPr="00C83045">
              <w:rPr>
                <w:color w:val="000000"/>
                <w:lang w:val="sk-SK"/>
              </w:rPr>
              <w:t>s.c.</w:t>
            </w:r>
            <w:r w:rsidRPr="00C83045">
              <w:rPr>
                <w:color w:val="000000"/>
                <w:lang w:val="sk-SK"/>
              </w:rPr>
              <w:t>): d</w:t>
            </w:r>
            <w:r w:rsidR="00681323" w:rsidRPr="00C83045">
              <w:rPr>
                <w:color w:val="000000"/>
                <w:lang w:val="sk-SK"/>
              </w:rPr>
              <w:t>ni</w:t>
            </w:r>
            <w:r w:rsidRPr="00C83045">
              <w:rPr>
                <w:color w:val="000000"/>
                <w:lang w:val="sk-SK"/>
              </w:rPr>
              <w:t xml:space="preserve"> 4-13 </w:t>
            </w:r>
            <w:r w:rsidR="00681323" w:rsidRPr="00C83045">
              <w:rPr>
                <w:color w:val="000000"/>
                <w:lang w:val="sk-SK"/>
              </w:rPr>
              <w:t>alebo pokiaľ</w:t>
            </w:r>
            <w:r w:rsidRPr="00C83045">
              <w:rPr>
                <w:color w:val="000000"/>
                <w:lang w:val="sk-SK"/>
              </w:rPr>
              <w:t xml:space="preserve"> ANC &gt; 1500 po nadir</w:t>
            </w:r>
            <w:r w:rsidR="00681323" w:rsidRPr="00C83045">
              <w:rPr>
                <w:color w:val="000000"/>
                <w:lang w:val="sk-SK"/>
              </w:rPr>
              <w:t>e</w:t>
            </w:r>
          </w:p>
        </w:tc>
      </w:tr>
      <w:tr w:rsidR="00F31B44" w:rsidRPr="00C83045" w14:paraId="32367F4C" w14:textId="77777777" w:rsidTr="00BE6051">
        <w:trPr>
          <w:cantSplit/>
        </w:trPr>
        <w:tc>
          <w:tcPr>
            <w:tcW w:w="2358" w:type="dxa"/>
            <w:tcBorders>
              <w:top w:val="single" w:sz="4" w:space="0" w:color="auto"/>
              <w:left w:val="single" w:sz="4" w:space="0" w:color="auto"/>
              <w:bottom w:val="single" w:sz="4" w:space="0" w:color="auto"/>
              <w:right w:val="single" w:sz="4" w:space="0" w:color="auto"/>
            </w:tcBorders>
            <w:hideMark/>
          </w:tcPr>
          <w:p w14:paraId="32367F43" w14:textId="77777777" w:rsidR="00F31B44" w:rsidRPr="00C83045" w:rsidRDefault="00F31B44" w:rsidP="00D4304B">
            <w:pPr>
              <w:pStyle w:val="EndnoteText"/>
              <w:widowControl w:val="0"/>
              <w:rPr>
                <w:color w:val="000000"/>
                <w:lang w:val="sk-SK"/>
              </w:rPr>
            </w:pPr>
            <w:r w:rsidRPr="00C83045">
              <w:rPr>
                <w:color w:val="000000"/>
                <w:lang w:val="sk-SK"/>
              </w:rPr>
              <w:t>Reindu</w:t>
            </w:r>
            <w:r w:rsidR="00334867" w:rsidRPr="00C83045">
              <w:rPr>
                <w:color w:val="000000"/>
                <w:lang w:val="sk-SK"/>
              </w:rPr>
              <w:t>kčný blok</w:t>
            </w:r>
            <w:r w:rsidRPr="00C83045">
              <w:rPr>
                <w:color w:val="000000"/>
                <w:lang w:val="sk-SK"/>
              </w:rPr>
              <w:t> 1</w:t>
            </w:r>
          </w:p>
          <w:p w14:paraId="32367F44" w14:textId="77777777" w:rsidR="00F31B44" w:rsidRPr="00C83045" w:rsidRDefault="00F31B44" w:rsidP="00D4304B">
            <w:pPr>
              <w:pStyle w:val="EndnoteText"/>
              <w:widowControl w:val="0"/>
              <w:rPr>
                <w:color w:val="000000"/>
                <w:lang w:val="sk-SK"/>
              </w:rPr>
            </w:pPr>
            <w:r w:rsidRPr="00C83045">
              <w:rPr>
                <w:color w:val="000000"/>
                <w:lang w:val="sk-SK"/>
              </w:rPr>
              <w:t>(3 </w:t>
            </w:r>
            <w:r w:rsidR="00334867" w:rsidRPr="00C83045">
              <w:rPr>
                <w:color w:val="000000"/>
                <w:lang w:val="sk-SK"/>
              </w:rPr>
              <w:t>týždne</w:t>
            </w:r>
            <w:r w:rsidRPr="00C83045">
              <w:rPr>
                <w:color w:val="000000"/>
                <w:lang w:val="sk-SK"/>
              </w:rPr>
              <w:t>)</w:t>
            </w:r>
          </w:p>
        </w:tc>
        <w:tc>
          <w:tcPr>
            <w:tcW w:w="6929" w:type="dxa"/>
            <w:tcBorders>
              <w:top w:val="single" w:sz="4" w:space="0" w:color="auto"/>
              <w:left w:val="single" w:sz="4" w:space="0" w:color="auto"/>
              <w:bottom w:val="single" w:sz="4" w:space="0" w:color="auto"/>
              <w:right w:val="single" w:sz="4" w:space="0" w:color="auto"/>
            </w:tcBorders>
            <w:hideMark/>
          </w:tcPr>
          <w:p w14:paraId="32367F45" w14:textId="77777777" w:rsidR="00F31B44" w:rsidRPr="00C83045" w:rsidRDefault="00F31B44" w:rsidP="00D4304B">
            <w:pPr>
              <w:pStyle w:val="EndnoteText"/>
              <w:widowControl w:val="0"/>
              <w:rPr>
                <w:color w:val="000000"/>
                <w:lang w:val="sk-SK"/>
              </w:rPr>
            </w:pPr>
            <w:r w:rsidRPr="00C83045">
              <w:rPr>
                <w:color w:val="000000"/>
                <w:lang w:val="sk-SK"/>
              </w:rPr>
              <w:t>VCR (1</w:t>
            </w:r>
            <w:r w:rsidR="00096051" w:rsidRPr="00C83045">
              <w:rPr>
                <w:color w:val="000000"/>
                <w:lang w:val="sk-SK"/>
              </w:rPr>
              <w:t>,</w:t>
            </w:r>
            <w:r w:rsidRPr="00C83045">
              <w:rPr>
                <w:color w:val="000000"/>
                <w:lang w:val="sk-SK"/>
              </w:rPr>
              <w:t>5 mg/m</w:t>
            </w:r>
            <w:r w:rsidRPr="00C83045">
              <w:rPr>
                <w:color w:val="000000"/>
                <w:vertAlign w:val="superscript"/>
                <w:lang w:val="sk-SK"/>
              </w:rPr>
              <w:t>2</w:t>
            </w:r>
            <w:r w:rsidRPr="00C83045">
              <w:rPr>
                <w:color w:val="000000"/>
                <w:lang w:val="sk-SK"/>
              </w:rPr>
              <w:t>/d</w:t>
            </w:r>
            <w:r w:rsidR="00096051" w:rsidRPr="00C83045">
              <w:rPr>
                <w:color w:val="000000"/>
                <w:lang w:val="sk-SK"/>
              </w:rPr>
              <w:t>eň</w:t>
            </w:r>
            <w:r w:rsidRPr="00C83045">
              <w:rPr>
                <w:color w:val="000000"/>
                <w:lang w:val="sk-SK"/>
              </w:rPr>
              <w:t xml:space="preserve">, </w:t>
            </w:r>
            <w:r w:rsidR="00096051" w:rsidRPr="00C83045">
              <w:rPr>
                <w:color w:val="000000"/>
                <w:lang w:val="sk-SK"/>
              </w:rPr>
              <w:t>i.v.)</w:t>
            </w:r>
            <w:r w:rsidRPr="00C83045">
              <w:rPr>
                <w:color w:val="000000"/>
                <w:lang w:val="sk-SK"/>
              </w:rPr>
              <w:t>: d</w:t>
            </w:r>
            <w:r w:rsidR="00096051" w:rsidRPr="00C83045">
              <w:rPr>
                <w:color w:val="000000"/>
                <w:lang w:val="sk-SK"/>
              </w:rPr>
              <w:t>ni</w:t>
            </w:r>
            <w:r w:rsidRPr="00C83045">
              <w:rPr>
                <w:color w:val="000000"/>
                <w:lang w:val="sk-SK"/>
              </w:rPr>
              <w:t> 1, 8 a 15</w:t>
            </w:r>
          </w:p>
          <w:p w14:paraId="32367F46" w14:textId="77777777" w:rsidR="00F31B44" w:rsidRPr="00C83045" w:rsidRDefault="00F31B44" w:rsidP="00D4304B">
            <w:pPr>
              <w:pStyle w:val="EndnoteText"/>
              <w:widowControl w:val="0"/>
              <w:rPr>
                <w:color w:val="000000"/>
                <w:lang w:val="sk-SK"/>
              </w:rPr>
            </w:pPr>
            <w:r w:rsidRPr="00C83045">
              <w:rPr>
                <w:color w:val="000000"/>
                <w:lang w:val="sk-SK"/>
              </w:rPr>
              <w:t>DAUN (45 mg/m</w:t>
            </w:r>
            <w:r w:rsidRPr="00C83045">
              <w:rPr>
                <w:color w:val="000000"/>
                <w:vertAlign w:val="superscript"/>
                <w:lang w:val="sk-SK"/>
              </w:rPr>
              <w:t>2</w:t>
            </w:r>
            <w:r w:rsidRPr="00C83045">
              <w:rPr>
                <w:color w:val="000000"/>
                <w:lang w:val="sk-SK"/>
              </w:rPr>
              <w:t>/d</w:t>
            </w:r>
            <w:r w:rsidR="00096051" w:rsidRPr="00C83045">
              <w:rPr>
                <w:color w:val="000000"/>
                <w:lang w:val="sk-SK"/>
              </w:rPr>
              <w:t>eň</w:t>
            </w:r>
            <w:r w:rsidRPr="00C83045">
              <w:rPr>
                <w:color w:val="000000"/>
                <w:lang w:val="sk-SK"/>
              </w:rPr>
              <w:t xml:space="preserve"> bolus, </w:t>
            </w:r>
            <w:r w:rsidR="00096051" w:rsidRPr="00C83045">
              <w:rPr>
                <w:color w:val="000000"/>
                <w:lang w:val="sk-SK"/>
              </w:rPr>
              <w:t>i.v.</w:t>
            </w:r>
            <w:r w:rsidRPr="00C83045">
              <w:rPr>
                <w:color w:val="000000"/>
                <w:lang w:val="sk-SK"/>
              </w:rPr>
              <w:t>): d</w:t>
            </w:r>
            <w:r w:rsidR="00096051" w:rsidRPr="00C83045">
              <w:rPr>
                <w:color w:val="000000"/>
                <w:lang w:val="sk-SK"/>
              </w:rPr>
              <w:t>ni</w:t>
            </w:r>
            <w:r w:rsidRPr="00C83045">
              <w:rPr>
                <w:color w:val="000000"/>
                <w:lang w:val="sk-SK"/>
              </w:rPr>
              <w:t> 1 a 2</w:t>
            </w:r>
          </w:p>
          <w:p w14:paraId="32367F47" w14:textId="77777777" w:rsidR="00F31B44" w:rsidRPr="00C83045" w:rsidRDefault="00F31B44" w:rsidP="00D4304B">
            <w:pPr>
              <w:pStyle w:val="EndnoteText"/>
              <w:widowControl w:val="0"/>
              <w:rPr>
                <w:color w:val="000000"/>
                <w:lang w:val="sk-SK"/>
              </w:rPr>
            </w:pPr>
            <w:r w:rsidRPr="00C83045">
              <w:rPr>
                <w:color w:val="000000"/>
                <w:lang w:val="sk-SK"/>
              </w:rPr>
              <w:t>CPM (250 mg/m</w:t>
            </w:r>
            <w:r w:rsidRPr="00C83045">
              <w:rPr>
                <w:color w:val="000000"/>
                <w:vertAlign w:val="superscript"/>
                <w:lang w:val="sk-SK"/>
              </w:rPr>
              <w:t>2</w:t>
            </w:r>
            <w:r w:rsidRPr="00C83045">
              <w:rPr>
                <w:color w:val="000000"/>
                <w:lang w:val="sk-SK"/>
              </w:rPr>
              <w:t>/d</w:t>
            </w:r>
            <w:r w:rsidR="00096051" w:rsidRPr="00C83045">
              <w:rPr>
                <w:color w:val="000000"/>
                <w:lang w:val="sk-SK"/>
              </w:rPr>
              <w:t>ávka</w:t>
            </w:r>
            <w:r w:rsidRPr="00C83045">
              <w:rPr>
                <w:color w:val="000000"/>
                <w:lang w:val="sk-SK"/>
              </w:rPr>
              <w:t xml:space="preserve"> q12h x 4 d</w:t>
            </w:r>
            <w:r w:rsidR="00096051" w:rsidRPr="00C83045">
              <w:rPr>
                <w:color w:val="000000"/>
                <w:lang w:val="sk-SK"/>
              </w:rPr>
              <w:t>ávky</w:t>
            </w:r>
            <w:r w:rsidRPr="00C83045">
              <w:rPr>
                <w:color w:val="000000"/>
                <w:lang w:val="sk-SK"/>
              </w:rPr>
              <w:t xml:space="preserve">, </w:t>
            </w:r>
            <w:r w:rsidR="00096051" w:rsidRPr="00C83045">
              <w:rPr>
                <w:color w:val="000000"/>
                <w:lang w:val="sk-SK"/>
              </w:rPr>
              <w:t>i.v.)</w:t>
            </w:r>
            <w:r w:rsidRPr="00C83045">
              <w:rPr>
                <w:color w:val="000000"/>
                <w:lang w:val="sk-SK"/>
              </w:rPr>
              <w:t>: d</w:t>
            </w:r>
            <w:r w:rsidR="00096051" w:rsidRPr="00C83045">
              <w:rPr>
                <w:color w:val="000000"/>
                <w:lang w:val="sk-SK"/>
              </w:rPr>
              <w:t>ni</w:t>
            </w:r>
            <w:r w:rsidRPr="00C83045">
              <w:rPr>
                <w:color w:val="000000"/>
                <w:lang w:val="sk-SK"/>
              </w:rPr>
              <w:t> 3 a 4</w:t>
            </w:r>
          </w:p>
          <w:p w14:paraId="32367F48" w14:textId="77777777" w:rsidR="00F31B44" w:rsidRPr="00C83045" w:rsidRDefault="00F31B44" w:rsidP="00D4304B">
            <w:pPr>
              <w:pStyle w:val="EndnoteText"/>
              <w:widowControl w:val="0"/>
              <w:rPr>
                <w:color w:val="000000"/>
                <w:lang w:val="sk-SK"/>
              </w:rPr>
            </w:pPr>
            <w:r w:rsidRPr="00C83045">
              <w:rPr>
                <w:color w:val="000000"/>
                <w:lang w:val="sk-SK"/>
              </w:rPr>
              <w:t>PEG-ASP (2500 IU/m</w:t>
            </w:r>
            <w:r w:rsidRPr="00C83045">
              <w:rPr>
                <w:color w:val="000000"/>
                <w:vertAlign w:val="superscript"/>
                <w:lang w:val="sk-SK"/>
              </w:rPr>
              <w:t>2</w:t>
            </w:r>
            <w:r w:rsidRPr="00C83045">
              <w:rPr>
                <w:color w:val="000000"/>
                <w:lang w:val="sk-SK"/>
              </w:rPr>
              <w:t xml:space="preserve">, </w:t>
            </w:r>
            <w:r w:rsidR="00096051" w:rsidRPr="00C83045">
              <w:rPr>
                <w:color w:val="000000"/>
                <w:lang w:val="sk-SK"/>
              </w:rPr>
              <w:t>i.m.</w:t>
            </w:r>
            <w:r w:rsidRPr="00C83045">
              <w:rPr>
                <w:color w:val="000000"/>
                <w:lang w:val="sk-SK"/>
              </w:rPr>
              <w:t>): d</w:t>
            </w:r>
            <w:r w:rsidR="00096051" w:rsidRPr="00C83045">
              <w:rPr>
                <w:color w:val="000000"/>
                <w:lang w:val="sk-SK"/>
              </w:rPr>
              <w:t>eň</w:t>
            </w:r>
            <w:r w:rsidRPr="00C83045">
              <w:rPr>
                <w:color w:val="000000"/>
                <w:lang w:val="sk-SK"/>
              </w:rPr>
              <w:t> 4</w:t>
            </w:r>
          </w:p>
          <w:p w14:paraId="32367F49" w14:textId="77777777" w:rsidR="00F31B44" w:rsidRPr="00C83045" w:rsidRDefault="00F31B44" w:rsidP="00D4304B">
            <w:pPr>
              <w:pStyle w:val="EndnoteText"/>
              <w:widowControl w:val="0"/>
              <w:rPr>
                <w:color w:val="000000"/>
                <w:lang w:val="sk-SK"/>
              </w:rPr>
            </w:pPr>
            <w:r w:rsidRPr="00C83045">
              <w:rPr>
                <w:color w:val="000000"/>
                <w:lang w:val="sk-SK"/>
              </w:rPr>
              <w:t xml:space="preserve">G-CSF (5 μg/kg, </w:t>
            </w:r>
            <w:r w:rsidR="00096051" w:rsidRPr="00C83045">
              <w:rPr>
                <w:color w:val="000000"/>
                <w:lang w:val="sk-SK"/>
              </w:rPr>
              <w:t>s.c.</w:t>
            </w:r>
            <w:r w:rsidRPr="00C83045">
              <w:rPr>
                <w:color w:val="000000"/>
                <w:lang w:val="sk-SK"/>
              </w:rPr>
              <w:t>): d</w:t>
            </w:r>
            <w:r w:rsidR="00096051" w:rsidRPr="00C83045">
              <w:rPr>
                <w:color w:val="000000"/>
                <w:lang w:val="sk-SK"/>
              </w:rPr>
              <w:t>ni</w:t>
            </w:r>
            <w:r w:rsidRPr="00C83045">
              <w:rPr>
                <w:color w:val="000000"/>
                <w:lang w:val="sk-SK"/>
              </w:rPr>
              <w:t> 5</w:t>
            </w:r>
            <w:r w:rsidRPr="00C83045">
              <w:rPr>
                <w:color w:val="000000"/>
                <w:lang w:val="sk-SK"/>
              </w:rPr>
              <w:noBreakHyphen/>
              <w:t xml:space="preserve">14 </w:t>
            </w:r>
            <w:r w:rsidR="00096051" w:rsidRPr="00C83045">
              <w:rPr>
                <w:color w:val="000000"/>
                <w:lang w:val="sk-SK"/>
              </w:rPr>
              <w:t>alebo pokiaľ</w:t>
            </w:r>
            <w:r w:rsidRPr="00C83045">
              <w:rPr>
                <w:color w:val="000000"/>
                <w:lang w:val="sk-SK"/>
              </w:rPr>
              <w:t xml:space="preserve"> ANC &gt; 1500 po nadir</w:t>
            </w:r>
            <w:r w:rsidR="00096051" w:rsidRPr="00C83045">
              <w:rPr>
                <w:color w:val="000000"/>
                <w:lang w:val="sk-SK"/>
              </w:rPr>
              <w:t>e</w:t>
            </w:r>
          </w:p>
          <w:p w14:paraId="32367F4A" w14:textId="77777777" w:rsidR="00F31B44" w:rsidRPr="00C83045" w:rsidRDefault="00096051" w:rsidP="00D4304B">
            <w:pPr>
              <w:pStyle w:val="EndnoteText"/>
              <w:widowControl w:val="0"/>
              <w:rPr>
                <w:color w:val="000000"/>
                <w:lang w:val="sk-SK"/>
              </w:rPr>
            </w:pPr>
            <w:r w:rsidRPr="00C83045">
              <w:rPr>
                <w:color w:val="000000"/>
                <w:lang w:val="sk-SK"/>
              </w:rPr>
              <w:t xml:space="preserve">Trojitá i.t. liečba (upravená podľa veku): </w:t>
            </w:r>
            <w:r w:rsidR="00F31B44" w:rsidRPr="00C83045">
              <w:rPr>
                <w:color w:val="000000"/>
                <w:lang w:val="sk-SK"/>
              </w:rPr>
              <w:t>d</w:t>
            </w:r>
            <w:r w:rsidRPr="00C83045">
              <w:rPr>
                <w:color w:val="000000"/>
                <w:lang w:val="sk-SK"/>
              </w:rPr>
              <w:t>ni</w:t>
            </w:r>
            <w:r w:rsidR="00F31B44" w:rsidRPr="00C83045">
              <w:rPr>
                <w:color w:val="000000"/>
                <w:lang w:val="sk-SK"/>
              </w:rPr>
              <w:t> 1 a 15</w:t>
            </w:r>
          </w:p>
          <w:p w14:paraId="32367F4B" w14:textId="77777777" w:rsidR="00F31B44" w:rsidRPr="00C83045" w:rsidRDefault="00F31B44" w:rsidP="00D4304B">
            <w:pPr>
              <w:pStyle w:val="EndnoteText"/>
              <w:widowControl w:val="0"/>
              <w:rPr>
                <w:color w:val="000000"/>
                <w:lang w:val="sk-SK"/>
              </w:rPr>
            </w:pPr>
            <w:r w:rsidRPr="00C83045">
              <w:rPr>
                <w:color w:val="000000"/>
                <w:lang w:val="sk-SK"/>
              </w:rPr>
              <w:t>DEX (6 mg/m</w:t>
            </w:r>
            <w:r w:rsidRPr="00C83045">
              <w:rPr>
                <w:color w:val="000000"/>
                <w:vertAlign w:val="superscript"/>
                <w:lang w:val="sk-SK"/>
              </w:rPr>
              <w:t>2</w:t>
            </w:r>
            <w:r w:rsidRPr="00C83045">
              <w:rPr>
                <w:color w:val="000000"/>
                <w:lang w:val="sk-SK"/>
              </w:rPr>
              <w:t>/d</w:t>
            </w:r>
            <w:r w:rsidR="00001598" w:rsidRPr="00C83045">
              <w:rPr>
                <w:color w:val="000000"/>
                <w:lang w:val="sk-SK"/>
              </w:rPr>
              <w:t>eň</w:t>
            </w:r>
            <w:r w:rsidRPr="00C83045">
              <w:rPr>
                <w:color w:val="000000"/>
                <w:lang w:val="sk-SK"/>
              </w:rPr>
              <w:t xml:space="preserve">, </w:t>
            </w:r>
            <w:r w:rsidR="00001598" w:rsidRPr="00C83045">
              <w:rPr>
                <w:color w:val="000000"/>
                <w:lang w:val="sk-SK"/>
              </w:rPr>
              <w:t>p.o.</w:t>
            </w:r>
            <w:r w:rsidRPr="00C83045">
              <w:rPr>
                <w:color w:val="000000"/>
                <w:lang w:val="sk-SK"/>
              </w:rPr>
              <w:t xml:space="preserve">): </w:t>
            </w:r>
            <w:r w:rsidR="00001598" w:rsidRPr="00C83045">
              <w:rPr>
                <w:color w:val="000000"/>
                <w:lang w:val="sk-SK"/>
              </w:rPr>
              <w:t>dni</w:t>
            </w:r>
            <w:r w:rsidRPr="00C83045">
              <w:rPr>
                <w:color w:val="000000"/>
                <w:lang w:val="sk-SK"/>
              </w:rPr>
              <w:t> 1</w:t>
            </w:r>
            <w:r w:rsidRPr="00C83045">
              <w:rPr>
                <w:color w:val="000000"/>
                <w:lang w:val="sk-SK"/>
              </w:rPr>
              <w:noBreakHyphen/>
              <w:t>7 a 15</w:t>
            </w:r>
            <w:r w:rsidRPr="00C83045">
              <w:rPr>
                <w:color w:val="000000"/>
                <w:lang w:val="sk-SK"/>
              </w:rPr>
              <w:noBreakHyphen/>
              <w:t>21</w:t>
            </w:r>
          </w:p>
        </w:tc>
      </w:tr>
      <w:tr w:rsidR="00F31B44" w:rsidRPr="00C83045" w14:paraId="32367F58" w14:textId="77777777" w:rsidTr="00BE6051">
        <w:trPr>
          <w:cantSplit/>
        </w:trPr>
        <w:tc>
          <w:tcPr>
            <w:tcW w:w="2358" w:type="dxa"/>
            <w:tcBorders>
              <w:top w:val="single" w:sz="4" w:space="0" w:color="auto"/>
              <w:left w:val="single" w:sz="4" w:space="0" w:color="auto"/>
              <w:bottom w:val="single" w:sz="4" w:space="0" w:color="auto"/>
              <w:right w:val="single" w:sz="4" w:space="0" w:color="auto"/>
            </w:tcBorders>
            <w:hideMark/>
          </w:tcPr>
          <w:p w14:paraId="32367F4D" w14:textId="77777777" w:rsidR="00F31B44" w:rsidRPr="00C83045" w:rsidRDefault="00F31B44" w:rsidP="00D4304B">
            <w:pPr>
              <w:pStyle w:val="EndnoteText"/>
              <w:widowControl w:val="0"/>
              <w:rPr>
                <w:color w:val="000000"/>
                <w:lang w:val="sk-SK"/>
              </w:rPr>
            </w:pPr>
            <w:r w:rsidRPr="00C83045">
              <w:rPr>
                <w:color w:val="000000"/>
                <w:lang w:val="sk-SK"/>
              </w:rPr>
              <w:t>Inten</w:t>
            </w:r>
            <w:r w:rsidR="00C862F6" w:rsidRPr="00C83045">
              <w:rPr>
                <w:color w:val="000000"/>
                <w:lang w:val="sk-SK"/>
              </w:rPr>
              <w:t>zifikačný blok</w:t>
            </w:r>
            <w:r w:rsidRPr="00C83045">
              <w:rPr>
                <w:color w:val="000000"/>
                <w:lang w:val="sk-SK"/>
              </w:rPr>
              <w:t> 1</w:t>
            </w:r>
          </w:p>
          <w:p w14:paraId="32367F4E" w14:textId="77777777" w:rsidR="00F31B44" w:rsidRPr="00C83045" w:rsidRDefault="00F31B44" w:rsidP="00D4304B">
            <w:pPr>
              <w:pStyle w:val="EndnoteText"/>
              <w:widowControl w:val="0"/>
              <w:rPr>
                <w:color w:val="000000"/>
                <w:lang w:val="sk-SK"/>
              </w:rPr>
            </w:pPr>
            <w:r w:rsidRPr="00C83045">
              <w:rPr>
                <w:color w:val="000000"/>
                <w:lang w:val="sk-SK"/>
              </w:rPr>
              <w:t>(9 </w:t>
            </w:r>
            <w:r w:rsidR="00C862F6" w:rsidRPr="00C83045">
              <w:rPr>
                <w:color w:val="000000"/>
                <w:lang w:val="sk-SK"/>
              </w:rPr>
              <w:t>týždňov</w:t>
            </w:r>
            <w:r w:rsidRPr="00C83045">
              <w:rPr>
                <w:color w:val="000000"/>
                <w:lang w:val="sk-SK"/>
              </w:rPr>
              <w:t>)</w:t>
            </w:r>
          </w:p>
        </w:tc>
        <w:tc>
          <w:tcPr>
            <w:tcW w:w="6929" w:type="dxa"/>
            <w:tcBorders>
              <w:top w:val="single" w:sz="4" w:space="0" w:color="auto"/>
              <w:left w:val="single" w:sz="4" w:space="0" w:color="auto"/>
              <w:bottom w:val="single" w:sz="4" w:space="0" w:color="auto"/>
              <w:right w:val="single" w:sz="4" w:space="0" w:color="auto"/>
            </w:tcBorders>
            <w:hideMark/>
          </w:tcPr>
          <w:p w14:paraId="32367F4F" w14:textId="77777777" w:rsidR="00F31B44" w:rsidRPr="00C83045" w:rsidRDefault="00F31B44" w:rsidP="00D4304B">
            <w:pPr>
              <w:pStyle w:val="EndnoteText"/>
              <w:widowControl w:val="0"/>
              <w:rPr>
                <w:color w:val="000000"/>
                <w:lang w:val="sk-SK"/>
              </w:rPr>
            </w:pPr>
            <w:r w:rsidRPr="00C83045">
              <w:rPr>
                <w:color w:val="000000"/>
                <w:lang w:val="sk-SK"/>
              </w:rPr>
              <w:t>Metotrex</w:t>
            </w:r>
            <w:r w:rsidR="00453519" w:rsidRPr="00C83045">
              <w:rPr>
                <w:color w:val="000000"/>
                <w:lang w:val="sk-SK"/>
              </w:rPr>
              <w:t>á</w:t>
            </w:r>
            <w:r w:rsidRPr="00C83045">
              <w:rPr>
                <w:color w:val="000000"/>
                <w:lang w:val="sk-SK"/>
              </w:rPr>
              <w:t>t (5 g/m</w:t>
            </w:r>
            <w:r w:rsidRPr="00C83045">
              <w:rPr>
                <w:color w:val="000000"/>
                <w:vertAlign w:val="superscript"/>
                <w:lang w:val="sk-SK"/>
              </w:rPr>
              <w:t>2</w:t>
            </w:r>
            <w:r w:rsidRPr="00C83045">
              <w:rPr>
                <w:color w:val="000000"/>
                <w:lang w:val="sk-SK"/>
              </w:rPr>
              <w:t xml:space="preserve"> </w:t>
            </w:r>
            <w:r w:rsidR="00453519" w:rsidRPr="00C83045">
              <w:rPr>
                <w:color w:val="000000"/>
                <w:lang w:val="sk-SK"/>
              </w:rPr>
              <w:t>počas</w:t>
            </w:r>
            <w:r w:rsidRPr="00C83045">
              <w:rPr>
                <w:color w:val="000000"/>
                <w:lang w:val="sk-SK"/>
              </w:rPr>
              <w:t xml:space="preserve"> 24 h</w:t>
            </w:r>
            <w:r w:rsidR="00453519" w:rsidRPr="00C83045">
              <w:rPr>
                <w:color w:val="000000"/>
                <w:lang w:val="sk-SK"/>
              </w:rPr>
              <w:t>, i.v.)</w:t>
            </w:r>
            <w:r w:rsidRPr="00C83045">
              <w:rPr>
                <w:color w:val="000000"/>
                <w:lang w:val="sk-SK"/>
              </w:rPr>
              <w:t>: d</w:t>
            </w:r>
            <w:r w:rsidR="00453519" w:rsidRPr="00C83045">
              <w:rPr>
                <w:color w:val="000000"/>
                <w:lang w:val="sk-SK"/>
              </w:rPr>
              <w:t>ni</w:t>
            </w:r>
            <w:r w:rsidRPr="00C83045">
              <w:rPr>
                <w:color w:val="000000"/>
                <w:lang w:val="sk-SK"/>
              </w:rPr>
              <w:t> 1 a 15</w:t>
            </w:r>
          </w:p>
          <w:p w14:paraId="32367F50" w14:textId="77777777" w:rsidR="00F31B44" w:rsidRPr="00C83045" w:rsidRDefault="00F31B44" w:rsidP="00D4304B">
            <w:pPr>
              <w:pStyle w:val="EndnoteText"/>
              <w:widowControl w:val="0"/>
              <w:rPr>
                <w:color w:val="000000"/>
                <w:lang w:val="sk-SK"/>
              </w:rPr>
            </w:pPr>
            <w:r w:rsidRPr="00C83045">
              <w:rPr>
                <w:color w:val="000000"/>
                <w:lang w:val="sk-SK"/>
              </w:rPr>
              <w:t>Leu</w:t>
            </w:r>
            <w:r w:rsidR="00970903" w:rsidRPr="00C83045">
              <w:rPr>
                <w:color w:val="000000"/>
                <w:lang w:val="sk-SK"/>
              </w:rPr>
              <w:t>k</w:t>
            </w:r>
            <w:r w:rsidRPr="00C83045">
              <w:rPr>
                <w:color w:val="000000"/>
                <w:lang w:val="sk-SK"/>
              </w:rPr>
              <w:t>ovor</w:t>
            </w:r>
            <w:r w:rsidR="00970903" w:rsidRPr="00C83045">
              <w:rPr>
                <w:color w:val="000000"/>
                <w:lang w:val="sk-SK"/>
              </w:rPr>
              <w:t>í</w:t>
            </w:r>
            <w:r w:rsidRPr="00C83045">
              <w:rPr>
                <w:color w:val="000000"/>
                <w:lang w:val="sk-SK"/>
              </w:rPr>
              <w:t>n (75 mg/m</w:t>
            </w:r>
            <w:r w:rsidRPr="00C83045">
              <w:rPr>
                <w:color w:val="000000"/>
                <w:vertAlign w:val="superscript"/>
                <w:lang w:val="sk-SK"/>
              </w:rPr>
              <w:t>2</w:t>
            </w:r>
            <w:r w:rsidRPr="00C83045">
              <w:rPr>
                <w:color w:val="000000"/>
                <w:lang w:val="sk-SK"/>
              </w:rPr>
              <w:t xml:space="preserve"> </w:t>
            </w:r>
            <w:r w:rsidR="00970903" w:rsidRPr="00C83045">
              <w:rPr>
                <w:color w:val="000000"/>
                <w:lang w:val="sk-SK"/>
              </w:rPr>
              <w:t xml:space="preserve">v </w:t>
            </w:r>
            <w:r w:rsidRPr="00C83045">
              <w:rPr>
                <w:color w:val="000000"/>
                <w:lang w:val="sk-SK"/>
              </w:rPr>
              <w:t>36</w:t>
            </w:r>
            <w:r w:rsidR="00970903" w:rsidRPr="00C83045">
              <w:rPr>
                <w:color w:val="000000"/>
                <w:lang w:val="sk-SK"/>
              </w:rPr>
              <w:t xml:space="preserve"> h</w:t>
            </w:r>
            <w:r w:rsidRPr="00C83045">
              <w:rPr>
                <w:color w:val="000000"/>
                <w:lang w:val="sk-SK"/>
              </w:rPr>
              <w:t xml:space="preserve">, </w:t>
            </w:r>
            <w:r w:rsidR="00970903" w:rsidRPr="00C83045">
              <w:rPr>
                <w:color w:val="000000"/>
                <w:lang w:val="sk-SK"/>
              </w:rPr>
              <w:t>i.v.</w:t>
            </w:r>
            <w:r w:rsidRPr="00C83045">
              <w:rPr>
                <w:color w:val="000000"/>
                <w:lang w:val="sk-SK"/>
              </w:rPr>
              <w:t>; 15 mg/m</w:t>
            </w:r>
            <w:r w:rsidRPr="00C83045">
              <w:rPr>
                <w:color w:val="000000"/>
                <w:vertAlign w:val="superscript"/>
                <w:lang w:val="sk-SK"/>
              </w:rPr>
              <w:t>2</w:t>
            </w:r>
            <w:r w:rsidRPr="00C83045">
              <w:rPr>
                <w:color w:val="000000"/>
                <w:lang w:val="sk-SK"/>
              </w:rPr>
              <w:t xml:space="preserve"> </w:t>
            </w:r>
            <w:r w:rsidR="00970903" w:rsidRPr="00C83045">
              <w:rPr>
                <w:color w:val="000000"/>
                <w:lang w:val="sk-SK"/>
              </w:rPr>
              <w:t xml:space="preserve">i.v. alebo p.o. </w:t>
            </w:r>
            <w:r w:rsidRPr="00C83045">
              <w:rPr>
                <w:color w:val="000000"/>
                <w:lang w:val="sk-SK"/>
              </w:rPr>
              <w:t>q6h x 6 d</w:t>
            </w:r>
            <w:r w:rsidR="00970903" w:rsidRPr="00C83045">
              <w:rPr>
                <w:color w:val="000000"/>
                <w:lang w:val="sk-SK"/>
              </w:rPr>
              <w:t>ávok</w:t>
            </w:r>
            <w:r w:rsidRPr="00C83045">
              <w:rPr>
                <w:color w:val="000000"/>
                <w:lang w:val="sk-SK"/>
              </w:rPr>
              <w:t xml:space="preserve">)iii: </w:t>
            </w:r>
            <w:r w:rsidR="00970903" w:rsidRPr="00C83045">
              <w:rPr>
                <w:color w:val="000000"/>
                <w:lang w:val="sk-SK"/>
              </w:rPr>
              <w:t>dni</w:t>
            </w:r>
            <w:r w:rsidRPr="00C83045">
              <w:rPr>
                <w:color w:val="000000"/>
                <w:lang w:val="sk-SK"/>
              </w:rPr>
              <w:t> 2, 3, 16</w:t>
            </w:r>
            <w:r w:rsidR="00970903" w:rsidRPr="00C83045">
              <w:rPr>
                <w:color w:val="000000"/>
                <w:lang w:val="sk-SK"/>
              </w:rPr>
              <w:t xml:space="preserve"> </w:t>
            </w:r>
            <w:r w:rsidRPr="00C83045">
              <w:rPr>
                <w:color w:val="000000"/>
                <w:lang w:val="sk-SK"/>
              </w:rPr>
              <w:t>a 17</w:t>
            </w:r>
          </w:p>
          <w:p w14:paraId="32367F51" w14:textId="77777777" w:rsidR="00F31B44" w:rsidRPr="00C83045" w:rsidRDefault="00735ABD" w:rsidP="00D4304B">
            <w:pPr>
              <w:pStyle w:val="EndnoteText"/>
              <w:widowControl w:val="0"/>
              <w:rPr>
                <w:color w:val="000000"/>
                <w:lang w:val="sk-SK"/>
              </w:rPr>
            </w:pPr>
            <w:r w:rsidRPr="00C83045">
              <w:rPr>
                <w:color w:val="000000"/>
                <w:lang w:val="sk-SK"/>
              </w:rPr>
              <w:t>Trojitá i.t. liečba (upravená podľa veku): dni</w:t>
            </w:r>
            <w:r w:rsidR="00F31B44" w:rsidRPr="00C83045">
              <w:rPr>
                <w:color w:val="000000"/>
                <w:lang w:val="sk-SK"/>
              </w:rPr>
              <w:t> 1 a 22</w:t>
            </w:r>
          </w:p>
          <w:p w14:paraId="32367F52" w14:textId="77777777" w:rsidR="00F31B44" w:rsidRPr="00C83045" w:rsidRDefault="00F31B44" w:rsidP="00D4304B">
            <w:pPr>
              <w:pStyle w:val="EndnoteText"/>
              <w:widowControl w:val="0"/>
              <w:rPr>
                <w:color w:val="000000"/>
                <w:lang w:val="sk-SK"/>
              </w:rPr>
            </w:pPr>
            <w:r w:rsidRPr="00C83045">
              <w:rPr>
                <w:color w:val="000000"/>
                <w:lang w:val="sk-SK"/>
              </w:rPr>
              <w:t>VP-16 (100 mg/m</w:t>
            </w:r>
            <w:r w:rsidRPr="00C83045">
              <w:rPr>
                <w:color w:val="000000"/>
                <w:vertAlign w:val="superscript"/>
                <w:lang w:val="sk-SK"/>
              </w:rPr>
              <w:t>2</w:t>
            </w:r>
            <w:r w:rsidRPr="00C83045">
              <w:rPr>
                <w:color w:val="000000"/>
                <w:lang w:val="sk-SK"/>
              </w:rPr>
              <w:t>/d</w:t>
            </w:r>
            <w:r w:rsidR="00CA6438" w:rsidRPr="00C83045">
              <w:rPr>
                <w:color w:val="000000"/>
                <w:lang w:val="sk-SK"/>
              </w:rPr>
              <w:t>eň</w:t>
            </w:r>
            <w:r w:rsidRPr="00C83045">
              <w:rPr>
                <w:color w:val="000000"/>
                <w:lang w:val="sk-SK"/>
              </w:rPr>
              <w:t xml:space="preserve">, </w:t>
            </w:r>
            <w:r w:rsidR="00CA6438" w:rsidRPr="00C83045">
              <w:rPr>
                <w:color w:val="000000"/>
                <w:lang w:val="sk-SK"/>
              </w:rPr>
              <w:t>i.v.</w:t>
            </w:r>
            <w:r w:rsidRPr="00C83045">
              <w:rPr>
                <w:color w:val="000000"/>
                <w:lang w:val="sk-SK"/>
              </w:rPr>
              <w:t>): d</w:t>
            </w:r>
            <w:r w:rsidR="00CA6438" w:rsidRPr="00C83045">
              <w:rPr>
                <w:color w:val="000000"/>
                <w:lang w:val="sk-SK"/>
              </w:rPr>
              <w:t>ni</w:t>
            </w:r>
            <w:r w:rsidRPr="00C83045">
              <w:rPr>
                <w:color w:val="000000"/>
                <w:lang w:val="sk-SK"/>
              </w:rPr>
              <w:t> 22</w:t>
            </w:r>
            <w:r w:rsidRPr="00C83045">
              <w:rPr>
                <w:color w:val="000000"/>
                <w:lang w:val="sk-SK"/>
              </w:rPr>
              <w:noBreakHyphen/>
              <w:t>26</w:t>
            </w:r>
          </w:p>
          <w:p w14:paraId="32367F53" w14:textId="77777777" w:rsidR="00F31B44" w:rsidRPr="00C83045" w:rsidRDefault="00F31B44" w:rsidP="00D4304B">
            <w:pPr>
              <w:pStyle w:val="EndnoteText"/>
              <w:widowControl w:val="0"/>
              <w:rPr>
                <w:color w:val="000000"/>
                <w:lang w:val="sk-SK"/>
              </w:rPr>
            </w:pPr>
            <w:r w:rsidRPr="00C83045">
              <w:rPr>
                <w:color w:val="000000"/>
                <w:lang w:val="sk-SK"/>
              </w:rPr>
              <w:t>CPM (300 mg/m</w:t>
            </w:r>
            <w:r w:rsidRPr="00C83045">
              <w:rPr>
                <w:color w:val="000000"/>
                <w:vertAlign w:val="superscript"/>
                <w:lang w:val="sk-SK"/>
              </w:rPr>
              <w:t>2</w:t>
            </w:r>
            <w:r w:rsidRPr="00C83045">
              <w:rPr>
                <w:color w:val="000000"/>
                <w:lang w:val="sk-SK"/>
              </w:rPr>
              <w:t>/d</w:t>
            </w:r>
            <w:r w:rsidR="00CA6438" w:rsidRPr="00C83045">
              <w:rPr>
                <w:color w:val="000000"/>
                <w:lang w:val="sk-SK"/>
              </w:rPr>
              <w:t>eň</w:t>
            </w:r>
            <w:r w:rsidRPr="00C83045">
              <w:rPr>
                <w:color w:val="000000"/>
                <w:lang w:val="sk-SK"/>
              </w:rPr>
              <w:t xml:space="preserve">, </w:t>
            </w:r>
            <w:r w:rsidR="00CA6438" w:rsidRPr="00C83045">
              <w:rPr>
                <w:color w:val="000000"/>
                <w:lang w:val="sk-SK"/>
              </w:rPr>
              <w:t>i.v.)</w:t>
            </w:r>
            <w:r w:rsidRPr="00C83045">
              <w:rPr>
                <w:color w:val="000000"/>
                <w:lang w:val="sk-SK"/>
              </w:rPr>
              <w:t>: d</w:t>
            </w:r>
            <w:r w:rsidR="00CA6438" w:rsidRPr="00C83045">
              <w:rPr>
                <w:color w:val="000000"/>
                <w:lang w:val="sk-SK"/>
              </w:rPr>
              <w:t>ni</w:t>
            </w:r>
            <w:r w:rsidRPr="00C83045">
              <w:rPr>
                <w:color w:val="000000"/>
                <w:lang w:val="sk-SK"/>
              </w:rPr>
              <w:t> 22</w:t>
            </w:r>
            <w:r w:rsidRPr="00C83045">
              <w:rPr>
                <w:color w:val="000000"/>
                <w:lang w:val="sk-SK"/>
              </w:rPr>
              <w:noBreakHyphen/>
              <w:t>26</w:t>
            </w:r>
          </w:p>
          <w:p w14:paraId="32367F54" w14:textId="77777777" w:rsidR="00F31B44" w:rsidRPr="00C83045" w:rsidRDefault="00F31B44" w:rsidP="00D4304B">
            <w:pPr>
              <w:pStyle w:val="EndnoteText"/>
              <w:widowControl w:val="0"/>
              <w:rPr>
                <w:color w:val="000000"/>
                <w:lang w:val="sk-SK"/>
              </w:rPr>
            </w:pPr>
            <w:r w:rsidRPr="00C83045">
              <w:rPr>
                <w:color w:val="000000"/>
                <w:lang w:val="sk-SK"/>
              </w:rPr>
              <w:t>MESNA (150 mg/m</w:t>
            </w:r>
            <w:r w:rsidRPr="00C83045">
              <w:rPr>
                <w:color w:val="000000"/>
                <w:vertAlign w:val="superscript"/>
                <w:lang w:val="sk-SK"/>
              </w:rPr>
              <w:t>2</w:t>
            </w:r>
            <w:r w:rsidRPr="00C83045">
              <w:rPr>
                <w:color w:val="000000"/>
                <w:lang w:val="sk-SK"/>
              </w:rPr>
              <w:t>/d</w:t>
            </w:r>
            <w:r w:rsidR="00CA6438" w:rsidRPr="00C83045">
              <w:rPr>
                <w:color w:val="000000"/>
                <w:lang w:val="sk-SK"/>
              </w:rPr>
              <w:t>eň</w:t>
            </w:r>
            <w:r w:rsidRPr="00C83045">
              <w:rPr>
                <w:color w:val="000000"/>
                <w:lang w:val="sk-SK"/>
              </w:rPr>
              <w:t xml:space="preserve">, </w:t>
            </w:r>
            <w:r w:rsidR="00CA6438" w:rsidRPr="00C83045">
              <w:rPr>
                <w:color w:val="000000"/>
                <w:lang w:val="sk-SK"/>
              </w:rPr>
              <w:t>i.v.)</w:t>
            </w:r>
            <w:r w:rsidRPr="00C83045">
              <w:rPr>
                <w:color w:val="000000"/>
                <w:lang w:val="sk-SK"/>
              </w:rPr>
              <w:t>: d</w:t>
            </w:r>
            <w:r w:rsidR="00CA6438" w:rsidRPr="00C83045">
              <w:rPr>
                <w:color w:val="000000"/>
                <w:lang w:val="sk-SK"/>
              </w:rPr>
              <w:t>ni</w:t>
            </w:r>
            <w:r w:rsidRPr="00C83045">
              <w:rPr>
                <w:color w:val="000000"/>
                <w:lang w:val="sk-SK"/>
              </w:rPr>
              <w:t> 22</w:t>
            </w:r>
            <w:r w:rsidRPr="00C83045">
              <w:rPr>
                <w:color w:val="000000"/>
                <w:lang w:val="sk-SK"/>
              </w:rPr>
              <w:noBreakHyphen/>
              <w:t>26</w:t>
            </w:r>
          </w:p>
          <w:p w14:paraId="32367F55" w14:textId="77777777" w:rsidR="00F31B44" w:rsidRPr="00C83045" w:rsidRDefault="00F31B44" w:rsidP="00D4304B">
            <w:pPr>
              <w:pStyle w:val="EndnoteText"/>
              <w:widowControl w:val="0"/>
              <w:rPr>
                <w:color w:val="000000"/>
                <w:lang w:val="sk-SK"/>
              </w:rPr>
            </w:pPr>
            <w:r w:rsidRPr="00C83045">
              <w:rPr>
                <w:color w:val="000000"/>
                <w:lang w:val="sk-SK"/>
              </w:rPr>
              <w:t xml:space="preserve">G-CSF (5 μg/kg, </w:t>
            </w:r>
            <w:r w:rsidR="00CA6438" w:rsidRPr="00C83045">
              <w:rPr>
                <w:color w:val="000000"/>
                <w:lang w:val="sk-SK"/>
              </w:rPr>
              <w:t>s.c.</w:t>
            </w:r>
            <w:r w:rsidRPr="00C83045">
              <w:rPr>
                <w:color w:val="000000"/>
                <w:lang w:val="sk-SK"/>
              </w:rPr>
              <w:t>): d</w:t>
            </w:r>
            <w:r w:rsidR="00CA6438" w:rsidRPr="00C83045">
              <w:rPr>
                <w:color w:val="000000"/>
                <w:lang w:val="sk-SK"/>
              </w:rPr>
              <w:t>ni</w:t>
            </w:r>
            <w:r w:rsidRPr="00C83045">
              <w:rPr>
                <w:color w:val="000000"/>
                <w:lang w:val="sk-SK"/>
              </w:rPr>
              <w:t xml:space="preserve"> 27-36 </w:t>
            </w:r>
            <w:r w:rsidR="00CA6438" w:rsidRPr="00C83045">
              <w:rPr>
                <w:color w:val="000000"/>
                <w:lang w:val="sk-SK"/>
              </w:rPr>
              <w:t>alebo pokiaľ</w:t>
            </w:r>
            <w:r w:rsidRPr="00C83045">
              <w:rPr>
                <w:color w:val="000000"/>
                <w:lang w:val="sk-SK"/>
              </w:rPr>
              <w:t xml:space="preserve"> ANC &gt; 1500 po nadir</w:t>
            </w:r>
            <w:r w:rsidR="00CA6438" w:rsidRPr="00C83045">
              <w:rPr>
                <w:color w:val="000000"/>
                <w:lang w:val="sk-SK"/>
              </w:rPr>
              <w:t>e</w:t>
            </w:r>
          </w:p>
          <w:p w14:paraId="32367F56" w14:textId="77777777" w:rsidR="00F31B44" w:rsidRPr="00C83045" w:rsidRDefault="00F31B44" w:rsidP="00D4304B">
            <w:pPr>
              <w:pStyle w:val="EndnoteText"/>
              <w:widowControl w:val="0"/>
              <w:rPr>
                <w:color w:val="000000"/>
                <w:lang w:val="sk-SK"/>
              </w:rPr>
            </w:pPr>
            <w:r w:rsidRPr="00C83045">
              <w:rPr>
                <w:color w:val="000000"/>
                <w:lang w:val="sk-SK"/>
              </w:rPr>
              <w:t>ARA-C (3 g/m</w:t>
            </w:r>
            <w:r w:rsidRPr="00C83045">
              <w:rPr>
                <w:color w:val="000000"/>
                <w:vertAlign w:val="superscript"/>
                <w:lang w:val="sk-SK"/>
              </w:rPr>
              <w:t>2</w:t>
            </w:r>
            <w:r w:rsidRPr="00C83045">
              <w:rPr>
                <w:color w:val="000000"/>
                <w:lang w:val="sk-SK"/>
              </w:rPr>
              <w:t xml:space="preserve">, q12h, </w:t>
            </w:r>
            <w:r w:rsidR="00EB799D" w:rsidRPr="00C83045">
              <w:rPr>
                <w:color w:val="000000"/>
                <w:lang w:val="sk-SK"/>
              </w:rPr>
              <w:t>i.v.)</w:t>
            </w:r>
            <w:r w:rsidRPr="00C83045">
              <w:rPr>
                <w:color w:val="000000"/>
                <w:lang w:val="sk-SK"/>
              </w:rPr>
              <w:t>: d</w:t>
            </w:r>
            <w:r w:rsidR="00EB799D" w:rsidRPr="00C83045">
              <w:rPr>
                <w:color w:val="000000"/>
                <w:lang w:val="sk-SK"/>
              </w:rPr>
              <w:t>ni</w:t>
            </w:r>
            <w:r w:rsidRPr="00C83045">
              <w:rPr>
                <w:color w:val="000000"/>
                <w:lang w:val="sk-SK"/>
              </w:rPr>
              <w:t> 43, 44</w:t>
            </w:r>
          </w:p>
          <w:p w14:paraId="32367F57" w14:textId="77777777" w:rsidR="00F31B44" w:rsidRPr="00C83045" w:rsidRDefault="00F31B44" w:rsidP="00D4304B">
            <w:pPr>
              <w:pStyle w:val="EndnoteText"/>
              <w:widowControl w:val="0"/>
              <w:rPr>
                <w:color w:val="000000"/>
                <w:lang w:val="sk-SK"/>
              </w:rPr>
            </w:pPr>
            <w:r w:rsidRPr="00C83045">
              <w:rPr>
                <w:color w:val="000000"/>
                <w:lang w:val="sk-SK"/>
              </w:rPr>
              <w:t>L-ASP (6000 IU/m</w:t>
            </w:r>
            <w:r w:rsidRPr="00C83045">
              <w:rPr>
                <w:color w:val="000000"/>
                <w:vertAlign w:val="superscript"/>
                <w:lang w:val="sk-SK"/>
              </w:rPr>
              <w:t>2</w:t>
            </w:r>
            <w:r w:rsidR="00EB799D" w:rsidRPr="00C83045">
              <w:rPr>
                <w:color w:val="000000"/>
                <w:lang w:val="sk-SK"/>
              </w:rPr>
              <w:t>, i.m.)</w:t>
            </w:r>
            <w:r w:rsidRPr="00C83045">
              <w:rPr>
                <w:color w:val="000000"/>
                <w:lang w:val="sk-SK"/>
              </w:rPr>
              <w:t>: d</w:t>
            </w:r>
            <w:r w:rsidR="00EB799D" w:rsidRPr="00C83045">
              <w:rPr>
                <w:color w:val="000000"/>
                <w:lang w:val="sk-SK"/>
              </w:rPr>
              <w:t>eň</w:t>
            </w:r>
            <w:r w:rsidRPr="00C83045">
              <w:rPr>
                <w:color w:val="000000"/>
                <w:lang w:val="sk-SK"/>
              </w:rPr>
              <w:t> 44</w:t>
            </w:r>
          </w:p>
        </w:tc>
      </w:tr>
      <w:tr w:rsidR="00F31B44" w:rsidRPr="00C83045" w14:paraId="32367F62" w14:textId="77777777" w:rsidTr="00BE6051">
        <w:trPr>
          <w:cantSplit/>
        </w:trPr>
        <w:tc>
          <w:tcPr>
            <w:tcW w:w="2358" w:type="dxa"/>
            <w:tcBorders>
              <w:top w:val="single" w:sz="4" w:space="0" w:color="auto"/>
              <w:left w:val="single" w:sz="4" w:space="0" w:color="auto"/>
              <w:bottom w:val="single" w:sz="4" w:space="0" w:color="auto"/>
              <w:right w:val="single" w:sz="4" w:space="0" w:color="auto"/>
            </w:tcBorders>
            <w:hideMark/>
          </w:tcPr>
          <w:p w14:paraId="32367F59" w14:textId="77777777" w:rsidR="00370FEA" w:rsidRPr="00C83045" w:rsidRDefault="00370FEA" w:rsidP="00D4304B">
            <w:pPr>
              <w:pStyle w:val="EndnoteText"/>
              <w:widowControl w:val="0"/>
              <w:rPr>
                <w:color w:val="000000"/>
                <w:lang w:val="sk-SK"/>
              </w:rPr>
            </w:pPr>
            <w:r w:rsidRPr="00C83045">
              <w:rPr>
                <w:color w:val="000000"/>
                <w:lang w:val="sk-SK"/>
              </w:rPr>
              <w:lastRenderedPageBreak/>
              <w:t>Reindukčný blok 2</w:t>
            </w:r>
          </w:p>
          <w:p w14:paraId="32367F5A" w14:textId="77777777" w:rsidR="00F31B44" w:rsidRPr="00C83045" w:rsidRDefault="00370FEA" w:rsidP="00D4304B">
            <w:pPr>
              <w:pStyle w:val="EndnoteText"/>
              <w:widowControl w:val="0"/>
              <w:rPr>
                <w:color w:val="000000"/>
                <w:lang w:val="sk-SK"/>
              </w:rPr>
            </w:pPr>
            <w:r w:rsidRPr="00C83045">
              <w:rPr>
                <w:color w:val="000000"/>
                <w:lang w:val="sk-SK"/>
              </w:rPr>
              <w:t>(3 týždne)</w:t>
            </w:r>
          </w:p>
        </w:tc>
        <w:tc>
          <w:tcPr>
            <w:tcW w:w="6929" w:type="dxa"/>
            <w:tcBorders>
              <w:top w:val="single" w:sz="4" w:space="0" w:color="auto"/>
              <w:left w:val="single" w:sz="4" w:space="0" w:color="auto"/>
              <w:bottom w:val="single" w:sz="4" w:space="0" w:color="auto"/>
              <w:right w:val="single" w:sz="4" w:space="0" w:color="auto"/>
            </w:tcBorders>
            <w:hideMark/>
          </w:tcPr>
          <w:p w14:paraId="32367F5B" w14:textId="77777777" w:rsidR="00F31B44" w:rsidRPr="00C83045" w:rsidRDefault="00F31B44" w:rsidP="00D4304B">
            <w:pPr>
              <w:pStyle w:val="EndnoteText"/>
              <w:widowControl w:val="0"/>
              <w:rPr>
                <w:color w:val="000000"/>
                <w:lang w:val="sk-SK"/>
              </w:rPr>
            </w:pPr>
            <w:r w:rsidRPr="00C83045">
              <w:rPr>
                <w:color w:val="000000"/>
                <w:lang w:val="sk-SK"/>
              </w:rPr>
              <w:t>VCR (1.5 mg/m</w:t>
            </w:r>
            <w:r w:rsidRPr="00C83045">
              <w:rPr>
                <w:color w:val="000000"/>
                <w:vertAlign w:val="superscript"/>
                <w:lang w:val="sk-SK"/>
              </w:rPr>
              <w:t>2</w:t>
            </w:r>
            <w:r w:rsidRPr="00C83045">
              <w:rPr>
                <w:color w:val="000000"/>
                <w:lang w:val="sk-SK"/>
              </w:rPr>
              <w:t>/d</w:t>
            </w:r>
            <w:r w:rsidR="00370FEA" w:rsidRPr="00C83045">
              <w:rPr>
                <w:color w:val="000000"/>
                <w:lang w:val="sk-SK"/>
              </w:rPr>
              <w:t>eň</w:t>
            </w:r>
            <w:r w:rsidRPr="00C83045">
              <w:rPr>
                <w:color w:val="000000"/>
                <w:lang w:val="sk-SK"/>
              </w:rPr>
              <w:t xml:space="preserve">, </w:t>
            </w:r>
            <w:r w:rsidR="00370FEA" w:rsidRPr="00C83045">
              <w:rPr>
                <w:color w:val="000000"/>
                <w:lang w:val="sk-SK"/>
              </w:rPr>
              <w:t>i.v.</w:t>
            </w:r>
            <w:r w:rsidRPr="00C83045">
              <w:rPr>
                <w:color w:val="000000"/>
                <w:lang w:val="sk-SK"/>
              </w:rPr>
              <w:t>): d</w:t>
            </w:r>
            <w:r w:rsidR="00370FEA" w:rsidRPr="00C83045">
              <w:rPr>
                <w:color w:val="000000"/>
                <w:lang w:val="sk-SK"/>
              </w:rPr>
              <w:t>ni</w:t>
            </w:r>
            <w:r w:rsidRPr="00C83045">
              <w:rPr>
                <w:color w:val="000000"/>
                <w:lang w:val="sk-SK"/>
              </w:rPr>
              <w:t> 1, 8 a 15</w:t>
            </w:r>
          </w:p>
          <w:p w14:paraId="32367F5C" w14:textId="77777777" w:rsidR="00F31B44" w:rsidRPr="00C83045" w:rsidRDefault="00F31B44" w:rsidP="00D4304B">
            <w:pPr>
              <w:pStyle w:val="EndnoteText"/>
              <w:widowControl w:val="0"/>
              <w:rPr>
                <w:color w:val="000000"/>
                <w:lang w:val="sk-SK"/>
              </w:rPr>
            </w:pPr>
            <w:r w:rsidRPr="00C83045">
              <w:rPr>
                <w:color w:val="000000"/>
                <w:lang w:val="sk-SK"/>
              </w:rPr>
              <w:t>DAUN (45 mg/m</w:t>
            </w:r>
            <w:r w:rsidRPr="00C83045">
              <w:rPr>
                <w:color w:val="000000"/>
                <w:vertAlign w:val="superscript"/>
                <w:lang w:val="sk-SK"/>
              </w:rPr>
              <w:t>2</w:t>
            </w:r>
            <w:r w:rsidRPr="00C83045">
              <w:rPr>
                <w:color w:val="000000"/>
                <w:lang w:val="sk-SK"/>
              </w:rPr>
              <w:t>/d</w:t>
            </w:r>
            <w:r w:rsidR="00370FEA" w:rsidRPr="00C83045">
              <w:rPr>
                <w:color w:val="000000"/>
                <w:lang w:val="sk-SK"/>
              </w:rPr>
              <w:t>eň bolus, i.v.</w:t>
            </w:r>
            <w:r w:rsidRPr="00C83045">
              <w:rPr>
                <w:color w:val="000000"/>
                <w:lang w:val="sk-SK"/>
              </w:rPr>
              <w:t>): d</w:t>
            </w:r>
            <w:r w:rsidR="00370FEA" w:rsidRPr="00C83045">
              <w:rPr>
                <w:color w:val="000000"/>
                <w:lang w:val="sk-SK"/>
              </w:rPr>
              <w:t>ni</w:t>
            </w:r>
            <w:r w:rsidRPr="00C83045">
              <w:rPr>
                <w:color w:val="000000"/>
                <w:lang w:val="sk-SK"/>
              </w:rPr>
              <w:t> 1 a 2</w:t>
            </w:r>
          </w:p>
          <w:p w14:paraId="32367F5D" w14:textId="77777777" w:rsidR="00F31B44" w:rsidRPr="00C83045" w:rsidRDefault="00F31B44" w:rsidP="00D4304B">
            <w:pPr>
              <w:pStyle w:val="EndnoteText"/>
              <w:widowControl w:val="0"/>
              <w:rPr>
                <w:color w:val="000000"/>
                <w:lang w:val="sk-SK"/>
              </w:rPr>
            </w:pPr>
            <w:r w:rsidRPr="00C83045">
              <w:rPr>
                <w:color w:val="000000"/>
                <w:lang w:val="sk-SK"/>
              </w:rPr>
              <w:t>CPM (250 mg/m</w:t>
            </w:r>
            <w:r w:rsidRPr="00C83045">
              <w:rPr>
                <w:color w:val="000000"/>
                <w:vertAlign w:val="superscript"/>
                <w:lang w:val="sk-SK"/>
              </w:rPr>
              <w:t>2</w:t>
            </w:r>
            <w:r w:rsidRPr="00C83045">
              <w:rPr>
                <w:color w:val="000000"/>
                <w:lang w:val="sk-SK"/>
              </w:rPr>
              <w:t>/d</w:t>
            </w:r>
            <w:r w:rsidR="00757C39" w:rsidRPr="00C83045">
              <w:rPr>
                <w:color w:val="000000"/>
                <w:lang w:val="sk-SK"/>
              </w:rPr>
              <w:t>ávka</w:t>
            </w:r>
            <w:r w:rsidRPr="00C83045">
              <w:rPr>
                <w:color w:val="000000"/>
                <w:lang w:val="sk-SK"/>
              </w:rPr>
              <w:t xml:space="preserve"> q12h x 4 d</w:t>
            </w:r>
            <w:r w:rsidR="00757C39" w:rsidRPr="00C83045">
              <w:rPr>
                <w:color w:val="000000"/>
                <w:lang w:val="sk-SK"/>
              </w:rPr>
              <w:t>ávok</w:t>
            </w:r>
            <w:r w:rsidRPr="00C83045">
              <w:rPr>
                <w:color w:val="000000"/>
                <w:lang w:val="sk-SK"/>
              </w:rPr>
              <w:t>, i</w:t>
            </w:r>
            <w:r w:rsidR="00757C39" w:rsidRPr="00C83045">
              <w:rPr>
                <w:color w:val="000000"/>
                <w:lang w:val="sk-SK"/>
              </w:rPr>
              <w:t>.</w:t>
            </w:r>
            <w:r w:rsidRPr="00C83045">
              <w:rPr>
                <w:color w:val="000000"/>
                <w:lang w:val="sk-SK"/>
              </w:rPr>
              <w:t>v</w:t>
            </w:r>
            <w:r w:rsidR="00757C39" w:rsidRPr="00C83045">
              <w:rPr>
                <w:color w:val="000000"/>
                <w:lang w:val="sk-SK"/>
              </w:rPr>
              <w:t>.</w:t>
            </w:r>
            <w:r w:rsidRPr="00C83045">
              <w:rPr>
                <w:color w:val="000000"/>
                <w:lang w:val="sk-SK"/>
              </w:rPr>
              <w:t xml:space="preserve">): </w:t>
            </w:r>
            <w:r w:rsidR="00757C39" w:rsidRPr="00C83045">
              <w:rPr>
                <w:color w:val="000000"/>
                <w:lang w:val="sk-SK"/>
              </w:rPr>
              <w:t>dni</w:t>
            </w:r>
            <w:r w:rsidRPr="00C83045">
              <w:rPr>
                <w:color w:val="000000"/>
                <w:lang w:val="sk-SK"/>
              </w:rPr>
              <w:t> 3 a 4</w:t>
            </w:r>
          </w:p>
          <w:p w14:paraId="32367F5E" w14:textId="77777777" w:rsidR="00F31B44" w:rsidRPr="00C83045" w:rsidRDefault="00F31B44" w:rsidP="00D4304B">
            <w:pPr>
              <w:pStyle w:val="EndnoteText"/>
              <w:widowControl w:val="0"/>
              <w:rPr>
                <w:color w:val="000000"/>
                <w:lang w:val="sk-SK"/>
              </w:rPr>
            </w:pPr>
            <w:r w:rsidRPr="00C83045">
              <w:rPr>
                <w:color w:val="000000"/>
                <w:lang w:val="sk-SK"/>
              </w:rPr>
              <w:t>PEG-ASP (2500 IU/m</w:t>
            </w:r>
            <w:r w:rsidRPr="00C83045">
              <w:rPr>
                <w:color w:val="000000"/>
                <w:vertAlign w:val="superscript"/>
                <w:lang w:val="sk-SK"/>
              </w:rPr>
              <w:t>2</w:t>
            </w:r>
            <w:r w:rsidRPr="00C83045">
              <w:rPr>
                <w:color w:val="000000"/>
                <w:lang w:val="sk-SK"/>
              </w:rPr>
              <w:t xml:space="preserve">, </w:t>
            </w:r>
            <w:r w:rsidR="00757C39" w:rsidRPr="00C83045">
              <w:rPr>
                <w:color w:val="000000"/>
                <w:lang w:val="sk-SK"/>
              </w:rPr>
              <w:t>i.m.</w:t>
            </w:r>
            <w:r w:rsidRPr="00C83045">
              <w:rPr>
                <w:color w:val="000000"/>
                <w:lang w:val="sk-SK"/>
              </w:rPr>
              <w:t>): d</w:t>
            </w:r>
            <w:r w:rsidR="009813C6" w:rsidRPr="00C83045">
              <w:rPr>
                <w:color w:val="000000"/>
                <w:lang w:val="sk-SK"/>
              </w:rPr>
              <w:t>eň</w:t>
            </w:r>
            <w:r w:rsidRPr="00C83045">
              <w:rPr>
                <w:color w:val="000000"/>
                <w:lang w:val="sk-SK"/>
              </w:rPr>
              <w:t> 4</w:t>
            </w:r>
          </w:p>
          <w:p w14:paraId="32367F5F" w14:textId="77777777" w:rsidR="00F31B44" w:rsidRPr="00C83045" w:rsidRDefault="00F31B44" w:rsidP="00D4304B">
            <w:pPr>
              <w:pStyle w:val="EndnoteText"/>
              <w:widowControl w:val="0"/>
              <w:rPr>
                <w:color w:val="000000"/>
                <w:lang w:val="sk-SK"/>
              </w:rPr>
            </w:pPr>
            <w:r w:rsidRPr="00C83045">
              <w:rPr>
                <w:color w:val="000000"/>
                <w:lang w:val="sk-SK"/>
              </w:rPr>
              <w:t xml:space="preserve">G-CSF (5 μg/kg, </w:t>
            </w:r>
            <w:r w:rsidR="00B529EC" w:rsidRPr="00C83045">
              <w:rPr>
                <w:color w:val="000000"/>
                <w:lang w:val="sk-SK"/>
              </w:rPr>
              <w:t>s.c.</w:t>
            </w:r>
            <w:r w:rsidRPr="00C83045">
              <w:rPr>
                <w:color w:val="000000"/>
                <w:lang w:val="sk-SK"/>
              </w:rPr>
              <w:t>): d</w:t>
            </w:r>
            <w:r w:rsidR="00B529EC" w:rsidRPr="00C83045">
              <w:rPr>
                <w:color w:val="000000"/>
                <w:lang w:val="sk-SK"/>
              </w:rPr>
              <w:t>ni</w:t>
            </w:r>
            <w:r w:rsidRPr="00C83045">
              <w:rPr>
                <w:color w:val="000000"/>
                <w:lang w:val="sk-SK"/>
              </w:rPr>
              <w:t xml:space="preserve"> 5-14 </w:t>
            </w:r>
            <w:r w:rsidR="00B529EC" w:rsidRPr="00C83045">
              <w:rPr>
                <w:color w:val="000000"/>
                <w:lang w:val="sk-SK"/>
              </w:rPr>
              <w:t>alebo pokiaľ</w:t>
            </w:r>
            <w:r w:rsidRPr="00C83045">
              <w:rPr>
                <w:color w:val="000000"/>
                <w:lang w:val="sk-SK"/>
              </w:rPr>
              <w:t xml:space="preserve"> ANC &gt; 1500 po nadir</w:t>
            </w:r>
            <w:r w:rsidR="00B529EC" w:rsidRPr="00C83045">
              <w:rPr>
                <w:color w:val="000000"/>
                <w:lang w:val="sk-SK"/>
              </w:rPr>
              <w:t>e</w:t>
            </w:r>
          </w:p>
          <w:p w14:paraId="32367F60" w14:textId="77777777" w:rsidR="00F31B44" w:rsidRPr="00C83045" w:rsidRDefault="00B529EC" w:rsidP="00D4304B">
            <w:pPr>
              <w:pStyle w:val="EndnoteText"/>
              <w:widowControl w:val="0"/>
              <w:rPr>
                <w:color w:val="000000"/>
                <w:lang w:val="sk-SK"/>
              </w:rPr>
            </w:pPr>
            <w:r w:rsidRPr="00C83045">
              <w:rPr>
                <w:color w:val="000000"/>
                <w:lang w:val="sk-SK"/>
              </w:rPr>
              <w:t>Trojitá i.t. liečba (upravená podľa veku</w:t>
            </w:r>
            <w:r w:rsidR="00F31B44" w:rsidRPr="00C83045">
              <w:rPr>
                <w:color w:val="000000"/>
                <w:lang w:val="sk-SK"/>
              </w:rPr>
              <w:t>): d</w:t>
            </w:r>
            <w:r w:rsidRPr="00C83045">
              <w:rPr>
                <w:color w:val="000000"/>
                <w:lang w:val="sk-SK"/>
              </w:rPr>
              <w:t>ni</w:t>
            </w:r>
            <w:r w:rsidR="00F31B44" w:rsidRPr="00C83045">
              <w:rPr>
                <w:color w:val="000000"/>
                <w:lang w:val="sk-SK"/>
              </w:rPr>
              <w:t> 1 a 15</w:t>
            </w:r>
          </w:p>
          <w:p w14:paraId="32367F61" w14:textId="77777777" w:rsidR="00F31B44" w:rsidRPr="00C83045" w:rsidRDefault="00F31B44" w:rsidP="00D4304B">
            <w:pPr>
              <w:pStyle w:val="EndnoteText"/>
              <w:widowControl w:val="0"/>
              <w:rPr>
                <w:color w:val="000000"/>
                <w:lang w:val="sk-SK"/>
              </w:rPr>
            </w:pPr>
            <w:r w:rsidRPr="00C83045">
              <w:rPr>
                <w:color w:val="000000"/>
                <w:lang w:val="sk-SK"/>
              </w:rPr>
              <w:t>DEX (6 mg/m</w:t>
            </w:r>
            <w:r w:rsidRPr="00C83045">
              <w:rPr>
                <w:color w:val="000000"/>
                <w:vertAlign w:val="superscript"/>
                <w:lang w:val="sk-SK"/>
              </w:rPr>
              <w:t>2</w:t>
            </w:r>
            <w:r w:rsidRPr="00C83045">
              <w:rPr>
                <w:color w:val="000000"/>
                <w:lang w:val="sk-SK"/>
              </w:rPr>
              <w:t>/d</w:t>
            </w:r>
            <w:r w:rsidR="00B529EC" w:rsidRPr="00C83045">
              <w:rPr>
                <w:color w:val="000000"/>
                <w:lang w:val="sk-SK"/>
              </w:rPr>
              <w:t>eň, p.o.</w:t>
            </w:r>
            <w:r w:rsidRPr="00C83045">
              <w:rPr>
                <w:color w:val="000000"/>
                <w:lang w:val="sk-SK"/>
              </w:rPr>
              <w:t>): d</w:t>
            </w:r>
            <w:r w:rsidR="00B529EC" w:rsidRPr="00C83045">
              <w:rPr>
                <w:color w:val="000000"/>
                <w:lang w:val="sk-SK"/>
              </w:rPr>
              <w:t>ni</w:t>
            </w:r>
            <w:r w:rsidRPr="00C83045">
              <w:rPr>
                <w:color w:val="000000"/>
                <w:lang w:val="sk-SK"/>
              </w:rPr>
              <w:t> 1</w:t>
            </w:r>
            <w:r w:rsidRPr="00C83045">
              <w:rPr>
                <w:color w:val="000000"/>
                <w:lang w:val="sk-SK"/>
              </w:rPr>
              <w:noBreakHyphen/>
              <w:t>7 a 15</w:t>
            </w:r>
            <w:r w:rsidRPr="00C83045">
              <w:rPr>
                <w:color w:val="000000"/>
                <w:lang w:val="sk-SK"/>
              </w:rPr>
              <w:noBreakHyphen/>
              <w:t>21</w:t>
            </w:r>
          </w:p>
        </w:tc>
      </w:tr>
      <w:tr w:rsidR="00F31B44" w:rsidRPr="00C83045" w14:paraId="32367F6E" w14:textId="77777777" w:rsidTr="00BE6051">
        <w:trPr>
          <w:cantSplit/>
        </w:trPr>
        <w:tc>
          <w:tcPr>
            <w:tcW w:w="2358" w:type="dxa"/>
            <w:tcBorders>
              <w:top w:val="single" w:sz="4" w:space="0" w:color="auto"/>
              <w:left w:val="single" w:sz="4" w:space="0" w:color="auto"/>
              <w:bottom w:val="single" w:sz="4" w:space="0" w:color="auto"/>
              <w:right w:val="single" w:sz="4" w:space="0" w:color="auto"/>
            </w:tcBorders>
            <w:hideMark/>
          </w:tcPr>
          <w:p w14:paraId="32367F63" w14:textId="77777777" w:rsidR="00C64E10" w:rsidRPr="00C83045" w:rsidRDefault="00C64E10" w:rsidP="00D4304B">
            <w:pPr>
              <w:pStyle w:val="EndnoteText"/>
              <w:widowControl w:val="0"/>
              <w:rPr>
                <w:color w:val="000000"/>
                <w:lang w:val="sk-SK"/>
              </w:rPr>
            </w:pPr>
            <w:r w:rsidRPr="00C83045">
              <w:rPr>
                <w:color w:val="000000"/>
                <w:lang w:val="sk-SK"/>
              </w:rPr>
              <w:t>Intenzifikačný blok 2</w:t>
            </w:r>
          </w:p>
          <w:p w14:paraId="32367F64" w14:textId="77777777" w:rsidR="00F31B44" w:rsidRPr="00C83045" w:rsidRDefault="00C64E10" w:rsidP="00D4304B">
            <w:pPr>
              <w:pStyle w:val="EndnoteText"/>
              <w:widowControl w:val="0"/>
              <w:rPr>
                <w:color w:val="000000"/>
                <w:lang w:val="sk-SK"/>
              </w:rPr>
            </w:pPr>
            <w:r w:rsidRPr="00C83045">
              <w:rPr>
                <w:color w:val="000000"/>
                <w:lang w:val="sk-SK"/>
              </w:rPr>
              <w:t>(9 týždňov)</w:t>
            </w:r>
          </w:p>
        </w:tc>
        <w:tc>
          <w:tcPr>
            <w:tcW w:w="6929" w:type="dxa"/>
            <w:tcBorders>
              <w:top w:val="single" w:sz="4" w:space="0" w:color="auto"/>
              <w:left w:val="single" w:sz="4" w:space="0" w:color="auto"/>
              <w:bottom w:val="single" w:sz="4" w:space="0" w:color="auto"/>
              <w:right w:val="single" w:sz="4" w:space="0" w:color="auto"/>
            </w:tcBorders>
            <w:hideMark/>
          </w:tcPr>
          <w:p w14:paraId="32367F65" w14:textId="77777777" w:rsidR="00F31B44" w:rsidRPr="00C83045" w:rsidRDefault="00F31B44" w:rsidP="00D4304B">
            <w:pPr>
              <w:pStyle w:val="EndnoteText"/>
              <w:widowControl w:val="0"/>
              <w:rPr>
                <w:color w:val="000000"/>
                <w:lang w:val="sk-SK"/>
              </w:rPr>
            </w:pPr>
            <w:r w:rsidRPr="00C83045">
              <w:rPr>
                <w:color w:val="000000"/>
                <w:lang w:val="sk-SK"/>
              </w:rPr>
              <w:t>Metotrex</w:t>
            </w:r>
            <w:r w:rsidR="00C64E10" w:rsidRPr="00C83045">
              <w:rPr>
                <w:color w:val="000000"/>
                <w:lang w:val="sk-SK"/>
              </w:rPr>
              <w:t>á</w:t>
            </w:r>
            <w:r w:rsidRPr="00C83045">
              <w:rPr>
                <w:color w:val="000000"/>
                <w:lang w:val="sk-SK"/>
              </w:rPr>
              <w:t>t (5 g/m</w:t>
            </w:r>
            <w:r w:rsidRPr="00C83045">
              <w:rPr>
                <w:color w:val="000000"/>
                <w:vertAlign w:val="superscript"/>
                <w:lang w:val="sk-SK"/>
              </w:rPr>
              <w:t>2</w:t>
            </w:r>
            <w:r w:rsidRPr="00C83045">
              <w:rPr>
                <w:color w:val="000000"/>
                <w:lang w:val="sk-SK"/>
              </w:rPr>
              <w:t xml:space="preserve"> </w:t>
            </w:r>
            <w:r w:rsidR="00C64E10" w:rsidRPr="00C83045">
              <w:rPr>
                <w:color w:val="000000"/>
                <w:lang w:val="sk-SK"/>
              </w:rPr>
              <w:t>počas</w:t>
            </w:r>
            <w:r w:rsidRPr="00C83045">
              <w:rPr>
                <w:color w:val="000000"/>
                <w:lang w:val="sk-SK"/>
              </w:rPr>
              <w:t xml:space="preserve"> 24 h, </w:t>
            </w:r>
            <w:r w:rsidR="00C64E10" w:rsidRPr="00C83045">
              <w:rPr>
                <w:color w:val="000000"/>
                <w:lang w:val="sk-SK"/>
              </w:rPr>
              <w:t>i.v.</w:t>
            </w:r>
            <w:r w:rsidRPr="00C83045">
              <w:rPr>
                <w:color w:val="000000"/>
                <w:lang w:val="sk-SK"/>
              </w:rPr>
              <w:t>): d</w:t>
            </w:r>
            <w:r w:rsidR="00C64E10" w:rsidRPr="00C83045">
              <w:rPr>
                <w:color w:val="000000"/>
                <w:lang w:val="sk-SK"/>
              </w:rPr>
              <w:t>ni</w:t>
            </w:r>
            <w:r w:rsidRPr="00C83045">
              <w:rPr>
                <w:color w:val="000000"/>
                <w:lang w:val="sk-SK"/>
              </w:rPr>
              <w:t> 1 a 15</w:t>
            </w:r>
          </w:p>
          <w:p w14:paraId="32367F66" w14:textId="77777777" w:rsidR="00F31B44" w:rsidRPr="00C83045" w:rsidRDefault="00F31B44" w:rsidP="00D4304B">
            <w:pPr>
              <w:pStyle w:val="EndnoteText"/>
              <w:widowControl w:val="0"/>
              <w:rPr>
                <w:color w:val="000000"/>
                <w:lang w:val="sk-SK"/>
              </w:rPr>
            </w:pPr>
            <w:r w:rsidRPr="00C83045">
              <w:rPr>
                <w:color w:val="000000"/>
                <w:lang w:val="sk-SK"/>
              </w:rPr>
              <w:t>Leu</w:t>
            </w:r>
            <w:r w:rsidR="00C64E10" w:rsidRPr="00C83045">
              <w:rPr>
                <w:color w:val="000000"/>
                <w:lang w:val="sk-SK"/>
              </w:rPr>
              <w:t>k</w:t>
            </w:r>
            <w:r w:rsidRPr="00C83045">
              <w:rPr>
                <w:color w:val="000000"/>
                <w:lang w:val="sk-SK"/>
              </w:rPr>
              <w:t>ovor</w:t>
            </w:r>
            <w:r w:rsidR="00C64E10" w:rsidRPr="00C83045">
              <w:rPr>
                <w:color w:val="000000"/>
                <w:lang w:val="sk-SK"/>
              </w:rPr>
              <w:t>í</w:t>
            </w:r>
            <w:r w:rsidRPr="00C83045">
              <w:rPr>
                <w:color w:val="000000"/>
                <w:lang w:val="sk-SK"/>
              </w:rPr>
              <w:t>n (75 mg/m</w:t>
            </w:r>
            <w:r w:rsidRPr="00C83045">
              <w:rPr>
                <w:color w:val="000000"/>
                <w:vertAlign w:val="superscript"/>
                <w:lang w:val="sk-SK"/>
              </w:rPr>
              <w:t>2</w:t>
            </w:r>
            <w:r w:rsidRPr="00C83045">
              <w:rPr>
                <w:color w:val="000000"/>
                <w:lang w:val="sk-SK"/>
              </w:rPr>
              <w:t xml:space="preserve"> </w:t>
            </w:r>
            <w:r w:rsidR="00C64E10" w:rsidRPr="00C83045">
              <w:rPr>
                <w:color w:val="000000"/>
                <w:lang w:val="sk-SK"/>
              </w:rPr>
              <w:t>v</w:t>
            </w:r>
            <w:r w:rsidRPr="00C83045">
              <w:rPr>
                <w:color w:val="000000"/>
                <w:lang w:val="sk-SK"/>
              </w:rPr>
              <w:t> 36</w:t>
            </w:r>
            <w:r w:rsidR="00C64E10" w:rsidRPr="00C83045">
              <w:rPr>
                <w:color w:val="000000"/>
                <w:lang w:val="sk-SK"/>
              </w:rPr>
              <w:t xml:space="preserve"> h</w:t>
            </w:r>
            <w:r w:rsidRPr="00C83045">
              <w:rPr>
                <w:color w:val="000000"/>
                <w:lang w:val="sk-SK"/>
              </w:rPr>
              <w:t xml:space="preserve">, </w:t>
            </w:r>
            <w:r w:rsidR="00C64E10" w:rsidRPr="00C83045">
              <w:rPr>
                <w:color w:val="000000"/>
                <w:lang w:val="sk-SK"/>
              </w:rPr>
              <w:t>i.v.</w:t>
            </w:r>
            <w:r w:rsidRPr="00C83045">
              <w:rPr>
                <w:color w:val="000000"/>
                <w:lang w:val="sk-SK"/>
              </w:rPr>
              <w:t>; 15 mg/m</w:t>
            </w:r>
            <w:r w:rsidRPr="00C83045">
              <w:rPr>
                <w:color w:val="000000"/>
                <w:vertAlign w:val="superscript"/>
                <w:lang w:val="sk-SK"/>
              </w:rPr>
              <w:t>2</w:t>
            </w:r>
            <w:r w:rsidR="00C64E10" w:rsidRPr="00C83045">
              <w:rPr>
                <w:color w:val="000000"/>
                <w:lang w:val="sk-SK"/>
              </w:rPr>
              <w:t xml:space="preserve"> i.v. alebo p.o. </w:t>
            </w:r>
            <w:r w:rsidRPr="00C83045">
              <w:rPr>
                <w:color w:val="000000"/>
                <w:lang w:val="sk-SK"/>
              </w:rPr>
              <w:t>q6h x 6 </w:t>
            </w:r>
            <w:r w:rsidR="00C64E10" w:rsidRPr="00C83045">
              <w:rPr>
                <w:color w:val="000000"/>
                <w:lang w:val="sk-SK"/>
              </w:rPr>
              <w:t>dávok</w:t>
            </w:r>
            <w:r w:rsidRPr="00C83045">
              <w:rPr>
                <w:color w:val="000000"/>
                <w:lang w:val="sk-SK"/>
              </w:rPr>
              <w:t>)iii: d</w:t>
            </w:r>
            <w:r w:rsidR="00C64E10" w:rsidRPr="00C83045">
              <w:rPr>
                <w:color w:val="000000"/>
                <w:lang w:val="sk-SK"/>
              </w:rPr>
              <w:t>ni</w:t>
            </w:r>
            <w:r w:rsidRPr="00C83045">
              <w:rPr>
                <w:color w:val="000000"/>
                <w:lang w:val="sk-SK"/>
              </w:rPr>
              <w:t> 2, 3, 16, a 17</w:t>
            </w:r>
          </w:p>
          <w:p w14:paraId="32367F67" w14:textId="77777777" w:rsidR="00F31B44" w:rsidRPr="00C83045" w:rsidRDefault="00C64E10" w:rsidP="00D4304B">
            <w:pPr>
              <w:pStyle w:val="EndnoteText"/>
              <w:widowControl w:val="0"/>
              <w:rPr>
                <w:color w:val="000000"/>
                <w:lang w:val="sk-SK"/>
              </w:rPr>
            </w:pPr>
            <w:r w:rsidRPr="00C83045">
              <w:rPr>
                <w:color w:val="000000"/>
                <w:lang w:val="sk-SK"/>
              </w:rPr>
              <w:t>Trojitá i.t. liečba (upravená podľa veku</w:t>
            </w:r>
            <w:r w:rsidR="00F31B44" w:rsidRPr="00C83045">
              <w:rPr>
                <w:color w:val="000000"/>
                <w:lang w:val="sk-SK"/>
              </w:rPr>
              <w:t>): d</w:t>
            </w:r>
            <w:r w:rsidRPr="00C83045">
              <w:rPr>
                <w:color w:val="000000"/>
                <w:lang w:val="sk-SK"/>
              </w:rPr>
              <w:t>ni</w:t>
            </w:r>
            <w:r w:rsidR="00F31B44" w:rsidRPr="00C83045">
              <w:rPr>
                <w:color w:val="000000"/>
                <w:lang w:val="sk-SK"/>
              </w:rPr>
              <w:t> 1 a 22</w:t>
            </w:r>
          </w:p>
          <w:p w14:paraId="32367F68" w14:textId="77777777" w:rsidR="00F31B44" w:rsidRPr="00C83045" w:rsidRDefault="00F31B44" w:rsidP="00D4304B">
            <w:pPr>
              <w:pStyle w:val="EndnoteText"/>
              <w:widowControl w:val="0"/>
              <w:rPr>
                <w:color w:val="000000"/>
                <w:lang w:val="sk-SK"/>
              </w:rPr>
            </w:pPr>
            <w:r w:rsidRPr="00C83045">
              <w:rPr>
                <w:color w:val="000000"/>
                <w:lang w:val="sk-SK"/>
              </w:rPr>
              <w:t>VP-16 (100 mg/m</w:t>
            </w:r>
            <w:r w:rsidRPr="00C83045">
              <w:rPr>
                <w:color w:val="000000"/>
                <w:vertAlign w:val="superscript"/>
                <w:lang w:val="sk-SK"/>
              </w:rPr>
              <w:t>2</w:t>
            </w:r>
            <w:r w:rsidRPr="00C83045">
              <w:rPr>
                <w:color w:val="000000"/>
                <w:lang w:val="sk-SK"/>
              </w:rPr>
              <w:t>/d</w:t>
            </w:r>
            <w:r w:rsidR="00986086" w:rsidRPr="00C83045">
              <w:rPr>
                <w:color w:val="000000"/>
                <w:lang w:val="sk-SK"/>
              </w:rPr>
              <w:t>eň</w:t>
            </w:r>
            <w:r w:rsidRPr="00C83045">
              <w:rPr>
                <w:color w:val="000000"/>
                <w:lang w:val="sk-SK"/>
              </w:rPr>
              <w:t xml:space="preserve">, </w:t>
            </w:r>
            <w:r w:rsidR="00986086" w:rsidRPr="00C83045">
              <w:rPr>
                <w:color w:val="000000"/>
                <w:lang w:val="sk-SK"/>
              </w:rPr>
              <w:t>i.v.</w:t>
            </w:r>
            <w:r w:rsidRPr="00C83045">
              <w:rPr>
                <w:color w:val="000000"/>
                <w:lang w:val="sk-SK"/>
              </w:rPr>
              <w:t>): d</w:t>
            </w:r>
            <w:r w:rsidR="00986086" w:rsidRPr="00C83045">
              <w:rPr>
                <w:color w:val="000000"/>
                <w:lang w:val="sk-SK"/>
              </w:rPr>
              <w:t>ni</w:t>
            </w:r>
            <w:r w:rsidRPr="00C83045">
              <w:rPr>
                <w:color w:val="000000"/>
                <w:lang w:val="sk-SK"/>
              </w:rPr>
              <w:t> 22</w:t>
            </w:r>
            <w:r w:rsidRPr="00C83045">
              <w:rPr>
                <w:color w:val="000000"/>
                <w:lang w:val="sk-SK"/>
              </w:rPr>
              <w:noBreakHyphen/>
              <w:t>26</w:t>
            </w:r>
          </w:p>
          <w:p w14:paraId="32367F69" w14:textId="77777777" w:rsidR="00F31B44" w:rsidRPr="00C83045" w:rsidRDefault="00F31B44" w:rsidP="00D4304B">
            <w:pPr>
              <w:pStyle w:val="EndnoteText"/>
              <w:widowControl w:val="0"/>
              <w:rPr>
                <w:color w:val="000000"/>
                <w:lang w:val="sk-SK"/>
              </w:rPr>
            </w:pPr>
            <w:r w:rsidRPr="00C83045">
              <w:rPr>
                <w:color w:val="000000"/>
                <w:lang w:val="sk-SK"/>
              </w:rPr>
              <w:t>CPM (300 mg/m</w:t>
            </w:r>
            <w:r w:rsidRPr="00C83045">
              <w:rPr>
                <w:color w:val="000000"/>
                <w:vertAlign w:val="superscript"/>
                <w:lang w:val="sk-SK"/>
              </w:rPr>
              <w:t>2</w:t>
            </w:r>
            <w:r w:rsidRPr="00C83045">
              <w:rPr>
                <w:color w:val="000000"/>
                <w:lang w:val="sk-SK"/>
              </w:rPr>
              <w:t>/d</w:t>
            </w:r>
            <w:r w:rsidR="00986086" w:rsidRPr="00C83045">
              <w:rPr>
                <w:color w:val="000000"/>
                <w:lang w:val="sk-SK"/>
              </w:rPr>
              <w:t>eň</w:t>
            </w:r>
            <w:r w:rsidRPr="00C83045">
              <w:rPr>
                <w:color w:val="000000"/>
                <w:lang w:val="sk-SK"/>
              </w:rPr>
              <w:t xml:space="preserve">, </w:t>
            </w:r>
            <w:r w:rsidR="00986086" w:rsidRPr="00C83045">
              <w:rPr>
                <w:color w:val="000000"/>
                <w:lang w:val="sk-SK"/>
              </w:rPr>
              <w:t>i.v.</w:t>
            </w:r>
            <w:r w:rsidRPr="00C83045">
              <w:rPr>
                <w:color w:val="000000"/>
                <w:lang w:val="sk-SK"/>
              </w:rPr>
              <w:t>): d</w:t>
            </w:r>
            <w:r w:rsidR="00986086" w:rsidRPr="00C83045">
              <w:rPr>
                <w:color w:val="000000"/>
                <w:lang w:val="sk-SK"/>
              </w:rPr>
              <w:t>ni</w:t>
            </w:r>
            <w:r w:rsidRPr="00C83045">
              <w:rPr>
                <w:color w:val="000000"/>
                <w:lang w:val="sk-SK"/>
              </w:rPr>
              <w:t> 22</w:t>
            </w:r>
            <w:r w:rsidRPr="00C83045">
              <w:rPr>
                <w:color w:val="000000"/>
                <w:lang w:val="sk-SK"/>
              </w:rPr>
              <w:noBreakHyphen/>
              <w:t>26</w:t>
            </w:r>
          </w:p>
          <w:p w14:paraId="32367F6A" w14:textId="77777777" w:rsidR="00F31B44" w:rsidRPr="00C83045" w:rsidRDefault="00F31B44" w:rsidP="00D4304B">
            <w:pPr>
              <w:pStyle w:val="EndnoteText"/>
              <w:widowControl w:val="0"/>
              <w:rPr>
                <w:color w:val="000000"/>
                <w:lang w:val="sk-SK"/>
              </w:rPr>
            </w:pPr>
            <w:r w:rsidRPr="00C83045">
              <w:rPr>
                <w:color w:val="000000"/>
                <w:lang w:val="sk-SK"/>
              </w:rPr>
              <w:t>MESNA (150 mg/m</w:t>
            </w:r>
            <w:r w:rsidRPr="00C83045">
              <w:rPr>
                <w:color w:val="000000"/>
                <w:vertAlign w:val="superscript"/>
                <w:lang w:val="sk-SK"/>
              </w:rPr>
              <w:t>2</w:t>
            </w:r>
            <w:r w:rsidRPr="00C83045">
              <w:rPr>
                <w:color w:val="000000"/>
                <w:lang w:val="sk-SK"/>
              </w:rPr>
              <w:t>/d</w:t>
            </w:r>
            <w:r w:rsidR="00986086" w:rsidRPr="00C83045">
              <w:rPr>
                <w:color w:val="000000"/>
                <w:lang w:val="sk-SK"/>
              </w:rPr>
              <w:t>eň</w:t>
            </w:r>
            <w:r w:rsidRPr="00C83045">
              <w:rPr>
                <w:color w:val="000000"/>
                <w:lang w:val="sk-SK"/>
              </w:rPr>
              <w:t xml:space="preserve">, </w:t>
            </w:r>
            <w:r w:rsidR="00986086" w:rsidRPr="00C83045">
              <w:rPr>
                <w:color w:val="000000"/>
                <w:lang w:val="sk-SK"/>
              </w:rPr>
              <w:t>i.v.</w:t>
            </w:r>
            <w:r w:rsidRPr="00C83045">
              <w:rPr>
                <w:color w:val="000000"/>
                <w:lang w:val="sk-SK"/>
              </w:rPr>
              <w:t>): d</w:t>
            </w:r>
            <w:r w:rsidR="00986086" w:rsidRPr="00C83045">
              <w:rPr>
                <w:color w:val="000000"/>
                <w:lang w:val="sk-SK"/>
              </w:rPr>
              <w:t>eň</w:t>
            </w:r>
            <w:r w:rsidRPr="00C83045">
              <w:rPr>
                <w:color w:val="000000"/>
                <w:lang w:val="sk-SK"/>
              </w:rPr>
              <w:t> 22</w:t>
            </w:r>
            <w:r w:rsidRPr="00C83045">
              <w:rPr>
                <w:color w:val="000000"/>
                <w:lang w:val="sk-SK"/>
              </w:rPr>
              <w:noBreakHyphen/>
              <w:t>26</w:t>
            </w:r>
          </w:p>
          <w:p w14:paraId="32367F6B" w14:textId="77777777" w:rsidR="00F31B44" w:rsidRPr="00C83045" w:rsidRDefault="00F31B44" w:rsidP="00D4304B">
            <w:pPr>
              <w:pStyle w:val="EndnoteText"/>
              <w:widowControl w:val="0"/>
              <w:rPr>
                <w:color w:val="000000"/>
                <w:lang w:val="sk-SK"/>
              </w:rPr>
            </w:pPr>
            <w:r w:rsidRPr="00C83045">
              <w:rPr>
                <w:color w:val="000000"/>
                <w:lang w:val="sk-SK"/>
              </w:rPr>
              <w:t xml:space="preserve">G-CSF (5 μg/kg, </w:t>
            </w:r>
            <w:r w:rsidR="00986086" w:rsidRPr="00C83045">
              <w:rPr>
                <w:color w:val="000000"/>
                <w:lang w:val="sk-SK"/>
              </w:rPr>
              <w:t>s.c.</w:t>
            </w:r>
            <w:r w:rsidRPr="00C83045">
              <w:rPr>
                <w:color w:val="000000"/>
                <w:lang w:val="sk-SK"/>
              </w:rPr>
              <w:t>): d</w:t>
            </w:r>
            <w:r w:rsidR="00986086" w:rsidRPr="00C83045">
              <w:rPr>
                <w:color w:val="000000"/>
                <w:lang w:val="sk-SK"/>
              </w:rPr>
              <w:t>ni 27</w:t>
            </w:r>
            <w:r w:rsidR="00986086" w:rsidRPr="00C83045">
              <w:rPr>
                <w:color w:val="000000"/>
                <w:lang w:val="sk-SK"/>
              </w:rPr>
              <w:noBreakHyphen/>
              <w:t>36 alebo pokiaľ</w:t>
            </w:r>
            <w:r w:rsidRPr="00C83045">
              <w:rPr>
                <w:color w:val="000000"/>
                <w:lang w:val="sk-SK"/>
              </w:rPr>
              <w:t xml:space="preserve"> ANC &gt; 1500 po nadir</w:t>
            </w:r>
            <w:r w:rsidR="00986086" w:rsidRPr="00C83045">
              <w:rPr>
                <w:color w:val="000000"/>
                <w:lang w:val="sk-SK"/>
              </w:rPr>
              <w:t>e</w:t>
            </w:r>
          </w:p>
          <w:p w14:paraId="32367F6C" w14:textId="77777777" w:rsidR="00F31B44" w:rsidRPr="00C83045" w:rsidRDefault="00F31B44" w:rsidP="00D4304B">
            <w:pPr>
              <w:pStyle w:val="EndnoteText"/>
              <w:widowControl w:val="0"/>
              <w:rPr>
                <w:color w:val="000000"/>
                <w:lang w:val="sk-SK"/>
              </w:rPr>
            </w:pPr>
            <w:r w:rsidRPr="00C83045">
              <w:rPr>
                <w:color w:val="000000"/>
                <w:lang w:val="sk-SK"/>
              </w:rPr>
              <w:t>ARA-C (3 g/m</w:t>
            </w:r>
            <w:r w:rsidRPr="00C83045">
              <w:rPr>
                <w:color w:val="000000"/>
                <w:vertAlign w:val="superscript"/>
                <w:lang w:val="sk-SK"/>
              </w:rPr>
              <w:t>2</w:t>
            </w:r>
            <w:r w:rsidRPr="00C83045">
              <w:rPr>
                <w:color w:val="000000"/>
                <w:lang w:val="sk-SK"/>
              </w:rPr>
              <w:t xml:space="preserve">, q12h, </w:t>
            </w:r>
            <w:r w:rsidR="00986086" w:rsidRPr="00C83045">
              <w:rPr>
                <w:color w:val="000000"/>
                <w:lang w:val="sk-SK"/>
              </w:rPr>
              <w:t>i.v.):</w:t>
            </w:r>
            <w:r w:rsidRPr="00C83045">
              <w:rPr>
                <w:color w:val="000000"/>
                <w:lang w:val="sk-SK"/>
              </w:rPr>
              <w:t xml:space="preserve"> d</w:t>
            </w:r>
            <w:r w:rsidR="00986086" w:rsidRPr="00C83045">
              <w:rPr>
                <w:color w:val="000000"/>
                <w:lang w:val="sk-SK"/>
              </w:rPr>
              <w:t>ni</w:t>
            </w:r>
            <w:r w:rsidRPr="00C83045">
              <w:rPr>
                <w:color w:val="000000"/>
                <w:lang w:val="sk-SK"/>
              </w:rPr>
              <w:t> 43, 44</w:t>
            </w:r>
          </w:p>
          <w:p w14:paraId="32367F6D" w14:textId="77777777" w:rsidR="00F31B44" w:rsidRPr="00C83045" w:rsidRDefault="00F31B44" w:rsidP="00D4304B">
            <w:pPr>
              <w:pStyle w:val="EndnoteText"/>
              <w:widowControl w:val="0"/>
              <w:rPr>
                <w:color w:val="000000"/>
                <w:lang w:val="sk-SK"/>
              </w:rPr>
            </w:pPr>
            <w:r w:rsidRPr="00C83045">
              <w:rPr>
                <w:color w:val="000000"/>
                <w:lang w:val="sk-SK"/>
              </w:rPr>
              <w:t>L-ASP (6000 IU/m</w:t>
            </w:r>
            <w:r w:rsidRPr="00C83045">
              <w:rPr>
                <w:color w:val="000000"/>
                <w:vertAlign w:val="superscript"/>
                <w:lang w:val="sk-SK"/>
              </w:rPr>
              <w:t>2</w:t>
            </w:r>
            <w:r w:rsidRPr="00C83045">
              <w:rPr>
                <w:color w:val="000000"/>
                <w:lang w:val="sk-SK"/>
              </w:rPr>
              <w:t xml:space="preserve">, </w:t>
            </w:r>
            <w:r w:rsidR="00CC3AFF" w:rsidRPr="00C83045">
              <w:rPr>
                <w:color w:val="000000"/>
                <w:lang w:val="sk-SK"/>
              </w:rPr>
              <w:t>i.m.</w:t>
            </w:r>
            <w:r w:rsidRPr="00C83045">
              <w:rPr>
                <w:color w:val="000000"/>
                <w:lang w:val="sk-SK"/>
              </w:rPr>
              <w:t>): d</w:t>
            </w:r>
            <w:r w:rsidR="00986086" w:rsidRPr="00C83045">
              <w:rPr>
                <w:color w:val="000000"/>
                <w:lang w:val="sk-SK"/>
              </w:rPr>
              <w:t>ni</w:t>
            </w:r>
            <w:r w:rsidRPr="00C83045">
              <w:rPr>
                <w:color w:val="000000"/>
                <w:lang w:val="sk-SK"/>
              </w:rPr>
              <w:t> 44</w:t>
            </w:r>
          </w:p>
        </w:tc>
      </w:tr>
      <w:tr w:rsidR="00F31B44" w:rsidRPr="00C83045" w14:paraId="32367F7D" w14:textId="77777777" w:rsidTr="00BE6051">
        <w:trPr>
          <w:cantSplit/>
        </w:trPr>
        <w:tc>
          <w:tcPr>
            <w:tcW w:w="2358" w:type="dxa"/>
            <w:tcBorders>
              <w:top w:val="single" w:sz="4" w:space="0" w:color="auto"/>
              <w:left w:val="single" w:sz="4" w:space="0" w:color="auto"/>
              <w:bottom w:val="single" w:sz="4" w:space="0" w:color="auto"/>
              <w:right w:val="single" w:sz="4" w:space="0" w:color="auto"/>
            </w:tcBorders>
            <w:hideMark/>
          </w:tcPr>
          <w:p w14:paraId="32367F6F" w14:textId="77777777" w:rsidR="00F31B44" w:rsidRPr="00C83045" w:rsidRDefault="00492955" w:rsidP="00D4304B">
            <w:pPr>
              <w:pStyle w:val="EndnoteText"/>
              <w:widowControl w:val="0"/>
              <w:rPr>
                <w:color w:val="000000"/>
                <w:lang w:val="sk-SK"/>
              </w:rPr>
            </w:pPr>
            <w:r w:rsidRPr="00C83045">
              <w:rPr>
                <w:color w:val="000000"/>
                <w:lang w:val="sk-SK"/>
              </w:rPr>
              <w:t>Udržiavacia liečba</w:t>
            </w:r>
          </w:p>
          <w:p w14:paraId="32367F70" w14:textId="77777777" w:rsidR="00F31B44" w:rsidRPr="00C83045" w:rsidRDefault="00F31B44" w:rsidP="00D4304B">
            <w:pPr>
              <w:pStyle w:val="EndnoteText"/>
              <w:widowControl w:val="0"/>
              <w:rPr>
                <w:color w:val="000000"/>
                <w:lang w:val="sk-SK"/>
              </w:rPr>
            </w:pPr>
            <w:r w:rsidRPr="00C83045">
              <w:rPr>
                <w:color w:val="000000"/>
                <w:lang w:val="sk-SK"/>
              </w:rPr>
              <w:t>(8-</w:t>
            </w:r>
            <w:r w:rsidR="00492955" w:rsidRPr="00C83045">
              <w:rPr>
                <w:color w:val="000000"/>
                <w:lang w:val="sk-SK"/>
              </w:rPr>
              <w:t>týždňové cykly</w:t>
            </w:r>
            <w:r w:rsidRPr="00C83045">
              <w:rPr>
                <w:color w:val="000000"/>
                <w:lang w:val="sk-SK"/>
              </w:rPr>
              <w:t>)</w:t>
            </w:r>
          </w:p>
          <w:p w14:paraId="32367F71" w14:textId="77777777" w:rsidR="00F31B44" w:rsidRPr="00C83045" w:rsidRDefault="00F31B44" w:rsidP="00D4304B">
            <w:pPr>
              <w:pStyle w:val="EndnoteText"/>
              <w:widowControl w:val="0"/>
              <w:rPr>
                <w:color w:val="000000"/>
                <w:lang w:val="sk-SK"/>
              </w:rPr>
            </w:pPr>
            <w:r w:rsidRPr="00C83045">
              <w:rPr>
                <w:color w:val="000000"/>
                <w:lang w:val="sk-SK"/>
              </w:rPr>
              <w:t>Cy</w:t>
            </w:r>
            <w:r w:rsidR="00492955" w:rsidRPr="00C83045">
              <w:rPr>
                <w:color w:val="000000"/>
                <w:lang w:val="sk-SK"/>
              </w:rPr>
              <w:t>klus</w:t>
            </w:r>
            <w:r w:rsidRPr="00C83045">
              <w:rPr>
                <w:color w:val="000000"/>
                <w:lang w:val="sk-SK"/>
              </w:rPr>
              <w:t> 1–4</w:t>
            </w:r>
          </w:p>
        </w:tc>
        <w:tc>
          <w:tcPr>
            <w:tcW w:w="6929" w:type="dxa"/>
            <w:tcBorders>
              <w:top w:val="single" w:sz="4" w:space="0" w:color="auto"/>
              <w:left w:val="single" w:sz="4" w:space="0" w:color="auto"/>
              <w:bottom w:val="single" w:sz="4" w:space="0" w:color="auto"/>
              <w:right w:val="single" w:sz="4" w:space="0" w:color="auto"/>
            </w:tcBorders>
            <w:hideMark/>
          </w:tcPr>
          <w:p w14:paraId="32367F72" w14:textId="77777777" w:rsidR="00F31B44" w:rsidRPr="00C83045" w:rsidRDefault="00F31B44" w:rsidP="00D4304B">
            <w:pPr>
              <w:pStyle w:val="EndnoteText"/>
              <w:widowControl w:val="0"/>
              <w:rPr>
                <w:color w:val="000000"/>
                <w:lang w:val="sk-SK"/>
              </w:rPr>
            </w:pPr>
            <w:r w:rsidRPr="00C83045">
              <w:rPr>
                <w:color w:val="000000"/>
                <w:lang w:val="sk-SK"/>
              </w:rPr>
              <w:t>MTX (5 g/m</w:t>
            </w:r>
            <w:r w:rsidRPr="00C83045">
              <w:rPr>
                <w:color w:val="000000"/>
                <w:vertAlign w:val="superscript"/>
                <w:lang w:val="sk-SK"/>
              </w:rPr>
              <w:t>2</w:t>
            </w:r>
            <w:r w:rsidRPr="00C83045">
              <w:rPr>
                <w:color w:val="000000"/>
                <w:lang w:val="sk-SK"/>
              </w:rPr>
              <w:t xml:space="preserve"> </w:t>
            </w:r>
            <w:r w:rsidR="00781203" w:rsidRPr="00C83045">
              <w:rPr>
                <w:color w:val="000000"/>
                <w:lang w:val="sk-SK"/>
              </w:rPr>
              <w:t>počas</w:t>
            </w:r>
            <w:r w:rsidRPr="00C83045">
              <w:rPr>
                <w:color w:val="000000"/>
                <w:lang w:val="sk-SK"/>
              </w:rPr>
              <w:t xml:space="preserve"> 24 h, </w:t>
            </w:r>
            <w:r w:rsidR="00781203" w:rsidRPr="00C83045">
              <w:rPr>
                <w:color w:val="000000"/>
                <w:lang w:val="sk-SK"/>
              </w:rPr>
              <w:t>i.v.</w:t>
            </w:r>
            <w:r w:rsidRPr="00C83045">
              <w:rPr>
                <w:color w:val="000000"/>
                <w:lang w:val="sk-SK"/>
              </w:rPr>
              <w:t>): d</w:t>
            </w:r>
            <w:r w:rsidR="00781203" w:rsidRPr="00C83045">
              <w:rPr>
                <w:color w:val="000000"/>
                <w:lang w:val="sk-SK"/>
              </w:rPr>
              <w:t>eň</w:t>
            </w:r>
            <w:r w:rsidRPr="00C83045">
              <w:rPr>
                <w:color w:val="000000"/>
                <w:lang w:val="sk-SK"/>
              </w:rPr>
              <w:t> 1</w:t>
            </w:r>
          </w:p>
          <w:p w14:paraId="32367F73" w14:textId="77777777" w:rsidR="00F31B44" w:rsidRPr="00C83045" w:rsidRDefault="00F31B44" w:rsidP="00D4304B">
            <w:pPr>
              <w:pStyle w:val="EndnoteText"/>
              <w:widowControl w:val="0"/>
              <w:rPr>
                <w:color w:val="000000"/>
                <w:lang w:val="sk-SK"/>
              </w:rPr>
            </w:pPr>
            <w:r w:rsidRPr="00C83045">
              <w:rPr>
                <w:color w:val="000000"/>
                <w:lang w:val="sk-SK"/>
              </w:rPr>
              <w:t>Leu</w:t>
            </w:r>
            <w:r w:rsidR="00781203" w:rsidRPr="00C83045">
              <w:rPr>
                <w:color w:val="000000"/>
                <w:lang w:val="sk-SK"/>
              </w:rPr>
              <w:t>kovorín</w:t>
            </w:r>
            <w:r w:rsidRPr="00C83045">
              <w:rPr>
                <w:color w:val="000000"/>
                <w:lang w:val="sk-SK"/>
              </w:rPr>
              <w:t xml:space="preserve"> (75 mg/m</w:t>
            </w:r>
            <w:r w:rsidRPr="00C83045">
              <w:rPr>
                <w:color w:val="000000"/>
                <w:vertAlign w:val="superscript"/>
                <w:lang w:val="sk-SK"/>
              </w:rPr>
              <w:t>2</w:t>
            </w:r>
            <w:r w:rsidRPr="00C83045">
              <w:rPr>
                <w:color w:val="000000"/>
                <w:lang w:val="sk-SK"/>
              </w:rPr>
              <w:t xml:space="preserve"> </w:t>
            </w:r>
            <w:r w:rsidR="00781203" w:rsidRPr="00C83045">
              <w:rPr>
                <w:color w:val="000000"/>
                <w:lang w:val="sk-SK"/>
              </w:rPr>
              <w:t>v</w:t>
            </w:r>
            <w:r w:rsidRPr="00C83045">
              <w:rPr>
                <w:color w:val="000000"/>
                <w:lang w:val="sk-SK"/>
              </w:rPr>
              <w:t> 36</w:t>
            </w:r>
            <w:r w:rsidR="00781203" w:rsidRPr="00C83045">
              <w:rPr>
                <w:color w:val="000000"/>
                <w:lang w:val="sk-SK"/>
              </w:rPr>
              <w:t xml:space="preserve"> h</w:t>
            </w:r>
            <w:r w:rsidRPr="00C83045">
              <w:rPr>
                <w:color w:val="000000"/>
                <w:lang w:val="sk-SK"/>
              </w:rPr>
              <w:t xml:space="preserve">, </w:t>
            </w:r>
            <w:r w:rsidR="00781203" w:rsidRPr="00C83045">
              <w:rPr>
                <w:color w:val="000000"/>
                <w:lang w:val="sk-SK"/>
              </w:rPr>
              <w:t>i.v.</w:t>
            </w:r>
            <w:r w:rsidRPr="00C83045">
              <w:rPr>
                <w:color w:val="000000"/>
                <w:lang w:val="sk-SK"/>
              </w:rPr>
              <w:t>; 15 mg/m</w:t>
            </w:r>
            <w:r w:rsidRPr="00C83045">
              <w:rPr>
                <w:color w:val="000000"/>
                <w:vertAlign w:val="superscript"/>
                <w:lang w:val="sk-SK"/>
              </w:rPr>
              <w:t>2</w:t>
            </w:r>
            <w:r w:rsidRPr="00C83045">
              <w:rPr>
                <w:color w:val="000000"/>
                <w:lang w:val="sk-SK"/>
              </w:rPr>
              <w:t xml:space="preserve"> </w:t>
            </w:r>
            <w:r w:rsidR="00781203" w:rsidRPr="00C83045">
              <w:rPr>
                <w:color w:val="000000"/>
                <w:lang w:val="sk-SK"/>
              </w:rPr>
              <w:t>i.v.</w:t>
            </w:r>
            <w:r w:rsidRPr="00C83045">
              <w:rPr>
                <w:color w:val="000000"/>
                <w:lang w:val="sk-SK"/>
              </w:rPr>
              <w:t xml:space="preserve"> </w:t>
            </w:r>
            <w:r w:rsidR="00781203" w:rsidRPr="00C83045">
              <w:rPr>
                <w:color w:val="000000"/>
                <w:lang w:val="sk-SK"/>
              </w:rPr>
              <w:t>alebo p.o. q6h x 6 dávok</w:t>
            </w:r>
            <w:r w:rsidRPr="00C83045">
              <w:rPr>
                <w:color w:val="000000"/>
                <w:lang w:val="sk-SK"/>
              </w:rPr>
              <w:t>)iii: d</w:t>
            </w:r>
            <w:r w:rsidR="00781203" w:rsidRPr="00C83045">
              <w:rPr>
                <w:color w:val="000000"/>
                <w:lang w:val="sk-SK"/>
              </w:rPr>
              <w:t>ni</w:t>
            </w:r>
            <w:r w:rsidRPr="00C83045">
              <w:rPr>
                <w:color w:val="000000"/>
                <w:lang w:val="sk-SK"/>
              </w:rPr>
              <w:t> 2 a 3</w:t>
            </w:r>
          </w:p>
          <w:p w14:paraId="32367F74" w14:textId="77777777" w:rsidR="00F31B44" w:rsidRPr="00C83045" w:rsidRDefault="00CE6810" w:rsidP="00D4304B">
            <w:pPr>
              <w:pStyle w:val="EndnoteText"/>
              <w:widowControl w:val="0"/>
              <w:rPr>
                <w:color w:val="000000"/>
                <w:lang w:val="sk-SK"/>
              </w:rPr>
            </w:pPr>
            <w:r w:rsidRPr="00C83045">
              <w:rPr>
                <w:color w:val="000000"/>
                <w:lang w:val="sk-SK"/>
              </w:rPr>
              <w:t>Trojitá i.t. liečba (upravená podľa veku</w:t>
            </w:r>
            <w:r w:rsidR="00F31B44" w:rsidRPr="00C83045">
              <w:rPr>
                <w:color w:val="000000"/>
                <w:lang w:val="sk-SK"/>
              </w:rPr>
              <w:t>): d</w:t>
            </w:r>
            <w:r w:rsidRPr="00C83045">
              <w:rPr>
                <w:color w:val="000000"/>
                <w:lang w:val="sk-SK"/>
              </w:rPr>
              <w:t>ni</w:t>
            </w:r>
            <w:r w:rsidR="00F31B44" w:rsidRPr="00C83045">
              <w:rPr>
                <w:color w:val="000000"/>
                <w:lang w:val="sk-SK"/>
              </w:rPr>
              <w:t> 1, 29</w:t>
            </w:r>
          </w:p>
          <w:p w14:paraId="32367F75" w14:textId="77777777" w:rsidR="00F31B44" w:rsidRPr="00C83045" w:rsidRDefault="00F31B44" w:rsidP="00D4304B">
            <w:pPr>
              <w:pStyle w:val="EndnoteText"/>
              <w:widowControl w:val="0"/>
              <w:rPr>
                <w:color w:val="000000"/>
                <w:lang w:val="sk-SK"/>
              </w:rPr>
            </w:pPr>
            <w:r w:rsidRPr="00C83045">
              <w:rPr>
                <w:color w:val="000000"/>
                <w:lang w:val="sk-SK"/>
              </w:rPr>
              <w:t>VCR (1.5 mg/m</w:t>
            </w:r>
            <w:r w:rsidRPr="00C83045">
              <w:rPr>
                <w:color w:val="000000"/>
                <w:vertAlign w:val="superscript"/>
                <w:lang w:val="sk-SK"/>
              </w:rPr>
              <w:t>2</w:t>
            </w:r>
            <w:r w:rsidRPr="00C83045">
              <w:rPr>
                <w:color w:val="000000"/>
                <w:lang w:val="sk-SK"/>
              </w:rPr>
              <w:t xml:space="preserve">, </w:t>
            </w:r>
            <w:r w:rsidR="00CE6810" w:rsidRPr="00C83045">
              <w:rPr>
                <w:color w:val="000000"/>
                <w:lang w:val="sk-SK"/>
              </w:rPr>
              <w:t>i.v.</w:t>
            </w:r>
            <w:r w:rsidRPr="00C83045">
              <w:rPr>
                <w:color w:val="000000"/>
                <w:lang w:val="sk-SK"/>
              </w:rPr>
              <w:t>): d</w:t>
            </w:r>
            <w:r w:rsidR="00CE6810" w:rsidRPr="00C83045">
              <w:rPr>
                <w:color w:val="000000"/>
                <w:lang w:val="sk-SK"/>
              </w:rPr>
              <w:t>ni</w:t>
            </w:r>
            <w:r w:rsidRPr="00C83045">
              <w:rPr>
                <w:color w:val="000000"/>
                <w:lang w:val="sk-SK"/>
              </w:rPr>
              <w:t> 1, 29</w:t>
            </w:r>
          </w:p>
          <w:p w14:paraId="32367F76" w14:textId="77777777" w:rsidR="00F31B44" w:rsidRPr="00C83045" w:rsidRDefault="00F31B44" w:rsidP="00D4304B">
            <w:pPr>
              <w:pStyle w:val="EndnoteText"/>
              <w:widowControl w:val="0"/>
              <w:rPr>
                <w:color w:val="000000"/>
                <w:lang w:val="sk-SK"/>
              </w:rPr>
            </w:pPr>
            <w:r w:rsidRPr="00C83045">
              <w:rPr>
                <w:color w:val="000000"/>
                <w:lang w:val="sk-SK"/>
              </w:rPr>
              <w:t>DEX (6 mg/m</w:t>
            </w:r>
            <w:r w:rsidRPr="00C83045">
              <w:rPr>
                <w:color w:val="000000"/>
                <w:vertAlign w:val="superscript"/>
                <w:lang w:val="sk-SK"/>
              </w:rPr>
              <w:t>2</w:t>
            </w:r>
            <w:r w:rsidR="00CE6810" w:rsidRPr="00C83045">
              <w:rPr>
                <w:color w:val="000000"/>
                <w:lang w:val="sk-SK"/>
              </w:rPr>
              <w:t>/d</w:t>
            </w:r>
            <w:r w:rsidR="004A46FC" w:rsidRPr="00C83045">
              <w:rPr>
                <w:color w:val="000000"/>
                <w:lang w:val="sk-SK"/>
              </w:rPr>
              <w:t>eň</w:t>
            </w:r>
            <w:r w:rsidR="00CE6810" w:rsidRPr="00C83045">
              <w:rPr>
                <w:color w:val="000000"/>
                <w:lang w:val="sk-SK"/>
              </w:rPr>
              <w:t xml:space="preserve"> p.o.</w:t>
            </w:r>
            <w:r w:rsidRPr="00C83045">
              <w:rPr>
                <w:color w:val="000000"/>
                <w:lang w:val="sk-SK"/>
              </w:rPr>
              <w:t>): d</w:t>
            </w:r>
            <w:r w:rsidR="00CE6810" w:rsidRPr="00C83045">
              <w:rPr>
                <w:color w:val="000000"/>
                <w:lang w:val="sk-SK"/>
              </w:rPr>
              <w:t>ni</w:t>
            </w:r>
            <w:r w:rsidRPr="00C83045">
              <w:rPr>
                <w:color w:val="000000"/>
                <w:lang w:val="sk-SK"/>
              </w:rPr>
              <w:t> 1</w:t>
            </w:r>
            <w:r w:rsidRPr="00C83045">
              <w:rPr>
                <w:color w:val="000000"/>
                <w:lang w:val="sk-SK"/>
              </w:rPr>
              <w:noBreakHyphen/>
              <w:t>5; 29</w:t>
            </w:r>
            <w:r w:rsidRPr="00C83045">
              <w:rPr>
                <w:color w:val="000000"/>
                <w:lang w:val="sk-SK"/>
              </w:rPr>
              <w:noBreakHyphen/>
              <w:t>33</w:t>
            </w:r>
          </w:p>
          <w:p w14:paraId="32367F77" w14:textId="77777777" w:rsidR="00F31B44" w:rsidRPr="00C83045" w:rsidRDefault="00F31B44" w:rsidP="00D4304B">
            <w:pPr>
              <w:pStyle w:val="EndnoteText"/>
              <w:widowControl w:val="0"/>
              <w:rPr>
                <w:color w:val="000000"/>
                <w:lang w:val="sk-SK"/>
              </w:rPr>
            </w:pPr>
            <w:r w:rsidRPr="00C83045">
              <w:rPr>
                <w:color w:val="000000"/>
                <w:lang w:val="sk-SK"/>
              </w:rPr>
              <w:t>6-MP (75 mg/m</w:t>
            </w:r>
            <w:r w:rsidRPr="00C83045">
              <w:rPr>
                <w:color w:val="000000"/>
                <w:vertAlign w:val="superscript"/>
                <w:lang w:val="sk-SK"/>
              </w:rPr>
              <w:t>2</w:t>
            </w:r>
            <w:r w:rsidRPr="00C83045">
              <w:rPr>
                <w:color w:val="000000"/>
                <w:lang w:val="sk-SK"/>
              </w:rPr>
              <w:t>/d</w:t>
            </w:r>
            <w:r w:rsidR="004A46FC" w:rsidRPr="00C83045">
              <w:rPr>
                <w:color w:val="000000"/>
                <w:lang w:val="sk-SK"/>
              </w:rPr>
              <w:t>eň</w:t>
            </w:r>
            <w:r w:rsidRPr="00C83045">
              <w:rPr>
                <w:color w:val="000000"/>
                <w:lang w:val="sk-SK"/>
              </w:rPr>
              <w:t xml:space="preserve">, </w:t>
            </w:r>
            <w:r w:rsidR="004A46FC" w:rsidRPr="00C83045">
              <w:rPr>
                <w:color w:val="000000"/>
                <w:lang w:val="sk-SK"/>
              </w:rPr>
              <w:t>p.o.</w:t>
            </w:r>
            <w:r w:rsidRPr="00C83045">
              <w:rPr>
                <w:color w:val="000000"/>
                <w:lang w:val="sk-SK"/>
              </w:rPr>
              <w:t>): d</w:t>
            </w:r>
            <w:r w:rsidR="004A46FC" w:rsidRPr="00C83045">
              <w:rPr>
                <w:color w:val="000000"/>
                <w:lang w:val="sk-SK"/>
              </w:rPr>
              <w:t>ni</w:t>
            </w:r>
            <w:r w:rsidRPr="00C83045">
              <w:rPr>
                <w:color w:val="000000"/>
                <w:lang w:val="sk-SK"/>
              </w:rPr>
              <w:t> 8-28</w:t>
            </w:r>
          </w:p>
          <w:p w14:paraId="32367F78" w14:textId="77777777" w:rsidR="00F31B44" w:rsidRPr="00C83045" w:rsidRDefault="00F31B44" w:rsidP="00D4304B">
            <w:pPr>
              <w:pStyle w:val="EndnoteText"/>
              <w:widowControl w:val="0"/>
              <w:rPr>
                <w:color w:val="000000"/>
                <w:lang w:val="sk-SK"/>
              </w:rPr>
            </w:pPr>
            <w:r w:rsidRPr="00C83045">
              <w:rPr>
                <w:color w:val="000000"/>
                <w:lang w:val="sk-SK"/>
              </w:rPr>
              <w:t>Metotrex</w:t>
            </w:r>
            <w:r w:rsidR="004A46FC" w:rsidRPr="00C83045">
              <w:rPr>
                <w:color w:val="000000"/>
                <w:lang w:val="sk-SK"/>
              </w:rPr>
              <w:t>á</w:t>
            </w:r>
            <w:r w:rsidRPr="00C83045">
              <w:rPr>
                <w:color w:val="000000"/>
                <w:lang w:val="sk-SK"/>
              </w:rPr>
              <w:t>t (20 mg/m</w:t>
            </w:r>
            <w:r w:rsidRPr="00C83045">
              <w:rPr>
                <w:color w:val="000000"/>
                <w:vertAlign w:val="superscript"/>
                <w:lang w:val="sk-SK"/>
              </w:rPr>
              <w:t>2</w:t>
            </w:r>
            <w:r w:rsidRPr="00C83045">
              <w:rPr>
                <w:color w:val="000000"/>
                <w:lang w:val="sk-SK"/>
              </w:rPr>
              <w:t>/</w:t>
            </w:r>
            <w:r w:rsidR="004A46FC" w:rsidRPr="00C83045">
              <w:rPr>
                <w:color w:val="000000"/>
                <w:lang w:val="sk-SK"/>
              </w:rPr>
              <w:t>týždeň</w:t>
            </w:r>
            <w:r w:rsidRPr="00C83045">
              <w:rPr>
                <w:color w:val="000000"/>
                <w:lang w:val="sk-SK"/>
              </w:rPr>
              <w:t xml:space="preserve">, </w:t>
            </w:r>
            <w:r w:rsidR="004A46FC" w:rsidRPr="00C83045">
              <w:rPr>
                <w:color w:val="000000"/>
                <w:lang w:val="sk-SK"/>
              </w:rPr>
              <w:t>p.o.</w:t>
            </w:r>
            <w:r w:rsidRPr="00C83045">
              <w:rPr>
                <w:color w:val="000000"/>
                <w:lang w:val="sk-SK"/>
              </w:rPr>
              <w:t>): d</w:t>
            </w:r>
            <w:r w:rsidR="004A46FC" w:rsidRPr="00C83045">
              <w:rPr>
                <w:color w:val="000000"/>
                <w:lang w:val="sk-SK"/>
              </w:rPr>
              <w:t>ni</w:t>
            </w:r>
            <w:r w:rsidRPr="00C83045">
              <w:rPr>
                <w:color w:val="000000"/>
                <w:lang w:val="sk-SK"/>
              </w:rPr>
              <w:t> 8, 15, 22</w:t>
            </w:r>
          </w:p>
          <w:p w14:paraId="32367F79" w14:textId="77777777" w:rsidR="00F31B44" w:rsidRPr="00C83045" w:rsidRDefault="00F31B44" w:rsidP="00D4304B">
            <w:pPr>
              <w:pStyle w:val="EndnoteText"/>
              <w:widowControl w:val="0"/>
              <w:rPr>
                <w:color w:val="000000"/>
                <w:lang w:val="sk-SK"/>
              </w:rPr>
            </w:pPr>
            <w:r w:rsidRPr="00C83045">
              <w:rPr>
                <w:color w:val="000000"/>
                <w:lang w:val="sk-SK"/>
              </w:rPr>
              <w:t>VP-16 (100 mg/m</w:t>
            </w:r>
            <w:r w:rsidRPr="00C83045">
              <w:rPr>
                <w:color w:val="000000"/>
                <w:vertAlign w:val="superscript"/>
                <w:lang w:val="sk-SK"/>
              </w:rPr>
              <w:t>2</w:t>
            </w:r>
            <w:r w:rsidRPr="00C83045">
              <w:rPr>
                <w:color w:val="000000"/>
                <w:lang w:val="sk-SK"/>
              </w:rPr>
              <w:t xml:space="preserve">, </w:t>
            </w:r>
            <w:r w:rsidR="007D3DA7" w:rsidRPr="00C83045">
              <w:rPr>
                <w:color w:val="000000"/>
                <w:lang w:val="sk-SK"/>
              </w:rPr>
              <w:t>i.v.)</w:t>
            </w:r>
            <w:r w:rsidRPr="00C83045">
              <w:rPr>
                <w:color w:val="000000"/>
                <w:lang w:val="sk-SK"/>
              </w:rPr>
              <w:t>: d</w:t>
            </w:r>
            <w:r w:rsidR="007D3DA7" w:rsidRPr="00C83045">
              <w:rPr>
                <w:color w:val="000000"/>
                <w:lang w:val="sk-SK"/>
              </w:rPr>
              <w:t>ni</w:t>
            </w:r>
            <w:r w:rsidRPr="00C83045">
              <w:rPr>
                <w:color w:val="000000"/>
                <w:lang w:val="sk-SK"/>
              </w:rPr>
              <w:t> 29</w:t>
            </w:r>
            <w:r w:rsidRPr="00C83045">
              <w:rPr>
                <w:color w:val="000000"/>
                <w:lang w:val="sk-SK"/>
              </w:rPr>
              <w:noBreakHyphen/>
              <w:t>33</w:t>
            </w:r>
          </w:p>
          <w:p w14:paraId="32367F7A" w14:textId="77777777" w:rsidR="00F31B44" w:rsidRPr="00C83045" w:rsidRDefault="00F31B44" w:rsidP="00D4304B">
            <w:pPr>
              <w:pStyle w:val="EndnoteText"/>
              <w:widowControl w:val="0"/>
              <w:rPr>
                <w:color w:val="000000"/>
                <w:lang w:val="sk-SK"/>
              </w:rPr>
            </w:pPr>
            <w:r w:rsidRPr="00C83045">
              <w:rPr>
                <w:color w:val="000000"/>
                <w:lang w:val="sk-SK"/>
              </w:rPr>
              <w:t>CPM (300 mg/m</w:t>
            </w:r>
            <w:r w:rsidRPr="00C83045">
              <w:rPr>
                <w:color w:val="000000"/>
                <w:vertAlign w:val="superscript"/>
                <w:lang w:val="sk-SK"/>
              </w:rPr>
              <w:t>2</w:t>
            </w:r>
            <w:r w:rsidRPr="00C83045">
              <w:rPr>
                <w:color w:val="000000"/>
                <w:lang w:val="sk-SK"/>
              </w:rPr>
              <w:t xml:space="preserve">, </w:t>
            </w:r>
            <w:r w:rsidR="007D3DA7" w:rsidRPr="00C83045">
              <w:rPr>
                <w:color w:val="000000"/>
                <w:lang w:val="sk-SK"/>
              </w:rPr>
              <w:t>i.v.)</w:t>
            </w:r>
            <w:r w:rsidRPr="00C83045">
              <w:rPr>
                <w:color w:val="000000"/>
                <w:lang w:val="sk-SK"/>
              </w:rPr>
              <w:t>: d</w:t>
            </w:r>
            <w:r w:rsidR="007D3DA7" w:rsidRPr="00C83045">
              <w:rPr>
                <w:color w:val="000000"/>
                <w:lang w:val="sk-SK"/>
              </w:rPr>
              <w:t>ni</w:t>
            </w:r>
            <w:r w:rsidRPr="00C83045">
              <w:rPr>
                <w:color w:val="000000"/>
                <w:lang w:val="sk-SK"/>
              </w:rPr>
              <w:t> 29</w:t>
            </w:r>
            <w:r w:rsidRPr="00C83045">
              <w:rPr>
                <w:color w:val="000000"/>
                <w:lang w:val="sk-SK"/>
              </w:rPr>
              <w:noBreakHyphen/>
              <w:t>33</w:t>
            </w:r>
          </w:p>
          <w:p w14:paraId="32367F7B" w14:textId="77777777" w:rsidR="00F31B44" w:rsidRPr="00C83045" w:rsidRDefault="00F31B44" w:rsidP="00D4304B">
            <w:pPr>
              <w:pStyle w:val="EndnoteText"/>
              <w:widowControl w:val="0"/>
              <w:rPr>
                <w:color w:val="000000"/>
                <w:lang w:val="sk-SK"/>
              </w:rPr>
            </w:pPr>
            <w:r w:rsidRPr="00C83045">
              <w:rPr>
                <w:color w:val="000000"/>
                <w:lang w:val="sk-SK"/>
              </w:rPr>
              <w:t>M</w:t>
            </w:r>
            <w:r w:rsidR="00F03B44" w:rsidRPr="00C83045">
              <w:rPr>
                <w:color w:val="000000"/>
                <w:lang w:val="sk-SK"/>
              </w:rPr>
              <w:t>ESNA</w:t>
            </w:r>
            <w:r w:rsidRPr="00C83045">
              <w:rPr>
                <w:color w:val="000000"/>
                <w:lang w:val="sk-SK"/>
              </w:rPr>
              <w:t xml:space="preserve"> </w:t>
            </w:r>
            <w:r w:rsidR="007D3DA7" w:rsidRPr="00C83045">
              <w:rPr>
                <w:color w:val="000000"/>
                <w:lang w:val="sk-SK"/>
              </w:rPr>
              <w:t xml:space="preserve">i.v. </w:t>
            </w:r>
            <w:r w:rsidRPr="00C83045">
              <w:rPr>
                <w:color w:val="000000"/>
                <w:lang w:val="sk-SK"/>
              </w:rPr>
              <w:t>d</w:t>
            </w:r>
            <w:r w:rsidR="007D3DA7" w:rsidRPr="00C83045">
              <w:rPr>
                <w:color w:val="000000"/>
                <w:lang w:val="sk-SK"/>
              </w:rPr>
              <w:t>ni</w:t>
            </w:r>
            <w:r w:rsidRPr="00C83045">
              <w:rPr>
                <w:color w:val="000000"/>
                <w:lang w:val="sk-SK"/>
              </w:rPr>
              <w:t> 29</w:t>
            </w:r>
            <w:r w:rsidRPr="00C83045">
              <w:rPr>
                <w:color w:val="000000"/>
                <w:lang w:val="sk-SK"/>
              </w:rPr>
              <w:noBreakHyphen/>
              <w:t>33</w:t>
            </w:r>
          </w:p>
          <w:p w14:paraId="32367F7C" w14:textId="77777777" w:rsidR="00F31B44" w:rsidRPr="00C83045" w:rsidRDefault="007D3DA7" w:rsidP="00D4304B">
            <w:pPr>
              <w:pStyle w:val="EndnoteText"/>
              <w:widowControl w:val="0"/>
              <w:rPr>
                <w:color w:val="000000"/>
                <w:lang w:val="sk-SK"/>
              </w:rPr>
            </w:pPr>
            <w:r w:rsidRPr="00C83045">
              <w:rPr>
                <w:color w:val="000000"/>
                <w:lang w:val="sk-SK"/>
              </w:rPr>
              <w:t>G-CSF (5 μg/kg, s.c.)</w:t>
            </w:r>
            <w:r w:rsidR="00F31B44" w:rsidRPr="00C83045">
              <w:rPr>
                <w:color w:val="000000"/>
                <w:lang w:val="sk-SK"/>
              </w:rPr>
              <w:t>: d</w:t>
            </w:r>
            <w:r w:rsidRPr="00C83045">
              <w:rPr>
                <w:color w:val="000000"/>
                <w:lang w:val="sk-SK"/>
              </w:rPr>
              <w:t>ni</w:t>
            </w:r>
            <w:r w:rsidR="00F31B44" w:rsidRPr="00C83045">
              <w:rPr>
                <w:color w:val="000000"/>
                <w:lang w:val="sk-SK"/>
              </w:rPr>
              <w:t> 34</w:t>
            </w:r>
            <w:r w:rsidR="00F31B44" w:rsidRPr="00C83045">
              <w:rPr>
                <w:color w:val="000000"/>
                <w:lang w:val="sk-SK"/>
              </w:rPr>
              <w:noBreakHyphen/>
              <w:t>43</w:t>
            </w:r>
          </w:p>
        </w:tc>
      </w:tr>
      <w:tr w:rsidR="00F31B44" w:rsidRPr="00C83045" w14:paraId="32367F88" w14:textId="77777777" w:rsidTr="00BE6051">
        <w:trPr>
          <w:cantSplit/>
        </w:trPr>
        <w:tc>
          <w:tcPr>
            <w:tcW w:w="2358" w:type="dxa"/>
            <w:tcBorders>
              <w:top w:val="single" w:sz="4" w:space="0" w:color="auto"/>
              <w:left w:val="single" w:sz="4" w:space="0" w:color="auto"/>
              <w:bottom w:val="single" w:sz="4" w:space="0" w:color="auto"/>
              <w:right w:val="single" w:sz="4" w:space="0" w:color="auto"/>
            </w:tcBorders>
            <w:hideMark/>
          </w:tcPr>
          <w:p w14:paraId="32367F7E" w14:textId="77777777" w:rsidR="00C43F0D" w:rsidRPr="00C83045" w:rsidRDefault="00C43F0D" w:rsidP="00D4304B">
            <w:pPr>
              <w:pStyle w:val="EndnoteText"/>
              <w:widowControl w:val="0"/>
              <w:rPr>
                <w:color w:val="000000"/>
                <w:lang w:val="sk-SK"/>
              </w:rPr>
            </w:pPr>
            <w:r w:rsidRPr="00C83045">
              <w:rPr>
                <w:color w:val="000000"/>
                <w:lang w:val="sk-SK"/>
              </w:rPr>
              <w:t>Udržiavacia liečba</w:t>
            </w:r>
          </w:p>
          <w:p w14:paraId="32367F7F" w14:textId="77777777" w:rsidR="00C43F0D" w:rsidRPr="00C83045" w:rsidRDefault="00C43F0D" w:rsidP="00D4304B">
            <w:pPr>
              <w:pStyle w:val="EndnoteText"/>
              <w:widowControl w:val="0"/>
              <w:rPr>
                <w:color w:val="000000"/>
                <w:lang w:val="sk-SK"/>
              </w:rPr>
            </w:pPr>
            <w:r w:rsidRPr="00C83045">
              <w:rPr>
                <w:color w:val="000000"/>
                <w:lang w:val="sk-SK"/>
              </w:rPr>
              <w:t>(8-týždňové cykly)</w:t>
            </w:r>
          </w:p>
          <w:p w14:paraId="32367F80" w14:textId="77777777" w:rsidR="00F31B44" w:rsidRPr="00C83045" w:rsidRDefault="00C43F0D" w:rsidP="00D4304B">
            <w:pPr>
              <w:pStyle w:val="EndnoteText"/>
              <w:widowControl w:val="0"/>
              <w:rPr>
                <w:color w:val="000000"/>
                <w:lang w:val="sk-SK"/>
              </w:rPr>
            </w:pPr>
            <w:r w:rsidRPr="00C83045">
              <w:rPr>
                <w:color w:val="000000"/>
                <w:lang w:val="sk-SK"/>
              </w:rPr>
              <w:t>Cyklus 5</w:t>
            </w:r>
          </w:p>
        </w:tc>
        <w:tc>
          <w:tcPr>
            <w:tcW w:w="6929" w:type="dxa"/>
            <w:tcBorders>
              <w:top w:val="single" w:sz="4" w:space="0" w:color="auto"/>
              <w:left w:val="single" w:sz="4" w:space="0" w:color="auto"/>
              <w:bottom w:val="single" w:sz="4" w:space="0" w:color="auto"/>
              <w:right w:val="single" w:sz="4" w:space="0" w:color="auto"/>
            </w:tcBorders>
            <w:hideMark/>
          </w:tcPr>
          <w:p w14:paraId="32367F81" w14:textId="77777777" w:rsidR="00F31B44" w:rsidRPr="00C83045" w:rsidRDefault="00AE6C51" w:rsidP="00D4304B">
            <w:pPr>
              <w:pStyle w:val="EndnoteText"/>
              <w:widowControl w:val="0"/>
              <w:rPr>
                <w:color w:val="000000"/>
                <w:lang w:val="sk-SK"/>
              </w:rPr>
            </w:pPr>
            <w:r w:rsidRPr="00C83045">
              <w:rPr>
                <w:color w:val="000000"/>
                <w:lang w:val="sk-SK"/>
              </w:rPr>
              <w:t>K</w:t>
            </w:r>
            <w:r w:rsidR="00F31B44" w:rsidRPr="00C83045">
              <w:rPr>
                <w:color w:val="000000"/>
                <w:lang w:val="sk-SK"/>
              </w:rPr>
              <w:t>rani</w:t>
            </w:r>
            <w:r w:rsidRPr="00C83045">
              <w:rPr>
                <w:color w:val="000000"/>
                <w:lang w:val="sk-SK"/>
              </w:rPr>
              <w:t>álne ožarovanie</w:t>
            </w:r>
            <w:r w:rsidR="00F31B44" w:rsidRPr="00C83045">
              <w:rPr>
                <w:color w:val="000000"/>
                <w:lang w:val="sk-SK"/>
              </w:rPr>
              <w:t xml:space="preserve"> (</w:t>
            </w:r>
            <w:r w:rsidRPr="00C83045">
              <w:rPr>
                <w:color w:val="000000"/>
                <w:lang w:val="sk-SK"/>
              </w:rPr>
              <w:t>iba b</w:t>
            </w:r>
            <w:r w:rsidR="00F31B44" w:rsidRPr="00C83045">
              <w:rPr>
                <w:color w:val="000000"/>
                <w:lang w:val="sk-SK"/>
              </w:rPr>
              <w:t>lok 5)</w:t>
            </w:r>
          </w:p>
          <w:p w14:paraId="32367F82" w14:textId="77777777" w:rsidR="00F31B44" w:rsidRPr="00C83045" w:rsidRDefault="00F31B44" w:rsidP="00D4304B">
            <w:pPr>
              <w:pStyle w:val="EndnoteText"/>
              <w:widowControl w:val="0"/>
              <w:rPr>
                <w:color w:val="000000"/>
                <w:lang w:val="sk-SK"/>
              </w:rPr>
            </w:pPr>
            <w:r w:rsidRPr="00C83045">
              <w:rPr>
                <w:color w:val="000000"/>
                <w:lang w:val="sk-SK"/>
              </w:rPr>
              <w:t>12 Gy</w:t>
            </w:r>
            <w:r w:rsidR="00AE6C51" w:rsidRPr="00C83045">
              <w:rPr>
                <w:color w:val="000000"/>
                <w:lang w:val="sk-SK"/>
              </w:rPr>
              <w:t xml:space="preserve"> v</w:t>
            </w:r>
            <w:r w:rsidRPr="00C83045">
              <w:rPr>
                <w:color w:val="000000"/>
                <w:lang w:val="sk-SK"/>
              </w:rPr>
              <w:t xml:space="preserve"> 8 fra</w:t>
            </w:r>
            <w:r w:rsidR="00AE6C51" w:rsidRPr="00C83045">
              <w:rPr>
                <w:color w:val="000000"/>
                <w:lang w:val="sk-SK"/>
              </w:rPr>
              <w:t>kciách pre všetkých pacientov, ktorí sú</w:t>
            </w:r>
            <w:r w:rsidRPr="00C83045">
              <w:rPr>
                <w:color w:val="000000"/>
                <w:lang w:val="sk-SK"/>
              </w:rPr>
              <w:t xml:space="preserve"> </w:t>
            </w:r>
            <w:r w:rsidR="00AE6C51" w:rsidRPr="00C83045">
              <w:rPr>
                <w:color w:val="000000"/>
                <w:lang w:val="sk-SK"/>
              </w:rPr>
              <w:t>počas diag</w:t>
            </w:r>
            <w:r w:rsidR="00013D15" w:rsidRPr="00C83045">
              <w:rPr>
                <w:color w:val="000000"/>
                <w:lang w:val="sk-SK"/>
              </w:rPr>
              <w:t>n</w:t>
            </w:r>
            <w:r w:rsidR="00AE6C51" w:rsidRPr="00C83045">
              <w:rPr>
                <w:color w:val="000000"/>
                <w:lang w:val="sk-SK"/>
              </w:rPr>
              <w:t xml:space="preserve">ózy </w:t>
            </w:r>
            <w:r w:rsidRPr="00C83045">
              <w:rPr>
                <w:color w:val="000000"/>
                <w:lang w:val="sk-SK"/>
              </w:rPr>
              <w:t>CNS1 a CNS2</w:t>
            </w:r>
          </w:p>
          <w:p w14:paraId="32367F83" w14:textId="77777777" w:rsidR="00F31B44" w:rsidRPr="00C83045" w:rsidRDefault="00F31B44" w:rsidP="00D4304B">
            <w:pPr>
              <w:pStyle w:val="EndnoteText"/>
              <w:widowControl w:val="0"/>
              <w:rPr>
                <w:color w:val="000000"/>
                <w:lang w:val="sk-SK"/>
              </w:rPr>
            </w:pPr>
            <w:r w:rsidRPr="00C83045">
              <w:rPr>
                <w:color w:val="000000"/>
                <w:lang w:val="sk-SK"/>
              </w:rPr>
              <w:t xml:space="preserve">18 Gy </w:t>
            </w:r>
            <w:r w:rsidR="00AE6C51" w:rsidRPr="00C83045">
              <w:rPr>
                <w:color w:val="000000"/>
                <w:lang w:val="sk-SK"/>
              </w:rPr>
              <w:t>v</w:t>
            </w:r>
            <w:r w:rsidRPr="00C83045">
              <w:rPr>
                <w:color w:val="000000"/>
                <w:lang w:val="sk-SK"/>
              </w:rPr>
              <w:t xml:space="preserve"> 10 fra</w:t>
            </w:r>
            <w:r w:rsidR="00AE6C51" w:rsidRPr="00C83045">
              <w:rPr>
                <w:color w:val="000000"/>
                <w:lang w:val="sk-SK"/>
              </w:rPr>
              <w:t>k</w:t>
            </w:r>
            <w:r w:rsidRPr="00C83045">
              <w:rPr>
                <w:color w:val="000000"/>
                <w:lang w:val="sk-SK"/>
              </w:rPr>
              <w:t>ci</w:t>
            </w:r>
            <w:r w:rsidR="00AE6C51" w:rsidRPr="00C83045">
              <w:rPr>
                <w:color w:val="000000"/>
                <w:lang w:val="sk-SK"/>
              </w:rPr>
              <w:t>ách</w:t>
            </w:r>
            <w:r w:rsidRPr="00C83045">
              <w:rPr>
                <w:color w:val="000000"/>
                <w:lang w:val="sk-SK"/>
              </w:rPr>
              <w:t xml:space="preserve"> </w:t>
            </w:r>
            <w:r w:rsidR="00AE6C51" w:rsidRPr="00C83045">
              <w:rPr>
                <w:color w:val="000000"/>
                <w:lang w:val="sk-SK"/>
              </w:rPr>
              <w:t>pre pacientov, ktorí sú počas diag</w:t>
            </w:r>
            <w:r w:rsidR="00013D15" w:rsidRPr="00C83045">
              <w:rPr>
                <w:color w:val="000000"/>
                <w:lang w:val="sk-SK"/>
              </w:rPr>
              <w:t>n</w:t>
            </w:r>
            <w:r w:rsidR="00AE6C51" w:rsidRPr="00C83045">
              <w:rPr>
                <w:color w:val="000000"/>
                <w:lang w:val="sk-SK"/>
              </w:rPr>
              <w:t>ózy CNS3</w:t>
            </w:r>
          </w:p>
          <w:p w14:paraId="32367F84" w14:textId="77777777" w:rsidR="00F31B44" w:rsidRPr="00C83045" w:rsidRDefault="00F31B44" w:rsidP="00D4304B">
            <w:pPr>
              <w:pStyle w:val="EndnoteText"/>
              <w:widowControl w:val="0"/>
              <w:rPr>
                <w:color w:val="000000"/>
                <w:lang w:val="sk-SK"/>
              </w:rPr>
            </w:pPr>
            <w:r w:rsidRPr="00C83045">
              <w:rPr>
                <w:color w:val="000000"/>
                <w:lang w:val="sk-SK"/>
              </w:rPr>
              <w:t>VCR (1.5 mg/m</w:t>
            </w:r>
            <w:r w:rsidRPr="00C83045">
              <w:rPr>
                <w:color w:val="000000"/>
                <w:vertAlign w:val="superscript"/>
                <w:lang w:val="sk-SK"/>
              </w:rPr>
              <w:t>2</w:t>
            </w:r>
            <w:r w:rsidRPr="00C83045">
              <w:rPr>
                <w:color w:val="000000"/>
                <w:lang w:val="sk-SK"/>
              </w:rPr>
              <w:t>/d</w:t>
            </w:r>
            <w:r w:rsidR="00AE6C51" w:rsidRPr="00C83045">
              <w:rPr>
                <w:color w:val="000000"/>
                <w:lang w:val="sk-SK"/>
              </w:rPr>
              <w:t>eň</w:t>
            </w:r>
            <w:r w:rsidRPr="00C83045">
              <w:rPr>
                <w:color w:val="000000"/>
                <w:lang w:val="sk-SK"/>
              </w:rPr>
              <w:t xml:space="preserve">, </w:t>
            </w:r>
            <w:r w:rsidR="00AE6C51" w:rsidRPr="00C83045">
              <w:rPr>
                <w:color w:val="000000"/>
                <w:lang w:val="sk-SK"/>
              </w:rPr>
              <w:t>i.v.</w:t>
            </w:r>
            <w:r w:rsidRPr="00C83045">
              <w:rPr>
                <w:color w:val="000000"/>
                <w:lang w:val="sk-SK"/>
              </w:rPr>
              <w:t>): d</w:t>
            </w:r>
            <w:r w:rsidR="00AE6C51" w:rsidRPr="00C83045">
              <w:rPr>
                <w:color w:val="000000"/>
                <w:lang w:val="sk-SK"/>
              </w:rPr>
              <w:t>ni</w:t>
            </w:r>
            <w:r w:rsidRPr="00C83045">
              <w:rPr>
                <w:color w:val="000000"/>
                <w:lang w:val="sk-SK"/>
              </w:rPr>
              <w:t> 1, 29</w:t>
            </w:r>
          </w:p>
          <w:p w14:paraId="32367F85" w14:textId="77777777" w:rsidR="00F31B44" w:rsidRPr="00C83045" w:rsidRDefault="00F31B44" w:rsidP="00D4304B">
            <w:pPr>
              <w:pStyle w:val="EndnoteText"/>
              <w:widowControl w:val="0"/>
              <w:rPr>
                <w:color w:val="000000"/>
                <w:lang w:val="sk-SK"/>
              </w:rPr>
            </w:pPr>
            <w:r w:rsidRPr="00C83045">
              <w:rPr>
                <w:color w:val="000000"/>
                <w:lang w:val="sk-SK"/>
              </w:rPr>
              <w:t>DEX (6 mg/m</w:t>
            </w:r>
            <w:r w:rsidRPr="00C83045">
              <w:rPr>
                <w:color w:val="000000"/>
                <w:vertAlign w:val="superscript"/>
                <w:lang w:val="sk-SK"/>
              </w:rPr>
              <w:t>2</w:t>
            </w:r>
            <w:r w:rsidRPr="00C83045">
              <w:rPr>
                <w:color w:val="000000"/>
                <w:lang w:val="sk-SK"/>
              </w:rPr>
              <w:t>/d</w:t>
            </w:r>
            <w:r w:rsidR="00AE6C51" w:rsidRPr="00C83045">
              <w:rPr>
                <w:color w:val="000000"/>
                <w:lang w:val="sk-SK"/>
              </w:rPr>
              <w:t>eň, p.o.)</w:t>
            </w:r>
            <w:r w:rsidRPr="00C83045">
              <w:rPr>
                <w:color w:val="000000"/>
                <w:lang w:val="sk-SK"/>
              </w:rPr>
              <w:t>: d</w:t>
            </w:r>
            <w:r w:rsidR="00AE6C51" w:rsidRPr="00C83045">
              <w:rPr>
                <w:color w:val="000000"/>
                <w:lang w:val="sk-SK"/>
              </w:rPr>
              <w:t>ni</w:t>
            </w:r>
            <w:r w:rsidRPr="00C83045">
              <w:rPr>
                <w:color w:val="000000"/>
                <w:lang w:val="sk-SK"/>
              </w:rPr>
              <w:t> 1</w:t>
            </w:r>
            <w:r w:rsidRPr="00C83045">
              <w:rPr>
                <w:color w:val="000000"/>
                <w:lang w:val="sk-SK"/>
              </w:rPr>
              <w:noBreakHyphen/>
              <w:t>5; 29</w:t>
            </w:r>
            <w:r w:rsidRPr="00C83045">
              <w:rPr>
                <w:color w:val="000000"/>
                <w:lang w:val="sk-SK"/>
              </w:rPr>
              <w:noBreakHyphen/>
              <w:t>33</w:t>
            </w:r>
          </w:p>
          <w:p w14:paraId="32367F86" w14:textId="77777777" w:rsidR="00F31B44" w:rsidRPr="00C83045" w:rsidRDefault="00F31B44" w:rsidP="00D4304B">
            <w:pPr>
              <w:pStyle w:val="EndnoteText"/>
              <w:widowControl w:val="0"/>
              <w:rPr>
                <w:color w:val="000000"/>
                <w:lang w:val="sk-SK"/>
              </w:rPr>
            </w:pPr>
            <w:r w:rsidRPr="00C83045">
              <w:rPr>
                <w:color w:val="000000"/>
                <w:lang w:val="sk-SK"/>
              </w:rPr>
              <w:t>6-MP (75 mg/m</w:t>
            </w:r>
            <w:r w:rsidRPr="00C83045">
              <w:rPr>
                <w:color w:val="000000"/>
                <w:vertAlign w:val="superscript"/>
                <w:lang w:val="sk-SK"/>
              </w:rPr>
              <w:t>2</w:t>
            </w:r>
            <w:r w:rsidRPr="00C83045">
              <w:rPr>
                <w:color w:val="000000"/>
                <w:lang w:val="sk-SK"/>
              </w:rPr>
              <w:t>/d</w:t>
            </w:r>
            <w:r w:rsidR="005579FD" w:rsidRPr="00C83045">
              <w:rPr>
                <w:color w:val="000000"/>
                <w:lang w:val="sk-SK"/>
              </w:rPr>
              <w:t>eň</w:t>
            </w:r>
            <w:r w:rsidRPr="00C83045">
              <w:rPr>
                <w:color w:val="000000"/>
                <w:lang w:val="sk-SK"/>
              </w:rPr>
              <w:t xml:space="preserve">, </w:t>
            </w:r>
            <w:r w:rsidR="005579FD" w:rsidRPr="00C83045">
              <w:rPr>
                <w:color w:val="000000"/>
                <w:lang w:val="sk-SK"/>
              </w:rPr>
              <w:t>p.o.</w:t>
            </w:r>
            <w:r w:rsidRPr="00C83045">
              <w:rPr>
                <w:color w:val="000000"/>
                <w:lang w:val="sk-SK"/>
              </w:rPr>
              <w:t>): d</w:t>
            </w:r>
            <w:r w:rsidR="005579FD" w:rsidRPr="00C83045">
              <w:rPr>
                <w:color w:val="000000"/>
                <w:lang w:val="sk-SK"/>
              </w:rPr>
              <w:t>ni</w:t>
            </w:r>
            <w:r w:rsidRPr="00C83045">
              <w:rPr>
                <w:color w:val="000000"/>
                <w:lang w:val="sk-SK"/>
              </w:rPr>
              <w:t> 11</w:t>
            </w:r>
            <w:r w:rsidRPr="00C83045">
              <w:rPr>
                <w:color w:val="000000"/>
                <w:lang w:val="sk-SK"/>
              </w:rPr>
              <w:noBreakHyphen/>
              <w:t xml:space="preserve">56 (6-MP </w:t>
            </w:r>
            <w:r w:rsidR="005579FD" w:rsidRPr="00C83045">
              <w:rPr>
                <w:color w:val="000000"/>
                <w:lang w:val="sk-SK"/>
              </w:rPr>
              <w:t>vysadiť počas</w:t>
            </w:r>
            <w:r w:rsidRPr="00C83045">
              <w:rPr>
                <w:color w:val="000000"/>
                <w:lang w:val="sk-SK"/>
              </w:rPr>
              <w:t xml:space="preserve"> 6</w:t>
            </w:r>
            <w:r w:rsidRPr="00C83045">
              <w:rPr>
                <w:color w:val="000000"/>
                <w:lang w:val="sk-SK"/>
              </w:rPr>
              <w:noBreakHyphen/>
              <w:t>10 d</w:t>
            </w:r>
            <w:r w:rsidR="005579FD" w:rsidRPr="00C83045">
              <w:rPr>
                <w:color w:val="000000"/>
                <w:lang w:val="sk-SK"/>
              </w:rPr>
              <w:t xml:space="preserve">ňa kraniálneho ožarovania, </w:t>
            </w:r>
            <w:r w:rsidR="009A1AF9" w:rsidRPr="00C83045">
              <w:rPr>
                <w:color w:val="000000"/>
                <w:lang w:val="sk-SK"/>
              </w:rPr>
              <w:t>a</w:t>
            </w:r>
            <w:r w:rsidR="005579FD" w:rsidRPr="00C83045">
              <w:rPr>
                <w:color w:val="000000"/>
                <w:lang w:val="sk-SK"/>
              </w:rPr>
              <w:t xml:space="preserve"> to na 1.deň v 5.cykle</w:t>
            </w:r>
            <w:r w:rsidRPr="00C83045">
              <w:rPr>
                <w:color w:val="000000"/>
                <w:lang w:val="sk-SK"/>
              </w:rPr>
              <w:t xml:space="preserve">. 6-MP </w:t>
            </w:r>
            <w:r w:rsidR="005579FD" w:rsidRPr="00C83045">
              <w:rPr>
                <w:color w:val="000000"/>
                <w:lang w:val="sk-SK"/>
              </w:rPr>
              <w:t>opäť nasadiť 1. deň po ukončení kraniálneho ožarovania</w:t>
            </w:r>
            <w:r w:rsidRPr="00C83045">
              <w:rPr>
                <w:color w:val="000000"/>
                <w:lang w:val="sk-SK"/>
              </w:rPr>
              <w:t>.)</w:t>
            </w:r>
          </w:p>
          <w:p w14:paraId="32367F87" w14:textId="77777777" w:rsidR="00F31B44" w:rsidRPr="00C83045" w:rsidRDefault="00F31B44" w:rsidP="00D4304B">
            <w:pPr>
              <w:pStyle w:val="EndnoteText"/>
              <w:widowControl w:val="0"/>
              <w:rPr>
                <w:color w:val="000000"/>
                <w:lang w:val="sk-SK"/>
              </w:rPr>
            </w:pPr>
            <w:r w:rsidRPr="00C83045">
              <w:rPr>
                <w:color w:val="000000"/>
                <w:lang w:val="sk-SK"/>
              </w:rPr>
              <w:t>Metotrex</w:t>
            </w:r>
            <w:r w:rsidR="009A1AF9" w:rsidRPr="00C83045">
              <w:rPr>
                <w:color w:val="000000"/>
                <w:lang w:val="sk-SK"/>
              </w:rPr>
              <w:t>á</w:t>
            </w:r>
            <w:r w:rsidRPr="00C83045">
              <w:rPr>
                <w:color w:val="000000"/>
                <w:lang w:val="sk-SK"/>
              </w:rPr>
              <w:t>t (20 mg/m</w:t>
            </w:r>
            <w:r w:rsidRPr="00C83045">
              <w:rPr>
                <w:color w:val="000000"/>
                <w:vertAlign w:val="superscript"/>
                <w:lang w:val="sk-SK"/>
              </w:rPr>
              <w:t>2</w:t>
            </w:r>
            <w:r w:rsidRPr="00C83045">
              <w:rPr>
                <w:color w:val="000000"/>
                <w:lang w:val="sk-SK"/>
              </w:rPr>
              <w:t>/</w:t>
            </w:r>
            <w:r w:rsidR="009A1AF9" w:rsidRPr="00C83045">
              <w:rPr>
                <w:color w:val="000000"/>
                <w:lang w:val="sk-SK"/>
              </w:rPr>
              <w:t>týždeň</w:t>
            </w:r>
            <w:r w:rsidRPr="00C83045">
              <w:rPr>
                <w:color w:val="000000"/>
                <w:lang w:val="sk-SK"/>
              </w:rPr>
              <w:t xml:space="preserve">, </w:t>
            </w:r>
            <w:r w:rsidR="009A1AF9" w:rsidRPr="00C83045">
              <w:rPr>
                <w:color w:val="000000"/>
                <w:lang w:val="sk-SK"/>
              </w:rPr>
              <w:t>p.o.)</w:t>
            </w:r>
            <w:r w:rsidRPr="00C83045">
              <w:rPr>
                <w:color w:val="000000"/>
                <w:lang w:val="sk-SK"/>
              </w:rPr>
              <w:t>: d</w:t>
            </w:r>
            <w:r w:rsidR="009A1AF9" w:rsidRPr="00C83045">
              <w:rPr>
                <w:color w:val="000000"/>
                <w:lang w:val="sk-SK"/>
              </w:rPr>
              <w:t>ni</w:t>
            </w:r>
            <w:r w:rsidRPr="00C83045">
              <w:rPr>
                <w:color w:val="000000"/>
                <w:lang w:val="sk-SK"/>
              </w:rPr>
              <w:t>  8, 15, 22, 29, 36, 43, 50</w:t>
            </w:r>
          </w:p>
        </w:tc>
      </w:tr>
      <w:tr w:rsidR="00F31B44" w:rsidRPr="00C83045" w14:paraId="32367F90" w14:textId="77777777" w:rsidTr="00BE6051">
        <w:trPr>
          <w:cantSplit/>
        </w:trPr>
        <w:tc>
          <w:tcPr>
            <w:tcW w:w="2358" w:type="dxa"/>
            <w:tcBorders>
              <w:top w:val="single" w:sz="4" w:space="0" w:color="auto"/>
              <w:left w:val="single" w:sz="4" w:space="0" w:color="auto"/>
              <w:bottom w:val="single" w:sz="4" w:space="0" w:color="auto"/>
              <w:right w:val="single" w:sz="4" w:space="0" w:color="auto"/>
            </w:tcBorders>
            <w:hideMark/>
          </w:tcPr>
          <w:p w14:paraId="32367F89" w14:textId="77777777" w:rsidR="002B2627" w:rsidRPr="00C83045" w:rsidRDefault="002B2627" w:rsidP="00D4304B">
            <w:pPr>
              <w:pStyle w:val="EndnoteText"/>
              <w:keepNext/>
              <w:keepLines/>
              <w:widowControl w:val="0"/>
              <w:rPr>
                <w:color w:val="000000"/>
                <w:lang w:val="sk-SK"/>
              </w:rPr>
            </w:pPr>
            <w:r w:rsidRPr="00C83045">
              <w:rPr>
                <w:color w:val="000000"/>
                <w:lang w:val="sk-SK"/>
              </w:rPr>
              <w:t>Udržiavacia liečba</w:t>
            </w:r>
          </w:p>
          <w:p w14:paraId="32367F8A" w14:textId="77777777" w:rsidR="002B2627" w:rsidRPr="00C83045" w:rsidRDefault="002B2627" w:rsidP="00D4304B">
            <w:pPr>
              <w:pStyle w:val="EndnoteText"/>
              <w:keepNext/>
              <w:keepLines/>
              <w:widowControl w:val="0"/>
              <w:rPr>
                <w:color w:val="000000"/>
                <w:lang w:val="sk-SK"/>
              </w:rPr>
            </w:pPr>
            <w:r w:rsidRPr="00C83045">
              <w:rPr>
                <w:color w:val="000000"/>
                <w:lang w:val="sk-SK"/>
              </w:rPr>
              <w:t>(8-týždňové cykly)</w:t>
            </w:r>
          </w:p>
          <w:p w14:paraId="32367F8B" w14:textId="77777777" w:rsidR="00F31B44" w:rsidRPr="00C83045" w:rsidRDefault="002B2627" w:rsidP="00D4304B">
            <w:pPr>
              <w:pStyle w:val="EndnoteText"/>
              <w:keepNext/>
              <w:keepLines/>
              <w:widowControl w:val="0"/>
              <w:rPr>
                <w:color w:val="000000"/>
                <w:lang w:val="sk-SK"/>
              </w:rPr>
            </w:pPr>
            <w:r w:rsidRPr="00C83045">
              <w:rPr>
                <w:color w:val="000000"/>
                <w:lang w:val="sk-SK"/>
              </w:rPr>
              <w:t>Cyklus 6-12</w:t>
            </w:r>
          </w:p>
        </w:tc>
        <w:tc>
          <w:tcPr>
            <w:tcW w:w="6929" w:type="dxa"/>
            <w:tcBorders>
              <w:top w:val="single" w:sz="4" w:space="0" w:color="auto"/>
              <w:left w:val="single" w:sz="4" w:space="0" w:color="auto"/>
              <w:bottom w:val="single" w:sz="4" w:space="0" w:color="auto"/>
              <w:right w:val="single" w:sz="4" w:space="0" w:color="auto"/>
            </w:tcBorders>
            <w:hideMark/>
          </w:tcPr>
          <w:p w14:paraId="32367F8C" w14:textId="77777777" w:rsidR="00F31B44" w:rsidRPr="00C83045" w:rsidRDefault="00F31B44" w:rsidP="00D4304B">
            <w:pPr>
              <w:pStyle w:val="EndnoteText"/>
              <w:keepNext/>
              <w:keepLines/>
              <w:widowControl w:val="0"/>
              <w:rPr>
                <w:color w:val="000000"/>
                <w:lang w:val="sk-SK"/>
              </w:rPr>
            </w:pPr>
            <w:r w:rsidRPr="00C83045">
              <w:rPr>
                <w:color w:val="000000"/>
                <w:lang w:val="sk-SK"/>
              </w:rPr>
              <w:t>VCR (1.5 mg/m</w:t>
            </w:r>
            <w:r w:rsidRPr="00C83045">
              <w:rPr>
                <w:color w:val="000000"/>
                <w:vertAlign w:val="superscript"/>
                <w:lang w:val="sk-SK"/>
              </w:rPr>
              <w:t>2</w:t>
            </w:r>
            <w:r w:rsidRPr="00C83045">
              <w:rPr>
                <w:color w:val="000000"/>
                <w:lang w:val="sk-SK"/>
              </w:rPr>
              <w:t>/d</w:t>
            </w:r>
            <w:r w:rsidR="009A1AF9" w:rsidRPr="00C83045">
              <w:rPr>
                <w:color w:val="000000"/>
                <w:lang w:val="sk-SK"/>
              </w:rPr>
              <w:t>eň</w:t>
            </w:r>
            <w:r w:rsidRPr="00C83045">
              <w:rPr>
                <w:color w:val="000000"/>
                <w:lang w:val="sk-SK"/>
              </w:rPr>
              <w:t xml:space="preserve">, </w:t>
            </w:r>
            <w:r w:rsidR="009A1AF9" w:rsidRPr="00C83045">
              <w:rPr>
                <w:color w:val="000000"/>
                <w:lang w:val="sk-SK"/>
              </w:rPr>
              <w:t>i.v.</w:t>
            </w:r>
            <w:r w:rsidRPr="00C83045">
              <w:rPr>
                <w:color w:val="000000"/>
                <w:lang w:val="sk-SK"/>
              </w:rPr>
              <w:t>): d</w:t>
            </w:r>
            <w:r w:rsidR="009A1AF9" w:rsidRPr="00C83045">
              <w:rPr>
                <w:color w:val="000000"/>
                <w:lang w:val="sk-SK"/>
              </w:rPr>
              <w:t>ni</w:t>
            </w:r>
            <w:r w:rsidRPr="00C83045">
              <w:rPr>
                <w:color w:val="000000"/>
                <w:lang w:val="sk-SK"/>
              </w:rPr>
              <w:t> 1, 29</w:t>
            </w:r>
          </w:p>
          <w:p w14:paraId="32367F8D" w14:textId="77777777" w:rsidR="00F31B44" w:rsidRPr="00C83045" w:rsidRDefault="00F31B44" w:rsidP="00D4304B">
            <w:pPr>
              <w:pStyle w:val="EndnoteText"/>
              <w:keepNext/>
              <w:keepLines/>
              <w:widowControl w:val="0"/>
              <w:rPr>
                <w:color w:val="000000"/>
                <w:lang w:val="sk-SK"/>
              </w:rPr>
            </w:pPr>
            <w:r w:rsidRPr="00C83045">
              <w:rPr>
                <w:color w:val="000000"/>
                <w:lang w:val="sk-SK"/>
              </w:rPr>
              <w:t>DEX (6 mg/m</w:t>
            </w:r>
            <w:r w:rsidRPr="00C83045">
              <w:rPr>
                <w:color w:val="000000"/>
                <w:vertAlign w:val="superscript"/>
                <w:lang w:val="sk-SK"/>
              </w:rPr>
              <w:t>2</w:t>
            </w:r>
            <w:r w:rsidRPr="00C83045">
              <w:rPr>
                <w:color w:val="000000"/>
                <w:lang w:val="sk-SK"/>
              </w:rPr>
              <w:t>/d</w:t>
            </w:r>
            <w:r w:rsidR="009A1AF9" w:rsidRPr="00C83045">
              <w:rPr>
                <w:color w:val="000000"/>
                <w:lang w:val="sk-SK"/>
              </w:rPr>
              <w:t>eň</w:t>
            </w:r>
            <w:r w:rsidRPr="00C83045">
              <w:rPr>
                <w:color w:val="000000"/>
                <w:lang w:val="sk-SK"/>
              </w:rPr>
              <w:t xml:space="preserve">, </w:t>
            </w:r>
            <w:r w:rsidR="009A1AF9" w:rsidRPr="00C83045">
              <w:rPr>
                <w:color w:val="000000"/>
                <w:lang w:val="sk-SK"/>
              </w:rPr>
              <w:t>p.o.</w:t>
            </w:r>
            <w:r w:rsidRPr="00C83045">
              <w:rPr>
                <w:color w:val="000000"/>
                <w:lang w:val="sk-SK"/>
              </w:rPr>
              <w:t>): d</w:t>
            </w:r>
            <w:r w:rsidR="009A1AF9" w:rsidRPr="00C83045">
              <w:rPr>
                <w:color w:val="000000"/>
                <w:lang w:val="sk-SK"/>
              </w:rPr>
              <w:t>ni</w:t>
            </w:r>
            <w:r w:rsidRPr="00C83045">
              <w:rPr>
                <w:color w:val="000000"/>
                <w:lang w:val="sk-SK"/>
              </w:rPr>
              <w:t> 1</w:t>
            </w:r>
            <w:r w:rsidRPr="00C83045">
              <w:rPr>
                <w:color w:val="000000"/>
                <w:lang w:val="sk-SK"/>
              </w:rPr>
              <w:noBreakHyphen/>
              <w:t>5; 29</w:t>
            </w:r>
            <w:r w:rsidRPr="00C83045">
              <w:rPr>
                <w:color w:val="000000"/>
                <w:lang w:val="sk-SK"/>
              </w:rPr>
              <w:noBreakHyphen/>
              <w:t>33</w:t>
            </w:r>
          </w:p>
          <w:p w14:paraId="32367F8E" w14:textId="77777777" w:rsidR="00F31B44" w:rsidRPr="00C83045" w:rsidRDefault="00F31B44" w:rsidP="00D4304B">
            <w:pPr>
              <w:pStyle w:val="EndnoteText"/>
              <w:keepNext/>
              <w:keepLines/>
              <w:widowControl w:val="0"/>
              <w:rPr>
                <w:color w:val="000000"/>
                <w:lang w:val="sk-SK"/>
              </w:rPr>
            </w:pPr>
            <w:r w:rsidRPr="00C83045">
              <w:rPr>
                <w:color w:val="000000"/>
                <w:lang w:val="sk-SK"/>
              </w:rPr>
              <w:t>6-MP (75 mg/m</w:t>
            </w:r>
            <w:r w:rsidRPr="00C83045">
              <w:rPr>
                <w:color w:val="000000"/>
                <w:vertAlign w:val="superscript"/>
                <w:lang w:val="sk-SK"/>
              </w:rPr>
              <w:t>2</w:t>
            </w:r>
            <w:r w:rsidR="009A1AF9" w:rsidRPr="00C83045">
              <w:rPr>
                <w:color w:val="000000"/>
                <w:lang w:val="sk-SK"/>
              </w:rPr>
              <w:t>/deň, p.o.)</w:t>
            </w:r>
            <w:r w:rsidRPr="00C83045">
              <w:rPr>
                <w:color w:val="000000"/>
                <w:lang w:val="sk-SK"/>
              </w:rPr>
              <w:t>: d</w:t>
            </w:r>
            <w:r w:rsidR="009A1AF9" w:rsidRPr="00C83045">
              <w:rPr>
                <w:color w:val="000000"/>
                <w:lang w:val="sk-SK"/>
              </w:rPr>
              <w:t>ni</w:t>
            </w:r>
            <w:r w:rsidRPr="00C83045">
              <w:rPr>
                <w:color w:val="000000"/>
                <w:lang w:val="sk-SK"/>
              </w:rPr>
              <w:t> 1</w:t>
            </w:r>
            <w:r w:rsidRPr="00C83045">
              <w:rPr>
                <w:color w:val="000000"/>
                <w:lang w:val="sk-SK"/>
              </w:rPr>
              <w:noBreakHyphen/>
              <w:t>56</w:t>
            </w:r>
          </w:p>
          <w:p w14:paraId="32367F8F" w14:textId="77777777" w:rsidR="00F31B44" w:rsidRPr="00C83045" w:rsidRDefault="00F31B44" w:rsidP="00D4304B">
            <w:pPr>
              <w:pStyle w:val="EndnoteText"/>
              <w:keepNext/>
              <w:keepLines/>
              <w:widowControl w:val="0"/>
              <w:rPr>
                <w:color w:val="000000"/>
                <w:lang w:val="sk-SK"/>
              </w:rPr>
            </w:pPr>
            <w:r w:rsidRPr="00C83045">
              <w:rPr>
                <w:color w:val="000000"/>
                <w:lang w:val="sk-SK"/>
              </w:rPr>
              <w:t>Metotrex</w:t>
            </w:r>
            <w:r w:rsidR="009A1AF9" w:rsidRPr="00C83045">
              <w:rPr>
                <w:color w:val="000000"/>
                <w:lang w:val="sk-SK"/>
              </w:rPr>
              <w:t>á</w:t>
            </w:r>
            <w:r w:rsidRPr="00C83045">
              <w:rPr>
                <w:color w:val="000000"/>
                <w:lang w:val="sk-SK"/>
              </w:rPr>
              <w:t>t (20 mg/m</w:t>
            </w:r>
            <w:r w:rsidRPr="00C83045">
              <w:rPr>
                <w:color w:val="000000"/>
                <w:vertAlign w:val="superscript"/>
                <w:lang w:val="sk-SK"/>
              </w:rPr>
              <w:t>2</w:t>
            </w:r>
            <w:r w:rsidRPr="00C83045">
              <w:rPr>
                <w:color w:val="000000"/>
                <w:lang w:val="sk-SK"/>
              </w:rPr>
              <w:t>/</w:t>
            </w:r>
            <w:r w:rsidR="009A1AF9" w:rsidRPr="00C83045">
              <w:rPr>
                <w:color w:val="000000"/>
                <w:lang w:val="sk-SK"/>
              </w:rPr>
              <w:t>týždeň</w:t>
            </w:r>
            <w:r w:rsidRPr="00C83045">
              <w:rPr>
                <w:color w:val="000000"/>
                <w:lang w:val="sk-SK"/>
              </w:rPr>
              <w:t xml:space="preserve">, </w:t>
            </w:r>
            <w:r w:rsidR="009A1AF9" w:rsidRPr="00C83045">
              <w:rPr>
                <w:color w:val="000000"/>
                <w:lang w:val="sk-SK"/>
              </w:rPr>
              <w:t>p.o.</w:t>
            </w:r>
            <w:r w:rsidRPr="00C83045">
              <w:rPr>
                <w:color w:val="000000"/>
                <w:lang w:val="sk-SK"/>
              </w:rPr>
              <w:t>): d</w:t>
            </w:r>
            <w:r w:rsidR="009A1AF9" w:rsidRPr="00C83045">
              <w:rPr>
                <w:color w:val="000000"/>
                <w:lang w:val="sk-SK"/>
              </w:rPr>
              <w:t>ni</w:t>
            </w:r>
            <w:r w:rsidRPr="00C83045">
              <w:rPr>
                <w:color w:val="000000"/>
                <w:lang w:val="sk-SK"/>
              </w:rPr>
              <w:t> 1, 8, 15, 22, 29, 36, 43, 50</w:t>
            </w:r>
          </w:p>
        </w:tc>
      </w:tr>
    </w:tbl>
    <w:p w14:paraId="32367F91" w14:textId="77777777" w:rsidR="00F31B44" w:rsidRPr="00C83045" w:rsidRDefault="00F31B44" w:rsidP="00D4304B">
      <w:pPr>
        <w:pStyle w:val="EndnoteText"/>
        <w:keepNext/>
        <w:keepLines/>
        <w:widowControl w:val="0"/>
        <w:rPr>
          <w:color w:val="000000"/>
          <w:szCs w:val="22"/>
          <w:lang w:val="sk-SK"/>
        </w:rPr>
      </w:pPr>
      <w:r w:rsidRPr="00C83045">
        <w:rPr>
          <w:color w:val="000000"/>
          <w:szCs w:val="22"/>
          <w:lang w:val="sk-SK"/>
        </w:rPr>
        <w:t xml:space="preserve">G-CSF = </w:t>
      </w:r>
      <w:r w:rsidR="00536C7C" w:rsidRPr="00C83045">
        <w:rPr>
          <w:color w:val="000000"/>
          <w:szCs w:val="22"/>
          <w:lang w:val="sk-SK"/>
        </w:rPr>
        <w:t>faktor stimulujúci kolónie granulocytov</w:t>
      </w:r>
      <w:r w:rsidRPr="00C83045">
        <w:rPr>
          <w:color w:val="000000"/>
          <w:szCs w:val="22"/>
          <w:lang w:val="sk-SK"/>
        </w:rPr>
        <w:t>, VP-16 = etopo</w:t>
      </w:r>
      <w:r w:rsidR="00536C7C" w:rsidRPr="00C83045">
        <w:rPr>
          <w:color w:val="000000"/>
          <w:szCs w:val="22"/>
          <w:lang w:val="sk-SK"/>
        </w:rPr>
        <w:t>zi</w:t>
      </w:r>
      <w:r w:rsidRPr="00C83045">
        <w:rPr>
          <w:color w:val="000000"/>
          <w:szCs w:val="22"/>
          <w:lang w:val="sk-SK"/>
        </w:rPr>
        <w:t>d, MTX = metotrex</w:t>
      </w:r>
      <w:r w:rsidR="00281AE2" w:rsidRPr="00C83045">
        <w:rPr>
          <w:color w:val="000000"/>
          <w:szCs w:val="22"/>
          <w:lang w:val="sk-SK"/>
        </w:rPr>
        <w:t>á</w:t>
      </w:r>
      <w:r w:rsidRPr="00C83045">
        <w:rPr>
          <w:color w:val="000000"/>
          <w:szCs w:val="22"/>
          <w:lang w:val="sk-SK"/>
        </w:rPr>
        <w:t xml:space="preserve">t, </w:t>
      </w:r>
      <w:r w:rsidR="00281AE2" w:rsidRPr="00C83045">
        <w:rPr>
          <w:color w:val="000000"/>
          <w:szCs w:val="22"/>
          <w:lang w:val="sk-SK"/>
        </w:rPr>
        <w:t>i.v.</w:t>
      </w:r>
      <w:r w:rsidRPr="00C83045">
        <w:rPr>
          <w:color w:val="000000"/>
          <w:szCs w:val="22"/>
          <w:lang w:val="sk-SK"/>
        </w:rPr>
        <w:t xml:space="preserve"> = intraven</w:t>
      </w:r>
      <w:r w:rsidR="00281AE2" w:rsidRPr="00C83045">
        <w:rPr>
          <w:color w:val="000000"/>
          <w:szCs w:val="22"/>
          <w:lang w:val="sk-SK"/>
        </w:rPr>
        <w:t>ózne</w:t>
      </w:r>
      <w:r w:rsidRPr="00C83045">
        <w:rPr>
          <w:color w:val="000000"/>
          <w:szCs w:val="22"/>
          <w:lang w:val="sk-SK"/>
        </w:rPr>
        <w:t xml:space="preserve">, </w:t>
      </w:r>
      <w:r w:rsidR="00281AE2" w:rsidRPr="00C83045">
        <w:rPr>
          <w:color w:val="000000"/>
          <w:szCs w:val="22"/>
          <w:lang w:val="sk-SK"/>
        </w:rPr>
        <w:t>s.c.</w:t>
      </w:r>
      <w:r w:rsidRPr="00C83045">
        <w:rPr>
          <w:color w:val="000000"/>
          <w:szCs w:val="22"/>
          <w:lang w:val="sk-SK"/>
        </w:rPr>
        <w:t xml:space="preserve"> = sub</w:t>
      </w:r>
      <w:r w:rsidR="00281AE2" w:rsidRPr="00C83045">
        <w:rPr>
          <w:color w:val="000000"/>
          <w:szCs w:val="22"/>
          <w:lang w:val="sk-SK"/>
        </w:rPr>
        <w:t>k</w:t>
      </w:r>
      <w:r w:rsidRPr="00C83045">
        <w:rPr>
          <w:color w:val="000000"/>
          <w:szCs w:val="22"/>
          <w:lang w:val="sk-SK"/>
        </w:rPr>
        <w:t>ut</w:t>
      </w:r>
      <w:r w:rsidR="00281AE2" w:rsidRPr="00C83045">
        <w:rPr>
          <w:color w:val="000000"/>
          <w:szCs w:val="22"/>
          <w:lang w:val="sk-SK"/>
        </w:rPr>
        <w:t>ánne</w:t>
      </w:r>
      <w:r w:rsidRPr="00C83045">
        <w:rPr>
          <w:color w:val="000000"/>
          <w:szCs w:val="22"/>
          <w:lang w:val="sk-SK"/>
        </w:rPr>
        <w:t xml:space="preserve">, </w:t>
      </w:r>
      <w:r w:rsidR="00281AE2" w:rsidRPr="00C83045">
        <w:rPr>
          <w:color w:val="000000"/>
          <w:szCs w:val="22"/>
          <w:lang w:val="sk-SK"/>
        </w:rPr>
        <w:t>i.t.</w:t>
      </w:r>
      <w:r w:rsidRPr="00C83045">
        <w:rPr>
          <w:color w:val="000000"/>
          <w:szCs w:val="22"/>
          <w:lang w:val="sk-SK"/>
        </w:rPr>
        <w:t xml:space="preserve"> = intrat</w:t>
      </w:r>
      <w:r w:rsidR="00281AE2" w:rsidRPr="00C83045">
        <w:rPr>
          <w:color w:val="000000"/>
          <w:szCs w:val="22"/>
          <w:lang w:val="sk-SK"/>
        </w:rPr>
        <w:t>ekálne</w:t>
      </w:r>
      <w:r w:rsidRPr="00C83045">
        <w:rPr>
          <w:color w:val="000000"/>
          <w:szCs w:val="22"/>
          <w:lang w:val="sk-SK"/>
        </w:rPr>
        <w:t xml:space="preserve">, </w:t>
      </w:r>
      <w:r w:rsidR="00281AE2" w:rsidRPr="00C83045">
        <w:rPr>
          <w:color w:val="000000"/>
          <w:szCs w:val="22"/>
          <w:lang w:val="sk-SK"/>
        </w:rPr>
        <w:t>p.o.</w:t>
      </w:r>
      <w:r w:rsidRPr="00C83045">
        <w:rPr>
          <w:color w:val="000000"/>
          <w:szCs w:val="22"/>
          <w:lang w:val="sk-SK"/>
        </w:rPr>
        <w:t xml:space="preserve"> = </w:t>
      </w:r>
      <w:r w:rsidR="00281AE2" w:rsidRPr="00C83045">
        <w:rPr>
          <w:color w:val="000000"/>
          <w:szCs w:val="22"/>
          <w:lang w:val="sk-SK"/>
        </w:rPr>
        <w:t>perorálne</w:t>
      </w:r>
      <w:r w:rsidRPr="00C83045">
        <w:rPr>
          <w:color w:val="000000"/>
          <w:szCs w:val="22"/>
          <w:lang w:val="sk-SK"/>
        </w:rPr>
        <w:t xml:space="preserve">, </w:t>
      </w:r>
      <w:r w:rsidR="00281AE2" w:rsidRPr="00C83045">
        <w:rPr>
          <w:color w:val="000000"/>
          <w:szCs w:val="22"/>
          <w:lang w:val="sk-SK"/>
        </w:rPr>
        <w:t>i.m.</w:t>
      </w:r>
      <w:r w:rsidRPr="00C83045">
        <w:rPr>
          <w:color w:val="000000"/>
          <w:szCs w:val="22"/>
          <w:lang w:val="sk-SK"/>
        </w:rPr>
        <w:t xml:space="preserve"> = intramus</w:t>
      </w:r>
      <w:r w:rsidR="00281AE2" w:rsidRPr="00C83045">
        <w:rPr>
          <w:color w:val="000000"/>
          <w:szCs w:val="22"/>
          <w:lang w:val="sk-SK"/>
        </w:rPr>
        <w:t>kulárne</w:t>
      </w:r>
      <w:r w:rsidRPr="00C83045">
        <w:rPr>
          <w:color w:val="000000"/>
          <w:szCs w:val="22"/>
          <w:lang w:val="sk-SK"/>
        </w:rPr>
        <w:t>, ARA-C = cytarab</w:t>
      </w:r>
      <w:r w:rsidR="00281AE2" w:rsidRPr="00C83045">
        <w:rPr>
          <w:color w:val="000000"/>
          <w:szCs w:val="22"/>
          <w:lang w:val="sk-SK"/>
        </w:rPr>
        <w:t>í</w:t>
      </w:r>
      <w:r w:rsidRPr="00C83045">
        <w:rPr>
          <w:color w:val="000000"/>
          <w:szCs w:val="22"/>
          <w:lang w:val="sk-SK"/>
        </w:rPr>
        <w:t>n, CPM = cy</w:t>
      </w:r>
      <w:r w:rsidR="00281AE2" w:rsidRPr="00C83045">
        <w:rPr>
          <w:color w:val="000000"/>
          <w:szCs w:val="22"/>
          <w:lang w:val="sk-SK"/>
        </w:rPr>
        <w:t>k</w:t>
      </w:r>
      <w:r w:rsidRPr="00C83045">
        <w:rPr>
          <w:color w:val="000000"/>
          <w:szCs w:val="22"/>
          <w:lang w:val="sk-SK"/>
        </w:rPr>
        <w:t>lo</w:t>
      </w:r>
      <w:r w:rsidR="00281AE2" w:rsidRPr="00C83045">
        <w:rPr>
          <w:color w:val="000000"/>
          <w:szCs w:val="22"/>
          <w:lang w:val="sk-SK"/>
        </w:rPr>
        <w:t>f</w:t>
      </w:r>
      <w:r w:rsidRPr="00C83045">
        <w:rPr>
          <w:color w:val="000000"/>
          <w:szCs w:val="22"/>
          <w:lang w:val="sk-SK"/>
        </w:rPr>
        <w:t>os</w:t>
      </w:r>
      <w:r w:rsidR="00281AE2" w:rsidRPr="00C83045">
        <w:rPr>
          <w:color w:val="000000"/>
          <w:szCs w:val="22"/>
          <w:lang w:val="sk-SK"/>
        </w:rPr>
        <w:t>f</w:t>
      </w:r>
      <w:r w:rsidRPr="00C83045">
        <w:rPr>
          <w:color w:val="000000"/>
          <w:szCs w:val="22"/>
          <w:lang w:val="sk-SK"/>
        </w:rPr>
        <w:t>amid, VCR = vin</w:t>
      </w:r>
      <w:r w:rsidR="00281AE2" w:rsidRPr="00C83045">
        <w:rPr>
          <w:color w:val="000000"/>
          <w:szCs w:val="22"/>
          <w:lang w:val="sk-SK"/>
        </w:rPr>
        <w:t>kristín</w:t>
      </w:r>
      <w:r w:rsidRPr="00C83045">
        <w:rPr>
          <w:color w:val="000000"/>
          <w:szCs w:val="22"/>
          <w:lang w:val="sk-SK"/>
        </w:rPr>
        <w:t>, DEX = dexameta</w:t>
      </w:r>
      <w:r w:rsidR="00281AE2" w:rsidRPr="00C83045">
        <w:rPr>
          <w:color w:val="000000"/>
          <w:szCs w:val="22"/>
          <w:lang w:val="sk-SK"/>
        </w:rPr>
        <w:t>zón</w:t>
      </w:r>
      <w:r w:rsidRPr="00C83045">
        <w:rPr>
          <w:color w:val="000000"/>
          <w:szCs w:val="22"/>
          <w:lang w:val="sk-SK"/>
        </w:rPr>
        <w:t>, DAUN = daunorubic</w:t>
      </w:r>
      <w:r w:rsidR="00F3152C" w:rsidRPr="00C83045">
        <w:rPr>
          <w:color w:val="000000"/>
          <w:szCs w:val="22"/>
          <w:lang w:val="sk-SK"/>
        </w:rPr>
        <w:t>í</w:t>
      </w:r>
      <w:r w:rsidRPr="00C83045">
        <w:rPr>
          <w:color w:val="000000"/>
          <w:szCs w:val="22"/>
          <w:lang w:val="sk-SK"/>
        </w:rPr>
        <w:t>n, 6-MP = 6-mer</w:t>
      </w:r>
      <w:r w:rsidR="00F3152C" w:rsidRPr="00C83045">
        <w:rPr>
          <w:color w:val="000000"/>
          <w:szCs w:val="22"/>
          <w:lang w:val="sk-SK"/>
        </w:rPr>
        <w:t>k</w:t>
      </w:r>
      <w:r w:rsidRPr="00C83045">
        <w:rPr>
          <w:color w:val="000000"/>
          <w:szCs w:val="22"/>
          <w:lang w:val="sk-SK"/>
        </w:rPr>
        <w:t>aptopur</w:t>
      </w:r>
      <w:r w:rsidR="00F3152C" w:rsidRPr="00C83045">
        <w:rPr>
          <w:color w:val="000000"/>
          <w:szCs w:val="22"/>
          <w:lang w:val="sk-SK"/>
        </w:rPr>
        <w:t>í</w:t>
      </w:r>
      <w:r w:rsidRPr="00C83045">
        <w:rPr>
          <w:color w:val="000000"/>
          <w:szCs w:val="22"/>
          <w:lang w:val="sk-SK"/>
        </w:rPr>
        <w:t>n, E.Coli L-ASP = L-asparagin</w:t>
      </w:r>
      <w:r w:rsidR="00F3152C" w:rsidRPr="00C83045">
        <w:rPr>
          <w:color w:val="000000"/>
          <w:szCs w:val="22"/>
          <w:lang w:val="sk-SK"/>
        </w:rPr>
        <w:t>áza</w:t>
      </w:r>
      <w:r w:rsidRPr="00C83045">
        <w:rPr>
          <w:color w:val="000000"/>
          <w:szCs w:val="22"/>
          <w:lang w:val="sk-SK"/>
        </w:rPr>
        <w:t>, PEG-ASP = PEG asparagin</w:t>
      </w:r>
      <w:r w:rsidR="00F3152C" w:rsidRPr="00C83045">
        <w:rPr>
          <w:color w:val="000000"/>
          <w:szCs w:val="22"/>
          <w:lang w:val="sk-SK"/>
        </w:rPr>
        <w:t>áza</w:t>
      </w:r>
      <w:r w:rsidRPr="00C83045">
        <w:rPr>
          <w:color w:val="000000"/>
          <w:szCs w:val="22"/>
          <w:lang w:val="sk-SK"/>
        </w:rPr>
        <w:t>, MESNA= 2-mer</w:t>
      </w:r>
      <w:r w:rsidR="00F3152C" w:rsidRPr="00C83045">
        <w:rPr>
          <w:color w:val="000000"/>
          <w:szCs w:val="22"/>
          <w:lang w:val="sk-SK"/>
        </w:rPr>
        <w:t>k</w:t>
      </w:r>
      <w:r w:rsidRPr="00C83045">
        <w:rPr>
          <w:color w:val="000000"/>
          <w:szCs w:val="22"/>
          <w:lang w:val="sk-SK"/>
        </w:rPr>
        <w:t>aptoe</w:t>
      </w:r>
      <w:r w:rsidR="00895A93" w:rsidRPr="00C83045">
        <w:rPr>
          <w:color w:val="000000"/>
          <w:szCs w:val="22"/>
          <w:lang w:val="sk-SK"/>
        </w:rPr>
        <w:t>t</w:t>
      </w:r>
      <w:r w:rsidR="00F3152C" w:rsidRPr="00C83045">
        <w:rPr>
          <w:color w:val="000000"/>
          <w:szCs w:val="22"/>
          <w:lang w:val="sk-SK"/>
        </w:rPr>
        <w:t>án</w:t>
      </w:r>
      <w:r w:rsidRPr="00C83045">
        <w:rPr>
          <w:color w:val="000000"/>
          <w:szCs w:val="22"/>
          <w:lang w:val="sk-SK"/>
        </w:rPr>
        <w:t xml:space="preserve"> sulfon</w:t>
      </w:r>
      <w:r w:rsidR="00F3152C" w:rsidRPr="00C83045">
        <w:rPr>
          <w:color w:val="000000"/>
          <w:szCs w:val="22"/>
          <w:lang w:val="sk-SK"/>
        </w:rPr>
        <w:t>á</w:t>
      </w:r>
      <w:r w:rsidRPr="00C83045">
        <w:rPr>
          <w:color w:val="000000"/>
          <w:szCs w:val="22"/>
          <w:lang w:val="sk-SK"/>
        </w:rPr>
        <w:t>t sod</w:t>
      </w:r>
      <w:r w:rsidR="00F3152C" w:rsidRPr="00C83045">
        <w:rPr>
          <w:color w:val="000000"/>
          <w:szCs w:val="22"/>
          <w:lang w:val="sk-SK"/>
        </w:rPr>
        <w:t>ný</w:t>
      </w:r>
      <w:r w:rsidRPr="00C83045">
        <w:rPr>
          <w:color w:val="000000"/>
          <w:szCs w:val="22"/>
          <w:lang w:val="sk-SK"/>
        </w:rPr>
        <w:t xml:space="preserve">, iii= </w:t>
      </w:r>
      <w:r w:rsidR="00F3152C" w:rsidRPr="00C83045">
        <w:rPr>
          <w:color w:val="000000"/>
          <w:szCs w:val="22"/>
          <w:lang w:val="sk-SK"/>
        </w:rPr>
        <w:t>alebo pokiaľ hladiny MTX sú pod úrovňou</w:t>
      </w:r>
      <w:r w:rsidRPr="00C83045">
        <w:rPr>
          <w:color w:val="000000"/>
          <w:szCs w:val="22"/>
          <w:lang w:val="sk-SK"/>
        </w:rPr>
        <w:t xml:space="preserve"> &lt; 0</w:t>
      </w:r>
      <w:r w:rsidR="00915BE0" w:rsidRPr="00C83045">
        <w:rPr>
          <w:color w:val="000000"/>
          <w:szCs w:val="22"/>
          <w:lang w:val="sk-SK"/>
        </w:rPr>
        <w:t>,</w:t>
      </w:r>
      <w:r w:rsidRPr="00C83045">
        <w:rPr>
          <w:color w:val="000000"/>
          <w:szCs w:val="22"/>
          <w:lang w:val="sk-SK"/>
        </w:rPr>
        <w:t xml:space="preserve">1 µM, q6h = </w:t>
      </w:r>
      <w:r w:rsidR="00F3152C" w:rsidRPr="00C83045">
        <w:rPr>
          <w:color w:val="000000"/>
          <w:szCs w:val="22"/>
          <w:lang w:val="sk-SK"/>
        </w:rPr>
        <w:t>každých 6 hodín</w:t>
      </w:r>
      <w:r w:rsidRPr="00C83045">
        <w:rPr>
          <w:color w:val="000000"/>
          <w:szCs w:val="22"/>
          <w:lang w:val="sk-SK"/>
        </w:rPr>
        <w:t>, Gy= Gray</w:t>
      </w:r>
    </w:p>
    <w:p w14:paraId="32367F92" w14:textId="77777777" w:rsidR="00F31B44" w:rsidRPr="00C83045" w:rsidRDefault="00F31B44" w:rsidP="00D4304B">
      <w:pPr>
        <w:pStyle w:val="EndnoteText"/>
        <w:widowControl w:val="0"/>
        <w:jc w:val="both"/>
        <w:rPr>
          <w:color w:val="000000"/>
          <w:sz w:val="20"/>
          <w:lang w:val="sk-SK"/>
        </w:rPr>
      </w:pPr>
    </w:p>
    <w:p w14:paraId="32367F93" w14:textId="77777777" w:rsidR="00F31B44" w:rsidRPr="00C83045" w:rsidRDefault="00895A93" w:rsidP="00D4304B">
      <w:pPr>
        <w:pStyle w:val="EndnoteText"/>
        <w:widowControl w:val="0"/>
        <w:rPr>
          <w:color w:val="000000"/>
          <w:lang w:val="sk-SK"/>
        </w:rPr>
      </w:pPr>
      <w:r w:rsidRPr="00C83045">
        <w:rPr>
          <w:color w:val="000000"/>
          <w:szCs w:val="22"/>
          <w:lang w:val="sk-SK"/>
        </w:rPr>
        <w:t>Š</w:t>
      </w:r>
      <w:r w:rsidR="00F31B44" w:rsidRPr="00C83045">
        <w:rPr>
          <w:color w:val="000000"/>
          <w:szCs w:val="22"/>
          <w:lang w:val="sk-SK"/>
        </w:rPr>
        <w:t>t</w:t>
      </w:r>
      <w:r w:rsidRPr="00C83045">
        <w:rPr>
          <w:color w:val="000000"/>
          <w:szCs w:val="22"/>
          <w:lang w:val="sk-SK"/>
        </w:rPr>
        <w:t>údia</w:t>
      </w:r>
      <w:r w:rsidR="00F31B44" w:rsidRPr="00C83045">
        <w:rPr>
          <w:color w:val="000000"/>
          <w:szCs w:val="22"/>
          <w:lang w:val="sk-SK"/>
        </w:rPr>
        <w:t xml:space="preserve"> AIT07 </w:t>
      </w:r>
      <w:r w:rsidRPr="00C83045">
        <w:rPr>
          <w:color w:val="000000"/>
          <w:szCs w:val="22"/>
          <w:lang w:val="sk-SK"/>
        </w:rPr>
        <w:t>bolo</w:t>
      </w:r>
      <w:r w:rsidR="00F31B44" w:rsidRPr="00C83045">
        <w:rPr>
          <w:color w:val="000000"/>
          <w:szCs w:val="22"/>
          <w:lang w:val="sk-SK"/>
        </w:rPr>
        <w:t xml:space="preserve"> multicentr</w:t>
      </w:r>
      <w:r w:rsidRPr="00C83045">
        <w:rPr>
          <w:color w:val="000000"/>
          <w:szCs w:val="22"/>
          <w:lang w:val="sk-SK"/>
        </w:rPr>
        <w:t>ické</w:t>
      </w:r>
      <w:r w:rsidR="00F31B44" w:rsidRPr="00C83045">
        <w:rPr>
          <w:color w:val="000000"/>
          <w:szCs w:val="22"/>
          <w:lang w:val="sk-SK"/>
        </w:rPr>
        <w:t xml:space="preserve">, </w:t>
      </w:r>
      <w:r w:rsidRPr="00C83045">
        <w:rPr>
          <w:color w:val="000000"/>
          <w:szCs w:val="22"/>
          <w:lang w:val="sk-SK"/>
        </w:rPr>
        <w:t>otvorené</w:t>
      </w:r>
      <w:r w:rsidR="000A1563" w:rsidRPr="00C83045">
        <w:rPr>
          <w:color w:val="000000"/>
          <w:szCs w:val="22"/>
          <w:lang w:val="sk-SK"/>
        </w:rPr>
        <w:t>,</w:t>
      </w:r>
      <w:r w:rsidRPr="00C83045">
        <w:rPr>
          <w:color w:val="000000"/>
          <w:szCs w:val="22"/>
          <w:lang w:val="sk-SK"/>
        </w:rPr>
        <w:t xml:space="preserve"> randomizované skúšanie fázy </w:t>
      </w:r>
      <w:r w:rsidR="00F31B44" w:rsidRPr="00C83045">
        <w:rPr>
          <w:color w:val="000000"/>
          <w:szCs w:val="22"/>
          <w:lang w:val="sk-SK"/>
        </w:rPr>
        <w:t>II/III</w:t>
      </w:r>
      <w:r w:rsidR="00B75B1C" w:rsidRPr="00C83045">
        <w:rPr>
          <w:color w:val="000000"/>
          <w:szCs w:val="22"/>
          <w:lang w:val="sk-SK"/>
        </w:rPr>
        <w:t xml:space="preserve">, ktoré zahŕňalo </w:t>
      </w:r>
      <w:r w:rsidR="00F31B44" w:rsidRPr="00C83045">
        <w:rPr>
          <w:color w:val="000000"/>
          <w:szCs w:val="22"/>
          <w:lang w:val="sk-SK"/>
        </w:rPr>
        <w:t>128 pa</w:t>
      </w:r>
      <w:r w:rsidR="00B75B1C" w:rsidRPr="00C83045">
        <w:rPr>
          <w:color w:val="000000"/>
          <w:szCs w:val="22"/>
          <w:lang w:val="sk-SK"/>
        </w:rPr>
        <w:t>c</w:t>
      </w:r>
      <w:r w:rsidR="00F31B44" w:rsidRPr="00C83045">
        <w:rPr>
          <w:color w:val="000000"/>
          <w:szCs w:val="22"/>
          <w:lang w:val="sk-SK"/>
        </w:rPr>
        <w:t>ient</w:t>
      </w:r>
      <w:r w:rsidR="00B75B1C" w:rsidRPr="00C83045">
        <w:rPr>
          <w:color w:val="000000"/>
          <w:szCs w:val="22"/>
          <w:lang w:val="sk-SK"/>
        </w:rPr>
        <w:t>ov</w:t>
      </w:r>
      <w:r w:rsidR="00F31B44" w:rsidRPr="00C83045">
        <w:rPr>
          <w:color w:val="000000"/>
          <w:szCs w:val="22"/>
          <w:lang w:val="sk-SK"/>
        </w:rPr>
        <w:t xml:space="preserve"> (1 </w:t>
      </w:r>
      <w:r w:rsidR="00B75B1C" w:rsidRPr="00C83045">
        <w:rPr>
          <w:color w:val="000000"/>
          <w:szCs w:val="22"/>
          <w:lang w:val="sk-SK"/>
        </w:rPr>
        <w:t>až</w:t>
      </w:r>
      <w:r w:rsidR="00F31B44" w:rsidRPr="00C83045">
        <w:rPr>
          <w:color w:val="000000"/>
          <w:szCs w:val="22"/>
          <w:lang w:val="sk-SK"/>
        </w:rPr>
        <w:t xml:space="preserve"> &lt; 18 </w:t>
      </w:r>
      <w:r w:rsidR="00B75B1C" w:rsidRPr="00C83045">
        <w:rPr>
          <w:color w:val="000000"/>
          <w:szCs w:val="22"/>
          <w:lang w:val="sk-SK"/>
        </w:rPr>
        <w:t>rokov</w:t>
      </w:r>
      <w:r w:rsidR="00F31B44" w:rsidRPr="00C83045">
        <w:rPr>
          <w:color w:val="000000"/>
          <w:szCs w:val="22"/>
          <w:lang w:val="sk-SK"/>
        </w:rPr>
        <w:t xml:space="preserve">) </w:t>
      </w:r>
      <w:r w:rsidR="00B75B1C" w:rsidRPr="00C83045">
        <w:rPr>
          <w:color w:val="000000"/>
          <w:szCs w:val="22"/>
          <w:lang w:val="sk-SK"/>
        </w:rPr>
        <w:t xml:space="preserve">liečených </w:t>
      </w:r>
      <w:r w:rsidR="00F31B44" w:rsidRPr="00C83045">
        <w:rPr>
          <w:color w:val="000000"/>
          <w:szCs w:val="22"/>
          <w:lang w:val="sk-SK"/>
        </w:rPr>
        <w:t>imatinib</w:t>
      </w:r>
      <w:r w:rsidR="00B75B1C" w:rsidRPr="00C83045">
        <w:rPr>
          <w:color w:val="000000"/>
          <w:szCs w:val="22"/>
          <w:lang w:val="sk-SK"/>
        </w:rPr>
        <w:t xml:space="preserve">om v kombinácii s </w:t>
      </w:r>
      <w:r w:rsidR="00F31B44" w:rsidRPr="00C83045">
        <w:rPr>
          <w:color w:val="000000"/>
          <w:szCs w:val="22"/>
          <w:lang w:val="sk-SK"/>
        </w:rPr>
        <w:t>chemoterap</w:t>
      </w:r>
      <w:r w:rsidR="00B75B1C" w:rsidRPr="00C83045">
        <w:rPr>
          <w:color w:val="000000"/>
          <w:szCs w:val="22"/>
          <w:lang w:val="sk-SK"/>
        </w:rPr>
        <w:t>iou</w:t>
      </w:r>
      <w:r w:rsidR="00F31B44" w:rsidRPr="00C83045">
        <w:rPr>
          <w:color w:val="000000"/>
          <w:szCs w:val="22"/>
          <w:lang w:val="sk-SK"/>
        </w:rPr>
        <w:t xml:space="preserve">. </w:t>
      </w:r>
      <w:r w:rsidR="00B75B1C" w:rsidRPr="00C83045">
        <w:rPr>
          <w:color w:val="000000"/>
          <w:szCs w:val="22"/>
          <w:lang w:val="sk-SK"/>
        </w:rPr>
        <w:t xml:space="preserve">Údaje o bezpečnosti z tejto štúdie </w:t>
      </w:r>
      <w:r w:rsidR="00D8572D" w:rsidRPr="00C83045">
        <w:rPr>
          <w:color w:val="000000"/>
          <w:szCs w:val="22"/>
          <w:lang w:val="sk-SK"/>
        </w:rPr>
        <w:t xml:space="preserve">sa zdajú byť v zhode s </w:t>
      </w:r>
      <w:r w:rsidR="00B75B1C" w:rsidRPr="00C83045">
        <w:rPr>
          <w:color w:val="000000"/>
          <w:szCs w:val="22"/>
          <w:lang w:val="sk-SK"/>
        </w:rPr>
        <w:t>bezpečnostný</w:t>
      </w:r>
      <w:r w:rsidR="00D8572D" w:rsidRPr="00C83045">
        <w:rPr>
          <w:color w:val="000000"/>
          <w:szCs w:val="22"/>
          <w:lang w:val="sk-SK"/>
        </w:rPr>
        <w:t>m</w:t>
      </w:r>
      <w:r w:rsidR="00B75B1C" w:rsidRPr="00C83045">
        <w:rPr>
          <w:color w:val="000000"/>
          <w:szCs w:val="22"/>
          <w:lang w:val="sk-SK"/>
        </w:rPr>
        <w:t xml:space="preserve"> profil</w:t>
      </w:r>
      <w:r w:rsidR="00D8572D" w:rsidRPr="00C83045">
        <w:rPr>
          <w:color w:val="000000"/>
          <w:szCs w:val="22"/>
          <w:lang w:val="sk-SK"/>
        </w:rPr>
        <w:t>om</w:t>
      </w:r>
      <w:r w:rsidR="00F31B44" w:rsidRPr="00C83045">
        <w:rPr>
          <w:color w:val="000000"/>
          <w:szCs w:val="22"/>
          <w:lang w:val="sk-SK"/>
        </w:rPr>
        <w:t xml:space="preserve"> imatinib</w:t>
      </w:r>
      <w:r w:rsidR="00B75B1C" w:rsidRPr="00C83045">
        <w:rPr>
          <w:color w:val="000000"/>
          <w:szCs w:val="22"/>
          <w:lang w:val="sk-SK"/>
        </w:rPr>
        <w:t>u u pacientov s</w:t>
      </w:r>
      <w:r w:rsidR="00F31B44" w:rsidRPr="00C83045">
        <w:rPr>
          <w:color w:val="000000"/>
          <w:szCs w:val="22"/>
          <w:lang w:val="sk-SK"/>
        </w:rPr>
        <w:t xml:space="preserve"> Ph+ ALL.</w:t>
      </w:r>
    </w:p>
    <w:p w14:paraId="32367F94" w14:textId="77777777" w:rsidR="000E5202" w:rsidRPr="00C83045" w:rsidRDefault="000E5202" w:rsidP="00D4304B">
      <w:pPr>
        <w:pStyle w:val="EndnoteText"/>
        <w:widowControl w:val="0"/>
        <w:rPr>
          <w:color w:val="000000"/>
          <w:szCs w:val="22"/>
          <w:lang w:val="sk-SK"/>
        </w:rPr>
      </w:pPr>
    </w:p>
    <w:p w14:paraId="32367F95" w14:textId="77777777" w:rsidR="000E5202" w:rsidRPr="00C83045" w:rsidRDefault="000E5202" w:rsidP="00D4304B">
      <w:pPr>
        <w:widowControl w:val="0"/>
        <w:ind w:left="0" w:firstLine="0"/>
        <w:rPr>
          <w:color w:val="000000"/>
          <w:szCs w:val="22"/>
        </w:rPr>
      </w:pPr>
      <w:r w:rsidRPr="00C83045">
        <w:rPr>
          <w:i/>
          <w:color w:val="000000"/>
          <w:szCs w:val="22"/>
        </w:rPr>
        <w:t xml:space="preserve">Relaps/refraktérna Ph+ </w:t>
      </w:r>
      <w:smartTag w:uri="urn:schemas-microsoft-com:office:smarttags" w:element="stockticker">
        <w:r w:rsidRPr="00C83045">
          <w:rPr>
            <w:i/>
            <w:color w:val="000000"/>
            <w:szCs w:val="22"/>
          </w:rPr>
          <w:t>ALL</w:t>
        </w:r>
      </w:smartTag>
      <w:r w:rsidRPr="00C83045">
        <w:rPr>
          <w:i/>
          <w:color w:val="000000"/>
          <w:szCs w:val="22"/>
        </w:rPr>
        <w:t>:</w:t>
      </w:r>
      <w:r w:rsidRPr="00C83045">
        <w:rPr>
          <w:color w:val="000000"/>
          <w:szCs w:val="22"/>
        </w:rPr>
        <w:t xml:space="preserve"> Keď sa imatinib podával ako monoterapia pacientom s relapsom/refraktérnou Ph+ </w:t>
      </w:r>
      <w:smartTag w:uri="urn:schemas-microsoft-com:office:smarttags" w:element="stockticker">
        <w:r w:rsidRPr="00C83045">
          <w:rPr>
            <w:color w:val="000000"/>
            <w:szCs w:val="22"/>
          </w:rPr>
          <w:t>ALL</w:t>
        </w:r>
      </w:smartTag>
      <w:r w:rsidRPr="00C83045">
        <w:rPr>
          <w:color w:val="000000"/>
          <w:szCs w:val="22"/>
        </w:rPr>
        <w:t xml:space="preserve">, u 53 zo 411 pacientov s vyhodnotiteľnou odpoveďou sa dosiahol </w:t>
      </w:r>
      <w:r w:rsidRPr="00C83045">
        <w:rPr>
          <w:color w:val="000000"/>
          <w:szCs w:val="22"/>
        </w:rPr>
        <w:lastRenderedPageBreak/>
        <w:t xml:space="preserve">podiel hematologickej odpovede 30% (9% kompletnej) a podiel veľkej cytogenetickej odpovede 23%. (Treba vziať do úvahy, že 353 zo 411 pacientov bolo liečených v programe rozšíreného prístupu k liečbe bez získania údajov o primárnej odpovedi.) Medián času do progresie v celej populácii 411 pacientov s relapsom/refraktérnou Ph+ </w:t>
      </w:r>
      <w:smartTag w:uri="urn:schemas-microsoft-com:office:smarttags" w:element="stockticker">
        <w:r w:rsidRPr="00C83045">
          <w:rPr>
            <w:color w:val="000000"/>
            <w:szCs w:val="22"/>
          </w:rPr>
          <w:t>ALL</w:t>
        </w:r>
      </w:smartTag>
      <w:r w:rsidRPr="00C83045">
        <w:rPr>
          <w:color w:val="000000"/>
          <w:szCs w:val="22"/>
        </w:rPr>
        <w:t xml:space="preserve"> bol v rozmedzí od 2,6 do 3,1 mesiacov a medián celkového prežívania u 401 vyhodnotiteľných pacientov bol v rozmedzí od 4,9 do 9 mesiacov. Údaje boli podobné pri opätovnej analýze, do ktorej boli zahrnutí len pacienti vo veku 55 alebo viac rokov.</w:t>
      </w:r>
    </w:p>
    <w:p w14:paraId="32367F96" w14:textId="77777777" w:rsidR="00222674" w:rsidRPr="00C83045" w:rsidRDefault="00222674" w:rsidP="00D4304B">
      <w:pPr>
        <w:widowControl w:val="0"/>
        <w:ind w:left="0" w:firstLine="0"/>
        <w:rPr>
          <w:color w:val="000000"/>
          <w:szCs w:val="22"/>
          <w:u w:val="single"/>
        </w:rPr>
      </w:pPr>
    </w:p>
    <w:p w14:paraId="32367F97" w14:textId="77777777" w:rsidR="00222674" w:rsidRPr="00C83045" w:rsidRDefault="00222674" w:rsidP="00D4304B">
      <w:pPr>
        <w:keepNext/>
        <w:widowControl w:val="0"/>
        <w:ind w:left="0" w:firstLine="0"/>
        <w:rPr>
          <w:color w:val="000000"/>
          <w:szCs w:val="22"/>
          <w:u w:val="single"/>
        </w:rPr>
      </w:pPr>
      <w:r w:rsidRPr="00C83045">
        <w:rPr>
          <w:color w:val="000000"/>
          <w:szCs w:val="22"/>
          <w:u w:val="single"/>
        </w:rPr>
        <w:t xml:space="preserve">Klinické skúšania pri </w:t>
      </w:r>
      <w:smartTag w:uri="urn:schemas-microsoft-com:office:smarttags" w:element="stockticker">
        <w:r w:rsidRPr="00C83045">
          <w:rPr>
            <w:color w:val="000000"/>
            <w:szCs w:val="22"/>
            <w:u w:val="single"/>
          </w:rPr>
          <w:t>MDS</w:t>
        </w:r>
      </w:smartTag>
      <w:r w:rsidRPr="00C83045">
        <w:rPr>
          <w:color w:val="000000"/>
          <w:szCs w:val="22"/>
          <w:u w:val="single"/>
        </w:rPr>
        <w:t>/MPD</w:t>
      </w:r>
    </w:p>
    <w:p w14:paraId="32367F98" w14:textId="77777777" w:rsidR="000B3754" w:rsidRDefault="00222674" w:rsidP="00D4304B">
      <w:pPr>
        <w:widowControl w:val="0"/>
        <w:ind w:left="0" w:firstLine="0"/>
        <w:rPr>
          <w:color w:val="000000"/>
          <w:szCs w:val="22"/>
        </w:rPr>
      </w:pPr>
      <w:r w:rsidRPr="00C83045">
        <w:rPr>
          <w:color w:val="000000"/>
          <w:szCs w:val="22"/>
        </w:rPr>
        <w:t xml:space="preserve">Skúsenosti s Glivecom v tejto indikácii sú veľmi obmedzené a zakladajú sa </w:t>
      </w:r>
      <w:r w:rsidR="00A05500" w:rsidRPr="00C83045">
        <w:rPr>
          <w:color w:val="000000"/>
          <w:szCs w:val="22"/>
        </w:rPr>
        <w:t xml:space="preserve">na </w:t>
      </w:r>
      <w:r w:rsidRPr="00C83045">
        <w:rPr>
          <w:color w:val="000000"/>
          <w:szCs w:val="22"/>
        </w:rPr>
        <w:t>stupni hematologickej a cytogenetickej odpovede. Nie sú kontrolované klinické skúšania, ktoré by preukázali klinický prínos alebo predĺžené prežívanie. V jednom otvorenom, multicentrickom klinickom skúšaní fázy II (štúdia B2225) sa testoval Glivec u rôznych populácií pacientov s ochoreniami ohrozujúcimi život, ktoré súvisia proteíntyrozínkinázami Abl, Kit alebo PDGFR. Do tohto klinického skúšania bolo zaradených 7 pacientov s </w:t>
      </w:r>
      <w:smartTag w:uri="urn:schemas-microsoft-com:office:smarttags" w:element="stockticker">
        <w:r w:rsidRPr="00C83045">
          <w:rPr>
            <w:color w:val="000000"/>
            <w:szCs w:val="22"/>
          </w:rPr>
          <w:t>MDS</w:t>
        </w:r>
      </w:smartTag>
      <w:r w:rsidRPr="00C83045">
        <w:rPr>
          <w:color w:val="000000"/>
          <w:szCs w:val="22"/>
        </w:rPr>
        <w:t>/MPD, ktorí dostávali 400 mg Glivecu denne. U troch pacientov sa dosiahla kompletná hematologická odpoveď (</w:t>
      </w:r>
      <w:smartTag w:uri="urn:schemas-microsoft-com:office:smarttags" w:element="stockticker">
        <w:r w:rsidRPr="00C83045">
          <w:rPr>
            <w:color w:val="000000"/>
            <w:szCs w:val="22"/>
          </w:rPr>
          <w:t>CHR</w:t>
        </w:r>
      </w:smartTag>
      <w:r w:rsidRPr="00C83045">
        <w:rPr>
          <w:color w:val="000000"/>
          <w:szCs w:val="22"/>
        </w:rPr>
        <w:t>) a jeden pacient mal čiastočnú hematologickú odpoveď (</w:t>
      </w:r>
      <w:smartTag w:uri="urn:schemas-microsoft-com:office:smarttags" w:element="stockticker">
        <w:r w:rsidRPr="00C83045">
          <w:rPr>
            <w:color w:val="000000"/>
            <w:szCs w:val="22"/>
          </w:rPr>
          <w:t>PHR</w:t>
        </w:r>
      </w:smartTag>
      <w:r w:rsidRPr="00C83045">
        <w:rPr>
          <w:color w:val="000000"/>
          <w:szCs w:val="22"/>
        </w:rPr>
        <w:t>). V čase pôvodnej analýzy sa u troch zo štyroch pacientov so zistenými preskupeniami génu PDGFR vyvinula hematologická odpoveď (2</w:t>
      </w:r>
      <w:r w:rsidR="00B17498" w:rsidRPr="00C83045">
        <w:rPr>
          <w:color w:val="000000"/>
          <w:szCs w:val="22"/>
        </w:rPr>
        <w:t> </w:t>
      </w:r>
      <w:smartTag w:uri="urn:schemas-microsoft-com:office:smarttags" w:element="stockticker">
        <w:r w:rsidRPr="00C83045">
          <w:rPr>
            <w:color w:val="000000"/>
            <w:szCs w:val="22"/>
          </w:rPr>
          <w:t>CHR</w:t>
        </w:r>
      </w:smartTag>
      <w:r w:rsidRPr="00C83045">
        <w:rPr>
          <w:color w:val="000000"/>
          <w:szCs w:val="22"/>
        </w:rPr>
        <w:t xml:space="preserve"> a 1 </w:t>
      </w:r>
      <w:smartTag w:uri="urn:schemas-microsoft-com:office:smarttags" w:element="stockticker">
        <w:r w:rsidRPr="00C83045">
          <w:rPr>
            <w:color w:val="000000"/>
            <w:szCs w:val="22"/>
          </w:rPr>
          <w:t>PHR</w:t>
        </w:r>
      </w:smartTag>
      <w:r w:rsidRPr="00C83045">
        <w:rPr>
          <w:color w:val="000000"/>
          <w:szCs w:val="22"/>
        </w:rPr>
        <w:t>). Vek týchto pacientov bol v rozmedzí od 20 do 72 rokov.</w:t>
      </w:r>
    </w:p>
    <w:p w14:paraId="32367F99" w14:textId="77777777" w:rsidR="000B3754" w:rsidRPr="00F2328C" w:rsidRDefault="000B3754" w:rsidP="00D4304B">
      <w:pPr>
        <w:pStyle w:val="EndnoteText"/>
        <w:widowControl w:val="0"/>
        <w:tabs>
          <w:tab w:val="clear" w:pos="567"/>
          <w:tab w:val="left" w:pos="720"/>
        </w:tabs>
        <w:rPr>
          <w:color w:val="000000"/>
          <w:szCs w:val="22"/>
          <w:lang w:val="sk-SK" w:eastAsia="ja-JP"/>
        </w:rPr>
      </w:pPr>
    </w:p>
    <w:p w14:paraId="32367F9A" w14:textId="77777777" w:rsidR="000B3754" w:rsidRPr="00F2328C" w:rsidRDefault="000B3754" w:rsidP="00D4304B">
      <w:pPr>
        <w:pStyle w:val="EndnoteText"/>
        <w:widowControl w:val="0"/>
        <w:tabs>
          <w:tab w:val="clear" w:pos="567"/>
          <w:tab w:val="left" w:pos="720"/>
        </w:tabs>
        <w:rPr>
          <w:color w:val="000000"/>
          <w:szCs w:val="22"/>
          <w:lang w:val="sk-SK" w:eastAsia="ja-JP"/>
        </w:rPr>
      </w:pPr>
      <w:r w:rsidRPr="00F2328C">
        <w:rPr>
          <w:rFonts w:eastAsia="TimesNewRoman"/>
          <w:szCs w:val="22"/>
          <w:lang w:val="sk-SK"/>
        </w:rPr>
        <w:t xml:space="preserve">U pacientov s </w:t>
      </w:r>
      <w:r w:rsidRPr="00F2328C">
        <w:rPr>
          <w:color w:val="000000"/>
          <w:szCs w:val="22"/>
          <w:lang w:val="sk-SK"/>
        </w:rPr>
        <w:t xml:space="preserve">myeloproliferatívnymi neoplazmami </w:t>
      </w:r>
      <w:r w:rsidR="000A778A" w:rsidRPr="00F2328C">
        <w:rPr>
          <w:color w:val="000000"/>
          <w:szCs w:val="22"/>
          <w:lang w:val="sk-SK"/>
        </w:rPr>
        <w:t xml:space="preserve">a s preskupením génu </w:t>
      </w:r>
      <w:r w:rsidRPr="00F2328C">
        <w:rPr>
          <w:rFonts w:eastAsia="TimesNewRoman"/>
          <w:szCs w:val="22"/>
          <w:lang w:val="sk-SK"/>
        </w:rPr>
        <w:t>PDGFR</w:t>
      </w:r>
      <w:r w:rsidR="00EA730B" w:rsidRPr="00F2328C">
        <w:rPr>
          <w:rFonts w:eastAsia="TimesNewRoman"/>
          <w:szCs w:val="22"/>
          <w:lang w:val="sk-SK"/>
        </w:rPr>
        <w:t xml:space="preserve">- </w:t>
      </w:r>
      <w:r w:rsidR="00EA730B">
        <w:rPr>
          <w:rFonts w:eastAsia="TimesNewRoman"/>
          <w:szCs w:val="22"/>
          <w:lang w:val="en-US"/>
        </w:rPr>
        <w:t>β</w:t>
      </w:r>
      <w:r w:rsidRPr="00F2328C">
        <w:rPr>
          <w:rFonts w:eastAsia="TimesNewRoman"/>
          <w:szCs w:val="22"/>
          <w:lang w:val="sk-SK"/>
        </w:rPr>
        <w:t xml:space="preserve">, ktorí boli liečení Glivecom, sa </w:t>
      </w:r>
      <w:r w:rsidR="00EA730B" w:rsidRPr="00F2328C">
        <w:rPr>
          <w:rFonts w:eastAsia="TimesNewRoman"/>
          <w:szCs w:val="22"/>
          <w:lang w:val="sk-SK"/>
        </w:rPr>
        <w:t>za účelom</w:t>
      </w:r>
      <w:r w:rsidR="000A778A" w:rsidRPr="00F2328C">
        <w:rPr>
          <w:rFonts w:eastAsia="TimesNewRoman"/>
          <w:szCs w:val="22"/>
          <w:lang w:val="sk-SK"/>
        </w:rPr>
        <w:t xml:space="preserve"> </w:t>
      </w:r>
      <w:r w:rsidRPr="00F2328C">
        <w:rPr>
          <w:rFonts w:eastAsia="TimesNewRoman"/>
          <w:szCs w:val="22"/>
          <w:lang w:val="sk-SK"/>
        </w:rPr>
        <w:t>zber</w:t>
      </w:r>
      <w:r w:rsidR="00EA730B" w:rsidRPr="00F2328C">
        <w:rPr>
          <w:rFonts w:eastAsia="TimesNewRoman"/>
          <w:szCs w:val="22"/>
          <w:lang w:val="sk-SK"/>
        </w:rPr>
        <w:t>u</w:t>
      </w:r>
      <w:r w:rsidRPr="00F2328C">
        <w:rPr>
          <w:rFonts w:eastAsia="TimesNewRoman"/>
          <w:szCs w:val="22"/>
          <w:lang w:val="sk-SK"/>
        </w:rPr>
        <w:t xml:space="preserve"> dlhodobých údajov o bezpečnosti</w:t>
      </w:r>
      <w:r w:rsidR="00EA730B" w:rsidRPr="00F2328C">
        <w:rPr>
          <w:rFonts w:eastAsia="TimesNewRoman"/>
          <w:szCs w:val="22"/>
          <w:lang w:val="sk-SK"/>
        </w:rPr>
        <w:t xml:space="preserve"> </w:t>
      </w:r>
      <w:r w:rsidRPr="00F2328C">
        <w:rPr>
          <w:rFonts w:eastAsia="TimesNewRoman"/>
          <w:szCs w:val="22"/>
          <w:lang w:val="sk-SK"/>
        </w:rPr>
        <w:t xml:space="preserve">a účinnosti vykonal observačný register </w:t>
      </w:r>
      <w:r w:rsidRPr="00F2328C">
        <w:rPr>
          <w:color w:val="000000"/>
          <w:szCs w:val="22"/>
          <w:lang w:val="sk-SK"/>
        </w:rPr>
        <w:t>(štúdia L2401)</w:t>
      </w:r>
      <w:r w:rsidRPr="00F2328C">
        <w:rPr>
          <w:rFonts w:eastAsia="TimesNewRoman"/>
          <w:szCs w:val="22"/>
          <w:lang w:val="sk-SK"/>
        </w:rPr>
        <w:t>.</w:t>
      </w:r>
      <w:r w:rsidRPr="00F2328C">
        <w:rPr>
          <w:color w:val="000000"/>
          <w:szCs w:val="22"/>
          <w:lang w:val="sk-SK"/>
        </w:rPr>
        <w:t xml:space="preserve"> 23 </w:t>
      </w:r>
      <w:r w:rsidR="00EA730B" w:rsidRPr="00F2328C">
        <w:rPr>
          <w:color w:val="000000"/>
          <w:szCs w:val="22"/>
          <w:lang w:val="sk-SK"/>
        </w:rPr>
        <w:t xml:space="preserve">pacientov zaradených v registri užilo Glivec s mediánom dennej dávky </w:t>
      </w:r>
      <w:r w:rsidRPr="00F2328C">
        <w:rPr>
          <w:color w:val="000000"/>
          <w:szCs w:val="22"/>
          <w:lang w:val="sk-SK"/>
        </w:rPr>
        <w:t>264 mg (r</w:t>
      </w:r>
      <w:r w:rsidR="00EA730B" w:rsidRPr="00F2328C">
        <w:rPr>
          <w:color w:val="000000"/>
          <w:szCs w:val="22"/>
          <w:lang w:val="sk-SK"/>
        </w:rPr>
        <w:t xml:space="preserve">ozsah </w:t>
      </w:r>
      <w:r w:rsidRPr="00F2328C">
        <w:rPr>
          <w:color w:val="000000"/>
          <w:szCs w:val="22"/>
          <w:lang w:val="sk-SK"/>
        </w:rPr>
        <w:t xml:space="preserve">100 </w:t>
      </w:r>
      <w:r w:rsidR="00EA730B" w:rsidRPr="00F2328C">
        <w:rPr>
          <w:color w:val="000000"/>
          <w:szCs w:val="22"/>
          <w:lang w:val="sk-SK"/>
        </w:rPr>
        <w:t>až</w:t>
      </w:r>
      <w:r w:rsidRPr="00F2328C">
        <w:rPr>
          <w:color w:val="000000"/>
          <w:szCs w:val="22"/>
          <w:lang w:val="sk-SK"/>
        </w:rPr>
        <w:t xml:space="preserve"> 400 mg) </w:t>
      </w:r>
      <w:r w:rsidR="00EA730B" w:rsidRPr="00F2328C">
        <w:rPr>
          <w:color w:val="000000"/>
          <w:szCs w:val="22"/>
          <w:lang w:val="sk-SK"/>
        </w:rPr>
        <w:t>a s mediánom trvania</w:t>
      </w:r>
      <w:r w:rsidRPr="00F2328C">
        <w:rPr>
          <w:color w:val="000000"/>
          <w:szCs w:val="22"/>
          <w:lang w:val="sk-SK"/>
        </w:rPr>
        <w:t xml:space="preserve"> 7</w:t>
      </w:r>
      <w:r w:rsidR="00EA730B" w:rsidRPr="00F2328C">
        <w:rPr>
          <w:color w:val="000000"/>
          <w:szCs w:val="22"/>
          <w:lang w:val="sk-SK"/>
        </w:rPr>
        <w:t>,</w:t>
      </w:r>
      <w:r w:rsidRPr="00F2328C">
        <w:rPr>
          <w:color w:val="000000"/>
          <w:szCs w:val="22"/>
          <w:lang w:val="sk-SK"/>
        </w:rPr>
        <w:t>2 </w:t>
      </w:r>
      <w:r w:rsidR="00EA730B" w:rsidRPr="00F2328C">
        <w:rPr>
          <w:color w:val="000000"/>
          <w:szCs w:val="22"/>
          <w:lang w:val="sk-SK"/>
        </w:rPr>
        <w:t>rokov</w:t>
      </w:r>
      <w:r w:rsidRPr="00F2328C">
        <w:rPr>
          <w:color w:val="000000"/>
          <w:szCs w:val="22"/>
          <w:lang w:val="sk-SK"/>
        </w:rPr>
        <w:t xml:space="preserve"> (r</w:t>
      </w:r>
      <w:r w:rsidR="00EA730B" w:rsidRPr="00F2328C">
        <w:rPr>
          <w:color w:val="000000"/>
          <w:szCs w:val="22"/>
          <w:lang w:val="sk-SK"/>
        </w:rPr>
        <w:t>ozsah</w:t>
      </w:r>
      <w:r w:rsidRPr="00F2328C">
        <w:rPr>
          <w:color w:val="000000"/>
          <w:szCs w:val="22"/>
          <w:lang w:val="sk-SK"/>
        </w:rPr>
        <w:t xml:space="preserve"> 0</w:t>
      </w:r>
      <w:r w:rsidR="00EA730B" w:rsidRPr="00F2328C">
        <w:rPr>
          <w:color w:val="000000"/>
          <w:szCs w:val="22"/>
          <w:lang w:val="sk-SK"/>
        </w:rPr>
        <w:t>,</w:t>
      </w:r>
      <w:r w:rsidRPr="00F2328C">
        <w:rPr>
          <w:color w:val="000000"/>
          <w:szCs w:val="22"/>
          <w:lang w:val="sk-SK"/>
        </w:rPr>
        <w:t xml:space="preserve">1 </w:t>
      </w:r>
      <w:r w:rsidR="00EA730B" w:rsidRPr="00F2328C">
        <w:rPr>
          <w:color w:val="000000"/>
          <w:szCs w:val="22"/>
          <w:lang w:val="sk-SK"/>
        </w:rPr>
        <w:t>až</w:t>
      </w:r>
      <w:r w:rsidRPr="00F2328C">
        <w:rPr>
          <w:color w:val="000000"/>
          <w:szCs w:val="22"/>
          <w:lang w:val="sk-SK"/>
        </w:rPr>
        <w:t xml:space="preserve"> 12</w:t>
      </w:r>
      <w:r w:rsidR="00EA730B" w:rsidRPr="00F2328C">
        <w:rPr>
          <w:color w:val="000000"/>
          <w:szCs w:val="22"/>
          <w:lang w:val="sk-SK"/>
        </w:rPr>
        <w:t>,</w:t>
      </w:r>
      <w:r w:rsidRPr="00F2328C">
        <w:rPr>
          <w:color w:val="000000"/>
          <w:szCs w:val="22"/>
          <w:lang w:val="sk-SK"/>
        </w:rPr>
        <w:t>7 </w:t>
      </w:r>
      <w:r w:rsidR="00EA730B" w:rsidRPr="00F2328C">
        <w:rPr>
          <w:color w:val="000000"/>
          <w:szCs w:val="22"/>
          <w:lang w:val="sk-SK"/>
        </w:rPr>
        <w:t>rokov</w:t>
      </w:r>
      <w:r w:rsidRPr="00F2328C">
        <w:rPr>
          <w:color w:val="000000"/>
          <w:szCs w:val="22"/>
          <w:lang w:val="sk-SK"/>
        </w:rPr>
        <w:t xml:space="preserve">). </w:t>
      </w:r>
      <w:r w:rsidR="00EA730B" w:rsidRPr="00F2328C">
        <w:rPr>
          <w:color w:val="000000"/>
          <w:szCs w:val="22"/>
          <w:lang w:val="sk-SK"/>
        </w:rPr>
        <w:t xml:space="preserve">Z ohľadom na observačný charakter registra boli hematologické, </w:t>
      </w:r>
      <w:r w:rsidRPr="00F2328C">
        <w:rPr>
          <w:rFonts w:eastAsia="TimesNewRoman"/>
          <w:szCs w:val="22"/>
          <w:lang w:val="sk-SK"/>
        </w:rPr>
        <w:t>cytogenetic</w:t>
      </w:r>
      <w:r w:rsidR="00EA730B" w:rsidRPr="00F2328C">
        <w:rPr>
          <w:rFonts w:eastAsia="TimesNewRoman"/>
          <w:szCs w:val="22"/>
          <w:lang w:val="sk-SK"/>
        </w:rPr>
        <w:t>ké</w:t>
      </w:r>
      <w:r w:rsidRPr="00F2328C">
        <w:rPr>
          <w:rFonts w:eastAsia="TimesNewRoman"/>
          <w:szCs w:val="22"/>
          <w:lang w:val="sk-SK"/>
        </w:rPr>
        <w:t xml:space="preserve"> a mole</w:t>
      </w:r>
      <w:r w:rsidR="00EA730B" w:rsidRPr="00F2328C">
        <w:rPr>
          <w:rFonts w:eastAsia="TimesNewRoman"/>
          <w:szCs w:val="22"/>
          <w:lang w:val="sk-SK"/>
        </w:rPr>
        <w:t>k</w:t>
      </w:r>
      <w:r w:rsidRPr="00F2328C">
        <w:rPr>
          <w:rFonts w:eastAsia="TimesNewRoman"/>
          <w:szCs w:val="22"/>
          <w:lang w:val="sk-SK"/>
        </w:rPr>
        <w:t>ul</w:t>
      </w:r>
      <w:r w:rsidR="00EA730B" w:rsidRPr="00F2328C">
        <w:rPr>
          <w:rFonts w:eastAsia="TimesNewRoman"/>
          <w:szCs w:val="22"/>
          <w:lang w:val="sk-SK"/>
        </w:rPr>
        <w:t xml:space="preserve">árne </w:t>
      </w:r>
      <w:r w:rsidRPr="00F2328C">
        <w:rPr>
          <w:rFonts w:eastAsia="TimesNewRoman"/>
          <w:szCs w:val="22"/>
          <w:lang w:val="sk-SK"/>
        </w:rPr>
        <w:t xml:space="preserve"> </w:t>
      </w:r>
      <w:bookmarkStart w:id="1" w:name="OLE_LINK8"/>
      <w:bookmarkStart w:id="2" w:name="OLE_LINK9"/>
      <w:r w:rsidR="00D87852" w:rsidRPr="00F2328C">
        <w:rPr>
          <w:rFonts w:eastAsia="TimesNewRoman"/>
          <w:szCs w:val="22"/>
          <w:lang w:val="sk-SK"/>
        </w:rPr>
        <w:t>údaje k hod</w:t>
      </w:r>
      <w:r w:rsidR="00657E19" w:rsidRPr="00F2328C">
        <w:rPr>
          <w:rFonts w:eastAsia="TimesNewRoman"/>
          <w:szCs w:val="22"/>
          <w:lang w:val="sk-SK"/>
        </w:rPr>
        <w:t>n</w:t>
      </w:r>
      <w:r w:rsidR="00D87852" w:rsidRPr="00F2328C">
        <w:rPr>
          <w:rFonts w:eastAsia="TimesNewRoman"/>
          <w:szCs w:val="22"/>
          <w:lang w:val="sk-SK"/>
        </w:rPr>
        <w:t xml:space="preserve">oteniu dostupné u </w:t>
      </w:r>
      <w:bookmarkEnd w:id="1"/>
      <w:bookmarkEnd w:id="2"/>
      <w:r w:rsidR="00D87852" w:rsidRPr="00F2328C">
        <w:rPr>
          <w:rFonts w:eastAsia="TimesNewRoman"/>
          <w:szCs w:val="22"/>
          <w:lang w:val="sk-SK"/>
        </w:rPr>
        <w:t>2</w:t>
      </w:r>
      <w:r w:rsidRPr="00F2328C">
        <w:rPr>
          <w:color w:val="000000"/>
          <w:szCs w:val="22"/>
          <w:lang w:val="sk-SK"/>
        </w:rPr>
        <w:t xml:space="preserve">2, 9 a 17 </w:t>
      </w:r>
      <w:r w:rsidR="00D87852" w:rsidRPr="00F2328C">
        <w:rPr>
          <w:color w:val="000000"/>
          <w:szCs w:val="22"/>
          <w:lang w:val="sk-SK"/>
        </w:rPr>
        <w:t xml:space="preserve">z </w:t>
      </w:r>
      <w:r w:rsidRPr="00F2328C">
        <w:rPr>
          <w:color w:val="000000"/>
          <w:szCs w:val="22"/>
          <w:lang w:val="sk-SK"/>
        </w:rPr>
        <w:t>23 </w:t>
      </w:r>
      <w:r w:rsidR="00D87852" w:rsidRPr="00F2328C">
        <w:rPr>
          <w:color w:val="000000"/>
          <w:szCs w:val="22"/>
          <w:lang w:val="sk-SK"/>
        </w:rPr>
        <w:t>zaradených pacientov, v uvedenom poradí</w:t>
      </w:r>
      <w:r w:rsidRPr="00F2328C">
        <w:rPr>
          <w:color w:val="000000"/>
          <w:szCs w:val="22"/>
          <w:lang w:val="sk-SK"/>
        </w:rPr>
        <w:t xml:space="preserve">. </w:t>
      </w:r>
      <w:r w:rsidR="00D87852" w:rsidRPr="00F2328C">
        <w:rPr>
          <w:color w:val="000000"/>
          <w:szCs w:val="22"/>
          <w:lang w:val="sk-SK"/>
        </w:rPr>
        <w:t>Za konzervatívneho pred</w:t>
      </w:r>
      <w:r w:rsidR="00657E19" w:rsidRPr="00F2328C">
        <w:rPr>
          <w:color w:val="000000"/>
          <w:szCs w:val="22"/>
          <w:lang w:val="sk-SK"/>
        </w:rPr>
        <w:t>p</w:t>
      </w:r>
      <w:r w:rsidR="00D87852" w:rsidRPr="00F2328C">
        <w:rPr>
          <w:color w:val="000000"/>
          <w:szCs w:val="22"/>
          <w:lang w:val="sk-SK"/>
        </w:rPr>
        <w:t>okladu, že pacienti s chýbajúc</w:t>
      </w:r>
      <w:r w:rsidR="00657E19" w:rsidRPr="00F2328C">
        <w:rPr>
          <w:color w:val="000000"/>
          <w:szCs w:val="22"/>
          <w:lang w:val="sk-SK"/>
        </w:rPr>
        <w:t>i</w:t>
      </w:r>
      <w:r w:rsidR="00D87852" w:rsidRPr="00F2328C">
        <w:rPr>
          <w:color w:val="000000"/>
          <w:szCs w:val="22"/>
          <w:lang w:val="sk-SK"/>
        </w:rPr>
        <w:t>mi údajmi nemali odpoveď na liečbu</w:t>
      </w:r>
      <w:r w:rsidRPr="00F2328C">
        <w:rPr>
          <w:color w:val="000000"/>
          <w:szCs w:val="22"/>
          <w:lang w:val="sk-SK"/>
        </w:rPr>
        <w:t xml:space="preserve">, </w:t>
      </w:r>
      <w:r w:rsidR="00D87852" w:rsidRPr="00F2328C">
        <w:rPr>
          <w:color w:val="000000"/>
          <w:szCs w:val="22"/>
          <w:lang w:val="sk-SK"/>
        </w:rPr>
        <w:t xml:space="preserve">sa </w:t>
      </w:r>
      <w:r w:rsidRPr="00F2328C">
        <w:rPr>
          <w:color w:val="000000"/>
          <w:szCs w:val="22"/>
          <w:lang w:val="sk-SK"/>
        </w:rPr>
        <w:t xml:space="preserve">CHR </w:t>
      </w:r>
      <w:r w:rsidR="00D87852" w:rsidRPr="00F2328C">
        <w:rPr>
          <w:color w:val="000000"/>
          <w:szCs w:val="22"/>
          <w:lang w:val="sk-SK"/>
        </w:rPr>
        <w:t>pozorovala u</w:t>
      </w:r>
      <w:r w:rsidRPr="00F2328C">
        <w:rPr>
          <w:color w:val="000000"/>
          <w:szCs w:val="22"/>
          <w:lang w:val="sk-SK"/>
        </w:rPr>
        <w:t xml:space="preserve"> 20</w:t>
      </w:r>
      <w:r w:rsidR="00D87852" w:rsidRPr="00F2328C">
        <w:rPr>
          <w:color w:val="000000"/>
          <w:szCs w:val="22"/>
          <w:lang w:val="sk-SK"/>
        </w:rPr>
        <w:t xml:space="preserve"> z </w:t>
      </w:r>
      <w:r w:rsidRPr="00F2328C">
        <w:rPr>
          <w:color w:val="000000"/>
          <w:szCs w:val="22"/>
          <w:lang w:val="sk-SK"/>
        </w:rPr>
        <w:t>23 (87</w:t>
      </w:r>
      <w:r w:rsidR="00D87852" w:rsidRPr="00F2328C">
        <w:rPr>
          <w:color w:val="000000"/>
          <w:szCs w:val="22"/>
          <w:lang w:val="sk-SK"/>
        </w:rPr>
        <w:t> </w:t>
      </w:r>
      <w:r w:rsidRPr="00F2328C">
        <w:rPr>
          <w:color w:val="000000"/>
          <w:szCs w:val="22"/>
          <w:lang w:val="sk-SK"/>
        </w:rPr>
        <w:t>%) pa</w:t>
      </w:r>
      <w:r w:rsidR="00D87852" w:rsidRPr="00F2328C">
        <w:rPr>
          <w:color w:val="000000"/>
          <w:szCs w:val="22"/>
          <w:lang w:val="sk-SK"/>
        </w:rPr>
        <w:t>c</w:t>
      </w:r>
      <w:r w:rsidRPr="00F2328C">
        <w:rPr>
          <w:color w:val="000000"/>
          <w:szCs w:val="22"/>
          <w:lang w:val="sk-SK"/>
        </w:rPr>
        <w:t>ient</w:t>
      </w:r>
      <w:r w:rsidR="00D87852" w:rsidRPr="00F2328C">
        <w:rPr>
          <w:color w:val="000000"/>
          <w:szCs w:val="22"/>
          <w:lang w:val="sk-SK"/>
        </w:rPr>
        <w:t>ov</w:t>
      </w:r>
      <w:r w:rsidRPr="00F2328C">
        <w:rPr>
          <w:color w:val="000000"/>
          <w:szCs w:val="22"/>
          <w:lang w:val="sk-SK"/>
        </w:rPr>
        <w:t xml:space="preserve">, CCyR </w:t>
      </w:r>
      <w:r w:rsidR="00D87852" w:rsidRPr="00F2328C">
        <w:rPr>
          <w:color w:val="000000"/>
          <w:szCs w:val="22"/>
          <w:lang w:val="sk-SK"/>
        </w:rPr>
        <w:t xml:space="preserve">u 9 z </w:t>
      </w:r>
      <w:r w:rsidRPr="00F2328C">
        <w:rPr>
          <w:color w:val="000000"/>
          <w:szCs w:val="22"/>
          <w:lang w:val="sk-SK"/>
        </w:rPr>
        <w:t>23 (39</w:t>
      </w:r>
      <w:r w:rsidR="00D87852" w:rsidRPr="00F2328C">
        <w:rPr>
          <w:color w:val="000000"/>
          <w:szCs w:val="22"/>
          <w:lang w:val="sk-SK"/>
        </w:rPr>
        <w:t>,</w:t>
      </w:r>
      <w:r w:rsidRPr="00F2328C">
        <w:rPr>
          <w:color w:val="000000"/>
          <w:szCs w:val="22"/>
          <w:lang w:val="sk-SK"/>
        </w:rPr>
        <w:t>1</w:t>
      </w:r>
      <w:r w:rsidR="00D87852" w:rsidRPr="00F2328C">
        <w:rPr>
          <w:color w:val="000000"/>
          <w:szCs w:val="22"/>
          <w:lang w:val="sk-SK"/>
        </w:rPr>
        <w:t> </w:t>
      </w:r>
      <w:r w:rsidRPr="00F2328C">
        <w:rPr>
          <w:color w:val="000000"/>
          <w:szCs w:val="22"/>
          <w:lang w:val="sk-SK"/>
        </w:rPr>
        <w:t>%) pa</w:t>
      </w:r>
      <w:r w:rsidR="00D87852" w:rsidRPr="00F2328C">
        <w:rPr>
          <w:color w:val="000000"/>
          <w:szCs w:val="22"/>
          <w:lang w:val="sk-SK"/>
        </w:rPr>
        <w:t>c</w:t>
      </w:r>
      <w:r w:rsidRPr="00F2328C">
        <w:rPr>
          <w:color w:val="000000"/>
          <w:szCs w:val="22"/>
          <w:lang w:val="sk-SK"/>
        </w:rPr>
        <w:t>ient</w:t>
      </w:r>
      <w:r w:rsidR="00D87852" w:rsidRPr="00F2328C">
        <w:rPr>
          <w:color w:val="000000"/>
          <w:szCs w:val="22"/>
          <w:lang w:val="sk-SK"/>
        </w:rPr>
        <w:t xml:space="preserve">ov </w:t>
      </w:r>
      <w:r w:rsidRPr="00F2328C">
        <w:rPr>
          <w:color w:val="000000"/>
          <w:szCs w:val="22"/>
          <w:lang w:val="sk-SK"/>
        </w:rPr>
        <w:t xml:space="preserve">a MR </w:t>
      </w:r>
      <w:r w:rsidR="00D87852" w:rsidRPr="00F2328C">
        <w:rPr>
          <w:color w:val="000000"/>
          <w:szCs w:val="22"/>
          <w:lang w:val="sk-SK"/>
        </w:rPr>
        <w:t xml:space="preserve">u </w:t>
      </w:r>
      <w:r w:rsidRPr="00F2328C">
        <w:rPr>
          <w:color w:val="000000"/>
          <w:szCs w:val="22"/>
          <w:lang w:val="sk-SK"/>
        </w:rPr>
        <w:t>11</w:t>
      </w:r>
      <w:r w:rsidR="00D87852" w:rsidRPr="00F2328C">
        <w:rPr>
          <w:color w:val="000000"/>
          <w:szCs w:val="22"/>
          <w:lang w:val="sk-SK"/>
        </w:rPr>
        <w:t xml:space="preserve"> z </w:t>
      </w:r>
      <w:r w:rsidRPr="00F2328C">
        <w:rPr>
          <w:color w:val="000000"/>
          <w:szCs w:val="22"/>
          <w:lang w:val="sk-SK"/>
        </w:rPr>
        <w:t>23 (47</w:t>
      </w:r>
      <w:r w:rsidR="00D87852" w:rsidRPr="00F2328C">
        <w:rPr>
          <w:color w:val="000000"/>
          <w:szCs w:val="22"/>
          <w:lang w:val="sk-SK"/>
        </w:rPr>
        <w:t>,</w:t>
      </w:r>
      <w:r w:rsidRPr="00F2328C">
        <w:rPr>
          <w:color w:val="000000"/>
          <w:szCs w:val="22"/>
          <w:lang w:val="sk-SK"/>
        </w:rPr>
        <w:t>8</w:t>
      </w:r>
      <w:r w:rsidR="00D87852" w:rsidRPr="00F2328C">
        <w:rPr>
          <w:color w:val="000000"/>
          <w:szCs w:val="22"/>
          <w:lang w:val="sk-SK"/>
        </w:rPr>
        <w:t> </w:t>
      </w:r>
      <w:r w:rsidRPr="00F2328C">
        <w:rPr>
          <w:color w:val="000000"/>
          <w:szCs w:val="22"/>
          <w:lang w:val="sk-SK"/>
        </w:rPr>
        <w:t>%) pa</w:t>
      </w:r>
      <w:r w:rsidR="00D87852" w:rsidRPr="00F2328C">
        <w:rPr>
          <w:color w:val="000000"/>
          <w:szCs w:val="22"/>
          <w:lang w:val="sk-SK"/>
        </w:rPr>
        <w:t>c</w:t>
      </w:r>
      <w:r w:rsidRPr="00F2328C">
        <w:rPr>
          <w:color w:val="000000"/>
          <w:szCs w:val="22"/>
          <w:lang w:val="sk-SK"/>
        </w:rPr>
        <w:t>ient</w:t>
      </w:r>
      <w:r w:rsidR="00D87852" w:rsidRPr="00F2328C">
        <w:rPr>
          <w:color w:val="000000"/>
          <w:szCs w:val="22"/>
          <w:lang w:val="sk-SK"/>
        </w:rPr>
        <w:t>ov v uvedenom poradí</w:t>
      </w:r>
      <w:r w:rsidRPr="00F2328C">
        <w:rPr>
          <w:color w:val="000000"/>
          <w:szCs w:val="22"/>
          <w:lang w:val="sk-SK"/>
        </w:rPr>
        <w:t xml:space="preserve">. </w:t>
      </w:r>
      <w:r w:rsidR="00776962" w:rsidRPr="00F2328C">
        <w:rPr>
          <w:color w:val="000000"/>
          <w:szCs w:val="22"/>
          <w:lang w:val="sk-SK"/>
        </w:rPr>
        <w:t xml:space="preserve">Ak by sa miera odpovede započítala u pacientov s aspoň jedným </w:t>
      </w:r>
      <w:r w:rsidR="00C91C04" w:rsidRPr="00F2328C">
        <w:rPr>
          <w:color w:val="000000"/>
          <w:szCs w:val="22"/>
          <w:lang w:val="sk-SK"/>
        </w:rPr>
        <w:t>platným</w:t>
      </w:r>
      <w:r w:rsidR="00776962" w:rsidRPr="00F2328C">
        <w:rPr>
          <w:color w:val="000000"/>
          <w:szCs w:val="22"/>
          <w:lang w:val="sk-SK"/>
        </w:rPr>
        <w:t xml:space="preserve"> hodnotením</w:t>
      </w:r>
      <w:r w:rsidRPr="00F2328C">
        <w:rPr>
          <w:color w:val="000000"/>
          <w:szCs w:val="22"/>
          <w:lang w:val="sk-SK"/>
        </w:rPr>
        <w:t xml:space="preserve">, </w:t>
      </w:r>
      <w:r w:rsidR="00776962" w:rsidRPr="00F2328C">
        <w:rPr>
          <w:color w:val="000000"/>
          <w:szCs w:val="22"/>
          <w:lang w:val="sk-SK"/>
        </w:rPr>
        <w:t>miera odpovede pre</w:t>
      </w:r>
      <w:r w:rsidRPr="00F2328C">
        <w:rPr>
          <w:color w:val="000000"/>
          <w:szCs w:val="22"/>
          <w:lang w:val="sk-SK"/>
        </w:rPr>
        <w:t xml:space="preserve"> CHR, CCyR a MR </w:t>
      </w:r>
      <w:r w:rsidR="00776962" w:rsidRPr="00F2328C">
        <w:rPr>
          <w:color w:val="000000"/>
          <w:szCs w:val="22"/>
          <w:lang w:val="sk-SK"/>
        </w:rPr>
        <w:t>bola</w:t>
      </w:r>
      <w:r w:rsidRPr="00F2328C">
        <w:rPr>
          <w:color w:val="000000"/>
          <w:szCs w:val="22"/>
          <w:lang w:val="sk-SK"/>
        </w:rPr>
        <w:t xml:space="preserve"> </w:t>
      </w:r>
      <w:r w:rsidR="0059143C" w:rsidRPr="00F2328C">
        <w:rPr>
          <w:color w:val="000000"/>
          <w:szCs w:val="22"/>
          <w:lang w:val="sk-SK"/>
        </w:rPr>
        <w:t>20</w:t>
      </w:r>
      <w:r w:rsidR="00776962" w:rsidRPr="00F2328C">
        <w:rPr>
          <w:color w:val="000000"/>
          <w:szCs w:val="22"/>
          <w:lang w:val="sk-SK"/>
        </w:rPr>
        <w:t xml:space="preserve"> z </w:t>
      </w:r>
      <w:r w:rsidRPr="00F2328C">
        <w:rPr>
          <w:color w:val="000000"/>
          <w:szCs w:val="22"/>
          <w:lang w:val="sk-SK"/>
        </w:rPr>
        <w:t>22 (90</w:t>
      </w:r>
      <w:r w:rsidR="00776962" w:rsidRPr="00F2328C">
        <w:rPr>
          <w:color w:val="000000"/>
          <w:szCs w:val="22"/>
          <w:lang w:val="sk-SK"/>
        </w:rPr>
        <w:t>,</w:t>
      </w:r>
      <w:r w:rsidRPr="00F2328C">
        <w:rPr>
          <w:color w:val="000000"/>
          <w:szCs w:val="22"/>
          <w:lang w:val="sk-SK"/>
        </w:rPr>
        <w:t>9</w:t>
      </w:r>
      <w:r w:rsidR="00776962" w:rsidRPr="00F2328C">
        <w:rPr>
          <w:color w:val="000000"/>
          <w:szCs w:val="22"/>
          <w:lang w:val="sk-SK"/>
        </w:rPr>
        <w:t> </w:t>
      </w:r>
      <w:r w:rsidRPr="00F2328C">
        <w:rPr>
          <w:color w:val="000000"/>
          <w:szCs w:val="22"/>
          <w:lang w:val="sk-SK"/>
        </w:rPr>
        <w:t>%), 9</w:t>
      </w:r>
      <w:r w:rsidR="00776962" w:rsidRPr="00F2328C">
        <w:rPr>
          <w:color w:val="000000"/>
          <w:szCs w:val="22"/>
          <w:lang w:val="sk-SK"/>
        </w:rPr>
        <w:t xml:space="preserve"> z </w:t>
      </w:r>
      <w:r w:rsidRPr="00F2328C">
        <w:rPr>
          <w:color w:val="000000"/>
          <w:szCs w:val="22"/>
          <w:lang w:val="sk-SK"/>
        </w:rPr>
        <w:t>9 (100</w:t>
      </w:r>
      <w:r w:rsidR="00776962" w:rsidRPr="00F2328C">
        <w:rPr>
          <w:color w:val="000000"/>
          <w:szCs w:val="22"/>
          <w:lang w:val="sk-SK"/>
        </w:rPr>
        <w:t> </w:t>
      </w:r>
      <w:r w:rsidRPr="00F2328C">
        <w:rPr>
          <w:color w:val="000000"/>
          <w:szCs w:val="22"/>
          <w:lang w:val="sk-SK"/>
        </w:rPr>
        <w:t>%) a 11</w:t>
      </w:r>
      <w:r w:rsidR="00776962" w:rsidRPr="00F2328C">
        <w:rPr>
          <w:color w:val="000000"/>
          <w:szCs w:val="22"/>
          <w:lang w:val="sk-SK"/>
        </w:rPr>
        <w:t xml:space="preserve"> zo 17 (64,7 </w:t>
      </w:r>
      <w:r w:rsidRPr="00F2328C">
        <w:rPr>
          <w:color w:val="000000"/>
          <w:szCs w:val="22"/>
          <w:lang w:val="sk-SK"/>
        </w:rPr>
        <w:t>%)</w:t>
      </w:r>
      <w:r w:rsidR="00776962" w:rsidRPr="00F2328C">
        <w:rPr>
          <w:color w:val="000000"/>
          <w:szCs w:val="22"/>
          <w:lang w:val="sk-SK"/>
        </w:rPr>
        <w:t xml:space="preserve"> v uvedenom poradí</w:t>
      </w:r>
      <w:r w:rsidRPr="00F2328C">
        <w:rPr>
          <w:color w:val="000000"/>
          <w:szCs w:val="22"/>
          <w:lang w:val="sk-SK"/>
        </w:rPr>
        <w:t>.</w:t>
      </w:r>
    </w:p>
    <w:p w14:paraId="32367F9B" w14:textId="77777777" w:rsidR="000B3754" w:rsidRPr="00F2328C" w:rsidRDefault="000B3754" w:rsidP="00D4304B">
      <w:pPr>
        <w:pStyle w:val="EndnoteText"/>
        <w:widowControl w:val="0"/>
        <w:tabs>
          <w:tab w:val="clear" w:pos="567"/>
          <w:tab w:val="left" w:pos="720"/>
        </w:tabs>
        <w:rPr>
          <w:color w:val="000000"/>
          <w:szCs w:val="22"/>
          <w:lang w:val="sk-SK" w:eastAsia="ja-JP"/>
        </w:rPr>
      </w:pPr>
    </w:p>
    <w:p w14:paraId="32367F9C" w14:textId="77777777" w:rsidR="00222674" w:rsidRPr="00C83045" w:rsidRDefault="00222674" w:rsidP="00D4304B">
      <w:pPr>
        <w:widowControl w:val="0"/>
        <w:ind w:left="0" w:firstLine="0"/>
        <w:rPr>
          <w:color w:val="000000"/>
          <w:szCs w:val="22"/>
        </w:rPr>
      </w:pPr>
      <w:r w:rsidRPr="00C83045">
        <w:rPr>
          <w:color w:val="000000"/>
          <w:szCs w:val="22"/>
        </w:rPr>
        <w:t>Okrem toho sú v 13 publikáciách správy o ďalších 24 pacientoch s </w:t>
      </w:r>
      <w:smartTag w:uri="urn:schemas-microsoft-com:office:smarttags" w:element="stockticker">
        <w:r w:rsidRPr="00C83045">
          <w:rPr>
            <w:color w:val="000000"/>
            <w:szCs w:val="22"/>
          </w:rPr>
          <w:t>MDS</w:t>
        </w:r>
      </w:smartTag>
      <w:r w:rsidRPr="00C83045">
        <w:rPr>
          <w:color w:val="000000"/>
          <w:szCs w:val="22"/>
        </w:rPr>
        <w:t xml:space="preserve">/MPD. Dvadsaťjeden pacientov dostávalo 400 mg Glivecu denne, zatiaľ čo ďalší 3 pacienti dostávali nižšie dávky. U jedenástich pacientov sa zistili preskupenia génu PDGFR, z toho 9 dosiahlo </w:t>
      </w:r>
      <w:smartTag w:uri="urn:schemas-microsoft-com:office:smarttags" w:element="stockticker">
        <w:r w:rsidRPr="00C83045">
          <w:rPr>
            <w:color w:val="000000"/>
            <w:szCs w:val="22"/>
          </w:rPr>
          <w:t>CHR</w:t>
        </w:r>
      </w:smartTag>
      <w:r w:rsidRPr="00C83045">
        <w:rPr>
          <w:color w:val="000000"/>
          <w:szCs w:val="22"/>
        </w:rPr>
        <w:t xml:space="preserve"> a 1 </w:t>
      </w:r>
      <w:smartTag w:uri="urn:schemas-microsoft-com:office:smarttags" w:element="stockticker">
        <w:r w:rsidRPr="00C83045">
          <w:rPr>
            <w:color w:val="000000"/>
            <w:szCs w:val="22"/>
          </w:rPr>
          <w:t>PHR</w:t>
        </w:r>
      </w:smartTag>
      <w:r w:rsidRPr="00C83045">
        <w:rPr>
          <w:color w:val="000000"/>
          <w:szCs w:val="22"/>
        </w:rPr>
        <w:t>. Vek týchto pacientov bol v rozmedzí od 2 do 79 rokov. Nedávno publikovaná aktualizovaná informácia o 6 z týchto 11 pacientov ukázala, že všetci títo pacienti zost</w:t>
      </w:r>
      <w:r w:rsidR="0098145B" w:rsidRPr="00C83045">
        <w:rPr>
          <w:color w:val="000000"/>
          <w:szCs w:val="22"/>
        </w:rPr>
        <w:t xml:space="preserve">ali </w:t>
      </w:r>
      <w:r w:rsidRPr="00C83045">
        <w:rPr>
          <w:color w:val="000000"/>
          <w:szCs w:val="22"/>
        </w:rPr>
        <w:t>v cytogenetickej remisii (rozmedzie 32</w:t>
      </w:r>
      <w:r w:rsidRPr="00C83045">
        <w:rPr>
          <w:color w:val="000000"/>
          <w:szCs w:val="22"/>
        </w:rPr>
        <w:noBreakHyphen/>
        <w:t>38 mesiacov). Tá istá publikácia priniesla údaje o dlhodobom následnom sledovaní 12 pacientov s </w:t>
      </w:r>
      <w:smartTag w:uri="urn:schemas-microsoft-com:office:smarttags" w:element="stockticker">
        <w:r w:rsidRPr="00C83045">
          <w:rPr>
            <w:color w:val="000000"/>
            <w:szCs w:val="22"/>
          </w:rPr>
          <w:t>MDS</w:t>
        </w:r>
      </w:smartTag>
      <w:r w:rsidRPr="00C83045">
        <w:rPr>
          <w:color w:val="000000"/>
          <w:szCs w:val="22"/>
        </w:rPr>
        <w:t>/MPD s preskupeniami génu PDGFR (5 pacient</w:t>
      </w:r>
      <w:r w:rsidR="00E06D6E" w:rsidRPr="00C83045">
        <w:rPr>
          <w:color w:val="000000"/>
          <w:szCs w:val="22"/>
        </w:rPr>
        <w:t>ov</w:t>
      </w:r>
      <w:r w:rsidRPr="00C83045">
        <w:rPr>
          <w:color w:val="000000"/>
          <w:szCs w:val="22"/>
        </w:rPr>
        <w:t xml:space="preserve"> zo štúdie B22</w:t>
      </w:r>
      <w:r w:rsidR="00D47298" w:rsidRPr="00C83045">
        <w:rPr>
          <w:color w:val="000000"/>
          <w:szCs w:val="22"/>
        </w:rPr>
        <w:t>25). Medián podávania Glivecu tý</w:t>
      </w:r>
      <w:r w:rsidRPr="00C83045">
        <w:rPr>
          <w:color w:val="000000"/>
          <w:szCs w:val="22"/>
        </w:rPr>
        <w:t xml:space="preserve">mto pacientom bol 47 mesiacov (rozmedzie 24 dní – 60 mesiacov). U 6 z týchto pacientov následné sledovanie trvá už viac ako 4 roky. Jedenásť pacientov dosiahlo rýchlu </w:t>
      </w:r>
      <w:smartTag w:uri="urn:schemas-microsoft-com:office:smarttags" w:element="stockticker">
        <w:r w:rsidRPr="00C83045">
          <w:rPr>
            <w:color w:val="000000"/>
            <w:szCs w:val="22"/>
          </w:rPr>
          <w:t>CHR</w:t>
        </w:r>
      </w:smartTag>
      <w:r w:rsidRPr="00C83045">
        <w:rPr>
          <w:color w:val="000000"/>
          <w:szCs w:val="22"/>
        </w:rPr>
        <w:t>; u desiatich došlo k úplnému vymiznutiu cytogenetických abnormalít a poklesu alebo zmiznutiu fúznych transkriptov stanovených prostredníctvom RT-</w:t>
      </w:r>
      <w:smartTag w:uri="urn:schemas-microsoft-com:office:smarttags" w:element="stockticker">
        <w:r w:rsidRPr="00C83045">
          <w:rPr>
            <w:color w:val="000000"/>
            <w:szCs w:val="22"/>
          </w:rPr>
          <w:t>PCR</w:t>
        </w:r>
      </w:smartTag>
      <w:r w:rsidRPr="00C83045">
        <w:rPr>
          <w:color w:val="000000"/>
          <w:szCs w:val="22"/>
        </w:rPr>
        <w:t>. Medián zachovania hematologickej odpovede bol 49 mesiacov (rozmedzie 19</w:t>
      </w:r>
      <w:r w:rsidRPr="00C83045">
        <w:rPr>
          <w:color w:val="000000"/>
          <w:szCs w:val="22"/>
        </w:rPr>
        <w:noBreakHyphen/>
        <w:t>60) a cytogenetickej odpovede 47 mesiacov (rozmedzie 16</w:t>
      </w:r>
      <w:r w:rsidRPr="00C83045">
        <w:rPr>
          <w:color w:val="000000"/>
          <w:szCs w:val="22"/>
        </w:rPr>
        <w:noBreakHyphen/>
        <w:t>59). Celkové prežívanie je 6</w:t>
      </w:r>
      <w:r w:rsidR="00E06D6E" w:rsidRPr="00C83045">
        <w:rPr>
          <w:color w:val="000000"/>
          <w:szCs w:val="22"/>
        </w:rPr>
        <w:t>5</w:t>
      </w:r>
      <w:r w:rsidRPr="00C83045">
        <w:rPr>
          <w:color w:val="000000"/>
          <w:szCs w:val="22"/>
        </w:rPr>
        <w:t> mesiacov od stanovenia diagnózy (rozmedzie 25</w:t>
      </w:r>
      <w:r w:rsidRPr="00C83045">
        <w:rPr>
          <w:color w:val="000000"/>
          <w:szCs w:val="22"/>
        </w:rPr>
        <w:noBreakHyphen/>
        <w:t>234). Podávanie Glivecu pacientom bez génovej translokácie spravi</w:t>
      </w:r>
      <w:r w:rsidR="00D47298" w:rsidRPr="00C83045">
        <w:rPr>
          <w:color w:val="000000"/>
          <w:szCs w:val="22"/>
        </w:rPr>
        <w:t>dla neprináša žiadne zlepšenie.</w:t>
      </w:r>
    </w:p>
    <w:p w14:paraId="32367F9D" w14:textId="77777777" w:rsidR="00046ED1" w:rsidRPr="00C83045" w:rsidRDefault="00046ED1" w:rsidP="00D4304B">
      <w:pPr>
        <w:pStyle w:val="EndnoteText"/>
        <w:widowControl w:val="0"/>
        <w:tabs>
          <w:tab w:val="clear" w:pos="567"/>
        </w:tabs>
        <w:rPr>
          <w:color w:val="000000"/>
          <w:szCs w:val="22"/>
          <w:lang w:val="sk-SK"/>
        </w:rPr>
      </w:pPr>
    </w:p>
    <w:p w14:paraId="32367F9E" w14:textId="77777777" w:rsidR="00181051" w:rsidRPr="00C83045" w:rsidRDefault="00181051" w:rsidP="00D4304B">
      <w:pPr>
        <w:pStyle w:val="EndnoteText"/>
        <w:widowControl w:val="0"/>
        <w:tabs>
          <w:tab w:val="clear" w:pos="567"/>
        </w:tabs>
        <w:rPr>
          <w:color w:val="000000"/>
          <w:szCs w:val="22"/>
          <w:lang w:val="sk-SK"/>
        </w:rPr>
      </w:pPr>
      <w:r w:rsidRPr="00C83045">
        <w:rPr>
          <w:color w:val="000000"/>
          <w:szCs w:val="22"/>
          <w:lang w:val="sk-SK"/>
        </w:rPr>
        <w:t>U pediatrických pacientov s MDS/MPD nie sú kontrolované k</w:t>
      </w:r>
      <w:r w:rsidR="00A314BC" w:rsidRPr="00C83045">
        <w:rPr>
          <w:color w:val="000000"/>
          <w:szCs w:val="22"/>
          <w:lang w:val="sk-SK"/>
        </w:rPr>
        <w:t>linické skúšania. V 4 publikáciá</w:t>
      </w:r>
      <w:r w:rsidRPr="00C83045">
        <w:rPr>
          <w:color w:val="000000"/>
          <w:szCs w:val="22"/>
          <w:lang w:val="sk-SK"/>
        </w:rPr>
        <w:t xml:space="preserve">ch </w:t>
      </w:r>
      <w:r w:rsidR="0082235A" w:rsidRPr="00C83045">
        <w:rPr>
          <w:color w:val="000000"/>
          <w:szCs w:val="22"/>
          <w:lang w:val="sk-SK"/>
        </w:rPr>
        <w:t>boli správy o 5 pacientoch s MDS/MPD spojenými s</w:t>
      </w:r>
      <w:r w:rsidR="00536439" w:rsidRPr="00C83045">
        <w:rPr>
          <w:color w:val="000000"/>
          <w:szCs w:val="22"/>
          <w:lang w:val="sk-SK"/>
        </w:rPr>
        <w:t xml:space="preserve"> </w:t>
      </w:r>
      <w:r w:rsidR="0082235A" w:rsidRPr="00C83045">
        <w:rPr>
          <w:color w:val="000000"/>
          <w:szCs w:val="22"/>
          <w:lang w:val="sk-SK"/>
        </w:rPr>
        <w:t>preskupeniami génu PDGFR. Vek týchto pacientov bol v rozmedzí od 3 mesiacov do 4 roko</w:t>
      </w:r>
      <w:r w:rsidR="003C6CE4" w:rsidRPr="00C83045">
        <w:rPr>
          <w:color w:val="000000"/>
          <w:szCs w:val="22"/>
          <w:lang w:val="sk-SK"/>
        </w:rPr>
        <w:t>v</w:t>
      </w:r>
      <w:r w:rsidR="0082235A" w:rsidRPr="00C83045">
        <w:rPr>
          <w:color w:val="000000"/>
          <w:szCs w:val="22"/>
          <w:lang w:val="sk-SK"/>
        </w:rPr>
        <w:t xml:space="preserve"> a imatinib sa </w:t>
      </w:r>
      <w:r w:rsidR="00536439" w:rsidRPr="00C83045">
        <w:rPr>
          <w:color w:val="000000"/>
          <w:szCs w:val="22"/>
          <w:lang w:val="sk-SK"/>
        </w:rPr>
        <w:t xml:space="preserve">im </w:t>
      </w:r>
      <w:r w:rsidR="0082235A" w:rsidRPr="00C83045">
        <w:rPr>
          <w:color w:val="000000"/>
          <w:szCs w:val="22"/>
          <w:lang w:val="sk-SK"/>
        </w:rPr>
        <w:t>podával v dávk</w:t>
      </w:r>
      <w:r w:rsidR="00F13069" w:rsidRPr="00C83045">
        <w:rPr>
          <w:color w:val="000000"/>
          <w:szCs w:val="22"/>
          <w:lang w:val="sk-SK"/>
        </w:rPr>
        <w:t>e</w:t>
      </w:r>
      <w:r w:rsidR="0082235A" w:rsidRPr="00C83045">
        <w:rPr>
          <w:color w:val="000000"/>
          <w:szCs w:val="22"/>
          <w:lang w:val="sk-SK"/>
        </w:rPr>
        <w:t xml:space="preserve"> </w:t>
      </w:r>
      <w:r w:rsidR="00F13069" w:rsidRPr="00C83045">
        <w:rPr>
          <w:color w:val="000000"/>
          <w:szCs w:val="22"/>
          <w:lang w:val="sk-SK"/>
        </w:rPr>
        <w:t xml:space="preserve">50 mg denne alebo v dávkach </w:t>
      </w:r>
      <w:r w:rsidR="0082235A" w:rsidRPr="00C83045">
        <w:rPr>
          <w:color w:val="000000"/>
          <w:szCs w:val="22"/>
          <w:lang w:val="sk-SK"/>
        </w:rPr>
        <w:t>od 92,5 do 340 mg/m</w:t>
      </w:r>
      <w:r w:rsidR="0082235A" w:rsidRPr="00C83045">
        <w:rPr>
          <w:color w:val="000000"/>
          <w:szCs w:val="22"/>
          <w:vertAlign w:val="superscript"/>
          <w:lang w:val="sk-SK"/>
        </w:rPr>
        <w:t>2</w:t>
      </w:r>
      <w:r w:rsidR="0082235A" w:rsidRPr="00C83045">
        <w:rPr>
          <w:color w:val="000000"/>
          <w:szCs w:val="22"/>
          <w:lang w:val="sk-SK"/>
        </w:rPr>
        <w:t xml:space="preserve"> d</w:t>
      </w:r>
      <w:r w:rsidR="00536439" w:rsidRPr="00C83045">
        <w:rPr>
          <w:color w:val="000000"/>
          <w:szCs w:val="22"/>
          <w:lang w:val="sk-SK"/>
        </w:rPr>
        <w:t>enne</w:t>
      </w:r>
      <w:r w:rsidR="0082235A" w:rsidRPr="00C83045">
        <w:rPr>
          <w:color w:val="000000"/>
          <w:szCs w:val="22"/>
          <w:lang w:val="sk-SK"/>
        </w:rPr>
        <w:t>.</w:t>
      </w:r>
      <w:r w:rsidR="00536439" w:rsidRPr="00C83045">
        <w:rPr>
          <w:color w:val="000000"/>
          <w:szCs w:val="22"/>
          <w:lang w:val="sk-SK"/>
        </w:rPr>
        <w:t xml:space="preserve"> </w:t>
      </w:r>
      <w:r w:rsidR="00723902" w:rsidRPr="00C83045">
        <w:rPr>
          <w:color w:val="000000"/>
          <w:szCs w:val="22"/>
          <w:lang w:val="sk-SK"/>
        </w:rPr>
        <w:t>V</w:t>
      </w:r>
      <w:r w:rsidR="00536439" w:rsidRPr="00C83045">
        <w:rPr>
          <w:color w:val="000000"/>
          <w:szCs w:val="22"/>
          <w:lang w:val="sk-SK"/>
        </w:rPr>
        <w:t>šet</w:t>
      </w:r>
      <w:r w:rsidR="00723902" w:rsidRPr="00C83045">
        <w:rPr>
          <w:color w:val="000000"/>
          <w:szCs w:val="22"/>
          <w:lang w:val="sk-SK"/>
        </w:rPr>
        <w:t>ci</w:t>
      </w:r>
      <w:r w:rsidR="00536439" w:rsidRPr="00C83045">
        <w:rPr>
          <w:color w:val="000000"/>
          <w:szCs w:val="22"/>
          <w:lang w:val="sk-SK"/>
        </w:rPr>
        <w:t xml:space="preserve"> pacient</w:t>
      </w:r>
      <w:r w:rsidR="00723902" w:rsidRPr="00C83045">
        <w:rPr>
          <w:color w:val="000000"/>
          <w:szCs w:val="22"/>
          <w:lang w:val="sk-SK"/>
        </w:rPr>
        <w:t>i</w:t>
      </w:r>
      <w:r w:rsidR="00536439" w:rsidRPr="00C83045">
        <w:rPr>
          <w:color w:val="000000"/>
          <w:szCs w:val="22"/>
          <w:lang w:val="sk-SK"/>
        </w:rPr>
        <w:t xml:space="preserve"> dosiahl</w:t>
      </w:r>
      <w:r w:rsidR="00723902" w:rsidRPr="00C83045">
        <w:rPr>
          <w:color w:val="000000"/>
          <w:szCs w:val="22"/>
          <w:lang w:val="sk-SK"/>
        </w:rPr>
        <w:t>i</w:t>
      </w:r>
      <w:r w:rsidR="00536439" w:rsidRPr="00C83045">
        <w:rPr>
          <w:color w:val="000000"/>
          <w:szCs w:val="22"/>
          <w:lang w:val="sk-SK"/>
        </w:rPr>
        <w:t xml:space="preserve"> </w:t>
      </w:r>
      <w:r w:rsidR="00723902" w:rsidRPr="00C83045">
        <w:rPr>
          <w:color w:val="000000"/>
          <w:szCs w:val="22"/>
          <w:lang w:val="sk-SK"/>
        </w:rPr>
        <w:t>kompletnú</w:t>
      </w:r>
      <w:r w:rsidR="00536439" w:rsidRPr="00C83045">
        <w:rPr>
          <w:color w:val="000000"/>
          <w:szCs w:val="22"/>
          <w:lang w:val="sk-SK"/>
        </w:rPr>
        <w:t xml:space="preserve"> hematologick</w:t>
      </w:r>
      <w:r w:rsidR="00723902" w:rsidRPr="00C83045">
        <w:rPr>
          <w:color w:val="000000"/>
          <w:szCs w:val="22"/>
          <w:lang w:val="sk-SK"/>
        </w:rPr>
        <w:t>ú</w:t>
      </w:r>
      <w:r w:rsidR="00536439" w:rsidRPr="00C83045">
        <w:rPr>
          <w:color w:val="000000"/>
          <w:szCs w:val="22"/>
          <w:lang w:val="sk-SK"/>
        </w:rPr>
        <w:t xml:space="preserve"> odpoveď, cytogenetick</w:t>
      </w:r>
      <w:r w:rsidR="00723902" w:rsidRPr="00C83045">
        <w:rPr>
          <w:color w:val="000000"/>
          <w:szCs w:val="22"/>
          <w:lang w:val="sk-SK"/>
        </w:rPr>
        <w:t>ú</w:t>
      </w:r>
      <w:r w:rsidR="00536439" w:rsidRPr="00C83045">
        <w:rPr>
          <w:color w:val="000000"/>
          <w:szCs w:val="22"/>
          <w:lang w:val="sk-SK"/>
        </w:rPr>
        <w:t xml:space="preserve"> odpoveď a/alebo klinick</w:t>
      </w:r>
      <w:r w:rsidR="00723902" w:rsidRPr="00C83045">
        <w:rPr>
          <w:color w:val="000000"/>
          <w:szCs w:val="22"/>
          <w:lang w:val="sk-SK"/>
        </w:rPr>
        <w:t>ú</w:t>
      </w:r>
      <w:r w:rsidR="00536439" w:rsidRPr="00C83045">
        <w:rPr>
          <w:color w:val="000000"/>
          <w:szCs w:val="22"/>
          <w:lang w:val="sk-SK"/>
        </w:rPr>
        <w:t xml:space="preserve"> odpoveď.</w:t>
      </w:r>
    </w:p>
    <w:p w14:paraId="32367F9F" w14:textId="77777777" w:rsidR="000E5202" w:rsidRPr="00C83045" w:rsidRDefault="000E5202" w:rsidP="00D4304B">
      <w:pPr>
        <w:widowControl w:val="0"/>
        <w:ind w:left="0" w:firstLine="0"/>
        <w:rPr>
          <w:color w:val="000000"/>
          <w:szCs w:val="22"/>
          <w:u w:val="single"/>
        </w:rPr>
      </w:pPr>
    </w:p>
    <w:p w14:paraId="32367FA0" w14:textId="77777777" w:rsidR="00506B22" w:rsidRPr="00C83045" w:rsidRDefault="00506B22" w:rsidP="00D4304B">
      <w:pPr>
        <w:pStyle w:val="EndnoteText"/>
        <w:keepNext/>
        <w:widowControl w:val="0"/>
        <w:tabs>
          <w:tab w:val="clear" w:pos="567"/>
        </w:tabs>
        <w:rPr>
          <w:color w:val="000000"/>
          <w:szCs w:val="22"/>
          <w:u w:val="single"/>
          <w:lang w:val="sk-SK"/>
        </w:rPr>
      </w:pPr>
      <w:r w:rsidRPr="00C83045">
        <w:rPr>
          <w:color w:val="000000"/>
          <w:szCs w:val="22"/>
          <w:u w:val="single"/>
          <w:lang w:val="sk-SK"/>
        </w:rPr>
        <w:t>Klinické skúšania pri HES/</w:t>
      </w:r>
      <w:smartTag w:uri="urn:schemas-microsoft-com:office:smarttags" w:element="stockticker">
        <w:r w:rsidRPr="00C83045">
          <w:rPr>
            <w:color w:val="000000"/>
            <w:szCs w:val="22"/>
            <w:u w:val="single"/>
            <w:lang w:val="sk-SK"/>
          </w:rPr>
          <w:t>CEL</w:t>
        </w:r>
      </w:smartTag>
    </w:p>
    <w:p w14:paraId="32367FA1" w14:textId="77777777" w:rsidR="00506B22" w:rsidRPr="00C83045" w:rsidRDefault="00506B22" w:rsidP="00D4304B">
      <w:pPr>
        <w:pStyle w:val="Text"/>
        <w:widowControl w:val="0"/>
        <w:spacing w:before="0"/>
        <w:jc w:val="left"/>
        <w:rPr>
          <w:color w:val="000000"/>
          <w:sz w:val="22"/>
          <w:szCs w:val="22"/>
          <w:lang w:val="sk-SK"/>
        </w:rPr>
      </w:pPr>
      <w:r w:rsidRPr="00C83045">
        <w:rPr>
          <w:color w:val="000000"/>
          <w:sz w:val="22"/>
          <w:szCs w:val="22"/>
          <w:lang w:val="sk-SK"/>
        </w:rPr>
        <w:t xml:space="preserve">V jednom otvorenom, multicentrickom klinickom skúšaní fázy II (štúdia B2225) sa testoval Glivec u rôznych populácií pacientov s ochoreniami ohrozujúcimi život, ktoré súvisia s proteíntyrozínkinázami Abl, Kit alebo PDGFR. V tomto klinickom skúšaní sa 14 pacientom s </w:t>
      </w:r>
      <w:r w:rsidRPr="00C83045">
        <w:rPr>
          <w:rFonts w:eastAsia="MS Mincho"/>
          <w:color w:val="000000"/>
          <w:sz w:val="22"/>
          <w:szCs w:val="22"/>
          <w:lang w:val="sk-SK" w:eastAsia="ja-JP"/>
        </w:rPr>
        <w:t>HES/</w:t>
      </w:r>
      <w:smartTag w:uri="urn:schemas-microsoft-com:office:smarttags" w:element="stockticker">
        <w:r w:rsidRPr="00C83045">
          <w:rPr>
            <w:rFonts w:eastAsia="MS Mincho"/>
            <w:color w:val="000000"/>
            <w:sz w:val="22"/>
            <w:szCs w:val="22"/>
            <w:lang w:val="sk-SK" w:eastAsia="ja-JP"/>
          </w:rPr>
          <w:t>CEL</w:t>
        </w:r>
      </w:smartTag>
      <w:r w:rsidRPr="00C83045">
        <w:rPr>
          <w:rFonts w:eastAsia="MS Mincho"/>
          <w:color w:val="000000"/>
          <w:sz w:val="22"/>
          <w:szCs w:val="22"/>
          <w:lang w:val="sk-SK" w:eastAsia="ja-JP"/>
        </w:rPr>
        <w:t xml:space="preserve"> </w:t>
      </w:r>
      <w:r w:rsidRPr="00C83045">
        <w:rPr>
          <w:color w:val="000000"/>
          <w:sz w:val="22"/>
          <w:szCs w:val="22"/>
          <w:lang w:val="sk-SK"/>
        </w:rPr>
        <w:t xml:space="preserve">podávalo 100 mg až 1 000 mg Glivecu denne. Ďalších 162 pacientov s </w:t>
      </w:r>
      <w:r w:rsidRPr="00C83045">
        <w:rPr>
          <w:rFonts w:eastAsia="MS Mincho"/>
          <w:color w:val="000000"/>
          <w:sz w:val="22"/>
          <w:szCs w:val="22"/>
          <w:lang w:val="sk-SK" w:eastAsia="ja-JP"/>
        </w:rPr>
        <w:t>HES/</w:t>
      </w:r>
      <w:smartTag w:uri="urn:schemas-microsoft-com:office:smarttags" w:element="stockticker">
        <w:r w:rsidRPr="00C83045">
          <w:rPr>
            <w:rFonts w:eastAsia="MS Mincho"/>
            <w:color w:val="000000"/>
            <w:sz w:val="22"/>
            <w:szCs w:val="22"/>
            <w:lang w:val="sk-SK" w:eastAsia="ja-JP"/>
          </w:rPr>
          <w:t>CEL</w:t>
        </w:r>
      </w:smartTag>
      <w:r w:rsidRPr="00C83045">
        <w:rPr>
          <w:rFonts w:eastAsia="MS Mincho"/>
          <w:color w:val="000000"/>
          <w:sz w:val="22"/>
          <w:szCs w:val="22"/>
          <w:lang w:val="sk-SK" w:eastAsia="ja-JP"/>
        </w:rPr>
        <w:t xml:space="preserve">, o ktorých </w:t>
      </w:r>
      <w:r w:rsidRPr="00C83045">
        <w:rPr>
          <w:rFonts w:eastAsia="MS Mincho"/>
          <w:color w:val="000000"/>
          <w:sz w:val="22"/>
          <w:szCs w:val="22"/>
          <w:lang w:val="sk-SK" w:eastAsia="ja-JP"/>
        </w:rPr>
        <w:lastRenderedPageBreak/>
        <w:t xml:space="preserve">boli správy </w:t>
      </w:r>
      <w:r w:rsidRPr="00C83045">
        <w:rPr>
          <w:color w:val="000000"/>
          <w:sz w:val="22"/>
          <w:szCs w:val="22"/>
          <w:lang w:val="sk-SK"/>
        </w:rPr>
        <w:t xml:space="preserve">v 35 publikovaných hláseniach o prípadoch a skupinách prípadov, dostávalo Glivec v dávkach </w:t>
      </w:r>
      <w:r w:rsidR="00E06D6E" w:rsidRPr="00C83045">
        <w:rPr>
          <w:color w:val="000000"/>
          <w:sz w:val="22"/>
          <w:szCs w:val="22"/>
          <w:lang w:val="sk-SK"/>
        </w:rPr>
        <w:t xml:space="preserve">od </w:t>
      </w:r>
      <w:r w:rsidRPr="00C83045">
        <w:rPr>
          <w:color w:val="000000"/>
          <w:sz w:val="22"/>
          <w:szCs w:val="22"/>
          <w:lang w:val="sk-SK"/>
        </w:rPr>
        <w:t xml:space="preserve">75 mg </w:t>
      </w:r>
      <w:r w:rsidR="00E06D6E" w:rsidRPr="00C83045">
        <w:rPr>
          <w:color w:val="000000"/>
          <w:sz w:val="22"/>
          <w:szCs w:val="22"/>
          <w:lang w:val="sk-SK"/>
        </w:rPr>
        <w:t>do</w:t>
      </w:r>
      <w:r w:rsidRPr="00C83045">
        <w:rPr>
          <w:color w:val="000000"/>
          <w:sz w:val="22"/>
          <w:szCs w:val="22"/>
          <w:lang w:val="sk-SK"/>
        </w:rPr>
        <w:t xml:space="preserve"> 800 mg denne. Cytogenetické abnormality sa vyhodnotili u 117 z celkovej populácie 176 pacientov. U 61 z týchto 117 pacientov sa zistila fúzna kináza FIP1L1-PDGFRα. U ďalších štyroch pacientov s HES v iných 3 publikovaných správach sa zistila pozitivita FIP1L1-PDGFRα. Všetkých 65 pacientov s pozitivitou fúznej kinázy FIP1L1-PDGFRα dosiahlo </w:t>
      </w:r>
      <w:smartTag w:uri="urn:schemas-microsoft-com:office:smarttags" w:element="stockticker">
        <w:r w:rsidRPr="00C83045">
          <w:rPr>
            <w:color w:val="000000"/>
            <w:sz w:val="22"/>
            <w:szCs w:val="22"/>
            <w:lang w:val="sk-SK"/>
          </w:rPr>
          <w:t>CHR</w:t>
        </w:r>
      </w:smartTag>
      <w:r w:rsidRPr="00C83045">
        <w:rPr>
          <w:color w:val="000000"/>
          <w:sz w:val="22"/>
          <w:szCs w:val="22"/>
          <w:lang w:val="sk-SK"/>
        </w:rPr>
        <w:t>, ktorá sa zachovala mesiace (rozmedzie od 1+ do 44+ mesiacov prehodnotené v čase správy). Podľa nedávno publikovanej správy 21 z týchto 65 pacientov dosiahlo tiež kompletnú molekulárnu remisiu s mediánom následného sledovania 28 mesiacov (rozmedzie 13</w:t>
      </w:r>
      <w:r w:rsidRPr="00C83045">
        <w:rPr>
          <w:color w:val="000000"/>
          <w:sz w:val="22"/>
          <w:szCs w:val="22"/>
          <w:lang w:val="sk-SK"/>
        </w:rPr>
        <w:noBreakHyphen/>
        <w:t>67 mesiacov). Vek týchto pacientov bol v rozmedzí od 25 do 72 rokov. Okrem toho skúšajúci lekári zaznamenali v hláseniach o prípadoch z</w:t>
      </w:r>
      <w:r w:rsidR="00F1694F" w:rsidRPr="00C83045">
        <w:rPr>
          <w:color w:val="000000"/>
          <w:sz w:val="22"/>
          <w:szCs w:val="22"/>
          <w:lang w:val="sk-SK"/>
        </w:rPr>
        <w:t>lepšenie</w:t>
      </w:r>
      <w:r w:rsidRPr="00C83045">
        <w:rPr>
          <w:color w:val="000000"/>
          <w:sz w:val="22"/>
          <w:szCs w:val="22"/>
          <w:lang w:val="sk-SK"/>
        </w:rPr>
        <w:t xml:space="preserve"> symptomatológie a iných porúch funkcie orgánov. Správy o zlepšení sa týkali srdca, nervového systému, kože/podkožného tkaniva, dýchacej sústavy/hrudníka/mediastína, kostrového svalstva/spojivových tkanív/ciev a gastrointestinálneho systému.</w:t>
      </w:r>
    </w:p>
    <w:p w14:paraId="32367FA2" w14:textId="77777777" w:rsidR="00046ED1" w:rsidRPr="00C83045" w:rsidRDefault="00046ED1" w:rsidP="00D4304B">
      <w:pPr>
        <w:pStyle w:val="Text"/>
        <w:widowControl w:val="0"/>
        <w:spacing w:before="0"/>
        <w:jc w:val="left"/>
        <w:rPr>
          <w:color w:val="000000"/>
          <w:sz w:val="22"/>
          <w:szCs w:val="22"/>
          <w:lang w:val="sk-SK"/>
        </w:rPr>
      </w:pPr>
    </w:p>
    <w:p w14:paraId="32367FA3" w14:textId="77777777" w:rsidR="00536439" w:rsidRPr="00C83045" w:rsidRDefault="00536439" w:rsidP="00D4304B">
      <w:pPr>
        <w:pStyle w:val="EndnoteText"/>
        <w:widowControl w:val="0"/>
        <w:tabs>
          <w:tab w:val="clear" w:pos="567"/>
        </w:tabs>
        <w:rPr>
          <w:color w:val="000000"/>
          <w:szCs w:val="22"/>
          <w:lang w:val="sk-SK"/>
        </w:rPr>
      </w:pPr>
      <w:r w:rsidRPr="00C83045">
        <w:rPr>
          <w:color w:val="000000"/>
          <w:szCs w:val="22"/>
          <w:lang w:val="sk-SK"/>
        </w:rPr>
        <w:t>U pediatrických pacientov s HES/CEL nie sú kontrolované klinické skúšania. V 3 publikáci</w:t>
      </w:r>
      <w:r w:rsidR="00A314BC" w:rsidRPr="00C83045">
        <w:rPr>
          <w:color w:val="000000"/>
          <w:szCs w:val="22"/>
          <w:lang w:val="sk-SK"/>
        </w:rPr>
        <w:t>á</w:t>
      </w:r>
      <w:r w:rsidRPr="00C83045">
        <w:rPr>
          <w:color w:val="000000"/>
          <w:szCs w:val="22"/>
          <w:lang w:val="sk-SK"/>
        </w:rPr>
        <w:t>ch boli správy o 3 pacientoch s HES a CEL spojenými s preskupeniami génu PDGFR. Vek týchto pacientov bol v rozmedzí od 2 do 16 roko</w:t>
      </w:r>
      <w:r w:rsidR="003C6CE4" w:rsidRPr="00C83045">
        <w:rPr>
          <w:color w:val="000000"/>
          <w:szCs w:val="22"/>
          <w:lang w:val="sk-SK"/>
        </w:rPr>
        <w:t>v</w:t>
      </w:r>
      <w:r w:rsidRPr="00C83045">
        <w:rPr>
          <w:color w:val="000000"/>
          <w:szCs w:val="22"/>
          <w:lang w:val="sk-SK"/>
        </w:rPr>
        <w:t xml:space="preserve"> a imatinib sa im podával v</w:t>
      </w:r>
      <w:r w:rsidR="0031149F" w:rsidRPr="00C83045">
        <w:rPr>
          <w:color w:val="000000"/>
          <w:szCs w:val="22"/>
          <w:lang w:val="sk-SK"/>
        </w:rPr>
        <w:t> </w:t>
      </w:r>
      <w:r w:rsidRPr="00C83045">
        <w:rPr>
          <w:color w:val="000000"/>
          <w:szCs w:val="22"/>
          <w:lang w:val="sk-SK"/>
        </w:rPr>
        <w:t>dávk</w:t>
      </w:r>
      <w:r w:rsidR="0031149F" w:rsidRPr="00C83045">
        <w:rPr>
          <w:color w:val="000000"/>
          <w:szCs w:val="22"/>
          <w:lang w:val="sk-SK"/>
        </w:rPr>
        <w:t>e 300 mg/m</w:t>
      </w:r>
      <w:r w:rsidR="0031149F" w:rsidRPr="00C83045">
        <w:rPr>
          <w:color w:val="000000"/>
          <w:szCs w:val="22"/>
          <w:vertAlign w:val="superscript"/>
          <w:lang w:val="sk-SK"/>
        </w:rPr>
        <w:t>2</w:t>
      </w:r>
      <w:r w:rsidR="0031149F" w:rsidRPr="00C83045">
        <w:rPr>
          <w:color w:val="000000"/>
          <w:szCs w:val="22"/>
          <w:lang w:val="sk-SK"/>
        </w:rPr>
        <w:t xml:space="preserve"> denne alebo v dávkach </w:t>
      </w:r>
      <w:r w:rsidRPr="00C83045">
        <w:rPr>
          <w:color w:val="000000"/>
          <w:szCs w:val="22"/>
          <w:lang w:val="sk-SK"/>
        </w:rPr>
        <w:t xml:space="preserve">od 200 do 400 mg denne. </w:t>
      </w:r>
      <w:r w:rsidR="00723902" w:rsidRPr="00C83045">
        <w:rPr>
          <w:color w:val="000000"/>
          <w:szCs w:val="22"/>
          <w:lang w:val="sk-SK"/>
        </w:rPr>
        <w:t>V</w:t>
      </w:r>
      <w:r w:rsidRPr="00C83045">
        <w:rPr>
          <w:color w:val="000000"/>
          <w:szCs w:val="22"/>
          <w:lang w:val="sk-SK"/>
        </w:rPr>
        <w:t>šet</w:t>
      </w:r>
      <w:r w:rsidR="00723902" w:rsidRPr="00C83045">
        <w:rPr>
          <w:color w:val="000000"/>
          <w:szCs w:val="22"/>
          <w:lang w:val="sk-SK"/>
        </w:rPr>
        <w:t>ci</w:t>
      </w:r>
      <w:r w:rsidRPr="00C83045">
        <w:rPr>
          <w:color w:val="000000"/>
          <w:szCs w:val="22"/>
          <w:lang w:val="sk-SK"/>
        </w:rPr>
        <w:t xml:space="preserve"> pacient</w:t>
      </w:r>
      <w:r w:rsidR="00723902" w:rsidRPr="00C83045">
        <w:rPr>
          <w:color w:val="000000"/>
          <w:szCs w:val="22"/>
          <w:lang w:val="sk-SK"/>
        </w:rPr>
        <w:t>i</w:t>
      </w:r>
      <w:r w:rsidRPr="00C83045">
        <w:rPr>
          <w:color w:val="000000"/>
          <w:szCs w:val="22"/>
          <w:lang w:val="sk-SK"/>
        </w:rPr>
        <w:t xml:space="preserve"> dosiahl</w:t>
      </w:r>
      <w:r w:rsidR="00723902" w:rsidRPr="00C83045">
        <w:rPr>
          <w:color w:val="000000"/>
          <w:szCs w:val="22"/>
          <w:lang w:val="sk-SK"/>
        </w:rPr>
        <w:t>i</w:t>
      </w:r>
      <w:r w:rsidRPr="00C83045">
        <w:rPr>
          <w:color w:val="000000"/>
          <w:szCs w:val="22"/>
          <w:lang w:val="sk-SK"/>
        </w:rPr>
        <w:t xml:space="preserve"> kompletn</w:t>
      </w:r>
      <w:r w:rsidR="00723902" w:rsidRPr="00C83045">
        <w:rPr>
          <w:color w:val="000000"/>
          <w:szCs w:val="22"/>
          <w:lang w:val="sk-SK"/>
        </w:rPr>
        <w:t>ú</w:t>
      </w:r>
      <w:r w:rsidRPr="00C83045">
        <w:rPr>
          <w:color w:val="000000"/>
          <w:szCs w:val="22"/>
          <w:lang w:val="sk-SK"/>
        </w:rPr>
        <w:t xml:space="preserve"> hematologick</w:t>
      </w:r>
      <w:r w:rsidR="00723902" w:rsidRPr="00C83045">
        <w:rPr>
          <w:color w:val="000000"/>
          <w:szCs w:val="22"/>
          <w:lang w:val="sk-SK"/>
        </w:rPr>
        <w:t>ú</w:t>
      </w:r>
      <w:r w:rsidRPr="00C83045">
        <w:rPr>
          <w:color w:val="000000"/>
          <w:szCs w:val="22"/>
          <w:lang w:val="sk-SK"/>
        </w:rPr>
        <w:t xml:space="preserve"> odpoveď, </w:t>
      </w:r>
      <w:r w:rsidR="0062582E" w:rsidRPr="00C83045">
        <w:rPr>
          <w:color w:val="000000"/>
          <w:szCs w:val="22"/>
          <w:lang w:val="sk-SK"/>
        </w:rPr>
        <w:t>kompletn</w:t>
      </w:r>
      <w:r w:rsidR="00723902" w:rsidRPr="00C83045">
        <w:rPr>
          <w:color w:val="000000"/>
          <w:szCs w:val="22"/>
          <w:lang w:val="sk-SK"/>
        </w:rPr>
        <w:t>ú</w:t>
      </w:r>
      <w:r w:rsidR="0062582E" w:rsidRPr="00C83045">
        <w:rPr>
          <w:color w:val="000000"/>
          <w:szCs w:val="22"/>
          <w:lang w:val="sk-SK"/>
        </w:rPr>
        <w:t xml:space="preserve"> </w:t>
      </w:r>
      <w:r w:rsidRPr="00C83045">
        <w:rPr>
          <w:color w:val="000000"/>
          <w:szCs w:val="22"/>
          <w:lang w:val="sk-SK"/>
        </w:rPr>
        <w:t>cytogenetick</w:t>
      </w:r>
      <w:r w:rsidR="00723902" w:rsidRPr="00C83045">
        <w:rPr>
          <w:color w:val="000000"/>
          <w:szCs w:val="22"/>
          <w:lang w:val="sk-SK"/>
        </w:rPr>
        <w:t>ú</w:t>
      </w:r>
      <w:r w:rsidRPr="00C83045">
        <w:rPr>
          <w:color w:val="000000"/>
          <w:szCs w:val="22"/>
          <w:lang w:val="sk-SK"/>
        </w:rPr>
        <w:t xml:space="preserve"> odpoveď a/alebo </w:t>
      </w:r>
      <w:r w:rsidR="0062582E" w:rsidRPr="00C83045">
        <w:rPr>
          <w:color w:val="000000"/>
          <w:szCs w:val="22"/>
          <w:lang w:val="sk-SK"/>
        </w:rPr>
        <w:t>kompletn</w:t>
      </w:r>
      <w:r w:rsidR="00723902" w:rsidRPr="00C83045">
        <w:rPr>
          <w:color w:val="000000"/>
          <w:szCs w:val="22"/>
          <w:lang w:val="sk-SK"/>
        </w:rPr>
        <w:t>ú</w:t>
      </w:r>
      <w:r w:rsidR="0062582E" w:rsidRPr="00C83045">
        <w:rPr>
          <w:color w:val="000000"/>
          <w:szCs w:val="22"/>
          <w:lang w:val="sk-SK"/>
        </w:rPr>
        <w:t xml:space="preserve"> molekulárn</w:t>
      </w:r>
      <w:r w:rsidR="00723902" w:rsidRPr="00C83045">
        <w:rPr>
          <w:color w:val="000000"/>
          <w:szCs w:val="22"/>
          <w:lang w:val="sk-SK"/>
        </w:rPr>
        <w:t>u</w:t>
      </w:r>
      <w:r w:rsidRPr="00C83045">
        <w:rPr>
          <w:color w:val="000000"/>
          <w:szCs w:val="22"/>
          <w:lang w:val="sk-SK"/>
        </w:rPr>
        <w:t xml:space="preserve"> odpoveď.</w:t>
      </w:r>
    </w:p>
    <w:p w14:paraId="32367FA4" w14:textId="77777777" w:rsidR="00536439" w:rsidRPr="00C83045" w:rsidRDefault="00536439" w:rsidP="00D4304B">
      <w:pPr>
        <w:pStyle w:val="Text"/>
        <w:widowControl w:val="0"/>
        <w:spacing w:before="0"/>
        <w:jc w:val="left"/>
        <w:rPr>
          <w:color w:val="000000"/>
          <w:sz w:val="22"/>
          <w:szCs w:val="22"/>
          <w:lang w:val="sk-SK"/>
        </w:rPr>
      </w:pPr>
    </w:p>
    <w:p w14:paraId="32367FA5" w14:textId="77777777" w:rsidR="00A271C2" w:rsidRPr="00F2328C" w:rsidRDefault="00A271C2" w:rsidP="00D4304B">
      <w:pPr>
        <w:pStyle w:val="EndnoteText"/>
        <w:keepNext/>
        <w:widowControl w:val="0"/>
        <w:tabs>
          <w:tab w:val="clear" w:pos="567"/>
        </w:tabs>
        <w:rPr>
          <w:color w:val="000000"/>
          <w:szCs w:val="22"/>
          <w:u w:val="single"/>
          <w:lang w:val="sk-SK"/>
        </w:rPr>
      </w:pPr>
      <w:r w:rsidRPr="00F2328C">
        <w:rPr>
          <w:color w:val="000000"/>
          <w:szCs w:val="22"/>
          <w:u w:val="single"/>
          <w:lang w:val="sk-SK"/>
        </w:rPr>
        <w:t xml:space="preserve">Klinické </w:t>
      </w:r>
      <w:r w:rsidRPr="00BE6051">
        <w:rPr>
          <w:color w:val="000000"/>
          <w:szCs w:val="22"/>
          <w:u w:val="single"/>
          <w:lang w:val="sk-SK"/>
        </w:rPr>
        <w:t>skúšania</w:t>
      </w:r>
      <w:r w:rsidRPr="00F2328C">
        <w:rPr>
          <w:color w:val="000000"/>
          <w:szCs w:val="22"/>
          <w:u w:val="single"/>
          <w:lang w:val="sk-SK"/>
        </w:rPr>
        <w:t xml:space="preserve"> pri neresekovateľnom a/alebo metastazujúcom GIST</w:t>
      </w:r>
    </w:p>
    <w:p w14:paraId="32367FA6" w14:textId="77777777" w:rsidR="00847D15" w:rsidRPr="00C83045" w:rsidRDefault="00847D15" w:rsidP="00D4304B">
      <w:pPr>
        <w:widowControl w:val="0"/>
        <w:ind w:left="0" w:firstLine="0"/>
        <w:rPr>
          <w:color w:val="000000"/>
          <w:szCs w:val="22"/>
        </w:rPr>
      </w:pPr>
      <w:r w:rsidRPr="00C83045">
        <w:rPr>
          <w:color w:val="000000"/>
          <w:szCs w:val="22"/>
        </w:rPr>
        <w:t>Vykonalo sa jedno otvorené, randomizované, nekontrolované medzinárodné klinické skúšanie 2. </w:t>
      </w:r>
      <w:r w:rsidR="00E65F57" w:rsidRPr="00C83045">
        <w:rPr>
          <w:color w:val="000000"/>
          <w:szCs w:val="22"/>
        </w:rPr>
        <w:t>fáz</w:t>
      </w:r>
      <w:r w:rsidRPr="00C83045">
        <w:rPr>
          <w:color w:val="000000"/>
          <w:szCs w:val="22"/>
        </w:rPr>
        <w:t xml:space="preserve">y s pacientmi s neresekovateľnými alebo metastazujúcimi malígnymi gastrointestinálnymi strómovými nádormi (GIST). V tomto skúšaní bolo zaradených a randomizovaných 147 pacientov, ktorí dostávali perorálne dávky buď 400 mg, alebo 600 mg </w:t>
      </w:r>
      <w:r w:rsidR="00357569" w:rsidRPr="00C83045">
        <w:rPr>
          <w:color w:val="000000"/>
          <w:szCs w:val="22"/>
        </w:rPr>
        <w:t xml:space="preserve">raz </w:t>
      </w:r>
      <w:r w:rsidRPr="00C83045">
        <w:rPr>
          <w:color w:val="000000"/>
          <w:szCs w:val="22"/>
        </w:rPr>
        <w:t xml:space="preserve">denne počas až </w:t>
      </w:r>
      <w:r w:rsidR="00C01536" w:rsidRPr="00C83045">
        <w:rPr>
          <w:color w:val="000000"/>
          <w:szCs w:val="22"/>
        </w:rPr>
        <w:t>36</w:t>
      </w:r>
      <w:r w:rsidRPr="00C83045">
        <w:rPr>
          <w:color w:val="000000"/>
          <w:szCs w:val="22"/>
        </w:rPr>
        <w:t> mesiacov. Títo pacienti boli vo veku od 18 do 83 rokov a ich ochorenie bolo diagnostikované ako malígny neresekovateľný a/alebo metastazujúci GIST s pozitivitou Kit. Imunohistochemické vyšetrenie sa rutinne vykonávalo s protilátkou proti Kit (A-4502, králičie polyklonálne antisérum, 1:100; DAKO Corporation, Carpinteria, CA) analýzou komplexom avidín-biotín-peroxidáza po izolovaní antigénu.</w:t>
      </w:r>
    </w:p>
    <w:p w14:paraId="32367FA7" w14:textId="77777777" w:rsidR="00847D15" w:rsidRPr="00C83045" w:rsidRDefault="00847D15" w:rsidP="00D4304B">
      <w:pPr>
        <w:widowControl w:val="0"/>
        <w:ind w:left="0" w:firstLine="0"/>
        <w:rPr>
          <w:color w:val="000000"/>
          <w:szCs w:val="22"/>
        </w:rPr>
      </w:pPr>
    </w:p>
    <w:p w14:paraId="32367FA8" w14:textId="77777777" w:rsidR="00847D15" w:rsidRPr="00C83045" w:rsidRDefault="00847D15" w:rsidP="00D4304B">
      <w:pPr>
        <w:widowControl w:val="0"/>
        <w:ind w:left="0" w:firstLine="0"/>
        <w:rPr>
          <w:color w:val="000000"/>
          <w:szCs w:val="22"/>
        </w:rPr>
      </w:pPr>
      <w:r w:rsidRPr="00C83045">
        <w:rPr>
          <w:color w:val="000000"/>
          <w:szCs w:val="22"/>
        </w:rPr>
        <w:t>Primárny dôkaz účinnosti sa zakladal na stupni objektívnej odpovede. Nádory museli byť merateľné aspoň v jednom mieste ochorenia a definícia odpovede zodpovedala kritériám Southwestern Oncology Group (SWOG). Výsledky sú uvedené v Tabuľke </w:t>
      </w:r>
      <w:r w:rsidR="00E57DA0" w:rsidRPr="00C83045">
        <w:rPr>
          <w:color w:val="000000"/>
          <w:szCs w:val="22"/>
        </w:rPr>
        <w:t>6</w:t>
      </w:r>
      <w:r w:rsidRPr="00C83045">
        <w:rPr>
          <w:color w:val="000000"/>
          <w:szCs w:val="22"/>
        </w:rPr>
        <w:t>.</w:t>
      </w:r>
    </w:p>
    <w:p w14:paraId="32367FA9" w14:textId="77777777" w:rsidR="00847D15" w:rsidRPr="00C83045" w:rsidRDefault="00847D15" w:rsidP="00D4304B">
      <w:pPr>
        <w:widowControl w:val="0"/>
        <w:ind w:left="0" w:firstLine="0"/>
        <w:rPr>
          <w:color w:val="000000"/>
          <w:szCs w:val="22"/>
        </w:rPr>
      </w:pPr>
    </w:p>
    <w:p w14:paraId="32367FAA" w14:textId="77777777" w:rsidR="00847D15" w:rsidRPr="00C83045" w:rsidRDefault="00847D15" w:rsidP="00D4304B">
      <w:pPr>
        <w:keepNext/>
        <w:keepLines/>
        <w:widowControl w:val="0"/>
        <w:tabs>
          <w:tab w:val="left" w:pos="1440"/>
        </w:tabs>
        <w:ind w:left="0" w:firstLine="0"/>
        <w:rPr>
          <w:b/>
          <w:color w:val="000000"/>
          <w:szCs w:val="22"/>
        </w:rPr>
      </w:pPr>
      <w:r w:rsidRPr="00C83045">
        <w:rPr>
          <w:b/>
          <w:color w:val="000000"/>
          <w:szCs w:val="22"/>
        </w:rPr>
        <w:t>Tabuľka </w:t>
      </w:r>
      <w:r w:rsidR="00E57DA0" w:rsidRPr="00C83045">
        <w:rPr>
          <w:b/>
          <w:color w:val="000000"/>
          <w:szCs w:val="22"/>
        </w:rPr>
        <w:t>6</w:t>
      </w:r>
      <w:r w:rsidRPr="00C83045">
        <w:rPr>
          <w:b/>
          <w:color w:val="000000"/>
          <w:szCs w:val="22"/>
        </w:rPr>
        <w:tab/>
        <w:t>Najlepšia odpoveď nádoru v klinickom skúšaní STIB2222 (GIST)</w:t>
      </w:r>
    </w:p>
    <w:p w14:paraId="32367FAB" w14:textId="77777777" w:rsidR="00847D15" w:rsidRPr="00C83045" w:rsidRDefault="00847D15" w:rsidP="00D4304B">
      <w:pPr>
        <w:keepNext/>
        <w:keepLines/>
        <w:widowControl w:val="0"/>
        <w:ind w:left="0" w:firstLine="0"/>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847D15" w:rsidRPr="00C83045" w14:paraId="32367FB4" w14:textId="77777777" w:rsidTr="00B62C3E">
        <w:trPr>
          <w:cantSplit/>
        </w:trPr>
        <w:tc>
          <w:tcPr>
            <w:tcW w:w="4643" w:type="dxa"/>
            <w:tcBorders>
              <w:left w:val="nil"/>
              <w:bottom w:val="single" w:sz="4" w:space="0" w:color="auto"/>
              <w:right w:val="nil"/>
            </w:tcBorders>
          </w:tcPr>
          <w:p w14:paraId="32367FAC" w14:textId="77777777" w:rsidR="00847D15" w:rsidRPr="00C83045" w:rsidRDefault="00847D15" w:rsidP="00D4304B">
            <w:pPr>
              <w:pStyle w:val="EndnoteText"/>
              <w:keepNext/>
              <w:keepLines/>
              <w:widowControl w:val="0"/>
              <w:tabs>
                <w:tab w:val="clear" w:pos="567"/>
              </w:tabs>
              <w:rPr>
                <w:color w:val="000000"/>
                <w:szCs w:val="22"/>
                <w:lang w:val="sk-SK"/>
              </w:rPr>
            </w:pPr>
          </w:p>
          <w:p w14:paraId="32367FAD" w14:textId="77777777" w:rsidR="00847D15" w:rsidRPr="00C83045" w:rsidRDefault="00847D15" w:rsidP="00D4304B">
            <w:pPr>
              <w:pStyle w:val="EndnoteText"/>
              <w:keepNext/>
              <w:keepLines/>
              <w:widowControl w:val="0"/>
              <w:tabs>
                <w:tab w:val="clear" w:pos="567"/>
              </w:tabs>
              <w:rPr>
                <w:color w:val="000000"/>
                <w:szCs w:val="22"/>
                <w:lang w:val="sk-SK"/>
              </w:rPr>
            </w:pPr>
          </w:p>
          <w:p w14:paraId="32367FAE" w14:textId="77777777" w:rsidR="00847D15" w:rsidRPr="00C83045" w:rsidRDefault="00847D15" w:rsidP="00D4304B">
            <w:pPr>
              <w:pStyle w:val="EndnoteText"/>
              <w:keepNext/>
              <w:keepLines/>
              <w:widowControl w:val="0"/>
              <w:tabs>
                <w:tab w:val="clear" w:pos="567"/>
              </w:tabs>
              <w:rPr>
                <w:color w:val="000000"/>
                <w:szCs w:val="22"/>
                <w:lang w:val="sk-SK"/>
              </w:rPr>
            </w:pPr>
          </w:p>
          <w:p w14:paraId="32367FAF" w14:textId="77777777" w:rsidR="00847D15" w:rsidRPr="00C83045" w:rsidRDefault="00847D15" w:rsidP="00D4304B">
            <w:pPr>
              <w:pStyle w:val="EndnoteText"/>
              <w:keepNext/>
              <w:keepLines/>
              <w:widowControl w:val="0"/>
              <w:tabs>
                <w:tab w:val="clear" w:pos="567"/>
              </w:tabs>
              <w:rPr>
                <w:color w:val="000000"/>
                <w:szCs w:val="22"/>
                <w:lang w:val="sk-SK"/>
              </w:rPr>
            </w:pPr>
            <w:r w:rsidRPr="00C83045">
              <w:rPr>
                <w:color w:val="000000"/>
                <w:szCs w:val="22"/>
                <w:lang w:val="sk-SK"/>
              </w:rPr>
              <w:t>Najlepšia odpoveď</w:t>
            </w:r>
          </w:p>
        </w:tc>
        <w:tc>
          <w:tcPr>
            <w:tcW w:w="4643" w:type="dxa"/>
            <w:tcBorders>
              <w:left w:val="nil"/>
              <w:bottom w:val="single" w:sz="4" w:space="0" w:color="auto"/>
              <w:right w:val="nil"/>
            </w:tcBorders>
          </w:tcPr>
          <w:p w14:paraId="32367FB0" w14:textId="77777777" w:rsidR="00847D15" w:rsidRPr="00C83045" w:rsidRDefault="00847D15" w:rsidP="00D4304B">
            <w:pPr>
              <w:pStyle w:val="EndnoteText"/>
              <w:keepNext/>
              <w:keepLines/>
              <w:widowControl w:val="0"/>
              <w:tabs>
                <w:tab w:val="clear" w:pos="567"/>
              </w:tabs>
              <w:jc w:val="center"/>
              <w:rPr>
                <w:color w:val="000000"/>
                <w:szCs w:val="22"/>
                <w:lang w:val="sk-SK"/>
              </w:rPr>
            </w:pPr>
            <w:r w:rsidRPr="00C83045">
              <w:rPr>
                <w:color w:val="000000"/>
                <w:szCs w:val="22"/>
                <w:lang w:val="sk-SK"/>
              </w:rPr>
              <w:t>Všetky dávky (n=147)</w:t>
            </w:r>
          </w:p>
          <w:p w14:paraId="32367FB1" w14:textId="77777777" w:rsidR="00847D15" w:rsidRPr="00C83045" w:rsidRDefault="00847D15" w:rsidP="00D4304B">
            <w:pPr>
              <w:pStyle w:val="EndnoteText"/>
              <w:keepNext/>
              <w:keepLines/>
              <w:widowControl w:val="0"/>
              <w:tabs>
                <w:tab w:val="clear" w:pos="567"/>
              </w:tabs>
              <w:jc w:val="center"/>
              <w:rPr>
                <w:color w:val="000000"/>
                <w:szCs w:val="22"/>
                <w:lang w:val="sk-SK"/>
              </w:rPr>
            </w:pPr>
            <w:r w:rsidRPr="00C83045">
              <w:rPr>
                <w:color w:val="000000"/>
                <w:szCs w:val="22"/>
                <w:lang w:val="sk-SK"/>
              </w:rPr>
              <w:t>400 mg (n=73)</w:t>
            </w:r>
          </w:p>
          <w:p w14:paraId="32367FB2" w14:textId="77777777" w:rsidR="00847D15" w:rsidRPr="00C83045" w:rsidRDefault="00847D15" w:rsidP="00D4304B">
            <w:pPr>
              <w:pStyle w:val="EndnoteText"/>
              <w:keepNext/>
              <w:keepLines/>
              <w:widowControl w:val="0"/>
              <w:tabs>
                <w:tab w:val="clear" w:pos="567"/>
              </w:tabs>
              <w:jc w:val="center"/>
              <w:rPr>
                <w:color w:val="000000"/>
                <w:szCs w:val="22"/>
                <w:lang w:val="sk-SK"/>
              </w:rPr>
            </w:pPr>
            <w:r w:rsidRPr="00C83045">
              <w:rPr>
                <w:color w:val="000000"/>
                <w:szCs w:val="22"/>
                <w:lang w:val="sk-SK"/>
              </w:rPr>
              <w:t>600 mg (n=74)</w:t>
            </w:r>
          </w:p>
          <w:p w14:paraId="32367FB3" w14:textId="77777777" w:rsidR="00847D15" w:rsidRPr="00C83045" w:rsidRDefault="00847D15" w:rsidP="00D4304B">
            <w:pPr>
              <w:pStyle w:val="EndnoteText"/>
              <w:keepNext/>
              <w:keepLines/>
              <w:widowControl w:val="0"/>
              <w:tabs>
                <w:tab w:val="clear" w:pos="567"/>
              </w:tabs>
              <w:jc w:val="center"/>
              <w:rPr>
                <w:color w:val="000000"/>
                <w:szCs w:val="22"/>
                <w:lang w:val="sk-SK"/>
              </w:rPr>
            </w:pPr>
            <w:r w:rsidRPr="00C83045">
              <w:rPr>
                <w:color w:val="000000"/>
                <w:szCs w:val="22"/>
                <w:lang w:val="sk-SK"/>
              </w:rPr>
              <w:t>n (%)</w:t>
            </w:r>
          </w:p>
        </w:tc>
      </w:tr>
      <w:tr w:rsidR="00C01536" w:rsidRPr="00C83045" w14:paraId="32367FB7" w14:textId="77777777" w:rsidTr="00B62C3E">
        <w:trPr>
          <w:cantSplit/>
        </w:trPr>
        <w:tc>
          <w:tcPr>
            <w:tcW w:w="4643" w:type="dxa"/>
            <w:tcBorders>
              <w:top w:val="nil"/>
              <w:left w:val="nil"/>
              <w:bottom w:val="nil"/>
              <w:right w:val="nil"/>
            </w:tcBorders>
          </w:tcPr>
          <w:p w14:paraId="32367FB5" w14:textId="77777777" w:rsidR="00C01536" w:rsidRPr="00C83045" w:rsidRDefault="001A1278" w:rsidP="00D4304B">
            <w:pPr>
              <w:pStyle w:val="FootnoteText"/>
              <w:keepNext/>
              <w:keepLines/>
              <w:widowControl w:val="0"/>
              <w:tabs>
                <w:tab w:val="clear" w:pos="567"/>
              </w:tabs>
              <w:spacing w:line="240" w:lineRule="auto"/>
              <w:rPr>
                <w:color w:val="000000"/>
                <w:sz w:val="22"/>
                <w:szCs w:val="22"/>
                <w:lang w:val="sk-SK"/>
              </w:rPr>
            </w:pPr>
            <w:r w:rsidRPr="00C83045">
              <w:rPr>
                <w:color w:val="000000"/>
                <w:sz w:val="22"/>
                <w:szCs w:val="22"/>
                <w:lang w:val="sk-SK"/>
              </w:rPr>
              <w:t>Kompletn</w:t>
            </w:r>
            <w:r w:rsidR="00C01536" w:rsidRPr="00C83045">
              <w:rPr>
                <w:color w:val="000000"/>
                <w:sz w:val="22"/>
                <w:szCs w:val="22"/>
                <w:lang w:val="sk-SK"/>
              </w:rPr>
              <w:t>á odpoveď</w:t>
            </w:r>
          </w:p>
        </w:tc>
        <w:tc>
          <w:tcPr>
            <w:tcW w:w="4643" w:type="dxa"/>
            <w:tcBorders>
              <w:top w:val="nil"/>
              <w:left w:val="nil"/>
              <w:bottom w:val="nil"/>
              <w:right w:val="nil"/>
            </w:tcBorders>
          </w:tcPr>
          <w:p w14:paraId="32367FB6" w14:textId="77777777" w:rsidR="00C01536" w:rsidRPr="00C83045" w:rsidRDefault="00C01536" w:rsidP="00D4304B">
            <w:pPr>
              <w:pStyle w:val="FootnoteText"/>
              <w:keepNext/>
              <w:keepLines/>
              <w:widowControl w:val="0"/>
              <w:tabs>
                <w:tab w:val="clear" w:pos="567"/>
              </w:tabs>
              <w:spacing w:line="240" w:lineRule="auto"/>
              <w:jc w:val="center"/>
              <w:rPr>
                <w:color w:val="000000"/>
                <w:sz w:val="22"/>
                <w:szCs w:val="22"/>
                <w:lang w:val="sk-SK"/>
              </w:rPr>
            </w:pPr>
            <w:r w:rsidRPr="00C83045">
              <w:rPr>
                <w:rFonts w:eastAsia="MS Mincho"/>
                <w:color w:val="000000"/>
                <w:sz w:val="22"/>
                <w:szCs w:val="22"/>
                <w:lang w:val="sk-SK"/>
              </w:rPr>
              <w:t>1</w:t>
            </w:r>
            <w:r w:rsidR="004F0653" w:rsidRPr="00C83045">
              <w:rPr>
                <w:rFonts w:eastAsia="MS Mincho"/>
                <w:color w:val="000000"/>
                <w:sz w:val="22"/>
                <w:szCs w:val="22"/>
                <w:lang w:val="sk-SK"/>
              </w:rPr>
              <w:t xml:space="preserve"> </w:t>
            </w:r>
            <w:r w:rsidRPr="00C83045">
              <w:rPr>
                <w:rFonts w:eastAsia="MS Mincho"/>
                <w:color w:val="000000"/>
                <w:sz w:val="22"/>
                <w:szCs w:val="22"/>
                <w:lang w:val="sk-SK"/>
              </w:rPr>
              <w:t>(0,7)</w:t>
            </w:r>
          </w:p>
        </w:tc>
      </w:tr>
      <w:tr w:rsidR="00C01536" w:rsidRPr="00C83045" w14:paraId="32367FBA" w14:textId="77777777" w:rsidTr="00B62C3E">
        <w:trPr>
          <w:cantSplit/>
        </w:trPr>
        <w:tc>
          <w:tcPr>
            <w:tcW w:w="4643" w:type="dxa"/>
            <w:tcBorders>
              <w:top w:val="nil"/>
              <w:left w:val="nil"/>
              <w:bottom w:val="nil"/>
              <w:right w:val="nil"/>
            </w:tcBorders>
          </w:tcPr>
          <w:p w14:paraId="32367FB8" w14:textId="77777777" w:rsidR="00C01536" w:rsidRPr="00C83045" w:rsidRDefault="00C01536" w:rsidP="00D4304B">
            <w:pPr>
              <w:pStyle w:val="EndnoteText"/>
              <w:keepNext/>
              <w:keepLines/>
              <w:widowControl w:val="0"/>
              <w:tabs>
                <w:tab w:val="clear" w:pos="567"/>
              </w:tabs>
              <w:rPr>
                <w:color w:val="000000"/>
                <w:szCs w:val="22"/>
                <w:lang w:val="sk-SK"/>
              </w:rPr>
            </w:pPr>
            <w:r w:rsidRPr="00C83045">
              <w:rPr>
                <w:color w:val="000000"/>
                <w:szCs w:val="22"/>
                <w:lang w:val="sk-SK"/>
              </w:rPr>
              <w:t>Čiastočná odpoveď</w:t>
            </w:r>
          </w:p>
        </w:tc>
        <w:tc>
          <w:tcPr>
            <w:tcW w:w="4643" w:type="dxa"/>
            <w:tcBorders>
              <w:top w:val="nil"/>
              <w:left w:val="nil"/>
              <w:bottom w:val="nil"/>
              <w:right w:val="nil"/>
            </w:tcBorders>
          </w:tcPr>
          <w:p w14:paraId="32367FB9" w14:textId="77777777" w:rsidR="00C01536" w:rsidRPr="00C83045" w:rsidRDefault="00C01536" w:rsidP="00D4304B">
            <w:pPr>
              <w:pStyle w:val="EndnoteText"/>
              <w:keepNext/>
              <w:keepLines/>
              <w:widowControl w:val="0"/>
              <w:tabs>
                <w:tab w:val="clear" w:pos="567"/>
              </w:tabs>
              <w:jc w:val="center"/>
              <w:rPr>
                <w:color w:val="000000"/>
                <w:szCs w:val="22"/>
                <w:lang w:val="sk-SK"/>
              </w:rPr>
            </w:pPr>
            <w:r w:rsidRPr="00C83045">
              <w:rPr>
                <w:rFonts w:eastAsia="MS Mincho"/>
                <w:color w:val="000000"/>
                <w:szCs w:val="22"/>
                <w:lang w:val="sk-SK"/>
              </w:rPr>
              <w:t>98 (66,7)</w:t>
            </w:r>
          </w:p>
        </w:tc>
      </w:tr>
      <w:tr w:rsidR="00C01536" w:rsidRPr="00C83045" w14:paraId="32367FBD" w14:textId="77777777" w:rsidTr="00B62C3E">
        <w:trPr>
          <w:cantSplit/>
        </w:trPr>
        <w:tc>
          <w:tcPr>
            <w:tcW w:w="4643" w:type="dxa"/>
            <w:tcBorders>
              <w:top w:val="nil"/>
              <w:left w:val="nil"/>
              <w:bottom w:val="nil"/>
              <w:right w:val="nil"/>
            </w:tcBorders>
          </w:tcPr>
          <w:p w14:paraId="32367FBB" w14:textId="77777777" w:rsidR="00C01536" w:rsidRPr="00C83045" w:rsidRDefault="007671B5" w:rsidP="00D4304B">
            <w:pPr>
              <w:pStyle w:val="EndnoteText"/>
              <w:keepNext/>
              <w:keepLines/>
              <w:widowControl w:val="0"/>
              <w:tabs>
                <w:tab w:val="clear" w:pos="567"/>
              </w:tabs>
              <w:rPr>
                <w:color w:val="000000"/>
                <w:szCs w:val="22"/>
                <w:lang w:val="sk-SK"/>
              </w:rPr>
            </w:pPr>
            <w:r w:rsidRPr="00C83045">
              <w:rPr>
                <w:color w:val="000000"/>
                <w:szCs w:val="22"/>
                <w:lang w:val="sk-SK"/>
              </w:rPr>
              <w:t>Stabilizovan</w:t>
            </w:r>
            <w:r w:rsidR="00C01536" w:rsidRPr="00C83045">
              <w:rPr>
                <w:color w:val="000000"/>
                <w:szCs w:val="22"/>
                <w:lang w:val="sk-SK"/>
              </w:rPr>
              <w:t>é ochorenie</w:t>
            </w:r>
          </w:p>
        </w:tc>
        <w:tc>
          <w:tcPr>
            <w:tcW w:w="4643" w:type="dxa"/>
            <w:tcBorders>
              <w:top w:val="nil"/>
              <w:left w:val="nil"/>
              <w:bottom w:val="nil"/>
              <w:right w:val="nil"/>
            </w:tcBorders>
          </w:tcPr>
          <w:p w14:paraId="32367FBC" w14:textId="77777777" w:rsidR="00C01536" w:rsidRPr="00C83045" w:rsidRDefault="00C01536" w:rsidP="00D4304B">
            <w:pPr>
              <w:pStyle w:val="EndnoteText"/>
              <w:keepNext/>
              <w:keepLines/>
              <w:widowControl w:val="0"/>
              <w:tabs>
                <w:tab w:val="clear" w:pos="567"/>
              </w:tabs>
              <w:jc w:val="center"/>
              <w:rPr>
                <w:color w:val="000000"/>
                <w:szCs w:val="22"/>
                <w:lang w:val="sk-SK"/>
              </w:rPr>
            </w:pPr>
            <w:r w:rsidRPr="00C83045">
              <w:rPr>
                <w:rFonts w:eastAsia="MS Mincho"/>
                <w:color w:val="000000"/>
                <w:szCs w:val="22"/>
                <w:lang w:val="sk-SK"/>
              </w:rPr>
              <w:t>23 (15,6)</w:t>
            </w:r>
          </w:p>
        </w:tc>
      </w:tr>
      <w:tr w:rsidR="00C01536" w:rsidRPr="00C83045" w14:paraId="32367FC0" w14:textId="77777777" w:rsidTr="00B62C3E">
        <w:trPr>
          <w:cantSplit/>
        </w:trPr>
        <w:tc>
          <w:tcPr>
            <w:tcW w:w="4643" w:type="dxa"/>
            <w:tcBorders>
              <w:top w:val="nil"/>
              <w:left w:val="nil"/>
              <w:bottom w:val="nil"/>
              <w:right w:val="nil"/>
            </w:tcBorders>
          </w:tcPr>
          <w:p w14:paraId="32367FBE" w14:textId="77777777" w:rsidR="00C01536" w:rsidRPr="00C83045" w:rsidRDefault="00C01536" w:rsidP="00D4304B">
            <w:pPr>
              <w:pStyle w:val="EndnoteText"/>
              <w:keepNext/>
              <w:keepLines/>
              <w:widowControl w:val="0"/>
              <w:tabs>
                <w:tab w:val="clear" w:pos="567"/>
              </w:tabs>
              <w:rPr>
                <w:color w:val="000000"/>
                <w:szCs w:val="22"/>
                <w:lang w:val="sk-SK"/>
              </w:rPr>
            </w:pPr>
            <w:r w:rsidRPr="00C83045">
              <w:rPr>
                <w:color w:val="000000"/>
                <w:szCs w:val="22"/>
                <w:lang w:val="sk-SK"/>
              </w:rPr>
              <w:t>Progredujúce ochorenie</w:t>
            </w:r>
          </w:p>
        </w:tc>
        <w:tc>
          <w:tcPr>
            <w:tcW w:w="4643" w:type="dxa"/>
            <w:tcBorders>
              <w:top w:val="nil"/>
              <w:left w:val="nil"/>
              <w:bottom w:val="nil"/>
              <w:right w:val="nil"/>
            </w:tcBorders>
          </w:tcPr>
          <w:p w14:paraId="32367FBF" w14:textId="77777777" w:rsidR="00C01536" w:rsidRPr="00C83045" w:rsidRDefault="00C01536" w:rsidP="00D4304B">
            <w:pPr>
              <w:pStyle w:val="EndnoteText"/>
              <w:keepNext/>
              <w:keepLines/>
              <w:widowControl w:val="0"/>
              <w:tabs>
                <w:tab w:val="clear" w:pos="567"/>
              </w:tabs>
              <w:jc w:val="center"/>
              <w:rPr>
                <w:color w:val="000000"/>
                <w:szCs w:val="22"/>
                <w:lang w:val="sk-SK"/>
              </w:rPr>
            </w:pPr>
            <w:r w:rsidRPr="00C83045">
              <w:rPr>
                <w:rFonts w:eastAsia="MS Mincho"/>
                <w:color w:val="000000"/>
                <w:szCs w:val="22"/>
                <w:lang w:val="sk-SK"/>
              </w:rPr>
              <w:t>18 (12,2)</w:t>
            </w:r>
          </w:p>
        </w:tc>
      </w:tr>
      <w:tr w:rsidR="00C01536" w:rsidRPr="00C83045" w14:paraId="32367FC3" w14:textId="77777777" w:rsidTr="00B62C3E">
        <w:trPr>
          <w:cantSplit/>
        </w:trPr>
        <w:tc>
          <w:tcPr>
            <w:tcW w:w="4643" w:type="dxa"/>
            <w:tcBorders>
              <w:top w:val="nil"/>
              <w:left w:val="nil"/>
              <w:bottom w:val="nil"/>
              <w:right w:val="nil"/>
            </w:tcBorders>
          </w:tcPr>
          <w:p w14:paraId="32367FC1" w14:textId="77777777" w:rsidR="00C01536" w:rsidRPr="00C83045" w:rsidRDefault="00C01536" w:rsidP="00D4304B">
            <w:pPr>
              <w:pStyle w:val="EndnoteText"/>
              <w:keepNext/>
              <w:keepLines/>
              <w:widowControl w:val="0"/>
              <w:tabs>
                <w:tab w:val="clear" w:pos="567"/>
              </w:tabs>
              <w:rPr>
                <w:color w:val="000000"/>
                <w:szCs w:val="22"/>
                <w:lang w:val="sk-SK"/>
              </w:rPr>
            </w:pPr>
            <w:r w:rsidRPr="00C83045">
              <w:rPr>
                <w:color w:val="000000"/>
                <w:szCs w:val="22"/>
                <w:lang w:val="sk-SK"/>
              </w:rPr>
              <w:t>Nevyhodnotiteľná</w:t>
            </w:r>
          </w:p>
        </w:tc>
        <w:tc>
          <w:tcPr>
            <w:tcW w:w="4643" w:type="dxa"/>
            <w:tcBorders>
              <w:top w:val="nil"/>
              <w:left w:val="nil"/>
              <w:bottom w:val="nil"/>
              <w:right w:val="nil"/>
            </w:tcBorders>
          </w:tcPr>
          <w:p w14:paraId="32367FC2" w14:textId="77777777" w:rsidR="00C01536" w:rsidRPr="00C83045" w:rsidRDefault="00C01536" w:rsidP="00D4304B">
            <w:pPr>
              <w:pStyle w:val="EndnoteText"/>
              <w:keepNext/>
              <w:keepLines/>
              <w:widowControl w:val="0"/>
              <w:tabs>
                <w:tab w:val="clear" w:pos="567"/>
              </w:tabs>
              <w:jc w:val="center"/>
              <w:rPr>
                <w:color w:val="000000"/>
                <w:szCs w:val="22"/>
                <w:lang w:val="sk-SK"/>
              </w:rPr>
            </w:pPr>
            <w:r w:rsidRPr="00C83045">
              <w:rPr>
                <w:rFonts w:eastAsia="MS Mincho"/>
                <w:color w:val="000000"/>
                <w:szCs w:val="22"/>
                <w:lang w:val="sk-SK"/>
              </w:rPr>
              <w:t>5 (3,4)</w:t>
            </w:r>
          </w:p>
        </w:tc>
      </w:tr>
      <w:tr w:rsidR="00847D15" w:rsidRPr="00C83045" w14:paraId="32367FC6" w14:textId="77777777" w:rsidTr="00B62C3E">
        <w:trPr>
          <w:cantSplit/>
        </w:trPr>
        <w:tc>
          <w:tcPr>
            <w:tcW w:w="4643" w:type="dxa"/>
            <w:tcBorders>
              <w:top w:val="nil"/>
              <w:left w:val="nil"/>
              <w:right w:val="nil"/>
            </w:tcBorders>
          </w:tcPr>
          <w:p w14:paraId="32367FC4" w14:textId="77777777" w:rsidR="00847D15" w:rsidRPr="00C83045" w:rsidRDefault="00847D15" w:rsidP="00D4304B">
            <w:pPr>
              <w:pStyle w:val="EndnoteText"/>
              <w:keepNext/>
              <w:keepLines/>
              <w:widowControl w:val="0"/>
              <w:tabs>
                <w:tab w:val="clear" w:pos="567"/>
              </w:tabs>
              <w:rPr>
                <w:color w:val="000000"/>
                <w:szCs w:val="22"/>
                <w:lang w:val="sk-SK"/>
              </w:rPr>
            </w:pPr>
            <w:r w:rsidRPr="00C83045">
              <w:rPr>
                <w:color w:val="000000"/>
                <w:szCs w:val="22"/>
                <w:lang w:val="sk-SK"/>
              </w:rPr>
              <w:t>Neznáma</w:t>
            </w:r>
          </w:p>
        </w:tc>
        <w:tc>
          <w:tcPr>
            <w:tcW w:w="4643" w:type="dxa"/>
            <w:tcBorders>
              <w:top w:val="nil"/>
              <w:left w:val="nil"/>
              <w:right w:val="nil"/>
            </w:tcBorders>
          </w:tcPr>
          <w:p w14:paraId="32367FC5" w14:textId="77777777" w:rsidR="00847D15" w:rsidRPr="00C83045" w:rsidRDefault="00847D15" w:rsidP="00D4304B">
            <w:pPr>
              <w:pStyle w:val="EndnoteText"/>
              <w:keepNext/>
              <w:keepLines/>
              <w:widowControl w:val="0"/>
              <w:tabs>
                <w:tab w:val="clear" w:pos="567"/>
              </w:tabs>
              <w:jc w:val="center"/>
              <w:rPr>
                <w:color w:val="000000"/>
                <w:szCs w:val="22"/>
                <w:lang w:val="sk-SK"/>
              </w:rPr>
            </w:pPr>
            <w:r w:rsidRPr="00C83045">
              <w:rPr>
                <w:color w:val="000000"/>
                <w:szCs w:val="22"/>
                <w:lang w:val="sk-SK"/>
              </w:rPr>
              <w:t>2 (1,4)</w:t>
            </w:r>
          </w:p>
        </w:tc>
      </w:tr>
    </w:tbl>
    <w:p w14:paraId="32367FC7" w14:textId="77777777" w:rsidR="00847D15" w:rsidRPr="00C83045" w:rsidRDefault="00847D15" w:rsidP="00D4304B">
      <w:pPr>
        <w:widowControl w:val="0"/>
        <w:ind w:left="0" w:firstLine="0"/>
        <w:rPr>
          <w:color w:val="000000"/>
          <w:szCs w:val="22"/>
        </w:rPr>
      </w:pPr>
    </w:p>
    <w:p w14:paraId="32367FC8" w14:textId="77777777" w:rsidR="00C814EA" w:rsidRPr="00C83045" w:rsidRDefault="00847D15" w:rsidP="00D4304B">
      <w:pPr>
        <w:widowControl w:val="0"/>
        <w:ind w:left="0" w:firstLine="0"/>
        <w:rPr>
          <w:color w:val="000000"/>
          <w:szCs w:val="22"/>
        </w:rPr>
      </w:pPr>
      <w:r w:rsidRPr="00C83045">
        <w:rPr>
          <w:color w:val="000000"/>
          <w:szCs w:val="22"/>
        </w:rPr>
        <w:t>Medzi obidvoma skupinami neboli rozdiely v stupni odpovede. Významný počet pacientov</w:t>
      </w:r>
      <w:r w:rsidR="00654C06" w:rsidRPr="00C83045">
        <w:rPr>
          <w:color w:val="000000"/>
          <w:szCs w:val="22"/>
        </w:rPr>
        <w:t xml:space="preserve">, ktorí mali </w:t>
      </w:r>
      <w:r w:rsidRPr="00C83045">
        <w:rPr>
          <w:color w:val="000000"/>
          <w:szCs w:val="22"/>
        </w:rPr>
        <w:t xml:space="preserve">v čase predbežnej analýzy </w:t>
      </w:r>
      <w:r w:rsidR="007671B5" w:rsidRPr="00C83045">
        <w:rPr>
          <w:color w:val="000000"/>
          <w:szCs w:val="22"/>
        </w:rPr>
        <w:t>stabilizovan</w:t>
      </w:r>
      <w:r w:rsidRPr="00C83045">
        <w:rPr>
          <w:color w:val="000000"/>
          <w:szCs w:val="22"/>
        </w:rPr>
        <w:t>é ochorenie</w:t>
      </w:r>
      <w:r w:rsidR="00654C06" w:rsidRPr="00C83045">
        <w:rPr>
          <w:color w:val="000000"/>
          <w:szCs w:val="22"/>
        </w:rPr>
        <w:t>, dosiah</w:t>
      </w:r>
      <w:r w:rsidR="00E07AD1" w:rsidRPr="00C83045">
        <w:rPr>
          <w:color w:val="000000"/>
          <w:szCs w:val="22"/>
        </w:rPr>
        <w:t>o</w:t>
      </w:r>
      <w:r w:rsidR="00654C06" w:rsidRPr="00C83045">
        <w:rPr>
          <w:color w:val="000000"/>
          <w:szCs w:val="22"/>
        </w:rPr>
        <w:t>l čiastočnú odpoveď pri dlhšej liečbe (medián následného sledovania 31 mesiacov)</w:t>
      </w:r>
      <w:r w:rsidRPr="00C83045">
        <w:rPr>
          <w:color w:val="000000"/>
          <w:szCs w:val="22"/>
        </w:rPr>
        <w:t xml:space="preserve">. </w:t>
      </w:r>
      <w:r w:rsidR="00601A47" w:rsidRPr="00C83045">
        <w:rPr>
          <w:color w:val="000000"/>
          <w:szCs w:val="22"/>
        </w:rPr>
        <w:t xml:space="preserve">Medián času do odpovede bol 13 týždňov (95% </w:t>
      </w:r>
      <w:r w:rsidR="00E26C65" w:rsidRPr="00C83045">
        <w:rPr>
          <w:color w:val="000000"/>
          <w:szCs w:val="22"/>
        </w:rPr>
        <w:t>CI</w:t>
      </w:r>
      <w:r w:rsidR="00601A47" w:rsidRPr="00C83045">
        <w:rPr>
          <w:color w:val="000000"/>
          <w:szCs w:val="22"/>
        </w:rPr>
        <w:t xml:space="preserve"> 12–23). </w:t>
      </w:r>
      <w:r w:rsidR="00C814EA" w:rsidRPr="00C83045">
        <w:rPr>
          <w:color w:val="000000"/>
          <w:szCs w:val="22"/>
        </w:rPr>
        <w:t xml:space="preserve">Medián času do zlyhania liečby u pacientov s odpoveďou bol 122 týždňov (95% </w:t>
      </w:r>
      <w:r w:rsidR="00E26C65" w:rsidRPr="00C83045">
        <w:rPr>
          <w:color w:val="000000"/>
          <w:szCs w:val="22"/>
        </w:rPr>
        <w:t>CI</w:t>
      </w:r>
      <w:r w:rsidR="00C814EA" w:rsidRPr="00C83045">
        <w:rPr>
          <w:color w:val="000000"/>
          <w:szCs w:val="22"/>
        </w:rPr>
        <w:t xml:space="preserve"> 106–147), zatiaľ čo u celkovej populácie v klinickom skúšaní to bolo 84 týždňov (95% </w:t>
      </w:r>
      <w:r w:rsidR="00E26C65" w:rsidRPr="00C83045">
        <w:rPr>
          <w:color w:val="000000"/>
          <w:szCs w:val="22"/>
        </w:rPr>
        <w:t>CI</w:t>
      </w:r>
      <w:r w:rsidR="00C814EA" w:rsidRPr="00C83045">
        <w:rPr>
          <w:color w:val="000000"/>
          <w:szCs w:val="22"/>
        </w:rPr>
        <w:t xml:space="preserve"> 71–109). </w:t>
      </w:r>
      <w:r w:rsidR="00313615" w:rsidRPr="00C83045">
        <w:rPr>
          <w:color w:val="000000"/>
          <w:szCs w:val="22"/>
        </w:rPr>
        <w:t xml:space="preserve">Medián celkového prežívania sa nedosiahol. </w:t>
      </w:r>
      <w:r w:rsidR="007910D9" w:rsidRPr="00C83045">
        <w:rPr>
          <w:color w:val="000000"/>
          <w:szCs w:val="22"/>
        </w:rPr>
        <w:t xml:space="preserve">Odhad prežívania podľa </w:t>
      </w:r>
      <w:r w:rsidR="00313615" w:rsidRPr="00C83045">
        <w:rPr>
          <w:color w:val="000000"/>
          <w:szCs w:val="22"/>
        </w:rPr>
        <w:t>Kaplan</w:t>
      </w:r>
      <w:r w:rsidR="007910D9" w:rsidRPr="00C83045">
        <w:rPr>
          <w:color w:val="000000"/>
          <w:szCs w:val="22"/>
        </w:rPr>
        <w:t>a</w:t>
      </w:r>
      <w:r w:rsidR="00313615" w:rsidRPr="00C83045">
        <w:rPr>
          <w:color w:val="000000"/>
          <w:szCs w:val="22"/>
        </w:rPr>
        <w:t>-M</w:t>
      </w:r>
      <w:r w:rsidR="007910D9" w:rsidRPr="00C83045">
        <w:rPr>
          <w:color w:val="000000"/>
          <w:szCs w:val="22"/>
        </w:rPr>
        <w:t>eiera</w:t>
      </w:r>
      <w:r w:rsidR="00313615" w:rsidRPr="00C83045">
        <w:rPr>
          <w:color w:val="000000"/>
          <w:szCs w:val="22"/>
        </w:rPr>
        <w:t xml:space="preserve"> po 36 mesiacoch následného sledovania je 68%.</w:t>
      </w:r>
    </w:p>
    <w:p w14:paraId="32367FC9" w14:textId="77777777" w:rsidR="00313615" w:rsidRPr="00C83045" w:rsidRDefault="00313615" w:rsidP="00D4304B">
      <w:pPr>
        <w:widowControl w:val="0"/>
        <w:ind w:left="0" w:firstLine="0"/>
        <w:rPr>
          <w:color w:val="000000"/>
          <w:szCs w:val="22"/>
        </w:rPr>
      </w:pPr>
    </w:p>
    <w:p w14:paraId="32367FCA" w14:textId="77777777" w:rsidR="006969A5" w:rsidRPr="00C83045" w:rsidRDefault="006969A5" w:rsidP="00D4304B">
      <w:pPr>
        <w:widowControl w:val="0"/>
        <w:ind w:left="0" w:firstLine="0"/>
        <w:rPr>
          <w:color w:val="000000"/>
          <w:szCs w:val="22"/>
        </w:rPr>
      </w:pPr>
      <w:r w:rsidRPr="00C83045">
        <w:rPr>
          <w:color w:val="000000"/>
          <w:szCs w:val="22"/>
        </w:rPr>
        <w:t>V dvoch klinický</w:t>
      </w:r>
      <w:r w:rsidR="00BF6C07" w:rsidRPr="00C83045">
        <w:rPr>
          <w:color w:val="000000"/>
          <w:szCs w:val="22"/>
        </w:rPr>
        <w:t>c</w:t>
      </w:r>
      <w:r w:rsidRPr="00C83045">
        <w:rPr>
          <w:color w:val="000000"/>
          <w:szCs w:val="22"/>
        </w:rPr>
        <w:t xml:space="preserve">h skúšaniach </w:t>
      </w:r>
      <w:r w:rsidR="00BF6C07" w:rsidRPr="00C83045">
        <w:rPr>
          <w:color w:val="000000"/>
          <w:szCs w:val="22"/>
        </w:rPr>
        <w:t xml:space="preserve">(skúšanie B2222 a skúšanie medzi skupinami S0033) sa zvýšila denná dávka Glivecu </w:t>
      </w:r>
      <w:r w:rsidR="00CF2FB8" w:rsidRPr="00C83045">
        <w:rPr>
          <w:color w:val="000000"/>
          <w:szCs w:val="22"/>
        </w:rPr>
        <w:t xml:space="preserve">na 800 mg u pacientov s progresiou pri nižších denných dávkach 400 mg alebo 600 mg. Denná dávka sa zvýšila na 800 mg u celkove 103 pacientov; </w:t>
      </w:r>
      <w:r w:rsidR="000C5827" w:rsidRPr="00C83045">
        <w:rPr>
          <w:color w:val="000000"/>
          <w:szCs w:val="22"/>
        </w:rPr>
        <w:t xml:space="preserve">po zvýšení dávky 6 pacientov dosiahlo </w:t>
      </w:r>
      <w:r w:rsidR="000C5827" w:rsidRPr="00C83045">
        <w:rPr>
          <w:color w:val="000000"/>
          <w:szCs w:val="22"/>
        </w:rPr>
        <w:lastRenderedPageBreak/>
        <w:t xml:space="preserve">čiastočnú odpoveď a 21 stabilizáciu ich ochorenia pri celkovej klinickej prospešnosti 26%. </w:t>
      </w:r>
      <w:r w:rsidR="007E5A6A" w:rsidRPr="00C83045">
        <w:rPr>
          <w:color w:val="000000"/>
          <w:szCs w:val="22"/>
        </w:rPr>
        <w:t>Podľa dostupných údajov o bezpečnosti sa zdá, že zvýšenie dávky na 800 mg denne u pacientov s progresiou pri nižších dávkach 400 mg a</w:t>
      </w:r>
      <w:r w:rsidR="00F3655F" w:rsidRPr="00C83045">
        <w:rPr>
          <w:color w:val="000000"/>
          <w:szCs w:val="22"/>
        </w:rPr>
        <w:t xml:space="preserve">lebo </w:t>
      </w:r>
      <w:r w:rsidR="007E5A6A" w:rsidRPr="00C83045">
        <w:rPr>
          <w:color w:val="000000"/>
          <w:szCs w:val="22"/>
        </w:rPr>
        <w:t xml:space="preserve">600 mg </w:t>
      </w:r>
      <w:r w:rsidR="00242327" w:rsidRPr="00C83045">
        <w:rPr>
          <w:color w:val="000000"/>
          <w:szCs w:val="22"/>
        </w:rPr>
        <w:t xml:space="preserve">denne </w:t>
      </w:r>
      <w:r w:rsidR="00F3655F" w:rsidRPr="00C83045">
        <w:rPr>
          <w:color w:val="000000"/>
          <w:szCs w:val="22"/>
        </w:rPr>
        <w:t>neovplyvňuje bezpečnostný profil Glivecu.</w:t>
      </w:r>
    </w:p>
    <w:p w14:paraId="32367FCB" w14:textId="77777777" w:rsidR="00A271C2" w:rsidRPr="00C83045" w:rsidRDefault="00A271C2" w:rsidP="00D4304B">
      <w:pPr>
        <w:widowControl w:val="0"/>
        <w:ind w:left="0" w:firstLine="0"/>
        <w:rPr>
          <w:color w:val="000000"/>
          <w:szCs w:val="22"/>
        </w:rPr>
      </w:pPr>
    </w:p>
    <w:p w14:paraId="32367FCC" w14:textId="77777777" w:rsidR="00A271C2" w:rsidRPr="00C83045" w:rsidRDefault="00A271C2" w:rsidP="00D4304B">
      <w:pPr>
        <w:keepNext/>
        <w:widowControl w:val="0"/>
        <w:ind w:left="0" w:firstLine="0"/>
        <w:rPr>
          <w:color w:val="000000"/>
          <w:szCs w:val="22"/>
          <w:u w:val="single"/>
        </w:rPr>
      </w:pPr>
      <w:r w:rsidRPr="00C83045">
        <w:rPr>
          <w:color w:val="000000"/>
          <w:szCs w:val="22"/>
          <w:u w:val="single"/>
        </w:rPr>
        <w:t>Klinické skúšani</w:t>
      </w:r>
      <w:r w:rsidR="00A938F4" w:rsidRPr="00C83045">
        <w:rPr>
          <w:color w:val="000000"/>
          <w:szCs w:val="22"/>
          <w:u w:val="single"/>
        </w:rPr>
        <w:t>a</w:t>
      </w:r>
      <w:r w:rsidRPr="00C83045">
        <w:rPr>
          <w:color w:val="000000"/>
          <w:szCs w:val="22"/>
          <w:u w:val="single"/>
        </w:rPr>
        <w:t xml:space="preserve"> adjuvantnej liečby GIST</w:t>
      </w:r>
    </w:p>
    <w:p w14:paraId="32367FCD" w14:textId="77777777" w:rsidR="00A271C2" w:rsidRPr="00C83045" w:rsidRDefault="00A271C2" w:rsidP="00D4304B">
      <w:pPr>
        <w:widowControl w:val="0"/>
        <w:ind w:left="0" w:firstLine="0"/>
        <w:rPr>
          <w:rFonts w:eastAsia="MS Mincho"/>
          <w:color w:val="000000"/>
          <w:szCs w:val="22"/>
          <w:lang w:eastAsia="ja-JP"/>
        </w:rPr>
      </w:pPr>
      <w:r w:rsidRPr="00C83045">
        <w:rPr>
          <w:color w:val="000000"/>
          <w:szCs w:val="22"/>
        </w:rPr>
        <w:t xml:space="preserve">Glivec v adjuvantnom použití sa skúmal v multicentrickom, dvojito </w:t>
      </w:r>
      <w:r w:rsidR="00492EEB" w:rsidRPr="00C83045">
        <w:rPr>
          <w:color w:val="000000"/>
          <w:szCs w:val="22"/>
        </w:rPr>
        <w:t>za</w:t>
      </w:r>
      <w:r w:rsidRPr="00C83045">
        <w:rPr>
          <w:color w:val="000000"/>
          <w:szCs w:val="22"/>
        </w:rPr>
        <w:t>slep</w:t>
      </w:r>
      <w:r w:rsidR="00492EEB" w:rsidRPr="00C83045">
        <w:rPr>
          <w:color w:val="000000"/>
          <w:szCs w:val="22"/>
        </w:rPr>
        <w:t>en</w:t>
      </w:r>
      <w:r w:rsidRPr="00C83045">
        <w:rPr>
          <w:color w:val="000000"/>
          <w:szCs w:val="22"/>
        </w:rPr>
        <w:t xml:space="preserve">om, dlhodobom klinickom skúšaní fázy </w:t>
      </w:r>
      <w:smartTag w:uri="urn:schemas-microsoft-com:office:smarttags" w:element="stockticker">
        <w:r w:rsidRPr="00C83045">
          <w:rPr>
            <w:color w:val="000000"/>
            <w:szCs w:val="22"/>
          </w:rPr>
          <w:t>III</w:t>
        </w:r>
      </w:smartTag>
      <w:r w:rsidRPr="00C83045">
        <w:rPr>
          <w:color w:val="000000"/>
          <w:szCs w:val="22"/>
        </w:rPr>
        <w:t xml:space="preserve"> kontrolovanom placebom </w:t>
      </w:r>
      <w:r w:rsidRPr="00C83045">
        <w:rPr>
          <w:rFonts w:eastAsia="MS Mincho"/>
          <w:color w:val="000000"/>
          <w:szCs w:val="22"/>
          <w:lang w:eastAsia="ja-JP"/>
        </w:rPr>
        <w:t>(Z9001), do ktorého bolo zaradených 773 pacientov. Vek týchto pacientov bol v rozmedzí od 18 do 91 rokov. Zaradení boli pacienti, ktorí mali histologickú diagnózu primárneho GIST s expresiou bielkoviny Kit potvrdenou imunochemicky a veľkosť nádoru bola ≥ 3 cm v najväčšom rozmere, s kompletnou hrubou resekciou primárneho GIST v období 14</w:t>
      </w:r>
      <w:r w:rsidRPr="00C83045">
        <w:rPr>
          <w:rFonts w:eastAsia="MS Mincho"/>
          <w:color w:val="000000"/>
          <w:szCs w:val="22"/>
          <w:lang w:eastAsia="ja-JP"/>
        </w:rPr>
        <w:noBreakHyphen/>
        <w:t>70 dní pred registráciou. Po resekcii primárneho GIST boli pacienti randomizovaní do jednej z dvoch skupín: Glivec 400 mg/deň, alebo zodpovedajúce placebo počas jedného roka.</w:t>
      </w:r>
    </w:p>
    <w:p w14:paraId="32367FCE" w14:textId="77777777" w:rsidR="00A271C2" w:rsidRPr="00C83045" w:rsidRDefault="00A271C2" w:rsidP="00D4304B">
      <w:pPr>
        <w:widowControl w:val="0"/>
        <w:ind w:left="0" w:firstLine="0"/>
        <w:rPr>
          <w:rFonts w:eastAsia="MS Mincho"/>
          <w:color w:val="000000"/>
          <w:szCs w:val="22"/>
          <w:lang w:eastAsia="ja-JP"/>
        </w:rPr>
      </w:pPr>
    </w:p>
    <w:p w14:paraId="32367FCF" w14:textId="77777777" w:rsidR="00A271C2" w:rsidRPr="00C83045" w:rsidRDefault="00A271C2" w:rsidP="00D4304B">
      <w:pPr>
        <w:widowControl w:val="0"/>
        <w:ind w:left="0" w:firstLine="0"/>
        <w:rPr>
          <w:rFonts w:eastAsia="MS Mincho"/>
          <w:color w:val="000000"/>
          <w:szCs w:val="22"/>
          <w:lang w:eastAsia="ja-JP"/>
        </w:rPr>
      </w:pPr>
      <w:r w:rsidRPr="00C83045">
        <w:rPr>
          <w:rFonts w:eastAsia="MS Mincho"/>
          <w:color w:val="000000"/>
          <w:szCs w:val="22"/>
          <w:lang w:eastAsia="ja-JP"/>
        </w:rPr>
        <w:t>Primárnym cieľom klinického skúšania bolo prežívanie bez recidívy (</w:t>
      </w:r>
      <w:smartTag w:uri="urn:schemas-microsoft-com:office:smarttags" w:element="stockticker">
        <w:r w:rsidRPr="00C83045">
          <w:rPr>
            <w:rFonts w:eastAsia="MS Mincho"/>
            <w:color w:val="000000"/>
            <w:szCs w:val="22"/>
            <w:lang w:eastAsia="ja-JP"/>
          </w:rPr>
          <w:t>RFS</w:t>
        </w:r>
      </w:smartTag>
      <w:r w:rsidRPr="00C83045">
        <w:rPr>
          <w:rFonts w:eastAsia="MS Mincho"/>
          <w:color w:val="000000"/>
          <w:szCs w:val="22"/>
          <w:lang w:eastAsia="ja-JP"/>
        </w:rPr>
        <w:t>), definované ako čas od dátumu randomizácie do dátumu recidívy alebo smrti z akejkoľvek príčiny.</w:t>
      </w:r>
    </w:p>
    <w:p w14:paraId="32367FD0" w14:textId="77777777" w:rsidR="00A271C2" w:rsidRPr="00C83045" w:rsidRDefault="00A271C2" w:rsidP="00D4304B">
      <w:pPr>
        <w:widowControl w:val="0"/>
        <w:ind w:left="0" w:firstLine="0"/>
        <w:rPr>
          <w:rFonts w:eastAsia="MS Mincho"/>
          <w:color w:val="000000"/>
          <w:szCs w:val="22"/>
          <w:lang w:eastAsia="ja-JP"/>
        </w:rPr>
      </w:pPr>
    </w:p>
    <w:p w14:paraId="32367FD1" w14:textId="77777777" w:rsidR="00A271C2" w:rsidRPr="00C83045" w:rsidRDefault="00A271C2" w:rsidP="00D4304B">
      <w:pPr>
        <w:pStyle w:val="Text"/>
        <w:widowControl w:val="0"/>
        <w:spacing w:before="0"/>
        <w:jc w:val="left"/>
        <w:rPr>
          <w:rFonts w:eastAsia="MS Mincho"/>
          <w:color w:val="000000"/>
          <w:sz w:val="22"/>
          <w:szCs w:val="22"/>
          <w:lang w:val="sk-SK"/>
        </w:rPr>
      </w:pPr>
      <w:r w:rsidRPr="00C83045">
        <w:rPr>
          <w:rFonts w:eastAsia="MS Mincho"/>
          <w:color w:val="000000"/>
          <w:sz w:val="22"/>
          <w:szCs w:val="22"/>
          <w:lang w:val="sk-SK"/>
        </w:rPr>
        <w:t xml:space="preserve">Glivec významne predĺžil </w:t>
      </w:r>
      <w:smartTag w:uri="urn:schemas-microsoft-com:office:smarttags" w:element="stockticker">
        <w:r w:rsidRPr="00C83045">
          <w:rPr>
            <w:rFonts w:eastAsia="MS Mincho"/>
            <w:color w:val="000000"/>
            <w:sz w:val="22"/>
            <w:szCs w:val="22"/>
            <w:lang w:val="sk-SK"/>
          </w:rPr>
          <w:t>RFS</w:t>
        </w:r>
      </w:smartTag>
      <w:r w:rsidRPr="00C83045">
        <w:rPr>
          <w:rFonts w:eastAsia="MS Mincho"/>
          <w:color w:val="000000"/>
          <w:sz w:val="22"/>
          <w:szCs w:val="22"/>
          <w:lang w:val="sk-SK"/>
        </w:rPr>
        <w:t>, 75% pacientov bolo bez recidívy po 38 mesiacoch v skupine Glivecu v porovnaní s 20 mesiacmi v skupine placeba (95% CI, [30 - neodhadnuteľné] a [14 - neodhadnuteľné]</w:t>
      </w:r>
      <w:r w:rsidR="00FF3ED6" w:rsidRPr="00C83045">
        <w:rPr>
          <w:rFonts w:eastAsia="MS Mincho"/>
          <w:color w:val="000000"/>
          <w:sz w:val="22"/>
          <w:szCs w:val="22"/>
          <w:lang w:val="sk-SK"/>
        </w:rPr>
        <w:t xml:space="preserve"> v uvedenom poradí</w:t>
      </w:r>
      <w:r w:rsidRPr="00C83045">
        <w:rPr>
          <w:rFonts w:eastAsia="MS Mincho"/>
          <w:color w:val="000000"/>
          <w:sz w:val="22"/>
          <w:szCs w:val="22"/>
          <w:lang w:val="sk-SK"/>
        </w:rPr>
        <w:t xml:space="preserve">); (pomer rizika = 0,398 [0,259-0,610], p&lt;0,0001). Po jednom roku bolo celkové </w:t>
      </w:r>
      <w:smartTag w:uri="urn:schemas-microsoft-com:office:smarttags" w:element="stockticker">
        <w:r w:rsidRPr="00C83045">
          <w:rPr>
            <w:rFonts w:eastAsia="MS Mincho"/>
            <w:color w:val="000000"/>
            <w:sz w:val="22"/>
            <w:szCs w:val="22"/>
            <w:lang w:val="sk-SK"/>
          </w:rPr>
          <w:t>RFS</w:t>
        </w:r>
      </w:smartTag>
      <w:r w:rsidRPr="00C83045">
        <w:rPr>
          <w:rFonts w:eastAsia="MS Mincho"/>
          <w:color w:val="000000"/>
          <w:sz w:val="22"/>
          <w:szCs w:val="22"/>
          <w:lang w:val="sk-SK"/>
        </w:rPr>
        <w:t xml:space="preserve"> významne lepšie pri Glivecu (97,7%) v porovnaní s placebom (82,3%), (p&lt;0,0001). Riziko recidívy sa tak znížilo približne o 89% v porovnaní s placebom (pomer rizika = 0,113 [0,049</w:t>
      </w:r>
      <w:r w:rsidRPr="00C83045">
        <w:rPr>
          <w:rFonts w:eastAsia="MS Mincho"/>
          <w:color w:val="000000"/>
          <w:sz w:val="22"/>
          <w:szCs w:val="22"/>
          <w:lang w:val="sk-SK"/>
        </w:rPr>
        <w:noBreakHyphen/>
        <w:t>0,264]).</w:t>
      </w:r>
    </w:p>
    <w:p w14:paraId="32367FD2" w14:textId="77777777" w:rsidR="00A271C2" w:rsidRPr="00C83045" w:rsidRDefault="00A271C2" w:rsidP="00D4304B">
      <w:pPr>
        <w:pStyle w:val="Text"/>
        <w:widowControl w:val="0"/>
        <w:spacing w:before="0"/>
        <w:jc w:val="left"/>
        <w:rPr>
          <w:rFonts w:eastAsia="MS Mincho"/>
          <w:color w:val="000000"/>
          <w:sz w:val="22"/>
          <w:szCs w:val="22"/>
          <w:lang w:val="sk-SK"/>
        </w:rPr>
      </w:pPr>
    </w:p>
    <w:p w14:paraId="32367FD3" w14:textId="77777777" w:rsidR="00A271C2" w:rsidRPr="00C83045" w:rsidRDefault="00A271C2" w:rsidP="00D4304B">
      <w:pPr>
        <w:pStyle w:val="Text"/>
        <w:widowControl w:val="0"/>
        <w:spacing w:before="0"/>
        <w:jc w:val="left"/>
        <w:rPr>
          <w:color w:val="000000"/>
          <w:sz w:val="22"/>
          <w:szCs w:val="22"/>
          <w:lang w:val="sk-SK"/>
        </w:rPr>
      </w:pPr>
      <w:r w:rsidRPr="00C83045">
        <w:rPr>
          <w:rFonts w:eastAsia="MS Mincho"/>
          <w:color w:val="000000"/>
          <w:sz w:val="22"/>
          <w:szCs w:val="22"/>
          <w:lang w:val="sk-SK"/>
        </w:rPr>
        <w:t xml:space="preserve">Riziko recidívy po chirurgickom zákroku u pacientov s primárnym GIST sa retrospektívne vyhodnotilo na základe nasledujúcich prognostických faktorov: veľkosť nádoru, mitotický index, miesto výskytu nádoru. Údaje o mitotickom indexe boli dostupné u 556 </w:t>
      </w:r>
      <w:r w:rsidR="004E3A9C" w:rsidRPr="00C83045">
        <w:rPr>
          <w:rFonts w:eastAsia="MS Mincho"/>
          <w:color w:val="000000"/>
          <w:sz w:val="22"/>
          <w:szCs w:val="22"/>
          <w:lang w:val="sk-SK"/>
        </w:rPr>
        <w:t xml:space="preserve">zo 713 pacientov </w:t>
      </w:r>
      <w:r w:rsidRPr="00C83045">
        <w:rPr>
          <w:rFonts w:eastAsia="MS Mincho"/>
          <w:color w:val="000000"/>
          <w:sz w:val="22"/>
          <w:szCs w:val="22"/>
          <w:lang w:val="sk-SK"/>
        </w:rPr>
        <w:t>populácie určenej na liečbu (</w:t>
      </w:r>
      <w:smartTag w:uri="urn:schemas-microsoft-com:office:smarttags" w:element="stockticker">
        <w:smartTag w:uri="urn:schemas-microsoft-com:office:smarttags" w:element="PersonName">
          <w:r w:rsidRPr="00C83045">
            <w:rPr>
              <w:rFonts w:eastAsia="MS Mincho"/>
              <w:color w:val="000000"/>
              <w:sz w:val="22"/>
              <w:szCs w:val="22"/>
              <w:lang w:val="sk-SK"/>
            </w:rPr>
            <w:t>IT</w:t>
          </w:r>
        </w:smartTag>
        <w:r w:rsidRPr="00C83045">
          <w:rPr>
            <w:rFonts w:eastAsia="MS Mincho"/>
            <w:color w:val="000000"/>
            <w:sz w:val="22"/>
            <w:szCs w:val="22"/>
            <w:lang w:val="sk-SK"/>
          </w:rPr>
          <w:t>T</w:t>
        </w:r>
      </w:smartTag>
      <w:r w:rsidRPr="00C83045">
        <w:rPr>
          <w:rFonts w:eastAsia="MS Mincho"/>
          <w:color w:val="000000"/>
          <w:sz w:val="22"/>
          <w:szCs w:val="22"/>
          <w:lang w:val="sk-SK"/>
        </w:rPr>
        <w:t xml:space="preserve">). Výsledky analýz podskupín podľa klasifikácie rizika </w:t>
      </w:r>
      <w:r w:rsidR="00F04283" w:rsidRPr="00C83045">
        <w:rPr>
          <w:rFonts w:eastAsia="MS Mincho"/>
          <w:color w:val="000000"/>
          <w:sz w:val="22"/>
          <w:szCs w:val="22"/>
          <w:lang w:val="sk-SK" w:eastAsia="ja-JP"/>
        </w:rPr>
        <w:t xml:space="preserve">United States National Institutes of Health (NIH) a </w:t>
      </w:r>
      <w:r w:rsidRPr="00C83045">
        <w:rPr>
          <w:rFonts w:eastAsia="MS Mincho"/>
          <w:color w:val="000000"/>
          <w:sz w:val="22"/>
          <w:szCs w:val="22"/>
          <w:lang w:val="sk-SK" w:eastAsia="ja-JP"/>
        </w:rPr>
        <w:t>Armed Forces Institute of Pathology (A</w:t>
      </w:r>
      <w:smartTag w:uri="urn:schemas-microsoft-com:office:smarttags" w:element="PersonName">
        <w:r w:rsidRPr="00C83045">
          <w:rPr>
            <w:rFonts w:eastAsia="MS Mincho"/>
            <w:color w:val="000000"/>
            <w:sz w:val="22"/>
            <w:szCs w:val="22"/>
            <w:lang w:val="sk-SK" w:eastAsia="ja-JP"/>
          </w:rPr>
          <w:t>FI</w:t>
        </w:r>
      </w:smartTag>
      <w:r w:rsidRPr="00C83045">
        <w:rPr>
          <w:rFonts w:eastAsia="MS Mincho"/>
          <w:color w:val="000000"/>
          <w:sz w:val="22"/>
          <w:szCs w:val="22"/>
          <w:lang w:val="sk-SK" w:eastAsia="ja-JP"/>
        </w:rPr>
        <w:t>P) sú uvedené v Tabuľke </w:t>
      </w:r>
      <w:r w:rsidR="00E57DA0" w:rsidRPr="00C83045">
        <w:rPr>
          <w:rFonts w:eastAsia="MS Mincho"/>
          <w:color w:val="000000"/>
          <w:sz w:val="22"/>
          <w:szCs w:val="22"/>
          <w:lang w:val="sk-SK" w:eastAsia="ja-JP"/>
        </w:rPr>
        <w:t>7</w:t>
      </w:r>
      <w:r w:rsidRPr="00C83045">
        <w:rPr>
          <w:rFonts w:eastAsia="MS Mincho"/>
          <w:color w:val="000000"/>
          <w:sz w:val="22"/>
          <w:szCs w:val="22"/>
          <w:lang w:val="sk-SK" w:eastAsia="ja-JP"/>
        </w:rPr>
        <w:t>.</w:t>
      </w:r>
      <w:r w:rsidR="00F04283" w:rsidRPr="00C83045">
        <w:rPr>
          <w:rFonts w:eastAsia="MS Mincho"/>
          <w:color w:val="000000"/>
          <w:sz w:val="22"/>
          <w:szCs w:val="22"/>
          <w:lang w:val="sk-SK" w:eastAsia="ja-JP"/>
        </w:rPr>
        <w:t xml:space="preserve"> Žiadny prínos sa nepozoroval v skupinách s nízkym a veľmi nízkym rizikom. Nepozoroval sa prínos vzhľadom na celkové prežívanie.</w:t>
      </w:r>
    </w:p>
    <w:p w14:paraId="32367FD4" w14:textId="77777777" w:rsidR="00A271C2" w:rsidRPr="00C83045" w:rsidRDefault="00A271C2" w:rsidP="00D4304B">
      <w:pPr>
        <w:widowControl w:val="0"/>
        <w:ind w:left="0" w:firstLine="0"/>
        <w:rPr>
          <w:iCs/>
          <w:color w:val="000000"/>
          <w:szCs w:val="22"/>
          <w:u w:val="single"/>
        </w:rPr>
      </w:pPr>
    </w:p>
    <w:p w14:paraId="32367FD5" w14:textId="77777777" w:rsidR="00BE6267" w:rsidRPr="00C83045" w:rsidRDefault="00BE6267" w:rsidP="00D4304B">
      <w:pPr>
        <w:pStyle w:val="Heading6"/>
        <w:keepNext/>
        <w:keepLines/>
        <w:widowControl w:val="0"/>
        <w:tabs>
          <w:tab w:val="left" w:pos="1134"/>
        </w:tabs>
        <w:spacing w:before="0" w:after="0"/>
        <w:ind w:left="1134" w:hanging="1134"/>
        <w:rPr>
          <w:rFonts w:eastAsia="MS Mincho"/>
          <w:color w:val="000000"/>
          <w:lang w:eastAsia="ja-JP"/>
        </w:rPr>
      </w:pPr>
      <w:r w:rsidRPr="00C83045">
        <w:rPr>
          <w:rFonts w:eastAsia="MS Mincho"/>
          <w:color w:val="000000"/>
          <w:lang w:eastAsia="ja-JP"/>
        </w:rPr>
        <w:t>Tabuľka </w:t>
      </w:r>
      <w:r w:rsidR="00E57DA0" w:rsidRPr="00C83045">
        <w:rPr>
          <w:rFonts w:eastAsia="MS Mincho"/>
          <w:color w:val="000000"/>
          <w:lang w:eastAsia="ja-JP"/>
        </w:rPr>
        <w:t>7</w:t>
      </w:r>
      <w:r w:rsidRPr="00C83045">
        <w:rPr>
          <w:rFonts w:eastAsia="MS Mincho"/>
          <w:color w:val="000000"/>
          <w:lang w:eastAsia="ja-JP"/>
        </w:rPr>
        <w:tab/>
        <w:t xml:space="preserve">Zhrnutie analýz </w:t>
      </w:r>
      <w:smartTag w:uri="urn:schemas-microsoft-com:office:smarttags" w:element="stockticker">
        <w:r w:rsidRPr="00C83045">
          <w:rPr>
            <w:rFonts w:eastAsia="MS Mincho"/>
            <w:color w:val="000000"/>
            <w:lang w:eastAsia="ja-JP"/>
          </w:rPr>
          <w:t>RFS</w:t>
        </w:r>
      </w:smartTag>
      <w:r w:rsidRPr="00C83045">
        <w:rPr>
          <w:rFonts w:eastAsia="MS Mincho"/>
          <w:color w:val="000000"/>
          <w:lang w:eastAsia="ja-JP"/>
        </w:rPr>
        <w:t xml:space="preserve"> v klinickom skúšaní Z9001 podľa klasifikácie rizika NIH a AFIP</w:t>
      </w:r>
    </w:p>
    <w:p w14:paraId="32367FD6" w14:textId="77777777" w:rsidR="0059521C" w:rsidRPr="00C83045" w:rsidRDefault="0059521C" w:rsidP="00D4304B">
      <w:pPr>
        <w:keepNext/>
        <w:keepLines/>
        <w:widowControl w:val="0"/>
        <w:rPr>
          <w:color w:val="000000"/>
          <w:szCs w:val="22"/>
          <w:lang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986"/>
        <w:gridCol w:w="2083"/>
        <w:gridCol w:w="1800"/>
        <w:gridCol w:w="1440"/>
        <w:gridCol w:w="1360"/>
      </w:tblGrid>
      <w:tr w:rsidR="0059521C" w:rsidRPr="00C83045" w14:paraId="32367FDE" w14:textId="77777777" w:rsidTr="00B62C3E">
        <w:trPr>
          <w:cantSplit/>
        </w:trPr>
        <w:tc>
          <w:tcPr>
            <w:tcW w:w="934" w:type="dxa"/>
            <w:vMerge w:val="restart"/>
          </w:tcPr>
          <w:p w14:paraId="32367FD7"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Krité-riá rizika</w:t>
            </w:r>
          </w:p>
        </w:tc>
        <w:tc>
          <w:tcPr>
            <w:tcW w:w="1417" w:type="dxa"/>
            <w:vMerge w:val="restart"/>
            <w:tcBorders>
              <w:right w:val="single" w:sz="4" w:space="0" w:color="auto"/>
            </w:tcBorders>
          </w:tcPr>
          <w:p w14:paraId="32367FD8" w14:textId="77777777" w:rsidR="0059521C" w:rsidRPr="00C83045" w:rsidRDefault="0059521C" w:rsidP="00D4304B">
            <w:pPr>
              <w:pStyle w:val="Table"/>
              <w:widowControl w:val="0"/>
              <w:tabs>
                <w:tab w:val="left" w:pos="567"/>
              </w:tabs>
              <w:spacing w:before="0" w:after="0"/>
              <w:rPr>
                <w:rFonts w:ascii="Times New Roman" w:hAnsi="Times New Roman"/>
                <w:b/>
                <w:color w:val="000000"/>
                <w:sz w:val="22"/>
                <w:szCs w:val="22"/>
                <w:lang w:val="sk-SK"/>
              </w:rPr>
            </w:pPr>
            <w:r w:rsidRPr="00C83045">
              <w:rPr>
                <w:rFonts w:ascii="Times New Roman" w:hAnsi="Times New Roman"/>
                <w:b/>
                <w:color w:val="000000"/>
                <w:sz w:val="22"/>
                <w:szCs w:val="22"/>
                <w:lang w:val="sk-SK"/>
              </w:rPr>
              <w:t>Miera rizika</w:t>
            </w:r>
          </w:p>
        </w:tc>
        <w:tc>
          <w:tcPr>
            <w:tcW w:w="986" w:type="dxa"/>
            <w:vMerge w:val="restart"/>
            <w:tcBorders>
              <w:left w:val="single" w:sz="4" w:space="0" w:color="auto"/>
              <w:right w:val="single" w:sz="4" w:space="0" w:color="auto"/>
            </w:tcBorders>
          </w:tcPr>
          <w:p w14:paraId="32367FD9"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 pacien-tov</w:t>
            </w:r>
          </w:p>
        </w:tc>
        <w:tc>
          <w:tcPr>
            <w:tcW w:w="2083" w:type="dxa"/>
            <w:vMerge w:val="restart"/>
            <w:tcBorders>
              <w:left w:val="single" w:sz="4" w:space="0" w:color="auto"/>
              <w:right w:val="single" w:sz="4" w:space="0" w:color="auto"/>
            </w:tcBorders>
          </w:tcPr>
          <w:p w14:paraId="32367FDA"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Počet udalostí /</w:t>
            </w:r>
          </w:p>
          <w:p w14:paraId="32367FDB"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počet pacientov</w:t>
            </w:r>
          </w:p>
        </w:tc>
        <w:tc>
          <w:tcPr>
            <w:tcW w:w="1800" w:type="dxa"/>
            <w:vMerge w:val="restart"/>
            <w:tcBorders>
              <w:left w:val="single" w:sz="4" w:space="0" w:color="auto"/>
              <w:right w:val="single" w:sz="4" w:space="0" w:color="auto"/>
            </w:tcBorders>
          </w:tcPr>
          <w:p w14:paraId="32367FDC"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Celkový pomer rizika (95%CI)*</w:t>
            </w:r>
          </w:p>
        </w:tc>
        <w:tc>
          <w:tcPr>
            <w:tcW w:w="2800" w:type="dxa"/>
            <w:gridSpan w:val="2"/>
            <w:tcBorders>
              <w:left w:val="single" w:sz="4" w:space="0" w:color="auto"/>
            </w:tcBorders>
          </w:tcPr>
          <w:p w14:paraId="32367FDD"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 xml:space="preserve">Podiel </w:t>
            </w:r>
            <w:smartTag w:uri="urn:schemas-microsoft-com:office:smarttags" w:element="stockticker">
              <w:r w:rsidRPr="00C83045">
                <w:rPr>
                  <w:rFonts w:ascii="Times New Roman" w:hAnsi="Times New Roman"/>
                  <w:b/>
                  <w:color w:val="000000"/>
                  <w:sz w:val="22"/>
                  <w:szCs w:val="22"/>
                  <w:lang w:val="sk-SK"/>
                </w:rPr>
                <w:t>RFS</w:t>
              </w:r>
            </w:smartTag>
            <w:r w:rsidRPr="00C83045">
              <w:rPr>
                <w:rFonts w:ascii="Times New Roman" w:hAnsi="Times New Roman"/>
                <w:b/>
                <w:color w:val="000000"/>
                <w:sz w:val="22"/>
                <w:szCs w:val="22"/>
                <w:lang w:val="sk-SK"/>
              </w:rPr>
              <w:t xml:space="preserve"> (%)</w:t>
            </w:r>
          </w:p>
        </w:tc>
      </w:tr>
      <w:tr w:rsidR="0059521C" w:rsidRPr="00C83045" w14:paraId="32367FE6" w14:textId="77777777" w:rsidTr="00B62C3E">
        <w:trPr>
          <w:cantSplit/>
        </w:trPr>
        <w:tc>
          <w:tcPr>
            <w:tcW w:w="934" w:type="dxa"/>
            <w:vMerge/>
          </w:tcPr>
          <w:p w14:paraId="32367FDF" w14:textId="77777777" w:rsidR="0059521C" w:rsidRPr="00C83045" w:rsidRDefault="0059521C" w:rsidP="00D4304B">
            <w:pPr>
              <w:pStyle w:val="Table"/>
              <w:widowControl w:val="0"/>
              <w:tabs>
                <w:tab w:val="left" w:pos="567"/>
              </w:tabs>
              <w:spacing w:before="0" w:after="0"/>
              <w:rPr>
                <w:rFonts w:ascii="Times New Roman" w:hAnsi="Times New Roman"/>
                <w:b/>
                <w:color w:val="000000"/>
                <w:sz w:val="22"/>
                <w:szCs w:val="22"/>
                <w:lang w:val="sk-SK"/>
              </w:rPr>
            </w:pPr>
          </w:p>
        </w:tc>
        <w:tc>
          <w:tcPr>
            <w:tcW w:w="1417" w:type="dxa"/>
            <w:vMerge/>
            <w:tcBorders>
              <w:right w:val="single" w:sz="4" w:space="0" w:color="auto"/>
            </w:tcBorders>
          </w:tcPr>
          <w:p w14:paraId="32367FE0" w14:textId="77777777" w:rsidR="0059521C" w:rsidRPr="00C83045" w:rsidRDefault="0059521C" w:rsidP="00D4304B">
            <w:pPr>
              <w:pStyle w:val="Table"/>
              <w:widowControl w:val="0"/>
              <w:tabs>
                <w:tab w:val="left" w:pos="567"/>
              </w:tabs>
              <w:spacing w:before="0" w:after="0"/>
              <w:rPr>
                <w:rFonts w:ascii="Times New Roman" w:hAnsi="Times New Roman"/>
                <w:b/>
                <w:color w:val="000000"/>
                <w:sz w:val="22"/>
                <w:szCs w:val="22"/>
                <w:lang w:val="sk-SK"/>
              </w:rPr>
            </w:pPr>
          </w:p>
        </w:tc>
        <w:tc>
          <w:tcPr>
            <w:tcW w:w="986" w:type="dxa"/>
            <w:vMerge/>
            <w:tcBorders>
              <w:left w:val="single" w:sz="4" w:space="0" w:color="auto"/>
              <w:right w:val="single" w:sz="4" w:space="0" w:color="auto"/>
            </w:tcBorders>
          </w:tcPr>
          <w:p w14:paraId="32367FE1"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p>
        </w:tc>
        <w:tc>
          <w:tcPr>
            <w:tcW w:w="2083" w:type="dxa"/>
            <w:vMerge/>
            <w:tcBorders>
              <w:left w:val="single" w:sz="4" w:space="0" w:color="auto"/>
              <w:right w:val="single" w:sz="4" w:space="0" w:color="auto"/>
            </w:tcBorders>
          </w:tcPr>
          <w:p w14:paraId="32367FE2"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p>
        </w:tc>
        <w:tc>
          <w:tcPr>
            <w:tcW w:w="1800" w:type="dxa"/>
            <w:vMerge/>
            <w:tcBorders>
              <w:left w:val="single" w:sz="4" w:space="0" w:color="auto"/>
              <w:right w:val="single" w:sz="4" w:space="0" w:color="auto"/>
            </w:tcBorders>
          </w:tcPr>
          <w:p w14:paraId="32367FE3" w14:textId="77777777" w:rsidR="0059521C" w:rsidRPr="00C83045" w:rsidRDefault="0059521C" w:rsidP="00D4304B">
            <w:pPr>
              <w:pStyle w:val="Table"/>
              <w:widowControl w:val="0"/>
              <w:tabs>
                <w:tab w:val="left" w:pos="567"/>
              </w:tabs>
              <w:spacing w:before="0" w:after="0"/>
              <w:rPr>
                <w:rFonts w:ascii="Times New Roman" w:hAnsi="Times New Roman"/>
                <w:b/>
                <w:color w:val="000000"/>
                <w:sz w:val="22"/>
                <w:szCs w:val="22"/>
                <w:lang w:val="sk-SK"/>
              </w:rPr>
            </w:pPr>
          </w:p>
        </w:tc>
        <w:tc>
          <w:tcPr>
            <w:tcW w:w="1440" w:type="dxa"/>
            <w:tcBorders>
              <w:left w:val="single" w:sz="4" w:space="0" w:color="auto"/>
              <w:right w:val="single" w:sz="4" w:space="0" w:color="auto"/>
            </w:tcBorders>
          </w:tcPr>
          <w:p w14:paraId="32367FE4"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12 mesiacov</w:t>
            </w:r>
          </w:p>
        </w:tc>
        <w:tc>
          <w:tcPr>
            <w:tcW w:w="1360" w:type="dxa"/>
            <w:tcBorders>
              <w:left w:val="single" w:sz="4" w:space="0" w:color="auto"/>
            </w:tcBorders>
          </w:tcPr>
          <w:p w14:paraId="32367FE5"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24 mesiacov</w:t>
            </w:r>
          </w:p>
        </w:tc>
      </w:tr>
      <w:tr w:rsidR="0059521C" w:rsidRPr="00C83045" w14:paraId="32367FEE" w14:textId="77777777" w:rsidTr="00B62C3E">
        <w:trPr>
          <w:cantSplit/>
        </w:trPr>
        <w:tc>
          <w:tcPr>
            <w:tcW w:w="934" w:type="dxa"/>
            <w:vMerge/>
          </w:tcPr>
          <w:p w14:paraId="32367FE7" w14:textId="77777777" w:rsidR="0059521C" w:rsidRPr="00C83045" w:rsidRDefault="0059521C" w:rsidP="00D4304B">
            <w:pPr>
              <w:pStyle w:val="Table"/>
              <w:widowControl w:val="0"/>
              <w:tabs>
                <w:tab w:val="left" w:pos="567"/>
              </w:tabs>
              <w:spacing w:before="0" w:after="0"/>
              <w:rPr>
                <w:rFonts w:ascii="Times New Roman" w:hAnsi="Times New Roman"/>
                <w:b/>
                <w:color w:val="000000"/>
                <w:sz w:val="22"/>
                <w:szCs w:val="22"/>
                <w:lang w:val="sk-SK"/>
              </w:rPr>
            </w:pPr>
          </w:p>
        </w:tc>
        <w:tc>
          <w:tcPr>
            <w:tcW w:w="1417" w:type="dxa"/>
            <w:vMerge/>
            <w:tcBorders>
              <w:right w:val="single" w:sz="4" w:space="0" w:color="auto"/>
            </w:tcBorders>
          </w:tcPr>
          <w:p w14:paraId="32367FE8" w14:textId="77777777" w:rsidR="0059521C" w:rsidRPr="00C83045" w:rsidRDefault="0059521C" w:rsidP="00D4304B">
            <w:pPr>
              <w:pStyle w:val="Table"/>
              <w:widowControl w:val="0"/>
              <w:tabs>
                <w:tab w:val="left" w:pos="567"/>
              </w:tabs>
              <w:spacing w:before="0" w:after="0"/>
              <w:rPr>
                <w:rFonts w:ascii="Times New Roman" w:hAnsi="Times New Roman"/>
                <w:b/>
                <w:color w:val="000000"/>
                <w:sz w:val="22"/>
                <w:szCs w:val="22"/>
                <w:lang w:val="sk-SK"/>
              </w:rPr>
            </w:pPr>
          </w:p>
        </w:tc>
        <w:tc>
          <w:tcPr>
            <w:tcW w:w="986" w:type="dxa"/>
            <w:vMerge/>
            <w:tcBorders>
              <w:left w:val="single" w:sz="4" w:space="0" w:color="auto"/>
              <w:right w:val="single" w:sz="4" w:space="0" w:color="auto"/>
            </w:tcBorders>
          </w:tcPr>
          <w:p w14:paraId="32367FE9"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p>
        </w:tc>
        <w:tc>
          <w:tcPr>
            <w:tcW w:w="2083" w:type="dxa"/>
            <w:tcBorders>
              <w:left w:val="single" w:sz="4" w:space="0" w:color="auto"/>
              <w:bottom w:val="single" w:sz="4" w:space="0" w:color="auto"/>
              <w:right w:val="single" w:sz="4" w:space="0" w:color="auto"/>
            </w:tcBorders>
          </w:tcPr>
          <w:p w14:paraId="32367FEA"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Glivec oproti placebu</w:t>
            </w:r>
          </w:p>
        </w:tc>
        <w:tc>
          <w:tcPr>
            <w:tcW w:w="1800" w:type="dxa"/>
            <w:vMerge/>
            <w:tcBorders>
              <w:left w:val="single" w:sz="4" w:space="0" w:color="auto"/>
              <w:bottom w:val="single" w:sz="4" w:space="0" w:color="auto"/>
              <w:right w:val="single" w:sz="4" w:space="0" w:color="auto"/>
            </w:tcBorders>
          </w:tcPr>
          <w:p w14:paraId="32367FEB"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p>
        </w:tc>
        <w:tc>
          <w:tcPr>
            <w:tcW w:w="1440" w:type="dxa"/>
            <w:tcBorders>
              <w:left w:val="single" w:sz="4" w:space="0" w:color="auto"/>
              <w:bottom w:val="single" w:sz="4" w:space="0" w:color="auto"/>
              <w:right w:val="single" w:sz="4" w:space="0" w:color="auto"/>
            </w:tcBorders>
          </w:tcPr>
          <w:p w14:paraId="32367FEC"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Glivec oproti placebu</w:t>
            </w:r>
          </w:p>
        </w:tc>
        <w:tc>
          <w:tcPr>
            <w:tcW w:w="1360" w:type="dxa"/>
            <w:tcBorders>
              <w:left w:val="single" w:sz="4" w:space="0" w:color="auto"/>
            </w:tcBorders>
          </w:tcPr>
          <w:p w14:paraId="32367FED" w14:textId="77777777" w:rsidR="0059521C" w:rsidRPr="00C83045" w:rsidRDefault="0059521C"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Glivec oproti placebu</w:t>
            </w:r>
          </w:p>
        </w:tc>
      </w:tr>
      <w:tr w:rsidR="0059521C" w:rsidRPr="00C83045" w14:paraId="32367FF7" w14:textId="77777777" w:rsidTr="00B62C3E">
        <w:trPr>
          <w:cantSplit/>
        </w:trPr>
        <w:tc>
          <w:tcPr>
            <w:tcW w:w="934" w:type="dxa"/>
            <w:vMerge w:val="restart"/>
            <w:shd w:val="clear" w:color="auto" w:fill="auto"/>
          </w:tcPr>
          <w:p w14:paraId="32367FEF" w14:textId="77777777" w:rsidR="0059521C" w:rsidRPr="00C83045" w:rsidRDefault="0059521C" w:rsidP="00D4304B">
            <w:pPr>
              <w:pStyle w:val="Nottoc-headings"/>
              <w:widowControl w:val="0"/>
              <w:tabs>
                <w:tab w:val="left" w:pos="567"/>
              </w:tabs>
              <w:spacing w:before="0" w:after="0"/>
              <w:ind w:left="0" w:firstLine="0"/>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NIH</w:t>
            </w:r>
          </w:p>
          <w:p w14:paraId="32367FF0" w14:textId="77777777" w:rsidR="0059521C" w:rsidRPr="00C83045" w:rsidRDefault="0059521C" w:rsidP="00D4304B">
            <w:pPr>
              <w:pStyle w:val="Text"/>
              <w:keepNext/>
              <w:keepLines/>
              <w:widowControl w:val="0"/>
              <w:tabs>
                <w:tab w:val="left" w:pos="567"/>
              </w:tabs>
              <w:spacing w:before="0"/>
              <w:rPr>
                <w:color w:val="000000"/>
                <w:sz w:val="22"/>
                <w:szCs w:val="22"/>
                <w:lang w:val="sk-SK"/>
              </w:rPr>
            </w:pPr>
          </w:p>
        </w:tc>
        <w:tc>
          <w:tcPr>
            <w:tcW w:w="1417" w:type="dxa"/>
            <w:tcBorders>
              <w:bottom w:val="nil"/>
              <w:right w:val="single" w:sz="4" w:space="0" w:color="auto"/>
            </w:tcBorders>
            <w:vAlign w:val="bottom"/>
          </w:tcPr>
          <w:p w14:paraId="32367FF1" w14:textId="77777777" w:rsidR="0059521C" w:rsidRPr="00C83045" w:rsidRDefault="0059521C" w:rsidP="00D4304B">
            <w:pPr>
              <w:pStyle w:val="Nottoc-headings"/>
              <w:widowControl w:val="0"/>
              <w:tabs>
                <w:tab w:val="left" w:pos="567"/>
              </w:tabs>
              <w:spacing w:before="0" w:after="0"/>
              <w:ind w:left="57" w:hanging="57"/>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Nízka</w:t>
            </w:r>
          </w:p>
        </w:tc>
        <w:tc>
          <w:tcPr>
            <w:tcW w:w="986" w:type="dxa"/>
            <w:tcBorders>
              <w:left w:val="single" w:sz="4" w:space="0" w:color="auto"/>
              <w:bottom w:val="nil"/>
              <w:right w:val="single" w:sz="4" w:space="0" w:color="auto"/>
            </w:tcBorders>
            <w:vAlign w:val="bottom"/>
          </w:tcPr>
          <w:p w14:paraId="32367FF2" w14:textId="77777777" w:rsidR="0059521C" w:rsidRPr="00C83045" w:rsidRDefault="0059521C" w:rsidP="00D4304B">
            <w:pPr>
              <w:pStyle w:val="Nottoc-headings"/>
              <w:widowControl w:val="0"/>
              <w:tabs>
                <w:tab w:val="left" w:pos="567"/>
              </w:tabs>
              <w:spacing w:before="0" w:after="0"/>
              <w:ind w:left="57" w:hanging="57"/>
              <w:jc w:val="center"/>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29,5</w:t>
            </w:r>
          </w:p>
        </w:tc>
        <w:tc>
          <w:tcPr>
            <w:tcW w:w="2083" w:type="dxa"/>
            <w:tcBorders>
              <w:left w:val="single" w:sz="4" w:space="0" w:color="auto"/>
              <w:bottom w:val="nil"/>
              <w:right w:val="single" w:sz="4" w:space="0" w:color="auto"/>
            </w:tcBorders>
            <w:vAlign w:val="bottom"/>
          </w:tcPr>
          <w:p w14:paraId="32367FF3" w14:textId="77777777" w:rsidR="0059521C" w:rsidRPr="00C83045" w:rsidRDefault="0059521C" w:rsidP="00D4304B">
            <w:pPr>
              <w:pStyle w:val="Nottoc-headings"/>
              <w:widowControl w:val="0"/>
              <w:tabs>
                <w:tab w:val="left" w:pos="567"/>
              </w:tabs>
              <w:spacing w:before="0" w:after="0"/>
              <w:ind w:left="57" w:hanging="57"/>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0/86 oproti 2/90</w:t>
            </w:r>
          </w:p>
        </w:tc>
        <w:tc>
          <w:tcPr>
            <w:tcW w:w="1800" w:type="dxa"/>
            <w:tcBorders>
              <w:left w:val="single" w:sz="4" w:space="0" w:color="auto"/>
              <w:bottom w:val="nil"/>
              <w:right w:val="single" w:sz="4" w:space="0" w:color="auto"/>
            </w:tcBorders>
            <w:vAlign w:val="bottom"/>
          </w:tcPr>
          <w:p w14:paraId="32367FF4" w14:textId="77777777" w:rsidR="0059521C" w:rsidRPr="00C83045" w:rsidRDefault="0059521C" w:rsidP="00D4304B">
            <w:pPr>
              <w:pStyle w:val="Nottoc-headings"/>
              <w:widowControl w:val="0"/>
              <w:tabs>
                <w:tab w:val="left" w:pos="567"/>
              </w:tabs>
              <w:spacing w:before="0" w:after="0"/>
              <w:ind w:left="57" w:hanging="57"/>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N.E.</w:t>
            </w:r>
          </w:p>
        </w:tc>
        <w:tc>
          <w:tcPr>
            <w:tcW w:w="1440" w:type="dxa"/>
            <w:tcBorders>
              <w:left w:val="single" w:sz="4" w:space="0" w:color="auto"/>
              <w:bottom w:val="nil"/>
              <w:right w:val="single" w:sz="4" w:space="0" w:color="auto"/>
            </w:tcBorders>
            <w:vAlign w:val="bottom"/>
          </w:tcPr>
          <w:p w14:paraId="32367FF5" w14:textId="77777777" w:rsidR="0059521C" w:rsidRPr="00C83045" w:rsidRDefault="0059521C" w:rsidP="00D4304B">
            <w:pPr>
              <w:pStyle w:val="Nottoc-headings"/>
              <w:widowControl w:val="0"/>
              <w:tabs>
                <w:tab w:val="left" w:pos="567"/>
              </w:tabs>
              <w:spacing w:before="0" w:after="0"/>
              <w:ind w:left="57" w:hanging="57"/>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100 oproti 98,7</w:t>
            </w:r>
          </w:p>
        </w:tc>
        <w:tc>
          <w:tcPr>
            <w:tcW w:w="1360" w:type="dxa"/>
            <w:tcBorders>
              <w:left w:val="single" w:sz="4" w:space="0" w:color="auto"/>
              <w:bottom w:val="nil"/>
            </w:tcBorders>
            <w:vAlign w:val="bottom"/>
          </w:tcPr>
          <w:p w14:paraId="32367FF6" w14:textId="77777777" w:rsidR="0059521C" w:rsidRPr="00C83045" w:rsidRDefault="0059521C" w:rsidP="00D4304B">
            <w:pPr>
              <w:pStyle w:val="Nottoc-headings"/>
              <w:widowControl w:val="0"/>
              <w:tabs>
                <w:tab w:val="left" w:pos="567"/>
              </w:tabs>
              <w:spacing w:before="0" w:after="0"/>
              <w:ind w:left="57" w:hanging="57"/>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100 oproti 95,5</w:t>
            </w:r>
          </w:p>
        </w:tc>
      </w:tr>
      <w:tr w:rsidR="0059521C" w:rsidRPr="00C83045" w14:paraId="32367FFF" w14:textId="77777777" w:rsidTr="00B62C3E">
        <w:trPr>
          <w:cantSplit/>
        </w:trPr>
        <w:tc>
          <w:tcPr>
            <w:tcW w:w="934" w:type="dxa"/>
            <w:vMerge/>
            <w:shd w:val="clear" w:color="auto" w:fill="auto"/>
          </w:tcPr>
          <w:p w14:paraId="32367FF8" w14:textId="77777777" w:rsidR="0059521C" w:rsidRPr="00C83045" w:rsidRDefault="0059521C" w:rsidP="00D4304B">
            <w:pPr>
              <w:pStyle w:val="Nottoc-headings"/>
              <w:widowControl w:val="0"/>
              <w:tabs>
                <w:tab w:val="left" w:pos="567"/>
              </w:tabs>
              <w:spacing w:before="0" w:after="0"/>
              <w:rPr>
                <w:rFonts w:ascii="Times New Roman" w:hAnsi="Times New Roman"/>
                <w:b w:val="0"/>
                <w:color w:val="000000"/>
                <w:sz w:val="22"/>
                <w:szCs w:val="22"/>
                <w:lang w:val="sk-SK"/>
              </w:rPr>
            </w:pPr>
          </w:p>
        </w:tc>
        <w:tc>
          <w:tcPr>
            <w:tcW w:w="1417" w:type="dxa"/>
            <w:tcBorders>
              <w:top w:val="nil"/>
              <w:bottom w:val="nil"/>
              <w:right w:val="single" w:sz="4" w:space="0" w:color="auto"/>
            </w:tcBorders>
            <w:vAlign w:val="bottom"/>
          </w:tcPr>
          <w:p w14:paraId="32367FF9"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Stredná</w:t>
            </w:r>
          </w:p>
        </w:tc>
        <w:tc>
          <w:tcPr>
            <w:tcW w:w="986" w:type="dxa"/>
            <w:tcBorders>
              <w:top w:val="nil"/>
              <w:left w:val="single" w:sz="4" w:space="0" w:color="auto"/>
              <w:bottom w:val="nil"/>
              <w:right w:val="single" w:sz="4" w:space="0" w:color="auto"/>
            </w:tcBorders>
            <w:vAlign w:val="bottom"/>
          </w:tcPr>
          <w:p w14:paraId="32367FFA" w14:textId="77777777" w:rsidR="0059521C" w:rsidRPr="00C83045" w:rsidRDefault="0059521C" w:rsidP="00D4304B">
            <w:pPr>
              <w:pStyle w:val="Table"/>
              <w:widowControl w:val="0"/>
              <w:tabs>
                <w:tab w:val="left" w:pos="567"/>
              </w:tabs>
              <w:spacing w:before="0" w:after="0"/>
              <w:jc w:val="center"/>
              <w:rPr>
                <w:rFonts w:ascii="Times New Roman" w:hAnsi="Times New Roman"/>
                <w:color w:val="000000"/>
                <w:sz w:val="22"/>
                <w:szCs w:val="22"/>
                <w:lang w:val="sk-SK"/>
              </w:rPr>
            </w:pPr>
            <w:r w:rsidRPr="00C83045">
              <w:rPr>
                <w:rFonts w:ascii="Times New Roman" w:hAnsi="Times New Roman"/>
                <w:color w:val="000000"/>
                <w:sz w:val="22"/>
                <w:szCs w:val="22"/>
                <w:lang w:val="sk-SK"/>
              </w:rPr>
              <w:t>25,7</w:t>
            </w:r>
          </w:p>
        </w:tc>
        <w:tc>
          <w:tcPr>
            <w:tcW w:w="2083" w:type="dxa"/>
            <w:tcBorders>
              <w:top w:val="nil"/>
              <w:left w:val="single" w:sz="4" w:space="0" w:color="auto"/>
              <w:bottom w:val="nil"/>
              <w:right w:val="single" w:sz="4" w:space="0" w:color="auto"/>
            </w:tcBorders>
            <w:vAlign w:val="bottom"/>
          </w:tcPr>
          <w:p w14:paraId="32367FFB"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4/75 oproti 6/78</w:t>
            </w:r>
          </w:p>
        </w:tc>
        <w:tc>
          <w:tcPr>
            <w:tcW w:w="1800" w:type="dxa"/>
            <w:tcBorders>
              <w:top w:val="nil"/>
              <w:left w:val="single" w:sz="4" w:space="0" w:color="auto"/>
              <w:bottom w:val="nil"/>
              <w:right w:val="single" w:sz="4" w:space="0" w:color="auto"/>
            </w:tcBorders>
            <w:vAlign w:val="bottom"/>
          </w:tcPr>
          <w:p w14:paraId="32367FFC"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0,59 (0,17; 2,10)</w:t>
            </w:r>
          </w:p>
        </w:tc>
        <w:tc>
          <w:tcPr>
            <w:tcW w:w="1440" w:type="dxa"/>
            <w:tcBorders>
              <w:top w:val="nil"/>
              <w:left w:val="single" w:sz="4" w:space="0" w:color="auto"/>
              <w:bottom w:val="nil"/>
              <w:right w:val="single" w:sz="4" w:space="0" w:color="auto"/>
            </w:tcBorders>
            <w:vAlign w:val="bottom"/>
          </w:tcPr>
          <w:p w14:paraId="32367FFD"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100 oproti 94,8</w:t>
            </w:r>
          </w:p>
        </w:tc>
        <w:tc>
          <w:tcPr>
            <w:tcW w:w="1360" w:type="dxa"/>
            <w:tcBorders>
              <w:top w:val="nil"/>
              <w:left w:val="single" w:sz="4" w:space="0" w:color="auto"/>
              <w:bottom w:val="nil"/>
            </w:tcBorders>
            <w:vAlign w:val="bottom"/>
          </w:tcPr>
          <w:p w14:paraId="32367FFE"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97,8 oproti 89,5</w:t>
            </w:r>
          </w:p>
        </w:tc>
      </w:tr>
      <w:tr w:rsidR="0059521C" w:rsidRPr="00C83045" w14:paraId="32368007" w14:textId="77777777" w:rsidTr="00B62C3E">
        <w:trPr>
          <w:cantSplit/>
        </w:trPr>
        <w:tc>
          <w:tcPr>
            <w:tcW w:w="934" w:type="dxa"/>
            <w:vMerge/>
            <w:shd w:val="clear" w:color="auto" w:fill="auto"/>
          </w:tcPr>
          <w:p w14:paraId="32368000"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p>
        </w:tc>
        <w:tc>
          <w:tcPr>
            <w:tcW w:w="1417" w:type="dxa"/>
            <w:tcBorders>
              <w:top w:val="nil"/>
              <w:right w:val="single" w:sz="4" w:space="0" w:color="auto"/>
            </w:tcBorders>
            <w:vAlign w:val="bottom"/>
          </w:tcPr>
          <w:p w14:paraId="32368001"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Vysoká</w:t>
            </w:r>
          </w:p>
        </w:tc>
        <w:tc>
          <w:tcPr>
            <w:tcW w:w="986" w:type="dxa"/>
            <w:tcBorders>
              <w:top w:val="nil"/>
              <w:left w:val="single" w:sz="4" w:space="0" w:color="auto"/>
              <w:right w:val="single" w:sz="4" w:space="0" w:color="auto"/>
            </w:tcBorders>
            <w:vAlign w:val="bottom"/>
          </w:tcPr>
          <w:p w14:paraId="32368002" w14:textId="77777777" w:rsidR="0059521C" w:rsidRPr="00C83045" w:rsidRDefault="0059521C" w:rsidP="00D4304B">
            <w:pPr>
              <w:pStyle w:val="Table"/>
              <w:widowControl w:val="0"/>
              <w:tabs>
                <w:tab w:val="left" w:pos="567"/>
              </w:tabs>
              <w:spacing w:before="0" w:after="0"/>
              <w:jc w:val="center"/>
              <w:rPr>
                <w:rFonts w:ascii="Times New Roman" w:hAnsi="Times New Roman"/>
                <w:color w:val="000000"/>
                <w:sz w:val="22"/>
                <w:szCs w:val="22"/>
                <w:lang w:val="sk-SK"/>
              </w:rPr>
            </w:pPr>
            <w:r w:rsidRPr="00C83045">
              <w:rPr>
                <w:rFonts w:ascii="Times New Roman" w:hAnsi="Times New Roman"/>
                <w:color w:val="000000"/>
                <w:sz w:val="22"/>
                <w:szCs w:val="22"/>
                <w:lang w:val="sk-SK"/>
              </w:rPr>
              <w:t>44,8</w:t>
            </w:r>
          </w:p>
        </w:tc>
        <w:tc>
          <w:tcPr>
            <w:tcW w:w="2083" w:type="dxa"/>
            <w:tcBorders>
              <w:top w:val="nil"/>
              <w:left w:val="single" w:sz="4" w:space="0" w:color="auto"/>
              <w:right w:val="single" w:sz="4" w:space="0" w:color="auto"/>
            </w:tcBorders>
            <w:vAlign w:val="bottom"/>
          </w:tcPr>
          <w:p w14:paraId="32368003"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21/140 oproti 51/127</w:t>
            </w:r>
          </w:p>
        </w:tc>
        <w:tc>
          <w:tcPr>
            <w:tcW w:w="1800" w:type="dxa"/>
            <w:tcBorders>
              <w:top w:val="nil"/>
              <w:left w:val="single" w:sz="4" w:space="0" w:color="auto"/>
              <w:right w:val="single" w:sz="4" w:space="0" w:color="auto"/>
            </w:tcBorders>
            <w:vAlign w:val="bottom"/>
          </w:tcPr>
          <w:p w14:paraId="32368004"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0,29 (0,18; 0,49)</w:t>
            </w:r>
          </w:p>
        </w:tc>
        <w:tc>
          <w:tcPr>
            <w:tcW w:w="1440" w:type="dxa"/>
            <w:tcBorders>
              <w:top w:val="nil"/>
              <w:left w:val="single" w:sz="4" w:space="0" w:color="auto"/>
              <w:right w:val="single" w:sz="4" w:space="0" w:color="auto"/>
            </w:tcBorders>
            <w:vAlign w:val="bottom"/>
          </w:tcPr>
          <w:p w14:paraId="32368005"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94,8 oproti 64,0</w:t>
            </w:r>
          </w:p>
        </w:tc>
        <w:tc>
          <w:tcPr>
            <w:tcW w:w="1360" w:type="dxa"/>
            <w:tcBorders>
              <w:top w:val="nil"/>
              <w:left w:val="single" w:sz="4" w:space="0" w:color="auto"/>
            </w:tcBorders>
            <w:vAlign w:val="bottom"/>
          </w:tcPr>
          <w:p w14:paraId="32368006"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80,7 oproti 46,6</w:t>
            </w:r>
          </w:p>
        </w:tc>
      </w:tr>
      <w:tr w:rsidR="0059521C" w:rsidRPr="00C83045" w14:paraId="32368010" w14:textId="77777777" w:rsidTr="00B62C3E">
        <w:trPr>
          <w:cantSplit/>
        </w:trPr>
        <w:tc>
          <w:tcPr>
            <w:tcW w:w="934" w:type="dxa"/>
            <w:vMerge w:val="restart"/>
            <w:shd w:val="clear" w:color="auto" w:fill="auto"/>
          </w:tcPr>
          <w:p w14:paraId="32368008"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AFIP</w:t>
            </w:r>
          </w:p>
          <w:p w14:paraId="32368009"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p>
        </w:tc>
        <w:tc>
          <w:tcPr>
            <w:tcW w:w="1417" w:type="dxa"/>
            <w:tcBorders>
              <w:bottom w:val="nil"/>
              <w:right w:val="single" w:sz="4" w:space="0" w:color="auto"/>
            </w:tcBorders>
            <w:vAlign w:val="bottom"/>
          </w:tcPr>
          <w:p w14:paraId="3236800A"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Veľmi nízka</w:t>
            </w:r>
          </w:p>
        </w:tc>
        <w:tc>
          <w:tcPr>
            <w:tcW w:w="986" w:type="dxa"/>
            <w:tcBorders>
              <w:left w:val="single" w:sz="4" w:space="0" w:color="auto"/>
              <w:bottom w:val="nil"/>
              <w:right w:val="single" w:sz="4" w:space="0" w:color="auto"/>
            </w:tcBorders>
            <w:vAlign w:val="bottom"/>
          </w:tcPr>
          <w:p w14:paraId="3236800B" w14:textId="77777777" w:rsidR="0059521C" w:rsidRPr="00C83045" w:rsidRDefault="0059521C" w:rsidP="00D4304B">
            <w:pPr>
              <w:pStyle w:val="Table"/>
              <w:widowControl w:val="0"/>
              <w:tabs>
                <w:tab w:val="left" w:pos="567"/>
              </w:tabs>
              <w:spacing w:before="0" w:after="0"/>
              <w:jc w:val="center"/>
              <w:rPr>
                <w:rFonts w:ascii="Times New Roman" w:hAnsi="Times New Roman"/>
                <w:color w:val="000000"/>
                <w:sz w:val="22"/>
                <w:szCs w:val="22"/>
                <w:lang w:val="sk-SK"/>
              </w:rPr>
            </w:pPr>
            <w:r w:rsidRPr="00C83045">
              <w:rPr>
                <w:rFonts w:ascii="Times New Roman" w:hAnsi="Times New Roman"/>
                <w:color w:val="000000"/>
                <w:sz w:val="22"/>
                <w:szCs w:val="22"/>
                <w:lang w:val="sk-SK"/>
              </w:rPr>
              <w:t>20,7</w:t>
            </w:r>
          </w:p>
        </w:tc>
        <w:tc>
          <w:tcPr>
            <w:tcW w:w="2083" w:type="dxa"/>
            <w:tcBorders>
              <w:left w:val="single" w:sz="4" w:space="0" w:color="auto"/>
              <w:bottom w:val="nil"/>
              <w:right w:val="single" w:sz="4" w:space="0" w:color="auto"/>
            </w:tcBorders>
            <w:vAlign w:val="bottom"/>
          </w:tcPr>
          <w:p w14:paraId="3236800C"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0/52 oproti 2/63</w:t>
            </w:r>
          </w:p>
        </w:tc>
        <w:tc>
          <w:tcPr>
            <w:tcW w:w="1800" w:type="dxa"/>
            <w:tcBorders>
              <w:left w:val="single" w:sz="4" w:space="0" w:color="auto"/>
              <w:bottom w:val="nil"/>
              <w:right w:val="single" w:sz="4" w:space="0" w:color="auto"/>
            </w:tcBorders>
            <w:vAlign w:val="bottom"/>
          </w:tcPr>
          <w:p w14:paraId="3236800D"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N.E.</w:t>
            </w:r>
          </w:p>
        </w:tc>
        <w:tc>
          <w:tcPr>
            <w:tcW w:w="1440" w:type="dxa"/>
            <w:tcBorders>
              <w:left w:val="single" w:sz="4" w:space="0" w:color="auto"/>
              <w:bottom w:val="nil"/>
              <w:right w:val="single" w:sz="4" w:space="0" w:color="auto"/>
            </w:tcBorders>
            <w:vAlign w:val="bottom"/>
          </w:tcPr>
          <w:p w14:paraId="3236800E"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100 oproti 98,1</w:t>
            </w:r>
          </w:p>
        </w:tc>
        <w:tc>
          <w:tcPr>
            <w:tcW w:w="1360" w:type="dxa"/>
            <w:tcBorders>
              <w:left w:val="single" w:sz="4" w:space="0" w:color="auto"/>
              <w:bottom w:val="nil"/>
            </w:tcBorders>
            <w:vAlign w:val="bottom"/>
          </w:tcPr>
          <w:p w14:paraId="3236800F"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100 oproti 93,0</w:t>
            </w:r>
          </w:p>
        </w:tc>
      </w:tr>
      <w:tr w:rsidR="0059521C" w:rsidRPr="00C83045" w14:paraId="32368018" w14:textId="77777777" w:rsidTr="00B62C3E">
        <w:trPr>
          <w:cantSplit/>
        </w:trPr>
        <w:tc>
          <w:tcPr>
            <w:tcW w:w="934" w:type="dxa"/>
            <w:vMerge/>
            <w:shd w:val="clear" w:color="auto" w:fill="auto"/>
          </w:tcPr>
          <w:p w14:paraId="32368011"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p>
        </w:tc>
        <w:tc>
          <w:tcPr>
            <w:tcW w:w="1417" w:type="dxa"/>
            <w:tcBorders>
              <w:top w:val="nil"/>
              <w:bottom w:val="nil"/>
              <w:right w:val="single" w:sz="4" w:space="0" w:color="auto"/>
            </w:tcBorders>
            <w:vAlign w:val="bottom"/>
          </w:tcPr>
          <w:p w14:paraId="32368012"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Nízka</w:t>
            </w:r>
          </w:p>
        </w:tc>
        <w:tc>
          <w:tcPr>
            <w:tcW w:w="986" w:type="dxa"/>
            <w:tcBorders>
              <w:top w:val="nil"/>
              <w:left w:val="single" w:sz="4" w:space="0" w:color="auto"/>
              <w:bottom w:val="nil"/>
              <w:right w:val="single" w:sz="4" w:space="0" w:color="auto"/>
            </w:tcBorders>
            <w:vAlign w:val="bottom"/>
          </w:tcPr>
          <w:p w14:paraId="32368013" w14:textId="77777777" w:rsidR="0059521C" w:rsidRPr="00C83045" w:rsidRDefault="0059521C" w:rsidP="00D4304B">
            <w:pPr>
              <w:pStyle w:val="Table"/>
              <w:widowControl w:val="0"/>
              <w:tabs>
                <w:tab w:val="left" w:pos="567"/>
              </w:tabs>
              <w:spacing w:before="0" w:after="0"/>
              <w:jc w:val="center"/>
              <w:rPr>
                <w:rFonts w:ascii="Times New Roman" w:hAnsi="Times New Roman"/>
                <w:color w:val="000000"/>
                <w:sz w:val="22"/>
                <w:szCs w:val="22"/>
                <w:lang w:val="sk-SK"/>
              </w:rPr>
            </w:pPr>
            <w:r w:rsidRPr="00C83045">
              <w:rPr>
                <w:rFonts w:ascii="Times New Roman" w:hAnsi="Times New Roman"/>
                <w:color w:val="000000"/>
                <w:sz w:val="22"/>
                <w:szCs w:val="22"/>
                <w:lang w:val="sk-SK"/>
              </w:rPr>
              <w:t>25,0</w:t>
            </w:r>
          </w:p>
        </w:tc>
        <w:tc>
          <w:tcPr>
            <w:tcW w:w="2083" w:type="dxa"/>
            <w:tcBorders>
              <w:top w:val="nil"/>
              <w:left w:val="single" w:sz="4" w:space="0" w:color="auto"/>
              <w:bottom w:val="nil"/>
              <w:right w:val="single" w:sz="4" w:space="0" w:color="auto"/>
            </w:tcBorders>
            <w:vAlign w:val="bottom"/>
          </w:tcPr>
          <w:p w14:paraId="32368014"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2/70 oproti 0/69</w:t>
            </w:r>
          </w:p>
        </w:tc>
        <w:tc>
          <w:tcPr>
            <w:tcW w:w="1800" w:type="dxa"/>
            <w:tcBorders>
              <w:top w:val="nil"/>
              <w:left w:val="single" w:sz="4" w:space="0" w:color="auto"/>
              <w:bottom w:val="nil"/>
              <w:right w:val="single" w:sz="4" w:space="0" w:color="auto"/>
            </w:tcBorders>
            <w:vAlign w:val="bottom"/>
          </w:tcPr>
          <w:p w14:paraId="32368015"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N.E.</w:t>
            </w:r>
          </w:p>
        </w:tc>
        <w:tc>
          <w:tcPr>
            <w:tcW w:w="1440" w:type="dxa"/>
            <w:tcBorders>
              <w:top w:val="nil"/>
              <w:left w:val="single" w:sz="4" w:space="0" w:color="auto"/>
              <w:bottom w:val="nil"/>
              <w:right w:val="single" w:sz="4" w:space="0" w:color="auto"/>
            </w:tcBorders>
            <w:vAlign w:val="bottom"/>
          </w:tcPr>
          <w:p w14:paraId="32368016"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100 oproti 100</w:t>
            </w:r>
          </w:p>
        </w:tc>
        <w:tc>
          <w:tcPr>
            <w:tcW w:w="1360" w:type="dxa"/>
            <w:tcBorders>
              <w:top w:val="nil"/>
              <w:left w:val="single" w:sz="4" w:space="0" w:color="auto"/>
              <w:bottom w:val="nil"/>
            </w:tcBorders>
            <w:vAlign w:val="bottom"/>
          </w:tcPr>
          <w:p w14:paraId="32368017"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97,8 oproti 100</w:t>
            </w:r>
          </w:p>
        </w:tc>
      </w:tr>
      <w:tr w:rsidR="0059521C" w:rsidRPr="00C83045" w14:paraId="32368020" w14:textId="77777777" w:rsidTr="00B62C3E">
        <w:trPr>
          <w:cantSplit/>
        </w:trPr>
        <w:tc>
          <w:tcPr>
            <w:tcW w:w="934" w:type="dxa"/>
            <w:vMerge/>
            <w:shd w:val="clear" w:color="auto" w:fill="auto"/>
          </w:tcPr>
          <w:p w14:paraId="32368019" w14:textId="77777777" w:rsidR="0059521C" w:rsidRPr="00C83045" w:rsidRDefault="0059521C" w:rsidP="00D4304B">
            <w:pPr>
              <w:pStyle w:val="Table"/>
              <w:widowControl w:val="0"/>
              <w:tabs>
                <w:tab w:val="left" w:pos="567"/>
              </w:tabs>
              <w:spacing w:before="0" w:after="0"/>
              <w:rPr>
                <w:rFonts w:ascii="Times New Roman" w:hAnsi="Times New Roman"/>
                <w:b/>
                <w:color w:val="000000"/>
                <w:sz w:val="22"/>
                <w:szCs w:val="22"/>
                <w:lang w:val="sk-SK"/>
              </w:rPr>
            </w:pPr>
          </w:p>
        </w:tc>
        <w:tc>
          <w:tcPr>
            <w:tcW w:w="1417" w:type="dxa"/>
            <w:tcBorders>
              <w:top w:val="nil"/>
              <w:bottom w:val="nil"/>
              <w:right w:val="single" w:sz="4" w:space="0" w:color="auto"/>
            </w:tcBorders>
            <w:vAlign w:val="bottom"/>
          </w:tcPr>
          <w:p w14:paraId="3236801A"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Stredne vysoká</w:t>
            </w:r>
          </w:p>
        </w:tc>
        <w:tc>
          <w:tcPr>
            <w:tcW w:w="986" w:type="dxa"/>
            <w:tcBorders>
              <w:top w:val="nil"/>
              <w:left w:val="single" w:sz="4" w:space="0" w:color="auto"/>
              <w:bottom w:val="nil"/>
              <w:right w:val="single" w:sz="4" w:space="0" w:color="auto"/>
            </w:tcBorders>
            <w:vAlign w:val="bottom"/>
          </w:tcPr>
          <w:p w14:paraId="3236801B" w14:textId="77777777" w:rsidR="0059521C" w:rsidRPr="00C83045" w:rsidRDefault="0059521C" w:rsidP="00D4304B">
            <w:pPr>
              <w:pStyle w:val="Table"/>
              <w:widowControl w:val="0"/>
              <w:tabs>
                <w:tab w:val="left" w:pos="567"/>
              </w:tabs>
              <w:spacing w:before="0" w:after="0"/>
              <w:jc w:val="center"/>
              <w:rPr>
                <w:rFonts w:ascii="Times New Roman" w:hAnsi="Times New Roman"/>
                <w:color w:val="000000"/>
                <w:sz w:val="22"/>
                <w:szCs w:val="22"/>
                <w:lang w:val="sk-SK"/>
              </w:rPr>
            </w:pPr>
            <w:r w:rsidRPr="00C83045">
              <w:rPr>
                <w:rFonts w:ascii="Times New Roman" w:hAnsi="Times New Roman"/>
                <w:color w:val="000000"/>
                <w:sz w:val="22"/>
                <w:szCs w:val="22"/>
                <w:lang w:val="sk-SK"/>
              </w:rPr>
              <w:t>24,6</w:t>
            </w:r>
          </w:p>
        </w:tc>
        <w:tc>
          <w:tcPr>
            <w:tcW w:w="2083" w:type="dxa"/>
            <w:tcBorders>
              <w:top w:val="nil"/>
              <w:left w:val="single" w:sz="4" w:space="0" w:color="auto"/>
              <w:bottom w:val="nil"/>
              <w:right w:val="single" w:sz="4" w:space="0" w:color="auto"/>
            </w:tcBorders>
            <w:vAlign w:val="bottom"/>
          </w:tcPr>
          <w:p w14:paraId="3236801C"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2/70 oproti 11/67</w:t>
            </w:r>
          </w:p>
        </w:tc>
        <w:tc>
          <w:tcPr>
            <w:tcW w:w="1800" w:type="dxa"/>
            <w:tcBorders>
              <w:top w:val="nil"/>
              <w:left w:val="single" w:sz="4" w:space="0" w:color="auto"/>
              <w:bottom w:val="nil"/>
              <w:right w:val="single" w:sz="4" w:space="0" w:color="auto"/>
            </w:tcBorders>
            <w:vAlign w:val="bottom"/>
          </w:tcPr>
          <w:p w14:paraId="3236801D"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0,16 (0,03; 0,70)</w:t>
            </w:r>
          </w:p>
        </w:tc>
        <w:tc>
          <w:tcPr>
            <w:tcW w:w="1440" w:type="dxa"/>
            <w:tcBorders>
              <w:top w:val="nil"/>
              <w:left w:val="single" w:sz="4" w:space="0" w:color="auto"/>
              <w:bottom w:val="nil"/>
              <w:right w:val="single" w:sz="4" w:space="0" w:color="auto"/>
            </w:tcBorders>
            <w:vAlign w:val="bottom"/>
          </w:tcPr>
          <w:p w14:paraId="3236801E"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97,9 oproti 90,8</w:t>
            </w:r>
          </w:p>
        </w:tc>
        <w:tc>
          <w:tcPr>
            <w:tcW w:w="1360" w:type="dxa"/>
            <w:tcBorders>
              <w:top w:val="nil"/>
              <w:left w:val="single" w:sz="4" w:space="0" w:color="auto"/>
              <w:bottom w:val="nil"/>
            </w:tcBorders>
            <w:vAlign w:val="bottom"/>
          </w:tcPr>
          <w:p w14:paraId="3236801F"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97,9 oproti 73,3</w:t>
            </w:r>
          </w:p>
        </w:tc>
      </w:tr>
      <w:tr w:rsidR="0059521C" w:rsidRPr="00C83045" w14:paraId="32368028" w14:textId="77777777" w:rsidTr="00B62C3E">
        <w:trPr>
          <w:cantSplit/>
        </w:trPr>
        <w:tc>
          <w:tcPr>
            <w:tcW w:w="934" w:type="dxa"/>
            <w:vMerge/>
            <w:tcBorders>
              <w:bottom w:val="single" w:sz="4" w:space="0" w:color="auto"/>
            </w:tcBorders>
            <w:shd w:val="clear" w:color="auto" w:fill="auto"/>
          </w:tcPr>
          <w:p w14:paraId="32368021"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p>
        </w:tc>
        <w:tc>
          <w:tcPr>
            <w:tcW w:w="1417" w:type="dxa"/>
            <w:tcBorders>
              <w:top w:val="nil"/>
              <w:bottom w:val="single" w:sz="4" w:space="0" w:color="auto"/>
              <w:right w:val="single" w:sz="4" w:space="0" w:color="auto"/>
            </w:tcBorders>
            <w:vAlign w:val="bottom"/>
          </w:tcPr>
          <w:p w14:paraId="32368022"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Vysoká</w:t>
            </w:r>
          </w:p>
        </w:tc>
        <w:tc>
          <w:tcPr>
            <w:tcW w:w="986" w:type="dxa"/>
            <w:tcBorders>
              <w:top w:val="nil"/>
              <w:left w:val="single" w:sz="4" w:space="0" w:color="auto"/>
              <w:bottom w:val="single" w:sz="4" w:space="0" w:color="auto"/>
              <w:right w:val="single" w:sz="4" w:space="0" w:color="auto"/>
            </w:tcBorders>
            <w:vAlign w:val="bottom"/>
          </w:tcPr>
          <w:p w14:paraId="32368023" w14:textId="77777777" w:rsidR="0059521C" w:rsidRPr="00C83045" w:rsidRDefault="0059521C" w:rsidP="00D4304B">
            <w:pPr>
              <w:pStyle w:val="Table"/>
              <w:widowControl w:val="0"/>
              <w:tabs>
                <w:tab w:val="left" w:pos="567"/>
              </w:tabs>
              <w:spacing w:before="0" w:after="0"/>
              <w:ind w:right="-3"/>
              <w:jc w:val="center"/>
              <w:rPr>
                <w:rFonts w:ascii="Times New Roman" w:hAnsi="Times New Roman"/>
                <w:color w:val="000000"/>
                <w:sz w:val="22"/>
                <w:szCs w:val="22"/>
                <w:lang w:val="sk-SK"/>
              </w:rPr>
            </w:pPr>
            <w:r w:rsidRPr="00C83045">
              <w:rPr>
                <w:rFonts w:ascii="Times New Roman" w:hAnsi="Times New Roman"/>
                <w:color w:val="000000"/>
                <w:sz w:val="22"/>
                <w:szCs w:val="22"/>
                <w:lang w:val="sk-SK"/>
              </w:rPr>
              <w:t>29,7</w:t>
            </w:r>
          </w:p>
        </w:tc>
        <w:tc>
          <w:tcPr>
            <w:tcW w:w="2083" w:type="dxa"/>
            <w:tcBorders>
              <w:top w:val="nil"/>
              <w:left w:val="single" w:sz="4" w:space="0" w:color="auto"/>
              <w:bottom w:val="single" w:sz="4" w:space="0" w:color="auto"/>
              <w:right w:val="single" w:sz="4" w:space="0" w:color="auto"/>
            </w:tcBorders>
            <w:vAlign w:val="bottom"/>
          </w:tcPr>
          <w:p w14:paraId="32368024"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16/84 oproti 39/81</w:t>
            </w:r>
          </w:p>
        </w:tc>
        <w:tc>
          <w:tcPr>
            <w:tcW w:w="1800" w:type="dxa"/>
            <w:tcBorders>
              <w:top w:val="nil"/>
              <w:left w:val="single" w:sz="4" w:space="0" w:color="auto"/>
              <w:bottom w:val="single" w:sz="4" w:space="0" w:color="auto"/>
              <w:right w:val="single" w:sz="4" w:space="0" w:color="auto"/>
            </w:tcBorders>
            <w:vAlign w:val="bottom"/>
          </w:tcPr>
          <w:p w14:paraId="32368025"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0,27 (0,15; 0,48)</w:t>
            </w:r>
          </w:p>
        </w:tc>
        <w:tc>
          <w:tcPr>
            <w:tcW w:w="1440" w:type="dxa"/>
            <w:tcBorders>
              <w:top w:val="nil"/>
              <w:left w:val="single" w:sz="4" w:space="0" w:color="auto"/>
              <w:bottom w:val="single" w:sz="4" w:space="0" w:color="auto"/>
              <w:right w:val="single" w:sz="4" w:space="0" w:color="auto"/>
            </w:tcBorders>
            <w:vAlign w:val="bottom"/>
          </w:tcPr>
          <w:p w14:paraId="32368026"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98,7 oproti 56,1</w:t>
            </w:r>
          </w:p>
        </w:tc>
        <w:tc>
          <w:tcPr>
            <w:tcW w:w="1360" w:type="dxa"/>
            <w:tcBorders>
              <w:top w:val="nil"/>
              <w:left w:val="single" w:sz="4" w:space="0" w:color="auto"/>
              <w:bottom w:val="single" w:sz="4" w:space="0" w:color="auto"/>
            </w:tcBorders>
            <w:vAlign w:val="bottom"/>
          </w:tcPr>
          <w:p w14:paraId="32368027" w14:textId="77777777" w:rsidR="0059521C" w:rsidRPr="00C83045" w:rsidRDefault="0059521C"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79,9 oproti 41,5</w:t>
            </w:r>
          </w:p>
        </w:tc>
      </w:tr>
    </w:tbl>
    <w:p w14:paraId="32368029" w14:textId="77777777" w:rsidR="0059521C" w:rsidRPr="00C83045" w:rsidRDefault="0059521C" w:rsidP="00D4304B">
      <w:pPr>
        <w:pStyle w:val="Text"/>
        <w:keepNext/>
        <w:keepLines/>
        <w:widowControl w:val="0"/>
        <w:spacing w:before="0"/>
        <w:rPr>
          <w:color w:val="000000"/>
          <w:sz w:val="22"/>
          <w:szCs w:val="22"/>
          <w:lang w:val="sk-SK"/>
        </w:rPr>
      </w:pPr>
      <w:r w:rsidRPr="00C83045">
        <w:rPr>
          <w:color w:val="000000"/>
          <w:sz w:val="22"/>
          <w:szCs w:val="22"/>
          <w:lang w:val="sk-SK"/>
        </w:rPr>
        <w:t>* Celé obdobie sledovania; N.E. – nemožno odhadnúť</w:t>
      </w:r>
    </w:p>
    <w:p w14:paraId="3236802A" w14:textId="77777777" w:rsidR="00E540AC" w:rsidRPr="00C83045" w:rsidRDefault="00E540AC" w:rsidP="00D4304B">
      <w:pPr>
        <w:widowControl w:val="0"/>
        <w:ind w:left="0" w:firstLine="0"/>
        <w:rPr>
          <w:color w:val="000000"/>
          <w:szCs w:val="22"/>
          <w:u w:val="single"/>
        </w:rPr>
      </w:pPr>
    </w:p>
    <w:p w14:paraId="3236802B" w14:textId="77777777" w:rsidR="00E540AC" w:rsidRPr="00C83045" w:rsidRDefault="00E540AC" w:rsidP="00D4304B">
      <w:pPr>
        <w:widowControl w:val="0"/>
        <w:ind w:left="0" w:firstLine="0"/>
        <w:rPr>
          <w:rFonts w:eastAsia="MS Mincho"/>
          <w:iCs/>
          <w:szCs w:val="22"/>
          <w:lang w:eastAsia="ja-JP"/>
        </w:rPr>
      </w:pPr>
      <w:r w:rsidRPr="00C83045">
        <w:rPr>
          <w:rFonts w:eastAsia="MS Mincho"/>
          <w:szCs w:val="22"/>
          <w:lang w:eastAsia="ja-JP"/>
        </w:rPr>
        <w:t xml:space="preserve">V druhom multicentrickom otvorenom klinickom skúšaní fázy III (SSG XVIII/AIO) sa porovnávala liečba Glivecom 400 mg/deň trvajúca 12 mesiacov </w:t>
      </w:r>
      <w:r w:rsidR="009F7365" w:rsidRPr="00C83045">
        <w:rPr>
          <w:rFonts w:eastAsia="MS Mincho"/>
          <w:szCs w:val="22"/>
          <w:lang w:eastAsia="ja-JP"/>
        </w:rPr>
        <w:t>s</w:t>
      </w:r>
      <w:r w:rsidRPr="00C83045">
        <w:rPr>
          <w:rFonts w:eastAsia="MS Mincho"/>
          <w:szCs w:val="22"/>
          <w:lang w:eastAsia="ja-JP"/>
        </w:rPr>
        <w:t xml:space="preserve"> </w:t>
      </w:r>
      <w:r w:rsidR="009F7365" w:rsidRPr="00C83045">
        <w:rPr>
          <w:rFonts w:eastAsia="MS Mincho"/>
          <w:szCs w:val="22"/>
          <w:lang w:eastAsia="ja-JP"/>
        </w:rPr>
        <w:t xml:space="preserve">liečbou trvajúcou </w:t>
      </w:r>
      <w:r w:rsidRPr="00C83045">
        <w:rPr>
          <w:rFonts w:eastAsia="MS Mincho"/>
          <w:szCs w:val="22"/>
          <w:lang w:eastAsia="ja-JP"/>
        </w:rPr>
        <w:t>36 mesiaco</w:t>
      </w:r>
      <w:r w:rsidR="009F7365" w:rsidRPr="00C83045">
        <w:rPr>
          <w:rFonts w:eastAsia="MS Mincho"/>
          <w:szCs w:val="22"/>
          <w:lang w:eastAsia="ja-JP"/>
        </w:rPr>
        <w:t>v</w:t>
      </w:r>
      <w:r w:rsidRPr="00C83045">
        <w:rPr>
          <w:rFonts w:eastAsia="MS Mincho"/>
          <w:szCs w:val="22"/>
          <w:lang w:eastAsia="ja-JP"/>
        </w:rPr>
        <w:t xml:space="preserve"> u pacientov po </w:t>
      </w:r>
      <w:r w:rsidRPr="00C83045">
        <w:rPr>
          <w:rFonts w:eastAsia="MS Mincho"/>
          <w:szCs w:val="22"/>
          <w:lang w:eastAsia="ja-JP"/>
        </w:rPr>
        <w:lastRenderedPageBreak/>
        <w:t xml:space="preserve">chirurgickej resekcii GIST a s jedným z nasledujúcich kritérií: priemer nádoru </w:t>
      </w:r>
      <w:r w:rsidRPr="00C83045">
        <w:rPr>
          <w:rFonts w:eastAsia="MS Mincho"/>
          <w:iCs/>
          <w:szCs w:val="22"/>
          <w:lang w:eastAsia="ja-JP"/>
        </w:rPr>
        <w:t>&gt; 5</w:t>
      </w:r>
      <w:r w:rsidRPr="00C83045">
        <w:rPr>
          <w:rFonts w:eastAsia="MS Mincho"/>
          <w:szCs w:val="22"/>
          <w:lang w:eastAsia="ja-JP"/>
        </w:rPr>
        <w:t> </w:t>
      </w:r>
      <w:r w:rsidRPr="00C83045">
        <w:rPr>
          <w:rFonts w:eastAsia="MS Mincho"/>
          <w:iCs/>
          <w:szCs w:val="22"/>
          <w:lang w:eastAsia="ja-JP"/>
        </w:rPr>
        <w:t>cm a počet mitóz &gt; 5/50 v zornom poli s vysokým rozlíšením (HPF); alebo priemer nádoru &gt; 10</w:t>
      </w:r>
      <w:r w:rsidRPr="00C83045">
        <w:rPr>
          <w:rFonts w:eastAsia="MS Mincho"/>
          <w:szCs w:val="22"/>
          <w:lang w:eastAsia="ja-JP"/>
        </w:rPr>
        <w:t> </w:t>
      </w:r>
      <w:r w:rsidRPr="00C83045">
        <w:rPr>
          <w:rFonts w:eastAsia="MS Mincho"/>
          <w:iCs/>
          <w:szCs w:val="22"/>
          <w:lang w:eastAsia="ja-JP"/>
        </w:rPr>
        <w:t>cm a akýkoľvek počet mitóz, alebo nádor akejkoľvek veľkosti a počet mitóz &gt; 10/50 HPF, alebo rozpad nádorov v peritoneálnej dutine. Celkovo 397 pacientov dalo súhlas a bolo randomizovaných v klinickom skúšaní (199</w:t>
      </w:r>
      <w:r w:rsidRPr="00C83045">
        <w:rPr>
          <w:rFonts w:eastAsia="MS Mincho"/>
          <w:szCs w:val="22"/>
          <w:lang w:eastAsia="ja-JP"/>
        </w:rPr>
        <w:t> </w:t>
      </w:r>
      <w:r w:rsidRPr="00C83045">
        <w:rPr>
          <w:rFonts w:eastAsia="MS Mincho"/>
          <w:iCs/>
          <w:szCs w:val="22"/>
          <w:lang w:eastAsia="ja-JP"/>
        </w:rPr>
        <w:t>pacientov do skupiny 12 mesiacov a 198</w:t>
      </w:r>
      <w:r w:rsidRPr="00C83045">
        <w:rPr>
          <w:rFonts w:eastAsia="MS Mincho"/>
          <w:szCs w:val="22"/>
          <w:lang w:eastAsia="ja-JP"/>
        </w:rPr>
        <w:t> </w:t>
      </w:r>
      <w:r w:rsidRPr="00C83045">
        <w:rPr>
          <w:rFonts w:eastAsia="MS Mincho"/>
          <w:iCs/>
          <w:szCs w:val="22"/>
          <w:lang w:eastAsia="ja-JP"/>
        </w:rPr>
        <w:t xml:space="preserve">pacientov do skupiny 36 mesiacov), medián veku bol </w:t>
      </w:r>
      <w:r w:rsidRPr="00C83045">
        <w:rPr>
          <w:rFonts w:eastAsia="MS Mincho"/>
          <w:bCs/>
          <w:iCs/>
          <w:szCs w:val="22"/>
          <w:lang w:eastAsia="ja-JP"/>
        </w:rPr>
        <w:t>61</w:t>
      </w:r>
      <w:r w:rsidRPr="00C83045">
        <w:rPr>
          <w:rFonts w:eastAsia="MS Mincho"/>
          <w:szCs w:val="22"/>
          <w:lang w:eastAsia="ja-JP"/>
        </w:rPr>
        <w:t xml:space="preserve"> rokov </w:t>
      </w:r>
      <w:r w:rsidRPr="00C83045">
        <w:rPr>
          <w:rFonts w:eastAsia="MS Mincho"/>
          <w:iCs/>
          <w:szCs w:val="22"/>
          <w:lang w:eastAsia="ja-JP"/>
        </w:rPr>
        <w:t>(rozmedzie od 22 do 84</w:t>
      </w:r>
      <w:r w:rsidRPr="00C83045">
        <w:rPr>
          <w:rFonts w:eastAsia="MS Mincho"/>
          <w:szCs w:val="22"/>
          <w:lang w:eastAsia="ja-JP"/>
        </w:rPr>
        <w:t> rokov</w:t>
      </w:r>
      <w:r w:rsidRPr="00C83045">
        <w:rPr>
          <w:rFonts w:eastAsia="MS Mincho"/>
          <w:iCs/>
          <w:szCs w:val="22"/>
          <w:lang w:eastAsia="ja-JP"/>
        </w:rPr>
        <w:t>). Medián času sledovania bol 54</w:t>
      </w:r>
      <w:r w:rsidRPr="00C83045">
        <w:rPr>
          <w:rFonts w:eastAsia="MS Mincho"/>
          <w:szCs w:val="22"/>
          <w:lang w:eastAsia="ja-JP"/>
        </w:rPr>
        <w:t> </w:t>
      </w:r>
      <w:r w:rsidRPr="00C83045">
        <w:rPr>
          <w:rFonts w:eastAsia="MS Mincho"/>
          <w:iCs/>
          <w:szCs w:val="22"/>
          <w:lang w:eastAsia="ja-JP"/>
        </w:rPr>
        <w:t>mesiacov (od dátumu randomizácie do ukončenia zberu údajov), pri celkovo 83</w:t>
      </w:r>
      <w:r w:rsidRPr="00C83045">
        <w:rPr>
          <w:rFonts w:eastAsia="MS Mincho"/>
          <w:szCs w:val="22"/>
          <w:lang w:eastAsia="ja-JP"/>
        </w:rPr>
        <w:t> </w:t>
      </w:r>
      <w:r w:rsidRPr="00C83045">
        <w:rPr>
          <w:rFonts w:eastAsia="MS Mincho"/>
          <w:iCs/>
          <w:szCs w:val="22"/>
          <w:lang w:eastAsia="ja-JP"/>
        </w:rPr>
        <w:t>mesiacoch medzi randomizáciou prvého pacienta a dátumom ukončenia zberu údajov.</w:t>
      </w:r>
    </w:p>
    <w:p w14:paraId="3236802C" w14:textId="77777777" w:rsidR="00E540AC" w:rsidRPr="00C83045" w:rsidRDefault="00E540AC" w:rsidP="00D4304B">
      <w:pPr>
        <w:widowControl w:val="0"/>
        <w:ind w:left="0" w:firstLine="0"/>
        <w:rPr>
          <w:rFonts w:eastAsia="MS Mincho"/>
          <w:iCs/>
          <w:szCs w:val="22"/>
          <w:lang w:eastAsia="ja-JP"/>
        </w:rPr>
      </w:pPr>
    </w:p>
    <w:p w14:paraId="3236802D" w14:textId="77777777" w:rsidR="00E540AC" w:rsidRPr="00C83045" w:rsidRDefault="00E540AC" w:rsidP="00D4304B">
      <w:pPr>
        <w:widowControl w:val="0"/>
        <w:ind w:left="0" w:firstLine="0"/>
        <w:rPr>
          <w:rFonts w:eastAsia="MS Mincho"/>
          <w:szCs w:val="22"/>
          <w:lang w:eastAsia="ja-JP"/>
        </w:rPr>
      </w:pPr>
      <w:r w:rsidRPr="00C83045">
        <w:rPr>
          <w:rFonts w:eastAsia="MS Mincho"/>
          <w:szCs w:val="22"/>
          <w:lang w:eastAsia="ja-JP"/>
        </w:rPr>
        <w:t>Primárnym parametrom v klinickom skúšaní bolo prežívanie bez recidívy (RFS), definované ako čas od dátumu randomizácie do dátumu recidívy alebo smrti z akejkoľvek príčiny.</w:t>
      </w:r>
    </w:p>
    <w:p w14:paraId="3236802E" w14:textId="77777777" w:rsidR="00E540AC" w:rsidRPr="00C83045" w:rsidRDefault="00E540AC" w:rsidP="00D4304B">
      <w:pPr>
        <w:widowControl w:val="0"/>
        <w:ind w:left="0" w:firstLine="0"/>
        <w:rPr>
          <w:rFonts w:eastAsia="MS Mincho"/>
          <w:szCs w:val="22"/>
          <w:lang w:eastAsia="ja-JP"/>
        </w:rPr>
      </w:pPr>
    </w:p>
    <w:p w14:paraId="3236802F" w14:textId="77777777" w:rsidR="00E540AC" w:rsidRPr="00C83045" w:rsidRDefault="00E540AC" w:rsidP="00D4304B">
      <w:pPr>
        <w:widowControl w:val="0"/>
        <w:ind w:left="0" w:firstLine="0"/>
        <w:rPr>
          <w:rFonts w:eastAsia="MS Mincho"/>
          <w:iCs/>
          <w:color w:val="000000"/>
          <w:szCs w:val="22"/>
          <w:lang w:eastAsia="ja-JP"/>
        </w:rPr>
      </w:pPr>
      <w:r w:rsidRPr="00C83045">
        <w:rPr>
          <w:rFonts w:eastAsia="MS Mincho"/>
          <w:szCs w:val="22"/>
          <w:lang w:eastAsia="ja-JP"/>
        </w:rPr>
        <w:t xml:space="preserve">Liečba Glivecom trvajúca 36 mesiacov významne predĺžila RFS v porovnaní s 12 mesiacmi liečby Glivecom (s celkovým pomerom rizika (HR) </w:t>
      </w:r>
      <w:r w:rsidRPr="00C83045">
        <w:rPr>
          <w:rFonts w:eastAsia="MS Mincho"/>
          <w:iCs/>
          <w:color w:val="000000"/>
          <w:szCs w:val="22"/>
          <w:lang w:eastAsia="ja-JP"/>
        </w:rPr>
        <w:t>= 0,46 [0,32, 0,65], p&lt;0,0001</w:t>
      </w:r>
      <w:r w:rsidR="00067559" w:rsidRPr="00C83045">
        <w:rPr>
          <w:rFonts w:eastAsia="MS Mincho"/>
          <w:iCs/>
          <w:color w:val="000000"/>
          <w:szCs w:val="22"/>
          <w:lang w:eastAsia="ja-JP"/>
        </w:rPr>
        <w:t>)</w:t>
      </w:r>
      <w:r w:rsidRPr="00C83045">
        <w:rPr>
          <w:rFonts w:eastAsia="MS Mincho"/>
          <w:iCs/>
          <w:color w:val="000000"/>
          <w:szCs w:val="22"/>
          <w:lang w:eastAsia="ja-JP"/>
        </w:rPr>
        <w:t xml:space="preserve"> </w:t>
      </w:r>
      <w:r w:rsidR="00870EF6" w:rsidRPr="00C83045">
        <w:rPr>
          <w:rFonts w:eastAsia="MS Mincho"/>
          <w:iCs/>
          <w:color w:val="000000"/>
          <w:szCs w:val="22"/>
          <w:lang w:eastAsia="ja-JP"/>
        </w:rPr>
        <w:t>(Tabuľka </w:t>
      </w:r>
      <w:r w:rsidR="00E57DA0" w:rsidRPr="00C83045">
        <w:rPr>
          <w:rFonts w:eastAsia="MS Mincho"/>
          <w:iCs/>
          <w:color w:val="000000"/>
          <w:szCs w:val="22"/>
          <w:lang w:eastAsia="ja-JP"/>
        </w:rPr>
        <w:t>8</w:t>
      </w:r>
      <w:r w:rsidR="00870EF6" w:rsidRPr="00C83045">
        <w:rPr>
          <w:rFonts w:eastAsia="MS Mincho"/>
          <w:iCs/>
          <w:color w:val="000000"/>
          <w:szCs w:val="22"/>
          <w:lang w:eastAsia="ja-JP"/>
        </w:rPr>
        <w:t>, Obrázok 1)</w:t>
      </w:r>
      <w:r w:rsidRPr="00C83045">
        <w:rPr>
          <w:rFonts w:eastAsia="MS Mincho"/>
          <w:iCs/>
          <w:color w:val="000000"/>
          <w:szCs w:val="22"/>
          <w:lang w:eastAsia="ja-JP"/>
        </w:rPr>
        <w:t>.</w:t>
      </w:r>
    </w:p>
    <w:p w14:paraId="32368030" w14:textId="77777777" w:rsidR="00E540AC" w:rsidRPr="00C83045" w:rsidRDefault="00E540AC" w:rsidP="00D4304B">
      <w:pPr>
        <w:widowControl w:val="0"/>
        <w:ind w:left="0" w:firstLine="0"/>
        <w:rPr>
          <w:rFonts w:eastAsia="MS Mincho"/>
          <w:szCs w:val="22"/>
          <w:lang w:eastAsia="ja-JP"/>
        </w:rPr>
      </w:pPr>
    </w:p>
    <w:p w14:paraId="32368031" w14:textId="77777777" w:rsidR="00870EF6" w:rsidRPr="00C83045" w:rsidRDefault="00E540AC" w:rsidP="00D4304B">
      <w:pPr>
        <w:widowControl w:val="0"/>
        <w:ind w:left="0" w:firstLine="0"/>
        <w:rPr>
          <w:rFonts w:eastAsia="MS Mincho"/>
          <w:iCs/>
          <w:color w:val="000000"/>
          <w:szCs w:val="22"/>
          <w:lang w:eastAsia="ja-JP"/>
        </w:rPr>
      </w:pPr>
      <w:r w:rsidRPr="00C83045">
        <w:rPr>
          <w:rFonts w:eastAsia="MS Mincho"/>
          <w:szCs w:val="22"/>
          <w:lang w:eastAsia="ja-JP"/>
        </w:rPr>
        <w:t xml:space="preserve">Okrem toho 36 mesiacov liečby Glivecom významne predĺžilo celkové prežívanie (OS) v porovnaní s 12 mesiacmi liečby Glivecom </w:t>
      </w:r>
      <w:r w:rsidRPr="00C83045">
        <w:rPr>
          <w:rFonts w:eastAsia="MS Mincho"/>
          <w:iCs/>
          <w:color w:val="000000"/>
          <w:szCs w:val="22"/>
          <w:lang w:eastAsia="ja-JP"/>
        </w:rPr>
        <w:t>(HR = 0,45 [0,22, 0,89], p=0,0187) (Tabuľka</w:t>
      </w:r>
      <w:r w:rsidRPr="00C83045">
        <w:rPr>
          <w:rFonts w:eastAsia="MS Mincho"/>
          <w:color w:val="000000"/>
          <w:szCs w:val="22"/>
          <w:lang w:eastAsia="ja-JP"/>
        </w:rPr>
        <w:t> </w:t>
      </w:r>
      <w:r w:rsidR="00E57DA0" w:rsidRPr="00C83045">
        <w:rPr>
          <w:rFonts w:eastAsia="MS Mincho"/>
          <w:color w:val="000000"/>
          <w:szCs w:val="22"/>
          <w:lang w:eastAsia="ja-JP"/>
        </w:rPr>
        <w:t>8</w:t>
      </w:r>
      <w:r w:rsidRPr="00C83045">
        <w:rPr>
          <w:rFonts w:eastAsia="MS Mincho"/>
          <w:iCs/>
          <w:color w:val="000000"/>
          <w:szCs w:val="22"/>
          <w:lang w:eastAsia="ja-JP"/>
        </w:rPr>
        <w:t>, Obrázok 2).</w:t>
      </w:r>
    </w:p>
    <w:p w14:paraId="32368032" w14:textId="77777777" w:rsidR="00870EF6" w:rsidRPr="00C83045" w:rsidRDefault="00870EF6" w:rsidP="00D4304B">
      <w:pPr>
        <w:widowControl w:val="0"/>
        <w:ind w:left="0" w:firstLine="0"/>
        <w:rPr>
          <w:rFonts w:eastAsia="MS Mincho"/>
          <w:iCs/>
          <w:color w:val="000000"/>
          <w:szCs w:val="22"/>
          <w:lang w:eastAsia="ja-JP"/>
        </w:rPr>
      </w:pPr>
    </w:p>
    <w:p w14:paraId="32368033" w14:textId="77777777" w:rsidR="00870EF6" w:rsidRPr="00C83045" w:rsidRDefault="00870EF6" w:rsidP="00D4304B">
      <w:pPr>
        <w:widowControl w:val="0"/>
        <w:ind w:left="0" w:firstLine="0"/>
        <w:rPr>
          <w:rFonts w:eastAsia="MS Mincho"/>
          <w:iCs/>
          <w:color w:val="000000"/>
          <w:szCs w:val="22"/>
          <w:lang w:eastAsia="ja-JP"/>
        </w:rPr>
      </w:pPr>
      <w:r w:rsidRPr="00C83045">
        <w:rPr>
          <w:rFonts w:eastAsia="MS Mincho"/>
          <w:iCs/>
          <w:color w:val="000000"/>
          <w:szCs w:val="22"/>
          <w:lang w:eastAsia="ja-JP"/>
        </w:rPr>
        <w:t xml:space="preserve">Dlhšie trvanie liečby </w:t>
      </w:r>
      <w:r w:rsidRPr="00C83045">
        <w:rPr>
          <w:rFonts w:eastAsia="MS Mincho"/>
          <w:szCs w:val="22"/>
          <w:lang w:eastAsia="ja-JP"/>
        </w:rPr>
        <w:t xml:space="preserve">(&gt; 36 mesiacov) môže oddialiť nástup ďalších recidív; </w:t>
      </w:r>
      <w:r w:rsidR="003A2E01" w:rsidRPr="00C83045">
        <w:rPr>
          <w:rFonts w:eastAsia="MS Mincho"/>
          <w:szCs w:val="22"/>
          <w:lang w:eastAsia="ja-JP"/>
        </w:rPr>
        <w:t xml:space="preserve">vplyv liečby na </w:t>
      </w:r>
      <w:r w:rsidRPr="00C83045">
        <w:rPr>
          <w:rFonts w:eastAsia="MS Mincho"/>
          <w:szCs w:val="22"/>
          <w:lang w:eastAsia="ja-JP"/>
        </w:rPr>
        <w:t>celkové prežívanie však zostáva neznámy.</w:t>
      </w:r>
    </w:p>
    <w:p w14:paraId="32368034" w14:textId="77777777" w:rsidR="00870EF6" w:rsidRPr="00C83045" w:rsidRDefault="00870EF6" w:rsidP="00D4304B">
      <w:pPr>
        <w:widowControl w:val="0"/>
        <w:ind w:left="0" w:firstLine="0"/>
        <w:rPr>
          <w:rFonts w:eastAsia="MS Mincho"/>
          <w:iCs/>
          <w:color w:val="000000"/>
          <w:szCs w:val="22"/>
          <w:lang w:eastAsia="ja-JP"/>
        </w:rPr>
      </w:pPr>
    </w:p>
    <w:p w14:paraId="32368035" w14:textId="77777777" w:rsidR="00E540AC" w:rsidRPr="00C83045" w:rsidRDefault="00E540AC" w:rsidP="00D4304B">
      <w:pPr>
        <w:widowControl w:val="0"/>
        <w:ind w:left="0" w:firstLine="0"/>
        <w:rPr>
          <w:rFonts w:eastAsia="MS Mincho"/>
          <w:iCs/>
          <w:color w:val="000000"/>
          <w:szCs w:val="22"/>
          <w:lang w:eastAsia="ja-JP"/>
        </w:rPr>
      </w:pPr>
      <w:r w:rsidRPr="00C83045">
        <w:rPr>
          <w:rFonts w:eastAsia="MS Mincho"/>
          <w:iCs/>
          <w:color w:val="000000"/>
          <w:szCs w:val="22"/>
          <w:lang w:eastAsia="ja-JP"/>
        </w:rPr>
        <w:t>Celkový počet úmrtí bol 25 v skupine 12 mesiacov liečby a 12 v skupine 36 mesiacov liečby.</w:t>
      </w:r>
    </w:p>
    <w:p w14:paraId="32368036" w14:textId="77777777" w:rsidR="00870EF6" w:rsidRPr="00BE6051" w:rsidRDefault="00870EF6" w:rsidP="00D4304B">
      <w:pPr>
        <w:widowControl w:val="0"/>
        <w:ind w:left="0" w:firstLine="0"/>
        <w:rPr>
          <w:rFonts w:eastAsia="MS Mincho"/>
          <w:iCs/>
          <w:color w:val="000000"/>
          <w:szCs w:val="22"/>
          <w:lang w:eastAsia="ja-JP"/>
        </w:rPr>
      </w:pPr>
    </w:p>
    <w:p w14:paraId="32368037" w14:textId="77777777" w:rsidR="00870EF6" w:rsidRPr="00C83045" w:rsidRDefault="00247190" w:rsidP="00D4304B">
      <w:pPr>
        <w:widowControl w:val="0"/>
        <w:ind w:left="0" w:firstLine="0"/>
        <w:rPr>
          <w:rFonts w:eastAsia="MS Mincho"/>
          <w:iCs/>
          <w:szCs w:val="22"/>
          <w:lang w:eastAsia="ja-JP"/>
        </w:rPr>
      </w:pPr>
      <w:r w:rsidRPr="00C83045">
        <w:rPr>
          <w:rFonts w:eastAsia="MS Mincho"/>
          <w:iCs/>
          <w:szCs w:val="22"/>
          <w:lang w:eastAsia="ja-JP"/>
        </w:rPr>
        <w:t xml:space="preserve">Liečba imatinibom trvajúca </w:t>
      </w:r>
      <w:r w:rsidR="003A2E01" w:rsidRPr="00C83045">
        <w:rPr>
          <w:rFonts w:eastAsia="MS Mincho"/>
          <w:iCs/>
          <w:szCs w:val="22"/>
          <w:lang w:eastAsia="ja-JP"/>
        </w:rPr>
        <w:t>3</w:t>
      </w:r>
      <w:r w:rsidRPr="00C83045">
        <w:rPr>
          <w:rFonts w:eastAsia="MS Mincho"/>
          <w:iCs/>
          <w:szCs w:val="22"/>
          <w:lang w:eastAsia="ja-JP"/>
        </w:rPr>
        <w:t xml:space="preserve">6 mesiacov bola lepšia ako liečba trvajúca 12 mesiacov v analýze ITT, t.j. zahŕňajúcej celú populáciu v klinickom skúšaní. V plánovanej analýze podskupín podľa typu mutácie </w:t>
      </w:r>
      <w:r w:rsidR="00870EF6" w:rsidRPr="00C83045">
        <w:rPr>
          <w:rFonts w:eastAsia="MS Mincho"/>
          <w:iCs/>
          <w:szCs w:val="22"/>
          <w:lang w:eastAsia="ja-JP"/>
        </w:rPr>
        <w:t xml:space="preserve">HR </w:t>
      </w:r>
      <w:r w:rsidRPr="00C83045">
        <w:rPr>
          <w:rFonts w:eastAsia="MS Mincho"/>
          <w:iCs/>
          <w:szCs w:val="22"/>
          <w:lang w:eastAsia="ja-JP"/>
        </w:rPr>
        <w:t>pre</w:t>
      </w:r>
      <w:r w:rsidR="00870EF6" w:rsidRPr="00C83045">
        <w:rPr>
          <w:rFonts w:eastAsia="MS Mincho"/>
          <w:iCs/>
          <w:szCs w:val="22"/>
          <w:lang w:eastAsia="ja-JP"/>
        </w:rPr>
        <w:t xml:space="preserve"> RFS </w:t>
      </w:r>
      <w:r w:rsidRPr="00C83045">
        <w:rPr>
          <w:rFonts w:eastAsia="MS Mincho"/>
          <w:iCs/>
          <w:szCs w:val="22"/>
          <w:lang w:eastAsia="ja-JP"/>
        </w:rPr>
        <w:t xml:space="preserve">pri </w:t>
      </w:r>
      <w:r w:rsidR="00870EF6" w:rsidRPr="00C83045">
        <w:rPr>
          <w:rFonts w:eastAsia="MS Mincho"/>
          <w:iCs/>
          <w:szCs w:val="22"/>
          <w:lang w:eastAsia="ja-JP"/>
        </w:rPr>
        <w:t>36 m</w:t>
      </w:r>
      <w:r w:rsidRPr="00C83045">
        <w:rPr>
          <w:rFonts w:eastAsia="MS Mincho"/>
          <w:iCs/>
          <w:szCs w:val="22"/>
          <w:lang w:eastAsia="ja-JP"/>
        </w:rPr>
        <w:t xml:space="preserve">esiacoch liečby u pacientov s mutáciou </w:t>
      </w:r>
      <w:r w:rsidR="00870EF6" w:rsidRPr="00C83045">
        <w:rPr>
          <w:rFonts w:eastAsia="MS Mincho"/>
          <w:iCs/>
          <w:szCs w:val="22"/>
          <w:lang w:eastAsia="ja-JP"/>
        </w:rPr>
        <w:t>exon</w:t>
      </w:r>
      <w:r w:rsidR="003A2E01" w:rsidRPr="00C83045">
        <w:rPr>
          <w:rFonts w:eastAsia="MS Mincho"/>
          <w:iCs/>
          <w:szCs w:val="22"/>
          <w:lang w:eastAsia="ja-JP"/>
        </w:rPr>
        <w:t>u </w:t>
      </w:r>
      <w:r w:rsidR="00870EF6" w:rsidRPr="00C83045">
        <w:rPr>
          <w:rFonts w:eastAsia="MS Mincho"/>
          <w:iCs/>
          <w:szCs w:val="22"/>
          <w:lang w:eastAsia="ja-JP"/>
        </w:rPr>
        <w:t xml:space="preserve">11 </w:t>
      </w:r>
      <w:r w:rsidRPr="00C83045">
        <w:rPr>
          <w:rFonts w:eastAsia="MS Mincho"/>
          <w:iCs/>
          <w:szCs w:val="22"/>
          <w:lang w:eastAsia="ja-JP"/>
        </w:rPr>
        <w:t xml:space="preserve">bol </w:t>
      </w:r>
      <w:r w:rsidR="00870EF6" w:rsidRPr="00C83045">
        <w:rPr>
          <w:rFonts w:eastAsia="MS Mincho"/>
          <w:iCs/>
          <w:szCs w:val="22"/>
          <w:lang w:eastAsia="ja-JP"/>
        </w:rPr>
        <w:t>0</w:t>
      </w:r>
      <w:r w:rsidRPr="00C83045">
        <w:rPr>
          <w:rFonts w:eastAsia="MS Mincho"/>
          <w:iCs/>
          <w:szCs w:val="22"/>
          <w:lang w:eastAsia="ja-JP"/>
        </w:rPr>
        <w:t>,</w:t>
      </w:r>
      <w:r w:rsidR="00870EF6" w:rsidRPr="00C83045">
        <w:rPr>
          <w:rFonts w:eastAsia="MS Mincho"/>
          <w:iCs/>
          <w:szCs w:val="22"/>
          <w:lang w:eastAsia="ja-JP"/>
        </w:rPr>
        <w:t>35 [95% CI: 0</w:t>
      </w:r>
      <w:r w:rsidRPr="00C83045">
        <w:rPr>
          <w:rFonts w:eastAsia="MS Mincho"/>
          <w:iCs/>
          <w:szCs w:val="22"/>
          <w:lang w:eastAsia="ja-JP"/>
        </w:rPr>
        <w:t>,</w:t>
      </w:r>
      <w:r w:rsidR="00870EF6" w:rsidRPr="00C83045">
        <w:rPr>
          <w:rFonts w:eastAsia="MS Mincho"/>
          <w:iCs/>
          <w:szCs w:val="22"/>
          <w:lang w:eastAsia="ja-JP"/>
        </w:rPr>
        <w:t>22, 0</w:t>
      </w:r>
      <w:r w:rsidRPr="00C83045">
        <w:rPr>
          <w:rFonts w:eastAsia="MS Mincho"/>
          <w:iCs/>
          <w:szCs w:val="22"/>
          <w:lang w:eastAsia="ja-JP"/>
        </w:rPr>
        <w:t>,</w:t>
      </w:r>
      <w:r w:rsidR="00870EF6" w:rsidRPr="00C83045">
        <w:rPr>
          <w:rFonts w:eastAsia="MS Mincho"/>
          <w:iCs/>
          <w:szCs w:val="22"/>
          <w:lang w:eastAsia="ja-JP"/>
        </w:rPr>
        <w:t xml:space="preserve">56]. </w:t>
      </w:r>
      <w:r w:rsidR="00EC2A03" w:rsidRPr="00C83045">
        <w:rPr>
          <w:rFonts w:eastAsia="MS Mincho"/>
          <w:iCs/>
          <w:szCs w:val="22"/>
          <w:lang w:eastAsia="ja-JP"/>
        </w:rPr>
        <w:t>P</w:t>
      </w:r>
      <w:r w:rsidRPr="00C83045">
        <w:rPr>
          <w:rFonts w:eastAsia="MS Mincho"/>
          <w:iCs/>
          <w:szCs w:val="22"/>
          <w:lang w:eastAsia="ja-JP"/>
        </w:rPr>
        <w:t xml:space="preserve">re iné podskupiny s menej častými mutáciami </w:t>
      </w:r>
      <w:r w:rsidR="00EC2A03" w:rsidRPr="00C83045">
        <w:rPr>
          <w:rFonts w:eastAsia="MS Mincho"/>
          <w:iCs/>
          <w:szCs w:val="22"/>
          <w:lang w:eastAsia="ja-JP"/>
        </w:rPr>
        <w:t xml:space="preserve">nemožno vyvodiť uzávery </w:t>
      </w:r>
      <w:r w:rsidRPr="00C83045">
        <w:rPr>
          <w:rFonts w:eastAsia="MS Mincho"/>
          <w:iCs/>
          <w:szCs w:val="22"/>
          <w:lang w:eastAsia="ja-JP"/>
        </w:rPr>
        <w:t>pre malý počet pozorovaných udalostí.</w:t>
      </w:r>
    </w:p>
    <w:p w14:paraId="32368038" w14:textId="77777777" w:rsidR="00094DF4" w:rsidRPr="00C83045" w:rsidRDefault="00094DF4" w:rsidP="00D4304B">
      <w:pPr>
        <w:widowControl w:val="0"/>
        <w:ind w:left="0" w:firstLine="0"/>
        <w:rPr>
          <w:rFonts w:eastAsia="MS Mincho"/>
          <w:iCs/>
          <w:szCs w:val="22"/>
          <w:lang w:eastAsia="ja-JP"/>
        </w:rPr>
      </w:pPr>
    </w:p>
    <w:p w14:paraId="32368039" w14:textId="77777777" w:rsidR="00E540AC" w:rsidRPr="00C83045" w:rsidRDefault="00E540AC" w:rsidP="00D4304B">
      <w:pPr>
        <w:keepNext/>
        <w:keepLines/>
        <w:widowControl w:val="0"/>
        <w:ind w:left="1134" w:hanging="1134"/>
        <w:rPr>
          <w:rFonts w:eastAsia="MS Mincho"/>
          <w:b/>
          <w:szCs w:val="22"/>
          <w:lang w:eastAsia="ja-JP"/>
        </w:rPr>
      </w:pPr>
      <w:r w:rsidRPr="00C83045">
        <w:rPr>
          <w:rFonts w:eastAsia="MS Mincho"/>
          <w:b/>
          <w:szCs w:val="22"/>
        </w:rPr>
        <w:t>Tabuľka </w:t>
      </w:r>
      <w:r w:rsidR="00E57DA0" w:rsidRPr="00C83045">
        <w:rPr>
          <w:rFonts w:eastAsia="MS Mincho"/>
          <w:b/>
          <w:szCs w:val="22"/>
        </w:rPr>
        <w:t>8</w:t>
      </w:r>
      <w:r w:rsidR="00DF1BE7" w:rsidRPr="00C83045">
        <w:rPr>
          <w:rFonts w:eastAsia="MS Mincho"/>
          <w:b/>
          <w:szCs w:val="22"/>
        </w:rPr>
        <w:tab/>
      </w:r>
      <w:r w:rsidRPr="00C83045">
        <w:rPr>
          <w:rFonts w:eastAsia="MS Mincho"/>
          <w:b/>
          <w:szCs w:val="22"/>
          <w:lang w:eastAsia="ja-JP"/>
        </w:rPr>
        <w:t>12 mesiacov a 36 mesiacov liečby Glivecom (klinické skúšanie SSGXVIII/AIO)</w:t>
      </w:r>
    </w:p>
    <w:p w14:paraId="3236803A" w14:textId="77777777" w:rsidR="00E540AC" w:rsidRPr="00C83045" w:rsidRDefault="00E540AC" w:rsidP="00D4304B">
      <w:pPr>
        <w:keepNext/>
        <w:keepLines/>
        <w:widowControl w:val="0"/>
        <w:rPr>
          <w:rFonts w:eastAsia="MS Mincho"/>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E540AC" w:rsidRPr="00C83045" w14:paraId="3236803E" w14:textId="77777777" w:rsidTr="00B62C3E">
        <w:trPr>
          <w:cantSplit/>
        </w:trPr>
        <w:tc>
          <w:tcPr>
            <w:tcW w:w="3099" w:type="dxa"/>
            <w:tcBorders>
              <w:top w:val="single" w:sz="4" w:space="0" w:color="auto"/>
              <w:bottom w:val="nil"/>
            </w:tcBorders>
            <w:shd w:val="clear" w:color="auto" w:fill="auto"/>
          </w:tcPr>
          <w:p w14:paraId="3236803B" w14:textId="77777777" w:rsidR="00E540AC" w:rsidRPr="00C83045" w:rsidRDefault="00E540AC" w:rsidP="00D4304B">
            <w:pPr>
              <w:keepNext/>
              <w:keepLines/>
              <w:widowControl w:val="0"/>
              <w:tabs>
                <w:tab w:val="left" w:pos="284"/>
              </w:tabs>
              <w:rPr>
                <w:rFonts w:eastAsia="MS Mincho"/>
                <w:szCs w:val="22"/>
              </w:rPr>
            </w:pPr>
          </w:p>
        </w:tc>
        <w:tc>
          <w:tcPr>
            <w:tcW w:w="3100" w:type="dxa"/>
            <w:tcBorders>
              <w:top w:val="single" w:sz="4" w:space="0" w:color="auto"/>
              <w:bottom w:val="nil"/>
            </w:tcBorders>
            <w:shd w:val="clear" w:color="auto" w:fill="auto"/>
          </w:tcPr>
          <w:p w14:paraId="3236803C" w14:textId="77777777" w:rsidR="00E540AC" w:rsidRPr="00C83045" w:rsidRDefault="00DF1BE7" w:rsidP="00D4304B">
            <w:pPr>
              <w:keepNext/>
              <w:keepLines/>
              <w:widowControl w:val="0"/>
              <w:tabs>
                <w:tab w:val="left" w:pos="284"/>
              </w:tabs>
              <w:rPr>
                <w:rFonts w:eastAsia="MS Mincho"/>
                <w:b/>
                <w:szCs w:val="22"/>
                <w:lang w:val="en-US"/>
              </w:rPr>
            </w:pPr>
            <w:r w:rsidRPr="00C83045">
              <w:rPr>
                <w:rFonts w:eastAsia="MS Mincho"/>
                <w:b/>
                <w:szCs w:val="22"/>
                <w:lang w:val="en-US"/>
              </w:rPr>
              <w:t>Skupina</w:t>
            </w:r>
            <w:r w:rsidR="00E540AC" w:rsidRPr="00C83045">
              <w:rPr>
                <w:rFonts w:eastAsia="MS Mincho"/>
                <w:b/>
                <w:szCs w:val="22"/>
                <w:lang w:val="en-US"/>
              </w:rPr>
              <w:t> 12 mesiac</w:t>
            </w:r>
            <w:r w:rsidR="009F7365" w:rsidRPr="00C83045">
              <w:rPr>
                <w:rFonts w:eastAsia="MS Mincho"/>
                <w:b/>
                <w:szCs w:val="22"/>
                <w:lang w:val="en-US"/>
              </w:rPr>
              <w:t>ov</w:t>
            </w:r>
            <w:r w:rsidR="00E540AC" w:rsidRPr="00C83045">
              <w:rPr>
                <w:rFonts w:eastAsia="MS Mincho"/>
                <w:b/>
                <w:szCs w:val="22"/>
                <w:lang w:val="en-US"/>
              </w:rPr>
              <w:t xml:space="preserve"> liečby</w:t>
            </w:r>
          </w:p>
        </w:tc>
        <w:tc>
          <w:tcPr>
            <w:tcW w:w="3100" w:type="dxa"/>
            <w:tcBorders>
              <w:top w:val="single" w:sz="4" w:space="0" w:color="auto"/>
              <w:bottom w:val="nil"/>
            </w:tcBorders>
            <w:shd w:val="clear" w:color="auto" w:fill="auto"/>
          </w:tcPr>
          <w:p w14:paraId="3236803D" w14:textId="77777777" w:rsidR="00E540AC" w:rsidRPr="00C83045" w:rsidRDefault="00E540AC" w:rsidP="00D4304B">
            <w:pPr>
              <w:keepNext/>
              <w:keepLines/>
              <w:widowControl w:val="0"/>
              <w:tabs>
                <w:tab w:val="left" w:pos="284"/>
              </w:tabs>
              <w:rPr>
                <w:rFonts w:eastAsia="MS Mincho"/>
                <w:b/>
                <w:szCs w:val="22"/>
                <w:lang w:val="en-US"/>
              </w:rPr>
            </w:pPr>
            <w:r w:rsidRPr="00C83045">
              <w:rPr>
                <w:rFonts w:eastAsia="MS Mincho"/>
                <w:b/>
                <w:szCs w:val="22"/>
                <w:lang w:val="en-US"/>
              </w:rPr>
              <w:t>Sku</w:t>
            </w:r>
            <w:r w:rsidR="00DF1BE7" w:rsidRPr="00C83045">
              <w:rPr>
                <w:rFonts w:eastAsia="MS Mincho"/>
                <w:b/>
                <w:szCs w:val="22"/>
                <w:lang w:val="en-US"/>
              </w:rPr>
              <w:t>pina</w:t>
            </w:r>
            <w:r w:rsidRPr="00C83045">
              <w:rPr>
                <w:rFonts w:eastAsia="MS Mincho"/>
                <w:b/>
                <w:szCs w:val="22"/>
                <w:lang w:val="en-US"/>
              </w:rPr>
              <w:t> 36 mesiac</w:t>
            </w:r>
            <w:r w:rsidR="009F7365" w:rsidRPr="00C83045">
              <w:rPr>
                <w:rFonts w:eastAsia="MS Mincho"/>
                <w:b/>
                <w:szCs w:val="22"/>
                <w:lang w:val="en-US"/>
              </w:rPr>
              <w:t>ov</w:t>
            </w:r>
            <w:r w:rsidRPr="00C83045">
              <w:rPr>
                <w:rFonts w:eastAsia="MS Mincho"/>
                <w:b/>
                <w:szCs w:val="22"/>
                <w:lang w:val="en-US"/>
              </w:rPr>
              <w:t xml:space="preserve"> liečby</w:t>
            </w:r>
          </w:p>
        </w:tc>
      </w:tr>
      <w:tr w:rsidR="00E540AC" w:rsidRPr="00C83045" w14:paraId="32368042" w14:textId="77777777" w:rsidTr="00B62C3E">
        <w:trPr>
          <w:cantSplit/>
        </w:trPr>
        <w:tc>
          <w:tcPr>
            <w:tcW w:w="3099" w:type="dxa"/>
            <w:tcBorders>
              <w:top w:val="nil"/>
            </w:tcBorders>
            <w:shd w:val="clear" w:color="auto" w:fill="auto"/>
          </w:tcPr>
          <w:p w14:paraId="3236803F" w14:textId="77777777" w:rsidR="00E540AC" w:rsidRPr="00C83045" w:rsidRDefault="00E540AC" w:rsidP="00D4304B">
            <w:pPr>
              <w:keepNext/>
              <w:keepLines/>
              <w:widowControl w:val="0"/>
              <w:tabs>
                <w:tab w:val="left" w:pos="284"/>
              </w:tabs>
              <w:rPr>
                <w:rFonts w:eastAsia="MS Mincho"/>
                <w:b/>
                <w:szCs w:val="22"/>
                <w:lang w:val="en-US"/>
              </w:rPr>
            </w:pPr>
            <w:r w:rsidRPr="00C83045">
              <w:rPr>
                <w:rFonts w:eastAsia="MS Mincho"/>
                <w:b/>
                <w:szCs w:val="22"/>
                <w:lang w:val="en-US"/>
              </w:rPr>
              <w:t>RFS</w:t>
            </w:r>
          </w:p>
        </w:tc>
        <w:tc>
          <w:tcPr>
            <w:tcW w:w="3100" w:type="dxa"/>
            <w:tcBorders>
              <w:top w:val="nil"/>
            </w:tcBorders>
            <w:shd w:val="clear" w:color="auto" w:fill="auto"/>
          </w:tcPr>
          <w:p w14:paraId="32368040" w14:textId="77777777" w:rsidR="00E540AC" w:rsidRPr="00C83045" w:rsidRDefault="00E540AC" w:rsidP="00D4304B">
            <w:pPr>
              <w:keepNext/>
              <w:keepLines/>
              <w:widowControl w:val="0"/>
              <w:tabs>
                <w:tab w:val="left" w:pos="284"/>
              </w:tabs>
              <w:rPr>
                <w:rFonts w:eastAsia="MS Mincho"/>
                <w:b/>
                <w:szCs w:val="22"/>
                <w:lang w:val="en-US"/>
              </w:rPr>
            </w:pPr>
            <w:r w:rsidRPr="00C83045">
              <w:rPr>
                <w:rFonts w:eastAsia="MS Mincho"/>
                <w:b/>
                <w:szCs w:val="22"/>
                <w:lang w:val="en-US"/>
              </w:rPr>
              <w:t>%(</w:t>
            </w:r>
            <w:r w:rsidR="009F7365" w:rsidRPr="00C83045">
              <w:rPr>
                <w:rFonts w:eastAsia="MS Mincho"/>
                <w:b/>
                <w:szCs w:val="22"/>
                <w:lang w:val="en-US"/>
              </w:rPr>
              <w:t>C</w:t>
            </w:r>
            <w:r w:rsidRPr="00C83045">
              <w:rPr>
                <w:rFonts w:eastAsia="MS Mincho"/>
                <w:b/>
                <w:szCs w:val="22"/>
                <w:lang w:val="en-US"/>
              </w:rPr>
              <w:t>I)</w:t>
            </w:r>
          </w:p>
        </w:tc>
        <w:tc>
          <w:tcPr>
            <w:tcW w:w="3100" w:type="dxa"/>
            <w:tcBorders>
              <w:top w:val="nil"/>
            </w:tcBorders>
            <w:shd w:val="clear" w:color="auto" w:fill="auto"/>
          </w:tcPr>
          <w:p w14:paraId="32368041" w14:textId="77777777" w:rsidR="00E540AC" w:rsidRPr="00C83045" w:rsidRDefault="00E540AC" w:rsidP="00D4304B">
            <w:pPr>
              <w:keepNext/>
              <w:keepLines/>
              <w:widowControl w:val="0"/>
              <w:tabs>
                <w:tab w:val="left" w:pos="284"/>
              </w:tabs>
              <w:rPr>
                <w:rFonts w:eastAsia="MS Mincho"/>
                <w:b/>
                <w:szCs w:val="22"/>
                <w:lang w:val="en-US"/>
              </w:rPr>
            </w:pPr>
            <w:r w:rsidRPr="00C83045">
              <w:rPr>
                <w:rFonts w:eastAsia="MS Mincho"/>
                <w:b/>
                <w:szCs w:val="22"/>
                <w:lang w:val="en-US"/>
              </w:rPr>
              <w:t>%(</w:t>
            </w:r>
            <w:r w:rsidR="009F7365" w:rsidRPr="00C83045">
              <w:rPr>
                <w:rFonts w:eastAsia="MS Mincho"/>
                <w:b/>
                <w:szCs w:val="22"/>
                <w:lang w:val="en-US"/>
              </w:rPr>
              <w:t>C</w:t>
            </w:r>
            <w:r w:rsidRPr="00C83045">
              <w:rPr>
                <w:rFonts w:eastAsia="MS Mincho"/>
                <w:b/>
                <w:szCs w:val="22"/>
                <w:lang w:val="en-US"/>
              </w:rPr>
              <w:t>I)</w:t>
            </w:r>
          </w:p>
        </w:tc>
      </w:tr>
      <w:tr w:rsidR="00E540AC" w:rsidRPr="00C83045" w14:paraId="32368046" w14:textId="77777777" w:rsidTr="00B62C3E">
        <w:trPr>
          <w:cantSplit/>
        </w:trPr>
        <w:tc>
          <w:tcPr>
            <w:tcW w:w="3099" w:type="dxa"/>
            <w:shd w:val="clear" w:color="auto" w:fill="auto"/>
          </w:tcPr>
          <w:p w14:paraId="32368043" w14:textId="77777777" w:rsidR="00E540AC" w:rsidRPr="00C83045" w:rsidRDefault="00E540AC" w:rsidP="00D4304B">
            <w:pPr>
              <w:keepNext/>
              <w:keepLines/>
              <w:widowControl w:val="0"/>
              <w:ind w:left="284" w:firstLine="0"/>
              <w:rPr>
                <w:rFonts w:eastAsia="MS Mincho"/>
                <w:szCs w:val="22"/>
                <w:lang w:val="en-US"/>
              </w:rPr>
            </w:pPr>
            <w:r w:rsidRPr="00C83045">
              <w:rPr>
                <w:rFonts w:eastAsia="MS Mincho"/>
                <w:szCs w:val="22"/>
                <w:lang w:val="en-US"/>
              </w:rPr>
              <w:t>12</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044"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93,7 (89,2</w:t>
            </w:r>
            <w:r w:rsidRPr="00C83045">
              <w:rPr>
                <w:rFonts w:eastAsia="MS Mincho"/>
                <w:szCs w:val="22"/>
                <w:lang w:val="en-US"/>
              </w:rPr>
              <w:noBreakHyphen/>
              <w:t>96,4)</w:t>
            </w:r>
          </w:p>
        </w:tc>
        <w:tc>
          <w:tcPr>
            <w:tcW w:w="3100" w:type="dxa"/>
            <w:shd w:val="clear" w:color="auto" w:fill="auto"/>
          </w:tcPr>
          <w:p w14:paraId="32368045"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95,9 (91,9</w:t>
            </w:r>
            <w:r w:rsidRPr="00C83045">
              <w:rPr>
                <w:rFonts w:eastAsia="MS Mincho"/>
                <w:szCs w:val="22"/>
                <w:lang w:val="en-US"/>
              </w:rPr>
              <w:noBreakHyphen/>
              <w:t>97,9)</w:t>
            </w:r>
          </w:p>
        </w:tc>
      </w:tr>
      <w:tr w:rsidR="00E540AC" w:rsidRPr="00C83045" w14:paraId="3236804A" w14:textId="77777777" w:rsidTr="00B62C3E">
        <w:trPr>
          <w:cantSplit/>
        </w:trPr>
        <w:tc>
          <w:tcPr>
            <w:tcW w:w="3099" w:type="dxa"/>
            <w:shd w:val="clear" w:color="auto" w:fill="auto"/>
          </w:tcPr>
          <w:p w14:paraId="32368047" w14:textId="77777777" w:rsidR="00E540AC" w:rsidRPr="00C83045" w:rsidRDefault="00E540AC" w:rsidP="00D4304B">
            <w:pPr>
              <w:keepNext/>
              <w:keepLines/>
              <w:widowControl w:val="0"/>
              <w:ind w:left="284" w:firstLine="0"/>
              <w:rPr>
                <w:rFonts w:eastAsia="MS Mincho"/>
                <w:szCs w:val="22"/>
                <w:lang w:val="en-US"/>
              </w:rPr>
            </w:pPr>
            <w:r w:rsidRPr="00C83045">
              <w:rPr>
                <w:rFonts w:eastAsia="MS Mincho"/>
                <w:szCs w:val="22"/>
                <w:lang w:val="en-US"/>
              </w:rPr>
              <w:t>24</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048"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75,4 (68,6</w:t>
            </w:r>
            <w:r w:rsidRPr="00C83045">
              <w:rPr>
                <w:rFonts w:eastAsia="MS Mincho"/>
                <w:szCs w:val="22"/>
                <w:lang w:val="en-US"/>
              </w:rPr>
              <w:noBreakHyphen/>
              <w:t>81,0)</w:t>
            </w:r>
          </w:p>
        </w:tc>
        <w:tc>
          <w:tcPr>
            <w:tcW w:w="3100" w:type="dxa"/>
            <w:shd w:val="clear" w:color="auto" w:fill="auto"/>
          </w:tcPr>
          <w:p w14:paraId="32368049"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90,7 (85,6</w:t>
            </w:r>
            <w:r w:rsidRPr="00C83045">
              <w:rPr>
                <w:rFonts w:eastAsia="MS Mincho"/>
                <w:szCs w:val="22"/>
                <w:lang w:val="en-US"/>
              </w:rPr>
              <w:noBreakHyphen/>
              <w:t>94</w:t>
            </w:r>
            <w:r w:rsidR="00EC2A03" w:rsidRPr="00C83045">
              <w:rPr>
                <w:rFonts w:eastAsia="MS Mincho"/>
                <w:szCs w:val="22"/>
                <w:lang w:val="en-US"/>
              </w:rPr>
              <w:t>,0</w:t>
            </w:r>
            <w:r w:rsidRPr="00C83045">
              <w:rPr>
                <w:rFonts w:eastAsia="MS Mincho"/>
                <w:szCs w:val="22"/>
                <w:lang w:val="en-US"/>
              </w:rPr>
              <w:t>)</w:t>
            </w:r>
          </w:p>
        </w:tc>
      </w:tr>
      <w:tr w:rsidR="00E540AC" w:rsidRPr="00C83045" w14:paraId="3236804E" w14:textId="77777777" w:rsidTr="00B62C3E">
        <w:trPr>
          <w:cantSplit/>
        </w:trPr>
        <w:tc>
          <w:tcPr>
            <w:tcW w:w="3099" w:type="dxa"/>
            <w:shd w:val="clear" w:color="auto" w:fill="auto"/>
          </w:tcPr>
          <w:p w14:paraId="3236804B" w14:textId="77777777" w:rsidR="00E540AC" w:rsidRPr="00C83045" w:rsidRDefault="00E540AC" w:rsidP="00D4304B">
            <w:pPr>
              <w:keepNext/>
              <w:keepLines/>
              <w:widowControl w:val="0"/>
              <w:ind w:left="284" w:firstLine="0"/>
              <w:rPr>
                <w:rFonts w:eastAsia="MS Mincho"/>
                <w:szCs w:val="22"/>
                <w:lang w:val="en-US"/>
              </w:rPr>
            </w:pPr>
            <w:r w:rsidRPr="00C83045">
              <w:rPr>
                <w:rFonts w:eastAsia="MS Mincho"/>
                <w:szCs w:val="22"/>
                <w:lang w:val="en-US"/>
              </w:rPr>
              <w:t>36</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04C"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60,1 (52,5</w:t>
            </w:r>
            <w:r w:rsidRPr="00C83045">
              <w:rPr>
                <w:rFonts w:eastAsia="MS Mincho"/>
                <w:szCs w:val="22"/>
                <w:lang w:val="en-US"/>
              </w:rPr>
              <w:noBreakHyphen/>
              <w:t>66,9)</w:t>
            </w:r>
          </w:p>
        </w:tc>
        <w:tc>
          <w:tcPr>
            <w:tcW w:w="3100" w:type="dxa"/>
            <w:shd w:val="clear" w:color="auto" w:fill="auto"/>
          </w:tcPr>
          <w:p w14:paraId="3236804D"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86,6 (80,8</w:t>
            </w:r>
            <w:r w:rsidRPr="00C83045">
              <w:rPr>
                <w:rFonts w:eastAsia="MS Mincho"/>
                <w:szCs w:val="22"/>
                <w:lang w:val="en-US"/>
              </w:rPr>
              <w:noBreakHyphen/>
              <w:t>90,8)</w:t>
            </w:r>
          </w:p>
        </w:tc>
      </w:tr>
      <w:tr w:rsidR="00E540AC" w:rsidRPr="00C83045" w14:paraId="32368052" w14:textId="77777777" w:rsidTr="00B62C3E">
        <w:trPr>
          <w:cantSplit/>
        </w:trPr>
        <w:tc>
          <w:tcPr>
            <w:tcW w:w="3099" w:type="dxa"/>
            <w:shd w:val="clear" w:color="auto" w:fill="auto"/>
          </w:tcPr>
          <w:p w14:paraId="3236804F" w14:textId="77777777" w:rsidR="00E540AC" w:rsidRPr="00C83045" w:rsidRDefault="00E540AC" w:rsidP="00D4304B">
            <w:pPr>
              <w:keepNext/>
              <w:keepLines/>
              <w:widowControl w:val="0"/>
              <w:ind w:left="284" w:firstLine="0"/>
              <w:rPr>
                <w:rFonts w:eastAsia="MS Mincho"/>
                <w:szCs w:val="22"/>
                <w:lang w:val="en-US"/>
              </w:rPr>
            </w:pPr>
            <w:r w:rsidRPr="00C83045">
              <w:rPr>
                <w:rFonts w:eastAsia="MS Mincho"/>
                <w:szCs w:val="22"/>
                <w:lang w:val="en-US"/>
              </w:rPr>
              <w:t>48</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050"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52,3 (44,0</w:t>
            </w:r>
            <w:r w:rsidRPr="00C83045">
              <w:rPr>
                <w:rFonts w:eastAsia="MS Mincho"/>
                <w:szCs w:val="22"/>
                <w:lang w:val="en-US"/>
              </w:rPr>
              <w:noBreakHyphen/>
              <w:t>59,8)</w:t>
            </w:r>
          </w:p>
        </w:tc>
        <w:tc>
          <w:tcPr>
            <w:tcW w:w="3100" w:type="dxa"/>
            <w:shd w:val="clear" w:color="auto" w:fill="auto"/>
          </w:tcPr>
          <w:p w14:paraId="32368051"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78,3 (70,8</w:t>
            </w:r>
            <w:r w:rsidRPr="00C83045">
              <w:rPr>
                <w:rFonts w:eastAsia="MS Mincho"/>
                <w:szCs w:val="22"/>
                <w:lang w:val="en-US"/>
              </w:rPr>
              <w:noBreakHyphen/>
              <w:t>84,1)</w:t>
            </w:r>
          </w:p>
        </w:tc>
      </w:tr>
      <w:tr w:rsidR="00E540AC" w:rsidRPr="00C83045" w14:paraId="32368056" w14:textId="77777777" w:rsidTr="00B62C3E">
        <w:trPr>
          <w:cantSplit/>
        </w:trPr>
        <w:tc>
          <w:tcPr>
            <w:tcW w:w="3099" w:type="dxa"/>
            <w:shd w:val="clear" w:color="auto" w:fill="auto"/>
          </w:tcPr>
          <w:p w14:paraId="32368053" w14:textId="77777777" w:rsidR="00E540AC" w:rsidRPr="00C83045" w:rsidRDefault="00E540AC" w:rsidP="00D4304B">
            <w:pPr>
              <w:keepNext/>
              <w:keepLines/>
              <w:widowControl w:val="0"/>
              <w:ind w:left="284" w:firstLine="0"/>
              <w:rPr>
                <w:rFonts w:eastAsia="MS Mincho"/>
                <w:szCs w:val="22"/>
                <w:lang w:val="en-US"/>
              </w:rPr>
            </w:pPr>
            <w:r w:rsidRPr="00C83045">
              <w:rPr>
                <w:rFonts w:eastAsia="MS Mincho"/>
                <w:szCs w:val="22"/>
                <w:lang w:val="en-US"/>
              </w:rPr>
              <w:t>60</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054"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47,9 (39,0</w:t>
            </w:r>
            <w:r w:rsidRPr="00C83045">
              <w:rPr>
                <w:rFonts w:eastAsia="MS Mincho"/>
                <w:szCs w:val="22"/>
                <w:lang w:val="en-US"/>
              </w:rPr>
              <w:noBreakHyphen/>
              <w:t>56,3)</w:t>
            </w:r>
          </w:p>
        </w:tc>
        <w:tc>
          <w:tcPr>
            <w:tcW w:w="3100" w:type="dxa"/>
            <w:shd w:val="clear" w:color="auto" w:fill="auto"/>
          </w:tcPr>
          <w:p w14:paraId="32368055"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65,6 (56,1</w:t>
            </w:r>
            <w:r w:rsidRPr="00C83045">
              <w:rPr>
                <w:rFonts w:eastAsia="MS Mincho"/>
                <w:szCs w:val="22"/>
                <w:lang w:val="en-US"/>
              </w:rPr>
              <w:noBreakHyphen/>
              <w:t>73,4)</w:t>
            </w:r>
          </w:p>
        </w:tc>
      </w:tr>
      <w:tr w:rsidR="00E540AC" w:rsidRPr="00C83045" w14:paraId="3236805A" w14:textId="77777777" w:rsidTr="00B62C3E">
        <w:trPr>
          <w:cantSplit/>
        </w:trPr>
        <w:tc>
          <w:tcPr>
            <w:tcW w:w="3099" w:type="dxa"/>
            <w:shd w:val="clear" w:color="auto" w:fill="auto"/>
          </w:tcPr>
          <w:p w14:paraId="32368057" w14:textId="77777777" w:rsidR="00E540AC" w:rsidRPr="00C83045" w:rsidRDefault="00E540AC" w:rsidP="00D4304B">
            <w:pPr>
              <w:keepNext/>
              <w:keepLines/>
              <w:widowControl w:val="0"/>
              <w:tabs>
                <w:tab w:val="left" w:pos="284"/>
              </w:tabs>
              <w:rPr>
                <w:rFonts w:eastAsia="MS Mincho"/>
                <w:b/>
                <w:szCs w:val="22"/>
                <w:lang w:val="en-US"/>
              </w:rPr>
            </w:pPr>
            <w:r w:rsidRPr="00C83045">
              <w:rPr>
                <w:rFonts w:eastAsia="MS Mincho"/>
                <w:b/>
                <w:szCs w:val="22"/>
                <w:lang w:val="en-US"/>
              </w:rPr>
              <w:t>Prežívanie</w:t>
            </w:r>
          </w:p>
        </w:tc>
        <w:tc>
          <w:tcPr>
            <w:tcW w:w="3100" w:type="dxa"/>
            <w:shd w:val="clear" w:color="auto" w:fill="auto"/>
          </w:tcPr>
          <w:p w14:paraId="32368058" w14:textId="77777777" w:rsidR="00E540AC" w:rsidRPr="00C83045" w:rsidRDefault="00E540AC" w:rsidP="00D4304B">
            <w:pPr>
              <w:keepNext/>
              <w:keepLines/>
              <w:widowControl w:val="0"/>
              <w:tabs>
                <w:tab w:val="left" w:pos="284"/>
              </w:tabs>
              <w:rPr>
                <w:rFonts w:eastAsia="MS Mincho"/>
                <w:szCs w:val="22"/>
                <w:lang w:val="en-US"/>
              </w:rPr>
            </w:pPr>
          </w:p>
        </w:tc>
        <w:tc>
          <w:tcPr>
            <w:tcW w:w="3100" w:type="dxa"/>
            <w:shd w:val="clear" w:color="auto" w:fill="auto"/>
          </w:tcPr>
          <w:p w14:paraId="32368059" w14:textId="77777777" w:rsidR="00E540AC" w:rsidRPr="00C83045" w:rsidRDefault="00E540AC" w:rsidP="00D4304B">
            <w:pPr>
              <w:keepNext/>
              <w:keepLines/>
              <w:widowControl w:val="0"/>
              <w:tabs>
                <w:tab w:val="left" w:pos="284"/>
              </w:tabs>
              <w:rPr>
                <w:rFonts w:eastAsia="MS Mincho"/>
                <w:szCs w:val="22"/>
                <w:lang w:val="en-US"/>
              </w:rPr>
            </w:pPr>
          </w:p>
        </w:tc>
      </w:tr>
      <w:tr w:rsidR="00E540AC" w:rsidRPr="00C83045" w14:paraId="3236805E" w14:textId="77777777" w:rsidTr="00B62C3E">
        <w:trPr>
          <w:cantSplit/>
        </w:trPr>
        <w:tc>
          <w:tcPr>
            <w:tcW w:w="3099" w:type="dxa"/>
            <w:shd w:val="clear" w:color="auto" w:fill="auto"/>
          </w:tcPr>
          <w:p w14:paraId="3236805B" w14:textId="77777777" w:rsidR="00E540AC" w:rsidRPr="00C83045" w:rsidRDefault="00E540AC" w:rsidP="00D4304B">
            <w:pPr>
              <w:keepNext/>
              <w:keepLines/>
              <w:widowControl w:val="0"/>
              <w:ind w:left="284" w:firstLine="0"/>
              <w:rPr>
                <w:rFonts w:eastAsia="MS Mincho"/>
                <w:szCs w:val="22"/>
                <w:lang w:val="en-US"/>
              </w:rPr>
            </w:pPr>
            <w:r w:rsidRPr="00C83045">
              <w:rPr>
                <w:rFonts w:eastAsia="MS Mincho"/>
                <w:szCs w:val="22"/>
                <w:lang w:val="en-US"/>
              </w:rPr>
              <w:t>36</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05C"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94,0 (89,5</w:t>
            </w:r>
            <w:r w:rsidRPr="00C83045">
              <w:rPr>
                <w:rFonts w:eastAsia="MS Mincho"/>
                <w:szCs w:val="22"/>
                <w:lang w:val="en-US"/>
              </w:rPr>
              <w:noBreakHyphen/>
              <w:t>96,7)</w:t>
            </w:r>
          </w:p>
        </w:tc>
        <w:tc>
          <w:tcPr>
            <w:tcW w:w="3100" w:type="dxa"/>
            <w:shd w:val="clear" w:color="auto" w:fill="auto"/>
          </w:tcPr>
          <w:p w14:paraId="3236805D"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96,3 (92,4</w:t>
            </w:r>
            <w:r w:rsidRPr="00C83045">
              <w:rPr>
                <w:rFonts w:eastAsia="MS Mincho"/>
                <w:szCs w:val="22"/>
                <w:lang w:val="en-US"/>
              </w:rPr>
              <w:noBreakHyphen/>
              <w:t>98,2)</w:t>
            </w:r>
          </w:p>
        </w:tc>
      </w:tr>
      <w:tr w:rsidR="00E540AC" w:rsidRPr="00C83045" w14:paraId="32368062" w14:textId="77777777" w:rsidTr="00B62C3E">
        <w:trPr>
          <w:cantSplit/>
        </w:trPr>
        <w:tc>
          <w:tcPr>
            <w:tcW w:w="3099" w:type="dxa"/>
            <w:shd w:val="clear" w:color="auto" w:fill="auto"/>
          </w:tcPr>
          <w:p w14:paraId="3236805F" w14:textId="77777777" w:rsidR="00E540AC" w:rsidRPr="00C83045" w:rsidRDefault="00E540AC" w:rsidP="00D4304B">
            <w:pPr>
              <w:keepNext/>
              <w:keepLines/>
              <w:widowControl w:val="0"/>
              <w:ind w:left="284" w:firstLine="0"/>
              <w:rPr>
                <w:rFonts w:eastAsia="MS Mincho"/>
                <w:szCs w:val="22"/>
                <w:lang w:val="en-US"/>
              </w:rPr>
            </w:pPr>
            <w:r w:rsidRPr="00C83045">
              <w:rPr>
                <w:rFonts w:eastAsia="MS Mincho"/>
                <w:szCs w:val="22"/>
                <w:lang w:val="en-US"/>
              </w:rPr>
              <w:t>48</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060"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87,9 (81,1</w:t>
            </w:r>
            <w:r w:rsidRPr="00C83045">
              <w:rPr>
                <w:rFonts w:eastAsia="MS Mincho"/>
                <w:szCs w:val="22"/>
                <w:lang w:val="en-US"/>
              </w:rPr>
              <w:noBreakHyphen/>
              <w:t>92,3)</w:t>
            </w:r>
          </w:p>
        </w:tc>
        <w:tc>
          <w:tcPr>
            <w:tcW w:w="3100" w:type="dxa"/>
            <w:shd w:val="clear" w:color="auto" w:fill="auto"/>
          </w:tcPr>
          <w:p w14:paraId="32368061"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95,6 (91,2</w:t>
            </w:r>
            <w:r w:rsidRPr="00C83045">
              <w:rPr>
                <w:rFonts w:eastAsia="MS Mincho"/>
                <w:szCs w:val="22"/>
                <w:lang w:val="en-US"/>
              </w:rPr>
              <w:noBreakHyphen/>
              <w:t>97,8)</w:t>
            </w:r>
          </w:p>
        </w:tc>
      </w:tr>
      <w:tr w:rsidR="00E540AC" w:rsidRPr="00C83045" w14:paraId="32368066" w14:textId="77777777" w:rsidTr="00B62C3E">
        <w:trPr>
          <w:cantSplit/>
        </w:trPr>
        <w:tc>
          <w:tcPr>
            <w:tcW w:w="3099" w:type="dxa"/>
            <w:shd w:val="clear" w:color="auto" w:fill="auto"/>
          </w:tcPr>
          <w:p w14:paraId="32368063" w14:textId="77777777" w:rsidR="00E540AC" w:rsidRPr="00C83045" w:rsidRDefault="00E540AC" w:rsidP="00D4304B">
            <w:pPr>
              <w:keepNext/>
              <w:keepLines/>
              <w:widowControl w:val="0"/>
              <w:ind w:left="284" w:firstLine="0"/>
              <w:rPr>
                <w:rFonts w:eastAsia="MS Mincho"/>
                <w:szCs w:val="22"/>
                <w:lang w:val="en-US"/>
              </w:rPr>
            </w:pPr>
            <w:r w:rsidRPr="00C83045">
              <w:rPr>
                <w:rFonts w:eastAsia="MS Mincho"/>
                <w:szCs w:val="22"/>
                <w:lang w:val="en-US"/>
              </w:rPr>
              <w:t>60</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064"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81,7 (73,0</w:t>
            </w:r>
            <w:r w:rsidRPr="00C83045">
              <w:rPr>
                <w:rFonts w:eastAsia="MS Mincho"/>
                <w:szCs w:val="22"/>
                <w:lang w:val="en-US"/>
              </w:rPr>
              <w:noBreakHyphen/>
              <w:t>87,8)</w:t>
            </w:r>
          </w:p>
        </w:tc>
        <w:tc>
          <w:tcPr>
            <w:tcW w:w="3100" w:type="dxa"/>
            <w:shd w:val="clear" w:color="auto" w:fill="auto"/>
          </w:tcPr>
          <w:p w14:paraId="32368065" w14:textId="77777777" w:rsidR="00E540AC" w:rsidRPr="00C83045" w:rsidRDefault="00E540AC" w:rsidP="00D4304B">
            <w:pPr>
              <w:keepNext/>
              <w:keepLines/>
              <w:widowControl w:val="0"/>
              <w:tabs>
                <w:tab w:val="left" w:pos="284"/>
              </w:tabs>
              <w:rPr>
                <w:rFonts w:eastAsia="MS Mincho"/>
                <w:szCs w:val="22"/>
                <w:lang w:val="en-US"/>
              </w:rPr>
            </w:pPr>
            <w:r w:rsidRPr="00C83045">
              <w:rPr>
                <w:rFonts w:eastAsia="MS Mincho"/>
                <w:szCs w:val="22"/>
                <w:lang w:val="en-US"/>
              </w:rPr>
              <w:t>92,0 (85,3</w:t>
            </w:r>
            <w:r w:rsidRPr="00C83045">
              <w:rPr>
                <w:rFonts w:eastAsia="MS Mincho"/>
                <w:szCs w:val="22"/>
                <w:lang w:val="en-US"/>
              </w:rPr>
              <w:noBreakHyphen/>
              <w:t>95,7)</w:t>
            </w:r>
          </w:p>
        </w:tc>
      </w:tr>
    </w:tbl>
    <w:p w14:paraId="32368067" w14:textId="77777777" w:rsidR="00E540AC" w:rsidRPr="00C83045" w:rsidRDefault="00E540AC" w:rsidP="00D4304B">
      <w:pPr>
        <w:widowControl w:val="0"/>
        <w:rPr>
          <w:rFonts w:eastAsia="MS Mincho"/>
          <w:szCs w:val="22"/>
          <w:lang w:val="en-US"/>
        </w:rPr>
      </w:pPr>
    </w:p>
    <w:p w14:paraId="32368068" w14:textId="77777777" w:rsidR="00E540AC" w:rsidRPr="00CD056A" w:rsidRDefault="00DF0316" w:rsidP="00D4304B">
      <w:pPr>
        <w:keepNext/>
        <w:keepLines/>
        <w:widowControl w:val="0"/>
        <w:ind w:left="1134" w:hanging="1134"/>
        <w:rPr>
          <w:rFonts w:eastAsia="MS Mincho"/>
          <w:szCs w:val="22"/>
          <w:lang w:val="es-ES"/>
        </w:rPr>
      </w:pPr>
      <w:r w:rsidRPr="00C83045">
        <w:rPr>
          <w:noProof/>
          <w:lang w:val="en-US" w:eastAsia="en-US"/>
        </w:rPr>
        <w:lastRenderedPageBreak/>
        <mc:AlternateContent>
          <mc:Choice Requires="wps">
            <w:drawing>
              <wp:anchor distT="0" distB="0" distL="114300" distR="114300" simplePos="0" relativeHeight="251651072" behindDoc="0" locked="0" layoutInCell="1" allowOverlap="1" wp14:anchorId="3236901E" wp14:editId="3236901F">
                <wp:simplePos x="0" y="0"/>
                <wp:positionH relativeFrom="column">
                  <wp:posOffset>-255270</wp:posOffset>
                </wp:positionH>
                <wp:positionV relativeFrom="paragraph">
                  <wp:posOffset>56515</wp:posOffset>
                </wp:positionV>
                <wp:extent cx="354965" cy="3032125"/>
                <wp:effectExtent l="1905" t="8890" r="508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3032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36904F" w14:textId="77777777" w:rsidR="004550EF" w:rsidRPr="00A33DBA" w:rsidRDefault="004550EF" w:rsidP="00E540AC">
                            <w:pPr>
                              <w:rPr>
                                <w:rFonts w:ascii="Arial" w:hAnsi="Arial" w:cs="Arial"/>
                                <w:sz w:val="20"/>
                                <w:szCs w:val="20"/>
                              </w:rPr>
                            </w:pPr>
                            <w:r w:rsidRPr="00A33DBA">
                              <w:rPr>
                                <w:rFonts w:ascii="Arial" w:hAnsi="Arial" w:cs="Arial"/>
                                <w:sz w:val="20"/>
                                <w:szCs w:val="20"/>
                              </w:rPr>
                              <w:t>Pr</w:t>
                            </w:r>
                            <w:r>
                              <w:rPr>
                                <w:rFonts w:ascii="Arial" w:hAnsi="Arial" w:cs="Arial"/>
                                <w:sz w:val="20"/>
                                <w:szCs w:val="20"/>
                              </w:rPr>
                              <w:t>avdepodobnosť prežívania bez recidívy</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36901E" id="_x0000_t202" coordsize="21600,21600" o:spt="202" path="m,l,21600r21600,l21600,xe">
                <v:stroke joinstyle="miter"/>
                <v:path gradientshapeok="t" o:connecttype="rect"/>
              </v:shapetype>
              <v:shape id="Text Box 2" o:spid="_x0000_s1026" type="#_x0000_t202" style="position:absolute;left:0;text-align:left;margin-left:-20.1pt;margin-top:4.45pt;width:27.95pt;height:238.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" stroked="f">
                <v:fill opacity="0"/>
                <v:textbox style="layout-flow:vertical;mso-layout-flow-alt:bottom-to-top">
                  <w:txbxContent>
                    <w:p w14:paraId="3236904F" w14:textId="77777777" w:rsidR="004550EF" w:rsidRPr="00A33DBA" w:rsidRDefault="004550EF" w:rsidP="00E540AC">
                      <w:pPr>
                        <w:rPr>
                          <w:rFonts w:ascii="Arial" w:hAnsi="Arial" w:cs="Arial"/>
                          <w:sz w:val="20"/>
                          <w:szCs w:val="20"/>
                        </w:rPr>
                      </w:pPr>
                      <w:r w:rsidRPr="00A33DBA">
                        <w:rPr>
                          <w:rFonts w:ascii="Arial" w:hAnsi="Arial" w:cs="Arial"/>
                          <w:sz w:val="20"/>
                          <w:szCs w:val="20"/>
                        </w:rPr>
                        <w:t>Pr</w:t>
                      </w:r>
                      <w:r>
                        <w:rPr>
                          <w:rFonts w:ascii="Arial" w:hAnsi="Arial" w:cs="Arial"/>
                          <w:sz w:val="20"/>
                          <w:szCs w:val="20"/>
                        </w:rPr>
                        <w:t>avdepodobnosť prežívania bez recidívy</w:t>
                      </w:r>
                    </w:p>
                  </w:txbxContent>
                </v:textbox>
              </v:shape>
            </w:pict>
          </mc:Fallback>
        </mc:AlternateContent>
      </w:r>
      <w:r w:rsidR="00EC2A03" w:rsidRPr="00C83045">
        <w:rPr>
          <w:rFonts w:eastAsia="MS Mincho"/>
          <w:b/>
          <w:szCs w:val="22"/>
        </w:rPr>
        <w:t>Obrázok</w:t>
      </w:r>
      <w:r w:rsidR="00E540AC" w:rsidRPr="00C83045">
        <w:rPr>
          <w:rFonts w:eastAsia="MS Mincho"/>
          <w:b/>
          <w:szCs w:val="22"/>
        </w:rPr>
        <w:t> 1</w:t>
      </w:r>
      <w:r w:rsidR="00E540AC" w:rsidRPr="00C83045">
        <w:rPr>
          <w:rFonts w:eastAsia="MS Mincho"/>
          <w:b/>
          <w:szCs w:val="22"/>
        </w:rPr>
        <w:tab/>
      </w:r>
      <w:r w:rsidR="00EC2A03" w:rsidRPr="00C83045">
        <w:rPr>
          <w:rFonts w:eastAsia="MS Mincho"/>
          <w:b/>
          <w:szCs w:val="22"/>
        </w:rPr>
        <w:t xml:space="preserve">Odhady </w:t>
      </w:r>
      <w:r w:rsidR="009F7365" w:rsidRPr="00C83045">
        <w:rPr>
          <w:rFonts w:eastAsia="MS Mincho"/>
          <w:b/>
          <w:szCs w:val="22"/>
        </w:rPr>
        <w:t xml:space="preserve">primárneho parametra </w:t>
      </w:r>
      <w:r w:rsidR="00EC2A03" w:rsidRPr="00C83045">
        <w:rPr>
          <w:rFonts w:eastAsia="MS Mincho"/>
          <w:b/>
          <w:szCs w:val="22"/>
        </w:rPr>
        <w:t xml:space="preserve">prežívania bez recidívy podľa </w:t>
      </w:r>
      <w:r w:rsidR="00E540AC" w:rsidRPr="00C83045">
        <w:rPr>
          <w:rFonts w:eastAsia="MS Mincho"/>
          <w:b/>
          <w:szCs w:val="22"/>
        </w:rPr>
        <w:t>Kaplan</w:t>
      </w:r>
      <w:r w:rsidR="00EC2A03" w:rsidRPr="00C83045">
        <w:rPr>
          <w:rFonts w:eastAsia="MS Mincho"/>
          <w:b/>
          <w:szCs w:val="22"/>
        </w:rPr>
        <w:t>a</w:t>
      </w:r>
      <w:r w:rsidR="00E540AC" w:rsidRPr="00C83045">
        <w:rPr>
          <w:rFonts w:eastAsia="MS Mincho"/>
          <w:b/>
          <w:szCs w:val="22"/>
        </w:rPr>
        <w:t>-Meier</w:t>
      </w:r>
      <w:r w:rsidR="00EC2A03" w:rsidRPr="00C83045">
        <w:rPr>
          <w:rFonts w:eastAsia="MS Mincho"/>
          <w:b/>
          <w:szCs w:val="22"/>
        </w:rPr>
        <w:t>a</w:t>
      </w:r>
      <w:r w:rsidR="009F7365" w:rsidRPr="00C83045">
        <w:rPr>
          <w:rFonts w:eastAsia="MS Mincho"/>
          <w:b/>
          <w:szCs w:val="22"/>
        </w:rPr>
        <w:t xml:space="preserve"> (populácia ITT)</w:t>
      </w:r>
    </w:p>
    <w:p w14:paraId="32368069" w14:textId="77777777" w:rsidR="00E540AC" w:rsidRPr="00CD056A" w:rsidRDefault="00E540AC" w:rsidP="00D4304B">
      <w:pPr>
        <w:keepNext/>
        <w:keepLines/>
        <w:widowControl w:val="0"/>
        <w:rPr>
          <w:rFonts w:eastAsia="MS Mincho"/>
          <w:szCs w:val="22"/>
          <w:lang w:val="es-ES"/>
        </w:rPr>
      </w:pPr>
    </w:p>
    <w:p w14:paraId="3236806A" w14:textId="77777777" w:rsidR="00E540AC" w:rsidRPr="00C83045" w:rsidRDefault="00DF0316" w:rsidP="00D4304B">
      <w:pPr>
        <w:keepNext/>
        <w:keepLines/>
        <w:widowControl w:val="0"/>
        <w:rPr>
          <w:rFonts w:eastAsia="MS Mincho"/>
          <w:szCs w:val="22"/>
          <w:lang w:val="en-US"/>
        </w:rPr>
      </w:pPr>
      <w:r w:rsidRPr="00C83045">
        <w:rPr>
          <w:noProof/>
          <w:lang w:val="en-US" w:eastAsia="en-US"/>
        </w:rPr>
        <mc:AlternateContent>
          <mc:Choice Requires="wps">
            <w:drawing>
              <wp:anchor distT="0" distB="0" distL="114300" distR="114300" simplePos="0" relativeHeight="251653120" behindDoc="0" locked="0" layoutInCell="1" allowOverlap="1" wp14:anchorId="32369020" wp14:editId="32369021">
                <wp:simplePos x="0" y="0"/>
                <wp:positionH relativeFrom="column">
                  <wp:posOffset>350520</wp:posOffset>
                </wp:positionH>
                <wp:positionV relativeFrom="paragraph">
                  <wp:posOffset>1188085</wp:posOffset>
                </wp:positionV>
                <wp:extent cx="4585335" cy="1171575"/>
                <wp:effectExtent l="0" t="0" r="0" b="254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984"/>
                              <w:gridCol w:w="2464"/>
                              <w:gridCol w:w="851"/>
                              <w:gridCol w:w="709"/>
                              <w:gridCol w:w="861"/>
                            </w:tblGrid>
                            <w:tr w:rsidR="004550EF" w:rsidRPr="0055776F" w14:paraId="32369053" w14:textId="77777777" w:rsidTr="007C2055">
                              <w:trPr>
                                <w:gridAfter w:val="3"/>
                                <w:wAfter w:w="2410" w:type="dxa"/>
                              </w:trPr>
                              <w:tc>
                                <w:tcPr>
                                  <w:tcW w:w="3281" w:type="dxa"/>
                                  <w:gridSpan w:val="2"/>
                                  <w:shd w:val="clear" w:color="auto" w:fill="auto"/>
                                </w:tcPr>
                                <w:p w14:paraId="32369050" w14:textId="77777777" w:rsidR="004550EF" w:rsidRPr="0055776F" w:rsidRDefault="004550EF" w:rsidP="007C2055">
                                  <w:pPr>
                                    <w:rPr>
                                      <w:rFonts w:ascii="Arial" w:hAnsi="Arial" w:cs="Arial"/>
                                      <w:sz w:val="20"/>
                                    </w:rPr>
                                  </w:pPr>
                                  <w:r>
                                    <w:rPr>
                                      <w:rFonts w:ascii="Arial" w:hAnsi="Arial" w:cs="Arial"/>
                                      <w:sz w:val="20"/>
                                    </w:rPr>
                                    <w:t>P &lt; 0,0001</w:t>
                                  </w:r>
                                </w:p>
                                <w:p w14:paraId="32369051" w14:textId="77777777" w:rsidR="004550EF" w:rsidRPr="0055776F" w:rsidRDefault="004550EF" w:rsidP="007C2055">
                                  <w:pPr>
                                    <w:rPr>
                                      <w:rFonts w:ascii="Arial" w:hAnsi="Arial" w:cs="Arial"/>
                                      <w:sz w:val="20"/>
                                    </w:rPr>
                                  </w:pPr>
                                  <w:r>
                                    <w:rPr>
                                      <w:rFonts w:ascii="Arial" w:hAnsi="Arial" w:cs="Arial"/>
                                      <w:sz w:val="20"/>
                                    </w:rPr>
                                    <w:t>Pomer rizika 0,</w:t>
                                  </w:r>
                                  <w:r w:rsidRPr="0055776F">
                                    <w:rPr>
                                      <w:rFonts w:ascii="Arial" w:hAnsi="Arial" w:cs="Arial"/>
                                      <w:sz w:val="20"/>
                                    </w:rPr>
                                    <w:t>4</w:t>
                                  </w:r>
                                  <w:r>
                                    <w:rPr>
                                      <w:rFonts w:ascii="Arial" w:hAnsi="Arial" w:cs="Arial"/>
                                      <w:sz w:val="20"/>
                                    </w:rPr>
                                    <w:t>6</w:t>
                                  </w:r>
                                </w:p>
                                <w:p w14:paraId="32369052" w14:textId="77777777" w:rsidR="004550EF" w:rsidRPr="0055776F" w:rsidRDefault="004550EF" w:rsidP="007C2055">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4550EF" w:rsidRPr="0055776F" w14:paraId="32369059" w14:textId="77777777" w:rsidTr="000322A8">
                              <w:tc>
                                <w:tcPr>
                                  <w:tcW w:w="817" w:type="dxa"/>
                                  <w:shd w:val="clear" w:color="auto" w:fill="auto"/>
                                </w:tcPr>
                                <w:p w14:paraId="32369054" w14:textId="77777777" w:rsidR="004550EF" w:rsidRPr="0055776F" w:rsidRDefault="004550EF" w:rsidP="000322A8">
                                  <w:pPr>
                                    <w:rPr>
                                      <w:rFonts w:ascii="Arial" w:hAnsi="Arial" w:cs="Arial"/>
                                      <w:sz w:val="20"/>
                                      <w:szCs w:val="20"/>
                                    </w:rPr>
                                  </w:pPr>
                                </w:p>
                              </w:tc>
                              <w:tc>
                                <w:tcPr>
                                  <w:tcW w:w="2464" w:type="dxa"/>
                                  <w:shd w:val="clear" w:color="auto" w:fill="auto"/>
                                </w:tcPr>
                                <w:p w14:paraId="32369055" w14:textId="77777777" w:rsidR="004550EF" w:rsidRPr="0055776F" w:rsidRDefault="004550EF" w:rsidP="000322A8">
                                  <w:pPr>
                                    <w:rPr>
                                      <w:rFonts w:ascii="Arial" w:hAnsi="Arial" w:cs="Arial"/>
                                      <w:sz w:val="20"/>
                                      <w:szCs w:val="20"/>
                                    </w:rPr>
                                  </w:pPr>
                                </w:p>
                              </w:tc>
                              <w:tc>
                                <w:tcPr>
                                  <w:tcW w:w="851" w:type="dxa"/>
                                  <w:tcBorders>
                                    <w:bottom w:val="single" w:sz="4" w:space="0" w:color="auto"/>
                                  </w:tcBorders>
                                  <w:shd w:val="clear" w:color="auto" w:fill="auto"/>
                                </w:tcPr>
                                <w:p w14:paraId="32369056" w14:textId="77777777" w:rsidR="004550EF" w:rsidRPr="0055776F" w:rsidRDefault="004550EF" w:rsidP="000322A8">
                                  <w:pPr>
                                    <w:rPr>
                                      <w:rFonts w:ascii="Arial" w:hAnsi="Arial" w:cs="Arial"/>
                                      <w:sz w:val="20"/>
                                      <w:szCs w:val="20"/>
                                    </w:rPr>
                                  </w:pPr>
                                  <w:r w:rsidRPr="0055776F">
                                    <w:rPr>
                                      <w:rFonts w:ascii="Arial" w:hAnsi="Arial" w:cs="Arial"/>
                                      <w:sz w:val="20"/>
                                      <w:szCs w:val="20"/>
                                      <w:lang w:val="de-DE"/>
                                    </w:rPr>
                                    <w:t>N</w:t>
                                  </w:r>
                                </w:p>
                              </w:tc>
                              <w:tc>
                                <w:tcPr>
                                  <w:tcW w:w="709" w:type="dxa"/>
                                  <w:tcBorders>
                                    <w:bottom w:val="single" w:sz="4" w:space="0" w:color="auto"/>
                                  </w:tcBorders>
                                  <w:shd w:val="clear" w:color="auto" w:fill="auto"/>
                                </w:tcPr>
                                <w:p w14:paraId="32369057" w14:textId="77777777" w:rsidR="004550EF" w:rsidRPr="0055776F" w:rsidRDefault="004550EF" w:rsidP="009F7365">
                                  <w:pPr>
                                    <w:rPr>
                                      <w:rFonts w:ascii="Arial" w:hAnsi="Arial" w:cs="Arial"/>
                                      <w:sz w:val="20"/>
                                      <w:szCs w:val="20"/>
                                    </w:rPr>
                                  </w:pPr>
                                  <w:r>
                                    <w:rPr>
                                      <w:rFonts w:ascii="Arial" w:hAnsi="Arial" w:cs="Arial"/>
                                      <w:sz w:val="20"/>
                                      <w:szCs w:val="20"/>
                                      <w:lang w:val="de-DE"/>
                                    </w:rPr>
                                    <w:t>Udal</w:t>
                                  </w:r>
                                </w:p>
                              </w:tc>
                              <w:tc>
                                <w:tcPr>
                                  <w:tcW w:w="850" w:type="dxa"/>
                                  <w:tcBorders>
                                    <w:bottom w:val="single" w:sz="4" w:space="0" w:color="auto"/>
                                  </w:tcBorders>
                                  <w:shd w:val="clear" w:color="auto" w:fill="auto"/>
                                </w:tcPr>
                                <w:p w14:paraId="32369058" w14:textId="77777777" w:rsidR="004550EF" w:rsidRPr="0055776F" w:rsidRDefault="004550EF" w:rsidP="009F7365">
                                  <w:pPr>
                                    <w:rPr>
                                      <w:rFonts w:ascii="Arial" w:hAnsi="Arial" w:cs="Arial"/>
                                      <w:sz w:val="20"/>
                                      <w:szCs w:val="20"/>
                                    </w:rPr>
                                  </w:pPr>
                                  <w:r w:rsidRPr="0055776F">
                                    <w:rPr>
                                      <w:rFonts w:ascii="Arial" w:hAnsi="Arial" w:cs="Arial"/>
                                      <w:sz w:val="20"/>
                                      <w:szCs w:val="20"/>
                                      <w:lang w:val="de-DE"/>
                                    </w:rPr>
                                    <w:t>Cen</w:t>
                                  </w:r>
                                  <w:r>
                                    <w:rPr>
                                      <w:rFonts w:ascii="Arial" w:hAnsi="Arial" w:cs="Arial"/>
                                      <w:sz w:val="20"/>
                                      <w:szCs w:val="20"/>
                                      <w:lang w:val="de-DE"/>
                                    </w:rPr>
                                    <w:t>zor</w:t>
                                  </w:r>
                                </w:p>
                              </w:tc>
                            </w:tr>
                            <w:tr w:rsidR="004550EF" w:rsidRPr="0055776F" w14:paraId="3236905F" w14:textId="77777777" w:rsidTr="000322A8">
                              <w:tc>
                                <w:tcPr>
                                  <w:tcW w:w="817" w:type="dxa"/>
                                  <w:shd w:val="clear" w:color="auto" w:fill="auto"/>
                                </w:tcPr>
                                <w:p w14:paraId="3236905A" w14:textId="77777777" w:rsidR="004550EF" w:rsidRPr="0055776F" w:rsidRDefault="004550EF" w:rsidP="000322A8">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3236905B" w14:textId="77777777" w:rsidR="004550EF" w:rsidRPr="0055776F" w:rsidRDefault="004550EF" w:rsidP="00E01A71">
                                  <w:pPr>
                                    <w:ind w:hanging="675"/>
                                    <w:rPr>
                                      <w:rFonts w:ascii="Arial" w:hAnsi="Arial" w:cs="Arial"/>
                                      <w:sz w:val="20"/>
                                      <w:szCs w:val="20"/>
                                    </w:rPr>
                                  </w:pPr>
                                  <w:r>
                                    <w:rPr>
                                      <w:rFonts w:ascii="Arial" w:hAnsi="Arial" w:cs="Arial"/>
                                      <w:sz w:val="20"/>
                                      <w:szCs w:val="20"/>
                                    </w:rPr>
                                    <w:t>(1) Imatinib 12 mes:</w:t>
                                  </w:r>
                                </w:p>
                              </w:tc>
                              <w:tc>
                                <w:tcPr>
                                  <w:tcW w:w="851" w:type="dxa"/>
                                  <w:tcBorders>
                                    <w:top w:val="single" w:sz="4" w:space="0" w:color="auto"/>
                                  </w:tcBorders>
                                  <w:shd w:val="clear" w:color="auto" w:fill="auto"/>
                                </w:tcPr>
                                <w:p w14:paraId="3236905C" w14:textId="77777777" w:rsidR="004550EF" w:rsidRPr="0055776F" w:rsidRDefault="004550EF" w:rsidP="000322A8">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3236905D" w14:textId="77777777" w:rsidR="004550EF" w:rsidRPr="0055776F" w:rsidRDefault="004550EF" w:rsidP="000322A8">
                                  <w:pPr>
                                    <w:rPr>
                                      <w:rFonts w:ascii="Arial" w:hAnsi="Arial" w:cs="Arial"/>
                                      <w:sz w:val="20"/>
                                      <w:szCs w:val="20"/>
                                    </w:rPr>
                                  </w:pPr>
                                  <w:r w:rsidRPr="0055776F">
                                    <w:rPr>
                                      <w:rFonts w:ascii="Arial" w:hAnsi="Arial" w:cs="Arial"/>
                                      <w:sz w:val="20"/>
                                      <w:szCs w:val="20"/>
                                    </w:rPr>
                                    <w:t>84</w:t>
                                  </w:r>
                                </w:p>
                              </w:tc>
                              <w:tc>
                                <w:tcPr>
                                  <w:tcW w:w="850" w:type="dxa"/>
                                  <w:tcBorders>
                                    <w:top w:val="single" w:sz="4" w:space="0" w:color="auto"/>
                                  </w:tcBorders>
                                  <w:shd w:val="clear" w:color="auto" w:fill="auto"/>
                                </w:tcPr>
                                <w:p w14:paraId="3236905E" w14:textId="77777777" w:rsidR="004550EF" w:rsidRPr="0055776F" w:rsidRDefault="004550EF" w:rsidP="000322A8">
                                  <w:pPr>
                                    <w:rPr>
                                      <w:rFonts w:ascii="Arial" w:hAnsi="Arial" w:cs="Arial"/>
                                      <w:sz w:val="20"/>
                                      <w:szCs w:val="20"/>
                                    </w:rPr>
                                  </w:pPr>
                                  <w:r w:rsidRPr="0055776F">
                                    <w:rPr>
                                      <w:rFonts w:ascii="Arial" w:hAnsi="Arial" w:cs="Arial"/>
                                      <w:sz w:val="20"/>
                                      <w:szCs w:val="20"/>
                                    </w:rPr>
                                    <w:t>115</w:t>
                                  </w:r>
                                </w:p>
                              </w:tc>
                            </w:tr>
                            <w:tr w:rsidR="004550EF" w:rsidRPr="0055776F" w14:paraId="32369065" w14:textId="77777777" w:rsidTr="000322A8">
                              <w:tc>
                                <w:tcPr>
                                  <w:tcW w:w="817" w:type="dxa"/>
                                  <w:shd w:val="clear" w:color="auto" w:fill="auto"/>
                                </w:tcPr>
                                <w:p w14:paraId="32369060"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61" w14:textId="77777777" w:rsidR="004550EF" w:rsidRPr="0055776F" w:rsidRDefault="004550EF" w:rsidP="00E01A71">
                                  <w:pPr>
                                    <w:ind w:hanging="675"/>
                                    <w:rPr>
                                      <w:rFonts w:ascii="Arial" w:hAnsi="Arial" w:cs="Arial"/>
                                      <w:sz w:val="20"/>
                                      <w:szCs w:val="20"/>
                                    </w:rPr>
                                  </w:pPr>
                                  <w:r>
                                    <w:rPr>
                                      <w:rFonts w:ascii="Arial" w:hAnsi="Arial" w:cs="Arial"/>
                                      <w:sz w:val="20"/>
                                      <w:szCs w:val="20"/>
                                    </w:rPr>
                                    <w:t>(2) Imatinib 36 mes:</w:t>
                                  </w:r>
                                </w:p>
                              </w:tc>
                              <w:tc>
                                <w:tcPr>
                                  <w:tcW w:w="851" w:type="dxa"/>
                                  <w:tcBorders>
                                    <w:bottom w:val="single" w:sz="4" w:space="0" w:color="auto"/>
                                  </w:tcBorders>
                                  <w:shd w:val="clear" w:color="auto" w:fill="auto"/>
                                </w:tcPr>
                                <w:p w14:paraId="32369062" w14:textId="77777777" w:rsidR="004550EF" w:rsidRPr="0055776F" w:rsidRDefault="004550EF" w:rsidP="000322A8">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32369063" w14:textId="77777777" w:rsidR="004550EF" w:rsidRPr="0055776F" w:rsidRDefault="004550EF" w:rsidP="000322A8">
                                  <w:pPr>
                                    <w:rPr>
                                      <w:rFonts w:ascii="Arial" w:hAnsi="Arial" w:cs="Arial"/>
                                      <w:sz w:val="20"/>
                                      <w:szCs w:val="20"/>
                                    </w:rPr>
                                  </w:pPr>
                                  <w:r w:rsidRPr="0055776F">
                                    <w:rPr>
                                      <w:rFonts w:ascii="Arial" w:hAnsi="Arial" w:cs="Arial"/>
                                      <w:sz w:val="20"/>
                                      <w:szCs w:val="20"/>
                                    </w:rPr>
                                    <w:t>50</w:t>
                                  </w:r>
                                </w:p>
                              </w:tc>
                              <w:tc>
                                <w:tcPr>
                                  <w:tcW w:w="850" w:type="dxa"/>
                                  <w:tcBorders>
                                    <w:bottom w:val="single" w:sz="4" w:space="0" w:color="auto"/>
                                  </w:tcBorders>
                                  <w:shd w:val="clear" w:color="auto" w:fill="auto"/>
                                </w:tcPr>
                                <w:p w14:paraId="32369064" w14:textId="77777777" w:rsidR="004550EF" w:rsidRPr="0055776F" w:rsidRDefault="004550EF" w:rsidP="000322A8">
                                  <w:pPr>
                                    <w:rPr>
                                      <w:rFonts w:ascii="Arial" w:hAnsi="Arial" w:cs="Arial"/>
                                      <w:sz w:val="20"/>
                                      <w:szCs w:val="20"/>
                                    </w:rPr>
                                  </w:pPr>
                                  <w:r w:rsidRPr="0055776F">
                                    <w:rPr>
                                      <w:rFonts w:ascii="Arial" w:hAnsi="Arial" w:cs="Arial"/>
                                      <w:sz w:val="20"/>
                                      <w:szCs w:val="20"/>
                                    </w:rPr>
                                    <w:t>148</w:t>
                                  </w:r>
                                </w:p>
                              </w:tc>
                            </w:tr>
                            <w:tr w:rsidR="004550EF" w:rsidRPr="0055776F" w14:paraId="3236906B" w14:textId="77777777" w:rsidTr="000322A8">
                              <w:tc>
                                <w:tcPr>
                                  <w:tcW w:w="817" w:type="dxa"/>
                                  <w:shd w:val="clear" w:color="auto" w:fill="auto"/>
                                </w:tcPr>
                                <w:p w14:paraId="32369066"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67" w14:textId="77777777" w:rsidR="004550EF" w:rsidRPr="0055776F" w:rsidRDefault="004550EF" w:rsidP="00E01A71">
                                  <w:pPr>
                                    <w:ind w:hanging="675"/>
                                    <w:rPr>
                                      <w:rFonts w:ascii="Arial" w:hAnsi="Arial" w:cs="Arial"/>
                                      <w:sz w:val="20"/>
                                      <w:szCs w:val="20"/>
                                    </w:rPr>
                                  </w:pPr>
                                  <w:r w:rsidRPr="0055776F">
                                    <w:rPr>
                                      <w:rFonts w:ascii="Arial" w:hAnsi="Arial" w:cs="Arial"/>
                                      <w:sz w:val="20"/>
                                      <w:szCs w:val="20"/>
                                    </w:rPr>
                                    <w:t>Cen</w:t>
                                  </w:r>
                                  <w:r>
                                    <w:rPr>
                                      <w:rFonts w:ascii="Arial" w:hAnsi="Arial" w:cs="Arial"/>
                                      <w:sz w:val="20"/>
                                      <w:szCs w:val="20"/>
                                    </w:rPr>
                                    <w:t>zorované pozorovania</w:t>
                                  </w:r>
                                </w:p>
                              </w:tc>
                              <w:tc>
                                <w:tcPr>
                                  <w:tcW w:w="851" w:type="dxa"/>
                                  <w:tcBorders>
                                    <w:top w:val="single" w:sz="4" w:space="0" w:color="auto"/>
                                  </w:tcBorders>
                                  <w:shd w:val="clear" w:color="auto" w:fill="auto"/>
                                </w:tcPr>
                                <w:p w14:paraId="32369068" w14:textId="77777777" w:rsidR="004550EF" w:rsidRPr="0055776F" w:rsidRDefault="004550EF" w:rsidP="000322A8">
                                  <w:pPr>
                                    <w:rPr>
                                      <w:rFonts w:ascii="Arial" w:hAnsi="Arial" w:cs="Arial"/>
                                      <w:sz w:val="20"/>
                                      <w:szCs w:val="20"/>
                                    </w:rPr>
                                  </w:pPr>
                                </w:p>
                              </w:tc>
                              <w:tc>
                                <w:tcPr>
                                  <w:tcW w:w="709" w:type="dxa"/>
                                  <w:tcBorders>
                                    <w:top w:val="single" w:sz="4" w:space="0" w:color="auto"/>
                                  </w:tcBorders>
                                  <w:shd w:val="clear" w:color="auto" w:fill="auto"/>
                                </w:tcPr>
                                <w:p w14:paraId="32369069" w14:textId="77777777" w:rsidR="004550EF" w:rsidRPr="0055776F" w:rsidRDefault="004550EF" w:rsidP="000322A8">
                                  <w:pPr>
                                    <w:rPr>
                                      <w:rFonts w:ascii="Arial" w:hAnsi="Arial" w:cs="Arial"/>
                                      <w:sz w:val="20"/>
                                      <w:szCs w:val="20"/>
                                    </w:rPr>
                                  </w:pPr>
                                </w:p>
                              </w:tc>
                              <w:tc>
                                <w:tcPr>
                                  <w:tcW w:w="850" w:type="dxa"/>
                                  <w:tcBorders>
                                    <w:top w:val="single" w:sz="4" w:space="0" w:color="auto"/>
                                  </w:tcBorders>
                                  <w:shd w:val="clear" w:color="auto" w:fill="auto"/>
                                </w:tcPr>
                                <w:p w14:paraId="3236906A" w14:textId="77777777" w:rsidR="004550EF" w:rsidRPr="0055776F" w:rsidRDefault="004550EF" w:rsidP="000322A8">
                                  <w:pPr>
                                    <w:rPr>
                                      <w:rFonts w:ascii="Arial" w:hAnsi="Arial" w:cs="Arial"/>
                                      <w:sz w:val="20"/>
                                      <w:szCs w:val="20"/>
                                    </w:rPr>
                                  </w:pPr>
                                </w:p>
                              </w:tc>
                            </w:tr>
                          </w:tbl>
                          <w:p w14:paraId="3236906C" w14:textId="77777777" w:rsidR="004550EF" w:rsidRPr="00A33DBA" w:rsidRDefault="004550EF" w:rsidP="00F04B61">
                            <w:pPr>
                              <w:rPr>
                                <w:rFonts w:ascii="Arial" w:hAnsi="Arial" w:cs="Arial"/>
                                <w:sz w:val="20"/>
                                <w:szCs w:val="20"/>
                              </w:rPr>
                            </w:pPr>
                          </w:p>
                          <w:p w14:paraId="3236906D" w14:textId="77777777" w:rsidR="004550EF" w:rsidRPr="00A33DBA" w:rsidRDefault="004550EF" w:rsidP="00E540AC">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69020" id="_x0000_s1027" type="#_x0000_t202" style="position:absolute;left:0;text-align:left;margin-left:27.6pt;margin-top:93.55pt;width:361.05pt;height:9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" filled="f" stroked="f">
                <v:textbox>
                  <w:txbxContent>
                    <w:tbl>
                      <w:tblPr>
                        <w:tblW w:w="0" w:type="auto"/>
                        <w:tblLook w:val="04A0" w:firstRow="1" w:lastRow="0" w:firstColumn="1" w:lastColumn="0" w:noHBand="0" w:noVBand="1"/>
                      </w:tblPr>
                      <w:tblGrid>
                        <w:gridCol w:w="984"/>
                        <w:gridCol w:w="2464"/>
                        <w:gridCol w:w="851"/>
                        <w:gridCol w:w="709"/>
                        <w:gridCol w:w="861"/>
                      </w:tblGrid>
                      <w:tr w:rsidR="004550EF" w:rsidRPr="0055776F" w14:paraId="32369053" w14:textId="77777777" w:rsidTr="007C2055">
                        <w:trPr>
                          <w:gridAfter w:val="3"/>
                          <w:wAfter w:w="2410" w:type="dxa"/>
                        </w:trPr>
                        <w:tc>
                          <w:tcPr>
                            <w:tcW w:w="3281" w:type="dxa"/>
                            <w:gridSpan w:val="2"/>
                            <w:shd w:val="clear" w:color="auto" w:fill="auto"/>
                          </w:tcPr>
                          <w:p w14:paraId="32369050" w14:textId="77777777" w:rsidR="004550EF" w:rsidRPr="0055776F" w:rsidRDefault="004550EF" w:rsidP="007C2055">
                            <w:pPr>
                              <w:rPr>
                                <w:rFonts w:ascii="Arial" w:hAnsi="Arial" w:cs="Arial"/>
                                <w:sz w:val="20"/>
                              </w:rPr>
                            </w:pPr>
                            <w:r>
                              <w:rPr>
                                <w:rFonts w:ascii="Arial" w:hAnsi="Arial" w:cs="Arial"/>
                                <w:sz w:val="20"/>
                              </w:rPr>
                              <w:t>P &lt; 0,0001</w:t>
                            </w:r>
                          </w:p>
                          <w:p w14:paraId="32369051" w14:textId="77777777" w:rsidR="004550EF" w:rsidRPr="0055776F" w:rsidRDefault="004550EF" w:rsidP="007C2055">
                            <w:pPr>
                              <w:rPr>
                                <w:rFonts w:ascii="Arial" w:hAnsi="Arial" w:cs="Arial"/>
                                <w:sz w:val="20"/>
                              </w:rPr>
                            </w:pPr>
                            <w:r>
                              <w:rPr>
                                <w:rFonts w:ascii="Arial" w:hAnsi="Arial" w:cs="Arial"/>
                                <w:sz w:val="20"/>
                              </w:rPr>
                              <w:t>Pomer rizika 0,</w:t>
                            </w:r>
                            <w:r w:rsidRPr="0055776F">
                              <w:rPr>
                                <w:rFonts w:ascii="Arial" w:hAnsi="Arial" w:cs="Arial"/>
                                <w:sz w:val="20"/>
                              </w:rPr>
                              <w:t>4</w:t>
                            </w:r>
                            <w:r>
                              <w:rPr>
                                <w:rFonts w:ascii="Arial" w:hAnsi="Arial" w:cs="Arial"/>
                                <w:sz w:val="20"/>
                              </w:rPr>
                              <w:t>6</w:t>
                            </w:r>
                          </w:p>
                          <w:p w14:paraId="32369052" w14:textId="77777777" w:rsidR="004550EF" w:rsidRPr="0055776F" w:rsidRDefault="004550EF" w:rsidP="007C2055">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4550EF" w:rsidRPr="0055776F" w14:paraId="32369059" w14:textId="77777777" w:rsidTr="000322A8">
                        <w:tc>
                          <w:tcPr>
                            <w:tcW w:w="817" w:type="dxa"/>
                            <w:shd w:val="clear" w:color="auto" w:fill="auto"/>
                          </w:tcPr>
                          <w:p w14:paraId="32369054" w14:textId="77777777" w:rsidR="004550EF" w:rsidRPr="0055776F" w:rsidRDefault="004550EF" w:rsidP="000322A8">
                            <w:pPr>
                              <w:rPr>
                                <w:rFonts w:ascii="Arial" w:hAnsi="Arial" w:cs="Arial"/>
                                <w:sz w:val="20"/>
                                <w:szCs w:val="20"/>
                              </w:rPr>
                            </w:pPr>
                          </w:p>
                        </w:tc>
                        <w:tc>
                          <w:tcPr>
                            <w:tcW w:w="2464" w:type="dxa"/>
                            <w:shd w:val="clear" w:color="auto" w:fill="auto"/>
                          </w:tcPr>
                          <w:p w14:paraId="32369055" w14:textId="77777777" w:rsidR="004550EF" w:rsidRPr="0055776F" w:rsidRDefault="004550EF" w:rsidP="000322A8">
                            <w:pPr>
                              <w:rPr>
                                <w:rFonts w:ascii="Arial" w:hAnsi="Arial" w:cs="Arial"/>
                                <w:sz w:val="20"/>
                                <w:szCs w:val="20"/>
                              </w:rPr>
                            </w:pPr>
                          </w:p>
                        </w:tc>
                        <w:tc>
                          <w:tcPr>
                            <w:tcW w:w="851" w:type="dxa"/>
                            <w:tcBorders>
                              <w:bottom w:val="single" w:sz="4" w:space="0" w:color="auto"/>
                            </w:tcBorders>
                            <w:shd w:val="clear" w:color="auto" w:fill="auto"/>
                          </w:tcPr>
                          <w:p w14:paraId="32369056" w14:textId="77777777" w:rsidR="004550EF" w:rsidRPr="0055776F" w:rsidRDefault="004550EF" w:rsidP="000322A8">
                            <w:pPr>
                              <w:rPr>
                                <w:rFonts w:ascii="Arial" w:hAnsi="Arial" w:cs="Arial"/>
                                <w:sz w:val="20"/>
                                <w:szCs w:val="20"/>
                              </w:rPr>
                            </w:pPr>
                            <w:r w:rsidRPr="0055776F">
                              <w:rPr>
                                <w:rFonts w:ascii="Arial" w:hAnsi="Arial" w:cs="Arial"/>
                                <w:sz w:val="20"/>
                                <w:szCs w:val="20"/>
                                <w:lang w:val="de-DE"/>
                              </w:rPr>
                              <w:t>N</w:t>
                            </w:r>
                          </w:p>
                        </w:tc>
                        <w:tc>
                          <w:tcPr>
                            <w:tcW w:w="709" w:type="dxa"/>
                            <w:tcBorders>
                              <w:bottom w:val="single" w:sz="4" w:space="0" w:color="auto"/>
                            </w:tcBorders>
                            <w:shd w:val="clear" w:color="auto" w:fill="auto"/>
                          </w:tcPr>
                          <w:p w14:paraId="32369057" w14:textId="77777777" w:rsidR="004550EF" w:rsidRPr="0055776F" w:rsidRDefault="004550EF" w:rsidP="009F7365">
                            <w:pPr>
                              <w:rPr>
                                <w:rFonts w:ascii="Arial" w:hAnsi="Arial" w:cs="Arial"/>
                                <w:sz w:val="20"/>
                                <w:szCs w:val="20"/>
                              </w:rPr>
                            </w:pPr>
                            <w:r>
                              <w:rPr>
                                <w:rFonts w:ascii="Arial" w:hAnsi="Arial" w:cs="Arial"/>
                                <w:sz w:val="20"/>
                                <w:szCs w:val="20"/>
                                <w:lang w:val="de-DE"/>
                              </w:rPr>
                              <w:t>Udal</w:t>
                            </w:r>
                          </w:p>
                        </w:tc>
                        <w:tc>
                          <w:tcPr>
                            <w:tcW w:w="850" w:type="dxa"/>
                            <w:tcBorders>
                              <w:bottom w:val="single" w:sz="4" w:space="0" w:color="auto"/>
                            </w:tcBorders>
                            <w:shd w:val="clear" w:color="auto" w:fill="auto"/>
                          </w:tcPr>
                          <w:p w14:paraId="32369058" w14:textId="77777777" w:rsidR="004550EF" w:rsidRPr="0055776F" w:rsidRDefault="004550EF" w:rsidP="009F7365">
                            <w:pPr>
                              <w:rPr>
                                <w:rFonts w:ascii="Arial" w:hAnsi="Arial" w:cs="Arial"/>
                                <w:sz w:val="20"/>
                                <w:szCs w:val="20"/>
                              </w:rPr>
                            </w:pPr>
                            <w:r w:rsidRPr="0055776F">
                              <w:rPr>
                                <w:rFonts w:ascii="Arial" w:hAnsi="Arial" w:cs="Arial"/>
                                <w:sz w:val="20"/>
                                <w:szCs w:val="20"/>
                                <w:lang w:val="de-DE"/>
                              </w:rPr>
                              <w:t>Cen</w:t>
                            </w:r>
                            <w:r>
                              <w:rPr>
                                <w:rFonts w:ascii="Arial" w:hAnsi="Arial" w:cs="Arial"/>
                                <w:sz w:val="20"/>
                                <w:szCs w:val="20"/>
                                <w:lang w:val="de-DE"/>
                              </w:rPr>
                              <w:t>zor</w:t>
                            </w:r>
                          </w:p>
                        </w:tc>
                      </w:tr>
                      <w:tr w:rsidR="004550EF" w:rsidRPr="0055776F" w14:paraId="3236905F" w14:textId="77777777" w:rsidTr="000322A8">
                        <w:tc>
                          <w:tcPr>
                            <w:tcW w:w="817" w:type="dxa"/>
                            <w:shd w:val="clear" w:color="auto" w:fill="auto"/>
                          </w:tcPr>
                          <w:p w14:paraId="3236905A" w14:textId="77777777" w:rsidR="004550EF" w:rsidRPr="0055776F" w:rsidRDefault="004550EF" w:rsidP="000322A8">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3236905B" w14:textId="77777777" w:rsidR="004550EF" w:rsidRPr="0055776F" w:rsidRDefault="004550EF" w:rsidP="00E01A71">
                            <w:pPr>
                              <w:ind w:hanging="675"/>
                              <w:rPr>
                                <w:rFonts w:ascii="Arial" w:hAnsi="Arial" w:cs="Arial"/>
                                <w:sz w:val="20"/>
                                <w:szCs w:val="20"/>
                              </w:rPr>
                            </w:pPr>
                            <w:r>
                              <w:rPr>
                                <w:rFonts w:ascii="Arial" w:hAnsi="Arial" w:cs="Arial"/>
                                <w:sz w:val="20"/>
                                <w:szCs w:val="20"/>
                              </w:rPr>
                              <w:t>(1) Imatinib 12 mes:</w:t>
                            </w:r>
                          </w:p>
                        </w:tc>
                        <w:tc>
                          <w:tcPr>
                            <w:tcW w:w="851" w:type="dxa"/>
                            <w:tcBorders>
                              <w:top w:val="single" w:sz="4" w:space="0" w:color="auto"/>
                            </w:tcBorders>
                            <w:shd w:val="clear" w:color="auto" w:fill="auto"/>
                          </w:tcPr>
                          <w:p w14:paraId="3236905C" w14:textId="77777777" w:rsidR="004550EF" w:rsidRPr="0055776F" w:rsidRDefault="004550EF" w:rsidP="000322A8">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3236905D" w14:textId="77777777" w:rsidR="004550EF" w:rsidRPr="0055776F" w:rsidRDefault="004550EF" w:rsidP="000322A8">
                            <w:pPr>
                              <w:rPr>
                                <w:rFonts w:ascii="Arial" w:hAnsi="Arial" w:cs="Arial"/>
                                <w:sz w:val="20"/>
                                <w:szCs w:val="20"/>
                              </w:rPr>
                            </w:pPr>
                            <w:r w:rsidRPr="0055776F">
                              <w:rPr>
                                <w:rFonts w:ascii="Arial" w:hAnsi="Arial" w:cs="Arial"/>
                                <w:sz w:val="20"/>
                                <w:szCs w:val="20"/>
                              </w:rPr>
                              <w:t>84</w:t>
                            </w:r>
                          </w:p>
                        </w:tc>
                        <w:tc>
                          <w:tcPr>
                            <w:tcW w:w="850" w:type="dxa"/>
                            <w:tcBorders>
                              <w:top w:val="single" w:sz="4" w:space="0" w:color="auto"/>
                            </w:tcBorders>
                            <w:shd w:val="clear" w:color="auto" w:fill="auto"/>
                          </w:tcPr>
                          <w:p w14:paraId="3236905E" w14:textId="77777777" w:rsidR="004550EF" w:rsidRPr="0055776F" w:rsidRDefault="004550EF" w:rsidP="000322A8">
                            <w:pPr>
                              <w:rPr>
                                <w:rFonts w:ascii="Arial" w:hAnsi="Arial" w:cs="Arial"/>
                                <w:sz w:val="20"/>
                                <w:szCs w:val="20"/>
                              </w:rPr>
                            </w:pPr>
                            <w:r w:rsidRPr="0055776F">
                              <w:rPr>
                                <w:rFonts w:ascii="Arial" w:hAnsi="Arial" w:cs="Arial"/>
                                <w:sz w:val="20"/>
                                <w:szCs w:val="20"/>
                              </w:rPr>
                              <w:t>115</w:t>
                            </w:r>
                          </w:p>
                        </w:tc>
                      </w:tr>
                      <w:tr w:rsidR="004550EF" w:rsidRPr="0055776F" w14:paraId="32369065" w14:textId="77777777" w:rsidTr="000322A8">
                        <w:tc>
                          <w:tcPr>
                            <w:tcW w:w="817" w:type="dxa"/>
                            <w:shd w:val="clear" w:color="auto" w:fill="auto"/>
                          </w:tcPr>
                          <w:p w14:paraId="32369060"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61" w14:textId="77777777" w:rsidR="004550EF" w:rsidRPr="0055776F" w:rsidRDefault="004550EF" w:rsidP="00E01A71">
                            <w:pPr>
                              <w:ind w:hanging="675"/>
                              <w:rPr>
                                <w:rFonts w:ascii="Arial" w:hAnsi="Arial" w:cs="Arial"/>
                                <w:sz w:val="20"/>
                                <w:szCs w:val="20"/>
                              </w:rPr>
                            </w:pPr>
                            <w:r>
                              <w:rPr>
                                <w:rFonts w:ascii="Arial" w:hAnsi="Arial" w:cs="Arial"/>
                                <w:sz w:val="20"/>
                                <w:szCs w:val="20"/>
                              </w:rPr>
                              <w:t>(2) Imatinib 36 mes:</w:t>
                            </w:r>
                          </w:p>
                        </w:tc>
                        <w:tc>
                          <w:tcPr>
                            <w:tcW w:w="851" w:type="dxa"/>
                            <w:tcBorders>
                              <w:bottom w:val="single" w:sz="4" w:space="0" w:color="auto"/>
                            </w:tcBorders>
                            <w:shd w:val="clear" w:color="auto" w:fill="auto"/>
                          </w:tcPr>
                          <w:p w14:paraId="32369062" w14:textId="77777777" w:rsidR="004550EF" w:rsidRPr="0055776F" w:rsidRDefault="004550EF" w:rsidP="000322A8">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32369063" w14:textId="77777777" w:rsidR="004550EF" w:rsidRPr="0055776F" w:rsidRDefault="004550EF" w:rsidP="000322A8">
                            <w:pPr>
                              <w:rPr>
                                <w:rFonts w:ascii="Arial" w:hAnsi="Arial" w:cs="Arial"/>
                                <w:sz w:val="20"/>
                                <w:szCs w:val="20"/>
                              </w:rPr>
                            </w:pPr>
                            <w:r w:rsidRPr="0055776F">
                              <w:rPr>
                                <w:rFonts w:ascii="Arial" w:hAnsi="Arial" w:cs="Arial"/>
                                <w:sz w:val="20"/>
                                <w:szCs w:val="20"/>
                              </w:rPr>
                              <w:t>50</w:t>
                            </w:r>
                          </w:p>
                        </w:tc>
                        <w:tc>
                          <w:tcPr>
                            <w:tcW w:w="850" w:type="dxa"/>
                            <w:tcBorders>
                              <w:bottom w:val="single" w:sz="4" w:space="0" w:color="auto"/>
                            </w:tcBorders>
                            <w:shd w:val="clear" w:color="auto" w:fill="auto"/>
                          </w:tcPr>
                          <w:p w14:paraId="32369064" w14:textId="77777777" w:rsidR="004550EF" w:rsidRPr="0055776F" w:rsidRDefault="004550EF" w:rsidP="000322A8">
                            <w:pPr>
                              <w:rPr>
                                <w:rFonts w:ascii="Arial" w:hAnsi="Arial" w:cs="Arial"/>
                                <w:sz w:val="20"/>
                                <w:szCs w:val="20"/>
                              </w:rPr>
                            </w:pPr>
                            <w:r w:rsidRPr="0055776F">
                              <w:rPr>
                                <w:rFonts w:ascii="Arial" w:hAnsi="Arial" w:cs="Arial"/>
                                <w:sz w:val="20"/>
                                <w:szCs w:val="20"/>
                              </w:rPr>
                              <w:t>148</w:t>
                            </w:r>
                          </w:p>
                        </w:tc>
                      </w:tr>
                      <w:tr w:rsidR="004550EF" w:rsidRPr="0055776F" w14:paraId="3236906B" w14:textId="77777777" w:rsidTr="000322A8">
                        <w:tc>
                          <w:tcPr>
                            <w:tcW w:w="817" w:type="dxa"/>
                            <w:shd w:val="clear" w:color="auto" w:fill="auto"/>
                          </w:tcPr>
                          <w:p w14:paraId="32369066"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67" w14:textId="77777777" w:rsidR="004550EF" w:rsidRPr="0055776F" w:rsidRDefault="004550EF" w:rsidP="00E01A71">
                            <w:pPr>
                              <w:ind w:hanging="675"/>
                              <w:rPr>
                                <w:rFonts w:ascii="Arial" w:hAnsi="Arial" w:cs="Arial"/>
                                <w:sz w:val="20"/>
                                <w:szCs w:val="20"/>
                              </w:rPr>
                            </w:pPr>
                            <w:r w:rsidRPr="0055776F">
                              <w:rPr>
                                <w:rFonts w:ascii="Arial" w:hAnsi="Arial" w:cs="Arial"/>
                                <w:sz w:val="20"/>
                                <w:szCs w:val="20"/>
                              </w:rPr>
                              <w:t>Cen</w:t>
                            </w:r>
                            <w:r>
                              <w:rPr>
                                <w:rFonts w:ascii="Arial" w:hAnsi="Arial" w:cs="Arial"/>
                                <w:sz w:val="20"/>
                                <w:szCs w:val="20"/>
                              </w:rPr>
                              <w:t>zorované pozorovania</w:t>
                            </w:r>
                          </w:p>
                        </w:tc>
                        <w:tc>
                          <w:tcPr>
                            <w:tcW w:w="851" w:type="dxa"/>
                            <w:tcBorders>
                              <w:top w:val="single" w:sz="4" w:space="0" w:color="auto"/>
                            </w:tcBorders>
                            <w:shd w:val="clear" w:color="auto" w:fill="auto"/>
                          </w:tcPr>
                          <w:p w14:paraId="32369068" w14:textId="77777777" w:rsidR="004550EF" w:rsidRPr="0055776F" w:rsidRDefault="004550EF" w:rsidP="000322A8">
                            <w:pPr>
                              <w:rPr>
                                <w:rFonts w:ascii="Arial" w:hAnsi="Arial" w:cs="Arial"/>
                                <w:sz w:val="20"/>
                                <w:szCs w:val="20"/>
                              </w:rPr>
                            </w:pPr>
                          </w:p>
                        </w:tc>
                        <w:tc>
                          <w:tcPr>
                            <w:tcW w:w="709" w:type="dxa"/>
                            <w:tcBorders>
                              <w:top w:val="single" w:sz="4" w:space="0" w:color="auto"/>
                            </w:tcBorders>
                            <w:shd w:val="clear" w:color="auto" w:fill="auto"/>
                          </w:tcPr>
                          <w:p w14:paraId="32369069" w14:textId="77777777" w:rsidR="004550EF" w:rsidRPr="0055776F" w:rsidRDefault="004550EF" w:rsidP="000322A8">
                            <w:pPr>
                              <w:rPr>
                                <w:rFonts w:ascii="Arial" w:hAnsi="Arial" w:cs="Arial"/>
                                <w:sz w:val="20"/>
                                <w:szCs w:val="20"/>
                              </w:rPr>
                            </w:pPr>
                          </w:p>
                        </w:tc>
                        <w:tc>
                          <w:tcPr>
                            <w:tcW w:w="850" w:type="dxa"/>
                            <w:tcBorders>
                              <w:top w:val="single" w:sz="4" w:space="0" w:color="auto"/>
                            </w:tcBorders>
                            <w:shd w:val="clear" w:color="auto" w:fill="auto"/>
                          </w:tcPr>
                          <w:p w14:paraId="3236906A" w14:textId="77777777" w:rsidR="004550EF" w:rsidRPr="0055776F" w:rsidRDefault="004550EF" w:rsidP="000322A8">
                            <w:pPr>
                              <w:rPr>
                                <w:rFonts w:ascii="Arial" w:hAnsi="Arial" w:cs="Arial"/>
                                <w:sz w:val="20"/>
                                <w:szCs w:val="20"/>
                              </w:rPr>
                            </w:pPr>
                          </w:p>
                        </w:tc>
                      </w:tr>
                    </w:tbl>
                    <w:p w14:paraId="3236906C" w14:textId="77777777" w:rsidR="004550EF" w:rsidRPr="00A33DBA" w:rsidRDefault="004550EF" w:rsidP="00F04B61">
                      <w:pPr>
                        <w:rPr>
                          <w:rFonts w:ascii="Arial" w:hAnsi="Arial" w:cs="Arial"/>
                          <w:sz w:val="20"/>
                          <w:szCs w:val="20"/>
                        </w:rPr>
                      </w:pPr>
                    </w:p>
                    <w:p w14:paraId="3236906D" w14:textId="77777777" w:rsidR="004550EF" w:rsidRPr="00A33DBA" w:rsidRDefault="004550EF" w:rsidP="00E540AC">
                      <w:pPr>
                        <w:rPr>
                          <w:rFonts w:ascii="Arial" w:hAnsi="Arial" w:cs="Arial"/>
                          <w:sz w:val="20"/>
                          <w:szCs w:val="20"/>
                        </w:rPr>
                      </w:pPr>
                    </w:p>
                  </w:txbxContent>
                </v:textbox>
              </v:shape>
            </w:pict>
          </mc:Fallback>
        </mc:AlternateContent>
      </w:r>
      <w:r w:rsidRPr="00C83045">
        <w:rPr>
          <w:noProof/>
          <w:lang w:val="en-US" w:eastAsia="en-US"/>
        </w:rPr>
        <w:drawing>
          <wp:inline distT="0" distB="0" distL="0" distR="0" wp14:anchorId="32369022" wp14:editId="32369023">
            <wp:extent cx="5937885" cy="26777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3236806B" w14:textId="77777777" w:rsidR="00E540AC" w:rsidRPr="00C83045" w:rsidRDefault="00DF0316" w:rsidP="00D4304B">
      <w:pPr>
        <w:keepNext/>
        <w:keepLines/>
        <w:widowControl w:val="0"/>
        <w:rPr>
          <w:rFonts w:eastAsia="MS Mincho"/>
          <w:szCs w:val="22"/>
          <w:lang w:val="en-US"/>
        </w:rPr>
      </w:pPr>
      <w:r w:rsidRPr="00C83045">
        <w:rPr>
          <w:rFonts w:eastAsia="MS Mincho"/>
          <w:noProof/>
          <w:szCs w:val="22"/>
          <w:lang w:val="en-US" w:eastAsia="en-US"/>
        </w:rPr>
        <mc:AlternateContent>
          <mc:Choice Requires="wps">
            <w:drawing>
              <wp:anchor distT="0" distB="0" distL="114300" distR="114300" simplePos="0" relativeHeight="251654144" behindDoc="0" locked="0" layoutInCell="1" allowOverlap="1" wp14:anchorId="32369024" wp14:editId="32369025">
                <wp:simplePos x="0" y="0"/>
                <wp:positionH relativeFrom="column">
                  <wp:posOffset>2177415</wp:posOffset>
                </wp:positionH>
                <wp:positionV relativeFrom="paragraph">
                  <wp:posOffset>37465</wp:posOffset>
                </wp:positionV>
                <wp:extent cx="1873885" cy="278765"/>
                <wp:effectExtent l="5715" t="8890" r="6350" b="762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885" cy="2787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36906E" w14:textId="77777777" w:rsidR="004550EF" w:rsidRPr="00A33DBA" w:rsidRDefault="004550EF" w:rsidP="00E540AC">
                            <w:pPr>
                              <w:rPr>
                                <w:rFonts w:ascii="Arial" w:hAnsi="Arial" w:cs="Arial"/>
                                <w:sz w:val="20"/>
                                <w:szCs w:val="20"/>
                              </w:rPr>
                            </w:pPr>
                            <w:r>
                              <w:rPr>
                                <w:rFonts w:ascii="Arial" w:hAnsi="Arial" w:cs="Arial"/>
                                <w:sz w:val="20"/>
                                <w:szCs w:val="20"/>
                                <w:lang w:val="de-DE"/>
                              </w:rPr>
                              <w:t>Čas prežívania v mesiacoch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69024" id="_x0000_s1028" type="#_x0000_t202" style="position:absolute;left:0;text-align:left;margin-left:171.45pt;margin-top:2.95pt;width:147.55pt;height:2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" stroked="f">
                <v:fill opacity="0"/>
                <v:textbox>
                  <w:txbxContent>
                    <w:p w14:paraId="3236906E" w14:textId="77777777" w:rsidR="004550EF" w:rsidRPr="00A33DBA" w:rsidRDefault="004550EF" w:rsidP="00E540AC">
                      <w:pPr>
                        <w:rPr>
                          <w:rFonts w:ascii="Arial" w:hAnsi="Arial" w:cs="Arial"/>
                          <w:sz w:val="20"/>
                          <w:szCs w:val="20"/>
                        </w:rPr>
                      </w:pPr>
                      <w:r>
                        <w:rPr>
                          <w:rFonts w:ascii="Arial" w:hAnsi="Arial" w:cs="Arial"/>
                          <w:sz w:val="20"/>
                          <w:szCs w:val="20"/>
                          <w:lang w:val="de-DE"/>
                        </w:rPr>
                        <w:t>Čas prežívania v mesiacoch</w:t>
                      </w:r>
                    </w:p>
                  </w:txbxContent>
                </v:textbox>
              </v:shape>
            </w:pict>
          </mc:Fallback>
        </mc:AlternateContent>
      </w:r>
    </w:p>
    <w:p w14:paraId="3236806C" w14:textId="77777777" w:rsidR="00E540AC" w:rsidRPr="00C83045" w:rsidRDefault="00E540AC" w:rsidP="00D4304B">
      <w:pPr>
        <w:keepNext/>
        <w:keepLines/>
        <w:widowControl w:val="0"/>
        <w:ind w:left="0" w:firstLine="0"/>
        <w:rPr>
          <w:noProof/>
          <w:sz w:val="24"/>
          <w:lang w:val="en-US" w:eastAsia="en-US"/>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E540AC" w:rsidRPr="00C83045" w14:paraId="3236806E" w14:textId="77777777" w:rsidTr="004A5979">
        <w:tc>
          <w:tcPr>
            <w:tcW w:w="10599" w:type="dxa"/>
            <w:gridSpan w:val="16"/>
            <w:shd w:val="clear" w:color="auto" w:fill="auto"/>
          </w:tcPr>
          <w:p w14:paraId="3236806D" w14:textId="77777777" w:rsidR="00E540AC" w:rsidRPr="00C83045" w:rsidRDefault="00E01A71" w:rsidP="00D4304B">
            <w:pPr>
              <w:keepNext/>
              <w:keepLines/>
              <w:widowControl w:val="0"/>
              <w:ind w:left="-27" w:firstLine="0"/>
              <w:rPr>
                <w:rFonts w:ascii="Arial" w:hAnsi="Arial" w:cs="Arial"/>
                <w:sz w:val="16"/>
                <w:szCs w:val="16"/>
                <w:lang w:val="en-US" w:eastAsia="en-US"/>
              </w:rPr>
            </w:pPr>
            <w:r w:rsidRPr="00C83045">
              <w:rPr>
                <w:rFonts w:ascii="Arial" w:hAnsi="Arial" w:cs="Arial"/>
                <w:sz w:val="20"/>
                <w:szCs w:val="20"/>
                <w:lang w:val="en-US" w:eastAsia="en-US"/>
              </w:rPr>
              <w:t>V riziku</w:t>
            </w:r>
            <w:r w:rsidR="00F71912" w:rsidRPr="00C83045">
              <w:rPr>
                <w:rFonts w:ascii="Arial" w:hAnsi="Arial" w:cs="Arial"/>
                <w:sz w:val="20"/>
                <w:szCs w:val="20"/>
                <w:lang w:val="en-US" w:eastAsia="en-US"/>
              </w:rPr>
              <w:t xml:space="preserve"> </w:t>
            </w:r>
            <w:r w:rsidRPr="00C83045">
              <w:rPr>
                <w:rFonts w:ascii="Arial" w:hAnsi="Arial" w:cs="Arial"/>
                <w:sz w:val="20"/>
                <w:szCs w:val="20"/>
                <w:lang w:val="en-US" w:eastAsia="en-US"/>
              </w:rPr>
              <w:t>: udalosti</w:t>
            </w:r>
          </w:p>
        </w:tc>
      </w:tr>
      <w:tr w:rsidR="00E540AC" w:rsidRPr="00C83045" w14:paraId="3236807F" w14:textId="77777777" w:rsidTr="004A5979">
        <w:tc>
          <w:tcPr>
            <w:tcW w:w="450" w:type="dxa"/>
            <w:shd w:val="clear" w:color="auto" w:fill="auto"/>
          </w:tcPr>
          <w:p w14:paraId="3236806F" w14:textId="77777777" w:rsidR="00E540AC" w:rsidRPr="00C83045" w:rsidRDefault="00E540AC" w:rsidP="00D4304B">
            <w:pPr>
              <w:keepNext/>
              <w:keepLines/>
              <w:widowControl w:val="0"/>
              <w:ind w:left="0" w:firstLine="0"/>
              <w:rPr>
                <w:sz w:val="20"/>
                <w:szCs w:val="20"/>
                <w:lang w:val="en-US" w:eastAsia="en-US"/>
              </w:rPr>
            </w:pPr>
            <w:r w:rsidRPr="00C83045">
              <w:rPr>
                <w:sz w:val="20"/>
                <w:szCs w:val="20"/>
                <w:lang w:val="en-US" w:eastAsia="en-US"/>
              </w:rPr>
              <w:t>(1)</w:t>
            </w:r>
          </w:p>
        </w:tc>
        <w:tc>
          <w:tcPr>
            <w:tcW w:w="646" w:type="dxa"/>
            <w:shd w:val="clear" w:color="auto" w:fill="auto"/>
          </w:tcPr>
          <w:p w14:paraId="32368070"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199:0</w:t>
            </w:r>
          </w:p>
        </w:tc>
        <w:tc>
          <w:tcPr>
            <w:tcW w:w="645" w:type="dxa"/>
            <w:shd w:val="clear" w:color="auto" w:fill="auto"/>
          </w:tcPr>
          <w:p w14:paraId="32368071"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182:8</w:t>
            </w:r>
          </w:p>
        </w:tc>
        <w:tc>
          <w:tcPr>
            <w:tcW w:w="745" w:type="dxa"/>
            <w:shd w:val="clear" w:color="auto" w:fill="auto"/>
          </w:tcPr>
          <w:p w14:paraId="32368072"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177:12</w:t>
            </w:r>
          </w:p>
        </w:tc>
        <w:tc>
          <w:tcPr>
            <w:tcW w:w="745" w:type="dxa"/>
            <w:shd w:val="clear" w:color="auto" w:fill="auto"/>
          </w:tcPr>
          <w:p w14:paraId="32368073"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163:25</w:t>
            </w:r>
          </w:p>
        </w:tc>
        <w:tc>
          <w:tcPr>
            <w:tcW w:w="745" w:type="dxa"/>
            <w:shd w:val="clear" w:color="auto" w:fill="auto"/>
          </w:tcPr>
          <w:p w14:paraId="32368074"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137:46</w:t>
            </w:r>
          </w:p>
        </w:tc>
        <w:tc>
          <w:tcPr>
            <w:tcW w:w="752" w:type="dxa"/>
            <w:shd w:val="clear" w:color="auto" w:fill="auto"/>
          </w:tcPr>
          <w:p w14:paraId="32368075"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105:65</w:t>
            </w:r>
          </w:p>
        </w:tc>
        <w:tc>
          <w:tcPr>
            <w:tcW w:w="745" w:type="dxa"/>
            <w:shd w:val="clear" w:color="auto" w:fill="auto"/>
          </w:tcPr>
          <w:p w14:paraId="32368076"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88:72</w:t>
            </w:r>
          </w:p>
        </w:tc>
        <w:tc>
          <w:tcPr>
            <w:tcW w:w="745" w:type="dxa"/>
            <w:shd w:val="clear" w:color="auto" w:fill="auto"/>
          </w:tcPr>
          <w:p w14:paraId="32368077"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61:77</w:t>
            </w:r>
          </w:p>
        </w:tc>
        <w:tc>
          <w:tcPr>
            <w:tcW w:w="652" w:type="dxa"/>
            <w:shd w:val="clear" w:color="auto" w:fill="auto"/>
          </w:tcPr>
          <w:p w14:paraId="32368078"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49:81</w:t>
            </w:r>
          </w:p>
        </w:tc>
        <w:tc>
          <w:tcPr>
            <w:tcW w:w="652" w:type="dxa"/>
            <w:shd w:val="clear" w:color="auto" w:fill="auto"/>
          </w:tcPr>
          <w:p w14:paraId="32368079"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36:83</w:t>
            </w:r>
          </w:p>
        </w:tc>
        <w:tc>
          <w:tcPr>
            <w:tcW w:w="649" w:type="dxa"/>
            <w:shd w:val="clear" w:color="auto" w:fill="auto"/>
          </w:tcPr>
          <w:p w14:paraId="3236807A"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27:84</w:t>
            </w:r>
          </w:p>
        </w:tc>
        <w:tc>
          <w:tcPr>
            <w:tcW w:w="660" w:type="dxa"/>
            <w:shd w:val="clear" w:color="auto" w:fill="auto"/>
          </w:tcPr>
          <w:p w14:paraId="3236807B"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14:84</w:t>
            </w:r>
          </w:p>
        </w:tc>
        <w:tc>
          <w:tcPr>
            <w:tcW w:w="649" w:type="dxa"/>
            <w:shd w:val="clear" w:color="auto" w:fill="auto"/>
          </w:tcPr>
          <w:p w14:paraId="3236807C"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10:84</w:t>
            </w:r>
          </w:p>
        </w:tc>
        <w:tc>
          <w:tcPr>
            <w:tcW w:w="564" w:type="dxa"/>
            <w:shd w:val="clear" w:color="auto" w:fill="auto"/>
          </w:tcPr>
          <w:p w14:paraId="3236807D"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2:84</w:t>
            </w:r>
          </w:p>
        </w:tc>
        <w:tc>
          <w:tcPr>
            <w:tcW w:w="555" w:type="dxa"/>
            <w:shd w:val="clear" w:color="auto" w:fill="auto"/>
          </w:tcPr>
          <w:p w14:paraId="3236807E"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0:84</w:t>
            </w:r>
          </w:p>
        </w:tc>
      </w:tr>
      <w:tr w:rsidR="00E540AC" w:rsidRPr="00C83045" w14:paraId="32368090" w14:textId="77777777" w:rsidTr="004A5979">
        <w:tc>
          <w:tcPr>
            <w:tcW w:w="450" w:type="dxa"/>
            <w:shd w:val="clear" w:color="auto" w:fill="auto"/>
          </w:tcPr>
          <w:p w14:paraId="32368080" w14:textId="77777777" w:rsidR="00E540AC" w:rsidRPr="00C83045" w:rsidRDefault="00E540AC" w:rsidP="00D4304B">
            <w:pPr>
              <w:keepNext/>
              <w:keepLines/>
              <w:widowControl w:val="0"/>
              <w:ind w:left="0" w:firstLine="0"/>
              <w:rPr>
                <w:sz w:val="20"/>
                <w:szCs w:val="20"/>
                <w:lang w:val="en-US" w:eastAsia="en-US"/>
              </w:rPr>
            </w:pPr>
            <w:r w:rsidRPr="00C83045">
              <w:rPr>
                <w:sz w:val="20"/>
                <w:szCs w:val="20"/>
                <w:lang w:val="en-US" w:eastAsia="en-US"/>
              </w:rPr>
              <w:t>(2)</w:t>
            </w:r>
          </w:p>
        </w:tc>
        <w:tc>
          <w:tcPr>
            <w:tcW w:w="646" w:type="dxa"/>
            <w:shd w:val="clear" w:color="auto" w:fill="auto"/>
          </w:tcPr>
          <w:p w14:paraId="32368081"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198:0</w:t>
            </w:r>
          </w:p>
        </w:tc>
        <w:tc>
          <w:tcPr>
            <w:tcW w:w="645" w:type="dxa"/>
            <w:shd w:val="clear" w:color="auto" w:fill="auto"/>
          </w:tcPr>
          <w:p w14:paraId="32368082"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189:5</w:t>
            </w:r>
          </w:p>
        </w:tc>
        <w:tc>
          <w:tcPr>
            <w:tcW w:w="745" w:type="dxa"/>
            <w:shd w:val="clear" w:color="auto" w:fill="auto"/>
          </w:tcPr>
          <w:p w14:paraId="32368083"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184:8</w:t>
            </w:r>
          </w:p>
        </w:tc>
        <w:tc>
          <w:tcPr>
            <w:tcW w:w="745" w:type="dxa"/>
            <w:shd w:val="clear" w:color="auto" w:fill="auto"/>
          </w:tcPr>
          <w:p w14:paraId="32368084"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181:11</w:t>
            </w:r>
          </w:p>
        </w:tc>
        <w:tc>
          <w:tcPr>
            <w:tcW w:w="745" w:type="dxa"/>
            <w:shd w:val="clear" w:color="auto" w:fill="auto"/>
          </w:tcPr>
          <w:p w14:paraId="32368085"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173:18</w:t>
            </w:r>
          </w:p>
        </w:tc>
        <w:tc>
          <w:tcPr>
            <w:tcW w:w="752" w:type="dxa"/>
            <w:shd w:val="clear" w:color="auto" w:fill="auto"/>
          </w:tcPr>
          <w:p w14:paraId="32368086"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152:22</w:t>
            </w:r>
          </w:p>
        </w:tc>
        <w:tc>
          <w:tcPr>
            <w:tcW w:w="745" w:type="dxa"/>
            <w:shd w:val="clear" w:color="auto" w:fill="auto"/>
          </w:tcPr>
          <w:p w14:paraId="32368087"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133:25</w:t>
            </w:r>
          </w:p>
        </w:tc>
        <w:tc>
          <w:tcPr>
            <w:tcW w:w="745" w:type="dxa"/>
            <w:shd w:val="clear" w:color="auto" w:fill="auto"/>
          </w:tcPr>
          <w:p w14:paraId="32368088"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102:29</w:t>
            </w:r>
          </w:p>
        </w:tc>
        <w:tc>
          <w:tcPr>
            <w:tcW w:w="652" w:type="dxa"/>
            <w:shd w:val="clear" w:color="auto" w:fill="auto"/>
          </w:tcPr>
          <w:p w14:paraId="32368089"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82:35</w:t>
            </w:r>
          </w:p>
        </w:tc>
        <w:tc>
          <w:tcPr>
            <w:tcW w:w="652" w:type="dxa"/>
            <w:shd w:val="clear" w:color="auto" w:fill="auto"/>
          </w:tcPr>
          <w:p w14:paraId="3236808A"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54:46</w:t>
            </w:r>
          </w:p>
        </w:tc>
        <w:tc>
          <w:tcPr>
            <w:tcW w:w="649" w:type="dxa"/>
            <w:shd w:val="clear" w:color="auto" w:fill="auto"/>
          </w:tcPr>
          <w:p w14:paraId="3236808B"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39:47</w:t>
            </w:r>
          </w:p>
        </w:tc>
        <w:tc>
          <w:tcPr>
            <w:tcW w:w="660" w:type="dxa"/>
            <w:shd w:val="clear" w:color="auto" w:fill="auto"/>
          </w:tcPr>
          <w:p w14:paraId="3236808C"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21:49</w:t>
            </w:r>
          </w:p>
        </w:tc>
        <w:tc>
          <w:tcPr>
            <w:tcW w:w="649" w:type="dxa"/>
            <w:shd w:val="clear" w:color="auto" w:fill="auto"/>
          </w:tcPr>
          <w:p w14:paraId="3236808D"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8:50</w:t>
            </w:r>
          </w:p>
        </w:tc>
        <w:tc>
          <w:tcPr>
            <w:tcW w:w="564" w:type="dxa"/>
            <w:shd w:val="clear" w:color="auto" w:fill="auto"/>
          </w:tcPr>
          <w:p w14:paraId="3236808E" w14:textId="77777777" w:rsidR="00E540AC" w:rsidRPr="00C83045" w:rsidRDefault="00E540AC" w:rsidP="00D4304B">
            <w:pPr>
              <w:keepNext/>
              <w:keepLines/>
              <w:widowControl w:val="0"/>
              <w:ind w:left="-27" w:firstLine="0"/>
              <w:rPr>
                <w:sz w:val="20"/>
                <w:szCs w:val="20"/>
                <w:lang w:val="en-US" w:eastAsia="en-US"/>
              </w:rPr>
            </w:pPr>
            <w:r w:rsidRPr="00C83045">
              <w:rPr>
                <w:sz w:val="20"/>
                <w:szCs w:val="20"/>
                <w:lang w:val="en-US" w:eastAsia="en-US"/>
              </w:rPr>
              <w:t>0:50</w:t>
            </w:r>
          </w:p>
        </w:tc>
        <w:tc>
          <w:tcPr>
            <w:tcW w:w="555" w:type="dxa"/>
            <w:shd w:val="clear" w:color="auto" w:fill="auto"/>
          </w:tcPr>
          <w:p w14:paraId="3236808F" w14:textId="77777777" w:rsidR="00E540AC" w:rsidRPr="00C83045" w:rsidRDefault="00E540AC" w:rsidP="00D4304B">
            <w:pPr>
              <w:keepNext/>
              <w:keepLines/>
              <w:widowControl w:val="0"/>
              <w:ind w:left="-27" w:firstLine="0"/>
              <w:rPr>
                <w:sz w:val="20"/>
                <w:szCs w:val="20"/>
                <w:lang w:val="en-US" w:eastAsia="en-US"/>
              </w:rPr>
            </w:pPr>
          </w:p>
        </w:tc>
      </w:tr>
    </w:tbl>
    <w:p w14:paraId="32368091" w14:textId="77777777" w:rsidR="00E540AC" w:rsidRPr="00C83045" w:rsidRDefault="00E540AC" w:rsidP="00D4304B">
      <w:pPr>
        <w:widowControl w:val="0"/>
        <w:rPr>
          <w:rFonts w:eastAsia="MS Mincho"/>
          <w:szCs w:val="22"/>
          <w:lang w:val="en-US"/>
        </w:rPr>
      </w:pPr>
    </w:p>
    <w:p w14:paraId="32368092" w14:textId="77777777" w:rsidR="00E540AC" w:rsidRPr="00C83045" w:rsidRDefault="006A3A5F" w:rsidP="00D4304B">
      <w:pPr>
        <w:keepNext/>
        <w:keepLines/>
        <w:widowControl w:val="0"/>
        <w:ind w:left="1134" w:hanging="1134"/>
        <w:outlineLvl w:val="6"/>
        <w:rPr>
          <w:rFonts w:eastAsia="MS Mincho"/>
          <w:b/>
          <w:szCs w:val="22"/>
        </w:rPr>
      </w:pPr>
      <w:r w:rsidRPr="00C83045">
        <w:rPr>
          <w:rFonts w:eastAsia="MS Mincho"/>
          <w:b/>
          <w:szCs w:val="22"/>
        </w:rPr>
        <w:t>Obrázok</w:t>
      </w:r>
      <w:r w:rsidR="00E540AC" w:rsidRPr="00C83045">
        <w:rPr>
          <w:rFonts w:eastAsia="MS Mincho"/>
          <w:b/>
          <w:szCs w:val="22"/>
        </w:rPr>
        <w:t> 2</w:t>
      </w:r>
      <w:r w:rsidR="00E540AC" w:rsidRPr="00C83045">
        <w:rPr>
          <w:rFonts w:eastAsia="MS Mincho"/>
          <w:b/>
          <w:szCs w:val="22"/>
        </w:rPr>
        <w:tab/>
      </w:r>
      <w:r w:rsidRPr="00C83045">
        <w:rPr>
          <w:rFonts w:eastAsia="MS Mincho"/>
          <w:b/>
          <w:szCs w:val="22"/>
        </w:rPr>
        <w:t>Odhady celkového prežívania podľa Kaplana-Meiera</w:t>
      </w:r>
      <w:r w:rsidR="009F7365" w:rsidRPr="00C83045">
        <w:rPr>
          <w:rFonts w:eastAsia="MS Mincho"/>
          <w:b/>
          <w:szCs w:val="22"/>
        </w:rPr>
        <w:t xml:space="preserve"> (populácia ITT)</w:t>
      </w:r>
    </w:p>
    <w:p w14:paraId="32368093" w14:textId="77777777" w:rsidR="00E540AC" w:rsidRPr="00C83045" w:rsidRDefault="00E540AC" w:rsidP="00D4304B">
      <w:pPr>
        <w:keepNext/>
        <w:keepLines/>
        <w:widowControl w:val="0"/>
        <w:rPr>
          <w:rFonts w:eastAsia="MS Mincho"/>
          <w:szCs w:val="22"/>
        </w:rPr>
      </w:pPr>
    </w:p>
    <w:p w14:paraId="32368094" w14:textId="77777777" w:rsidR="00E540AC" w:rsidRPr="00C83045" w:rsidRDefault="00DF0316" w:rsidP="00D4304B">
      <w:pPr>
        <w:keepNext/>
        <w:keepLines/>
        <w:widowControl w:val="0"/>
        <w:rPr>
          <w:rFonts w:eastAsia="MS Mincho"/>
          <w:szCs w:val="22"/>
          <w:lang w:val="en-US"/>
        </w:rPr>
      </w:pPr>
      <w:r w:rsidRPr="00C83045">
        <w:rPr>
          <w:noProof/>
          <w:lang w:val="en-US" w:eastAsia="en-US"/>
        </w:rPr>
        <mc:AlternateContent>
          <mc:Choice Requires="wps">
            <w:drawing>
              <wp:anchor distT="0" distB="0" distL="114300" distR="114300" simplePos="0" relativeHeight="251655168" behindDoc="0" locked="0" layoutInCell="1" allowOverlap="1" wp14:anchorId="32369026" wp14:editId="32369027">
                <wp:simplePos x="0" y="0"/>
                <wp:positionH relativeFrom="column">
                  <wp:posOffset>-255270</wp:posOffset>
                </wp:positionH>
                <wp:positionV relativeFrom="paragraph">
                  <wp:posOffset>71755</wp:posOffset>
                </wp:positionV>
                <wp:extent cx="402590" cy="2357755"/>
                <wp:effectExtent l="1905" t="5080" r="5080" b="88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2357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36906F" w14:textId="77777777" w:rsidR="004550EF" w:rsidRPr="00A33DBA" w:rsidRDefault="004550EF" w:rsidP="00E540AC">
                            <w:pPr>
                              <w:rPr>
                                <w:rFonts w:ascii="Arial" w:hAnsi="Arial" w:cs="Arial"/>
                                <w:sz w:val="20"/>
                                <w:szCs w:val="20"/>
                              </w:rPr>
                            </w:pPr>
                            <w:r w:rsidRPr="00A33DBA">
                              <w:rPr>
                                <w:rFonts w:ascii="Arial" w:hAnsi="Arial" w:cs="Arial"/>
                                <w:sz w:val="20"/>
                                <w:szCs w:val="20"/>
                              </w:rPr>
                              <w:t>Pr</w:t>
                            </w:r>
                            <w:r>
                              <w:rPr>
                                <w:rFonts w:ascii="Arial" w:hAnsi="Arial" w:cs="Arial"/>
                                <w:sz w:val="20"/>
                                <w:szCs w:val="20"/>
                              </w:rPr>
                              <w:t>avdepodobnosť celkového prežívania</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69026" id="_x0000_s1029" type="#_x0000_t202" style="position:absolute;left:0;text-align:left;margin-left:-20.1pt;margin-top:5.65pt;width:31.7pt;height:18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" stroked="f">
                <v:fill opacity="0"/>
                <v:textbox style="layout-flow:vertical;mso-layout-flow-alt:bottom-to-top">
                  <w:txbxContent>
                    <w:p w14:paraId="3236906F" w14:textId="77777777" w:rsidR="004550EF" w:rsidRPr="00A33DBA" w:rsidRDefault="004550EF" w:rsidP="00E540AC">
                      <w:pPr>
                        <w:rPr>
                          <w:rFonts w:ascii="Arial" w:hAnsi="Arial" w:cs="Arial"/>
                          <w:sz w:val="20"/>
                          <w:szCs w:val="20"/>
                        </w:rPr>
                      </w:pPr>
                      <w:r w:rsidRPr="00A33DBA">
                        <w:rPr>
                          <w:rFonts w:ascii="Arial" w:hAnsi="Arial" w:cs="Arial"/>
                          <w:sz w:val="20"/>
                          <w:szCs w:val="20"/>
                        </w:rPr>
                        <w:t>Pr</w:t>
                      </w:r>
                      <w:r>
                        <w:rPr>
                          <w:rFonts w:ascii="Arial" w:hAnsi="Arial" w:cs="Arial"/>
                          <w:sz w:val="20"/>
                          <w:szCs w:val="20"/>
                        </w:rPr>
                        <w:t>avdepodobnosť celkového prežívania</w:t>
                      </w:r>
                    </w:p>
                  </w:txbxContent>
                </v:textbox>
              </v:shape>
            </w:pict>
          </mc:Fallback>
        </mc:AlternateContent>
      </w:r>
      <w:r w:rsidRPr="00C83045">
        <w:rPr>
          <w:noProof/>
          <w:lang w:val="en-US" w:eastAsia="en-US"/>
        </w:rPr>
        <mc:AlternateContent>
          <mc:Choice Requires="wps">
            <w:drawing>
              <wp:anchor distT="0" distB="0" distL="114300" distR="114300" simplePos="0" relativeHeight="251656192" behindDoc="0" locked="0" layoutInCell="1" allowOverlap="1" wp14:anchorId="32369028" wp14:editId="32369029">
                <wp:simplePos x="0" y="0"/>
                <wp:positionH relativeFrom="column">
                  <wp:posOffset>340995</wp:posOffset>
                </wp:positionH>
                <wp:positionV relativeFrom="paragraph">
                  <wp:posOffset>938530</wp:posOffset>
                </wp:positionV>
                <wp:extent cx="4585335" cy="1428750"/>
                <wp:effectExtent l="0" t="0" r="0" b="444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69070" w14:textId="77777777" w:rsidR="004550EF" w:rsidRDefault="004550EF" w:rsidP="00F04B61">
                            <w:pPr>
                              <w:rPr>
                                <w:rFonts w:ascii="Arial" w:hAnsi="Arial" w:cs="Arial"/>
                                <w:sz w:val="20"/>
                                <w:szCs w:val="20"/>
                              </w:rPr>
                            </w:pPr>
                          </w:p>
                          <w:tbl>
                            <w:tblPr>
                              <w:tblW w:w="0" w:type="auto"/>
                              <w:tblLook w:val="04A0" w:firstRow="1" w:lastRow="0" w:firstColumn="1" w:lastColumn="0" w:noHBand="0" w:noVBand="1"/>
                            </w:tblPr>
                            <w:tblGrid>
                              <w:gridCol w:w="984"/>
                              <w:gridCol w:w="2464"/>
                              <w:gridCol w:w="851"/>
                              <w:gridCol w:w="709"/>
                              <w:gridCol w:w="861"/>
                            </w:tblGrid>
                            <w:tr w:rsidR="004550EF" w:rsidRPr="0055776F" w14:paraId="32369074" w14:textId="77777777" w:rsidTr="000322A8">
                              <w:tc>
                                <w:tcPr>
                                  <w:tcW w:w="5691" w:type="dxa"/>
                                  <w:gridSpan w:val="5"/>
                                  <w:shd w:val="clear" w:color="auto" w:fill="auto"/>
                                </w:tcPr>
                                <w:p w14:paraId="32369071" w14:textId="77777777" w:rsidR="004550EF" w:rsidRPr="0055776F" w:rsidRDefault="004550EF" w:rsidP="000322A8">
                                  <w:pPr>
                                    <w:rPr>
                                      <w:rFonts w:ascii="Arial" w:hAnsi="Arial" w:cs="Arial"/>
                                      <w:sz w:val="20"/>
                                      <w:szCs w:val="20"/>
                                    </w:rPr>
                                  </w:pPr>
                                  <w:r>
                                    <w:rPr>
                                      <w:rFonts w:ascii="Arial" w:hAnsi="Arial" w:cs="Arial"/>
                                      <w:sz w:val="20"/>
                                      <w:szCs w:val="20"/>
                                    </w:rPr>
                                    <w:t>P =</w:t>
                                  </w:r>
                                  <w:r w:rsidRPr="0055776F">
                                    <w:rPr>
                                      <w:rFonts w:ascii="Arial" w:hAnsi="Arial" w:cs="Arial"/>
                                      <w:sz w:val="20"/>
                                      <w:szCs w:val="20"/>
                                    </w:rPr>
                                    <w:t xml:space="preserve"> 0</w:t>
                                  </w:r>
                                  <w:r>
                                    <w:rPr>
                                      <w:rFonts w:ascii="Arial" w:hAnsi="Arial" w:cs="Arial"/>
                                      <w:sz w:val="20"/>
                                      <w:szCs w:val="20"/>
                                    </w:rPr>
                                    <w:t>,0</w:t>
                                  </w:r>
                                  <w:r w:rsidRPr="0055776F">
                                    <w:rPr>
                                      <w:rFonts w:ascii="Arial" w:hAnsi="Arial" w:cs="Arial"/>
                                      <w:sz w:val="20"/>
                                      <w:szCs w:val="20"/>
                                    </w:rPr>
                                    <w:t>19</w:t>
                                  </w:r>
                                </w:p>
                                <w:p w14:paraId="32369072" w14:textId="77777777" w:rsidR="004550EF" w:rsidRPr="0055776F" w:rsidRDefault="004550EF" w:rsidP="000322A8">
                                  <w:pPr>
                                    <w:rPr>
                                      <w:rFonts w:ascii="Arial" w:hAnsi="Arial" w:cs="Arial"/>
                                      <w:sz w:val="20"/>
                                      <w:szCs w:val="20"/>
                                    </w:rPr>
                                  </w:pPr>
                                  <w:r>
                                    <w:rPr>
                                      <w:rFonts w:ascii="Arial" w:hAnsi="Arial" w:cs="Arial"/>
                                      <w:sz w:val="20"/>
                                      <w:szCs w:val="20"/>
                                    </w:rPr>
                                    <w:t xml:space="preserve">Pomer rizika </w:t>
                                  </w:r>
                                  <w:r w:rsidRPr="0055776F">
                                    <w:rPr>
                                      <w:rFonts w:ascii="Arial" w:hAnsi="Arial" w:cs="Arial"/>
                                      <w:sz w:val="20"/>
                                      <w:szCs w:val="20"/>
                                    </w:rPr>
                                    <w:t>0</w:t>
                                  </w:r>
                                  <w:r>
                                    <w:rPr>
                                      <w:rFonts w:ascii="Arial" w:hAnsi="Arial" w:cs="Arial"/>
                                      <w:sz w:val="20"/>
                                      <w:szCs w:val="20"/>
                                    </w:rPr>
                                    <w:t>,</w:t>
                                  </w:r>
                                  <w:r w:rsidRPr="0055776F">
                                    <w:rPr>
                                      <w:rFonts w:ascii="Arial" w:hAnsi="Arial" w:cs="Arial"/>
                                      <w:sz w:val="20"/>
                                      <w:szCs w:val="20"/>
                                    </w:rPr>
                                    <w:t>45</w:t>
                                  </w:r>
                                </w:p>
                                <w:p w14:paraId="32369073" w14:textId="77777777" w:rsidR="004550EF" w:rsidRPr="0055776F" w:rsidRDefault="004550EF" w:rsidP="006A3A5F">
                                  <w:pPr>
                                    <w:rPr>
                                      <w:rFonts w:ascii="Arial" w:hAnsi="Arial" w:cs="Arial"/>
                                      <w:sz w:val="20"/>
                                      <w:szCs w:val="20"/>
                                      <w:lang w:val="de-DE"/>
                                    </w:rPr>
                                  </w:pPr>
                                  <w:r w:rsidRPr="0055776F">
                                    <w:rPr>
                                      <w:rFonts w:ascii="Arial" w:hAnsi="Arial" w:cs="Arial"/>
                                      <w:sz w:val="20"/>
                                      <w:szCs w:val="20"/>
                                    </w:rPr>
                                    <w:t>(9</w:t>
                                  </w:r>
                                  <w:r>
                                    <w:rPr>
                                      <w:rFonts w:ascii="Arial" w:hAnsi="Arial" w:cs="Arial"/>
                                      <w:sz w:val="20"/>
                                      <w:szCs w:val="20"/>
                                    </w:rPr>
                                    <w:t>5% Cl, 0,22</w:t>
                                  </w:r>
                                  <w:r>
                                    <w:rPr>
                                      <w:rFonts w:ascii="Arial" w:hAnsi="Arial" w:cs="Arial"/>
                                      <w:sz w:val="20"/>
                                      <w:szCs w:val="20"/>
                                    </w:rPr>
                                    <w:noBreakHyphen/>
                                  </w:r>
                                  <w:r w:rsidRPr="0055776F">
                                    <w:rPr>
                                      <w:rFonts w:ascii="Arial" w:hAnsi="Arial" w:cs="Arial"/>
                                      <w:sz w:val="20"/>
                                      <w:szCs w:val="20"/>
                                    </w:rPr>
                                    <w:t>0</w:t>
                                  </w:r>
                                  <w:r>
                                    <w:rPr>
                                      <w:rFonts w:ascii="Arial" w:hAnsi="Arial" w:cs="Arial"/>
                                      <w:sz w:val="20"/>
                                      <w:szCs w:val="20"/>
                                    </w:rPr>
                                    <w:t>,</w:t>
                                  </w:r>
                                  <w:r w:rsidRPr="0055776F">
                                    <w:rPr>
                                      <w:rFonts w:ascii="Arial" w:hAnsi="Arial" w:cs="Arial"/>
                                      <w:sz w:val="20"/>
                                      <w:szCs w:val="20"/>
                                    </w:rPr>
                                    <w:t>89)</w:t>
                                  </w:r>
                                </w:p>
                              </w:tc>
                            </w:tr>
                            <w:tr w:rsidR="004550EF" w:rsidRPr="0055776F" w14:paraId="3236907A" w14:textId="77777777" w:rsidTr="000322A8">
                              <w:tc>
                                <w:tcPr>
                                  <w:tcW w:w="817" w:type="dxa"/>
                                  <w:shd w:val="clear" w:color="auto" w:fill="auto"/>
                                </w:tcPr>
                                <w:p w14:paraId="32369075" w14:textId="77777777" w:rsidR="004550EF" w:rsidRPr="0055776F" w:rsidRDefault="004550EF" w:rsidP="000322A8">
                                  <w:pPr>
                                    <w:rPr>
                                      <w:rFonts w:ascii="Arial" w:hAnsi="Arial" w:cs="Arial"/>
                                      <w:sz w:val="20"/>
                                      <w:szCs w:val="20"/>
                                    </w:rPr>
                                  </w:pPr>
                                </w:p>
                              </w:tc>
                              <w:tc>
                                <w:tcPr>
                                  <w:tcW w:w="2464" w:type="dxa"/>
                                  <w:shd w:val="clear" w:color="auto" w:fill="auto"/>
                                </w:tcPr>
                                <w:p w14:paraId="32369076" w14:textId="77777777" w:rsidR="004550EF" w:rsidRPr="0055776F" w:rsidRDefault="004550EF" w:rsidP="000322A8">
                                  <w:pPr>
                                    <w:rPr>
                                      <w:rFonts w:ascii="Arial" w:hAnsi="Arial" w:cs="Arial"/>
                                      <w:sz w:val="20"/>
                                      <w:szCs w:val="20"/>
                                    </w:rPr>
                                  </w:pPr>
                                </w:p>
                              </w:tc>
                              <w:tc>
                                <w:tcPr>
                                  <w:tcW w:w="851" w:type="dxa"/>
                                  <w:tcBorders>
                                    <w:bottom w:val="single" w:sz="4" w:space="0" w:color="auto"/>
                                  </w:tcBorders>
                                  <w:shd w:val="clear" w:color="auto" w:fill="auto"/>
                                </w:tcPr>
                                <w:p w14:paraId="32369077" w14:textId="77777777" w:rsidR="004550EF" w:rsidRPr="0055776F" w:rsidRDefault="004550EF" w:rsidP="000322A8">
                                  <w:pPr>
                                    <w:rPr>
                                      <w:rFonts w:ascii="Arial" w:hAnsi="Arial" w:cs="Arial"/>
                                      <w:sz w:val="20"/>
                                      <w:szCs w:val="20"/>
                                    </w:rPr>
                                  </w:pPr>
                                  <w:r w:rsidRPr="0055776F">
                                    <w:rPr>
                                      <w:rFonts w:ascii="Arial" w:hAnsi="Arial" w:cs="Arial"/>
                                      <w:sz w:val="20"/>
                                      <w:szCs w:val="20"/>
                                      <w:lang w:val="de-DE"/>
                                    </w:rPr>
                                    <w:t>N</w:t>
                                  </w:r>
                                </w:p>
                              </w:tc>
                              <w:tc>
                                <w:tcPr>
                                  <w:tcW w:w="709" w:type="dxa"/>
                                  <w:tcBorders>
                                    <w:bottom w:val="single" w:sz="4" w:space="0" w:color="auto"/>
                                  </w:tcBorders>
                                  <w:shd w:val="clear" w:color="auto" w:fill="auto"/>
                                </w:tcPr>
                                <w:p w14:paraId="32369078" w14:textId="77777777" w:rsidR="004550EF" w:rsidRPr="0055776F" w:rsidRDefault="004550EF" w:rsidP="009F7365">
                                  <w:pPr>
                                    <w:rPr>
                                      <w:rFonts w:ascii="Arial" w:hAnsi="Arial" w:cs="Arial"/>
                                      <w:sz w:val="20"/>
                                      <w:szCs w:val="20"/>
                                    </w:rPr>
                                  </w:pPr>
                                  <w:r>
                                    <w:rPr>
                                      <w:rFonts w:ascii="Arial" w:hAnsi="Arial" w:cs="Arial"/>
                                      <w:sz w:val="20"/>
                                      <w:szCs w:val="20"/>
                                      <w:lang w:val="de-DE"/>
                                    </w:rPr>
                                    <w:t>Udal</w:t>
                                  </w:r>
                                </w:p>
                              </w:tc>
                              <w:tc>
                                <w:tcPr>
                                  <w:tcW w:w="850" w:type="dxa"/>
                                  <w:tcBorders>
                                    <w:bottom w:val="single" w:sz="4" w:space="0" w:color="auto"/>
                                  </w:tcBorders>
                                  <w:shd w:val="clear" w:color="auto" w:fill="auto"/>
                                </w:tcPr>
                                <w:p w14:paraId="32369079" w14:textId="77777777" w:rsidR="004550EF" w:rsidRPr="0055776F" w:rsidRDefault="004550EF" w:rsidP="009F7365">
                                  <w:pPr>
                                    <w:rPr>
                                      <w:rFonts w:ascii="Arial" w:hAnsi="Arial" w:cs="Arial"/>
                                      <w:sz w:val="20"/>
                                      <w:szCs w:val="20"/>
                                    </w:rPr>
                                  </w:pPr>
                                  <w:r w:rsidRPr="0055776F">
                                    <w:rPr>
                                      <w:rFonts w:ascii="Arial" w:hAnsi="Arial" w:cs="Arial"/>
                                      <w:sz w:val="20"/>
                                      <w:szCs w:val="20"/>
                                      <w:lang w:val="de-DE"/>
                                    </w:rPr>
                                    <w:t>Cen</w:t>
                                  </w:r>
                                  <w:r>
                                    <w:rPr>
                                      <w:rFonts w:ascii="Arial" w:hAnsi="Arial" w:cs="Arial"/>
                                      <w:sz w:val="20"/>
                                      <w:szCs w:val="20"/>
                                      <w:lang w:val="de-DE"/>
                                    </w:rPr>
                                    <w:t>zor</w:t>
                                  </w:r>
                                </w:p>
                              </w:tc>
                            </w:tr>
                            <w:tr w:rsidR="004550EF" w:rsidRPr="0055776F" w14:paraId="32369080" w14:textId="77777777" w:rsidTr="000322A8">
                              <w:tc>
                                <w:tcPr>
                                  <w:tcW w:w="817" w:type="dxa"/>
                                  <w:shd w:val="clear" w:color="auto" w:fill="auto"/>
                                </w:tcPr>
                                <w:p w14:paraId="3236907B" w14:textId="77777777" w:rsidR="004550EF" w:rsidRPr="0055776F" w:rsidRDefault="004550EF" w:rsidP="000322A8">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3236907C" w14:textId="77777777" w:rsidR="004550EF" w:rsidRPr="0055776F" w:rsidRDefault="004550EF" w:rsidP="00094DF4">
                                  <w:pPr>
                                    <w:ind w:hanging="675"/>
                                    <w:rPr>
                                      <w:rFonts w:ascii="Arial" w:hAnsi="Arial" w:cs="Arial"/>
                                      <w:sz w:val="20"/>
                                      <w:szCs w:val="20"/>
                                    </w:rPr>
                                  </w:pPr>
                                  <w:r>
                                    <w:rPr>
                                      <w:rFonts w:ascii="Arial" w:hAnsi="Arial" w:cs="Arial"/>
                                      <w:sz w:val="20"/>
                                      <w:szCs w:val="20"/>
                                    </w:rPr>
                                    <w:t>(1) Imatinib 12 mes</w:t>
                                  </w:r>
                                  <w:r w:rsidRPr="0055776F">
                                    <w:rPr>
                                      <w:rFonts w:ascii="Arial" w:hAnsi="Arial" w:cs="Arial"/>
                                      <w:sz w:val="20"/>
                                      <w:szCs w:val="20"/>
                                    </w:rPr>
                                    <w:t>:</w:t>
                                  </w:r>
                                </w:p>
                              </w:tc>
                              <w:tc>
                                <w:tcPr>
                                  <w:tcW w:w="851" w:type="dxa"/>
                                  <w:tcBorders>
                                    <w:top w:val="single" w:sz="4" w:space="0" w:color="auto"/>
                                  </w:tcBorders>
                                  <w:shd w:val="clear" w:color="auto" w:fill="auto"/>
                                </w:tcPr>
                                <w:p w14:paraId="3236907D" w14:textId="77777777" w:rsidR="004550EF" w:rsidRPr="0055776F" w:rsidRDefault="004550EF" w:rsidP="000322A8">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3236907E" w14:textId="77777777" w:rsidR="004550EF" w:rsidRPr="0055776F" w:rsidRDefault="004550EF" w:rsidP="000322A8">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3236907F" w14:textId="77777777" w:rsidR="004550EF" w:rsidRPr="0055776F" w:rsidRDefault="004550EF" w:rsidP="000322A8">
                                  <w:pPr>
                                    <w:rPr>
                                      <w:rFonts w:ascii="Arial" w:hAnsi="Arial" w:cs="Arial"/>
                                      <w:sz w:val="20"/>
                                      <w:szCs w:val="20"/>
                                    </w:rPr>
                                  </w:pPr>
                                  <w:r w:rsidRPr="0055776F">
                                    <w:rPr>
                                      <w:rFonts w:ascii="Arial" w:hAnsi="Arial" w:cs="Arial"/>
                                      <w:sz w:val="20"/>
                                      <w:szCs w:val="20"/>
                                    </w:rPr>
                                    <w:t>174</w:t>
                                  </w:r>
                                </w:p>
                              </w:tc>
                            </w:tr>
                            <w:tr w:rsidR="004550EF" w:rsidRPr="0055776F" w14:paraId="32369086" w14:textId="77777777" w:rsidTr="000322A8">
                              <w:tc>
                                <w:tcPr>
                                  <w:tcW w:w="817" w:type="dxa"/>
                                  <w:shd w:val="clear" w:color="auto" w:fill="auto"/>
                                </w:tcPr>
                                <w:p w14:paraId="32369081"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82" w14:textId="77777777" w:rsidR="004550EF" w:rsidRPr="0055776F" w:rsidRDefault="004550EF" w:rsidP="00094DF4">
                                  <w:pPr>
                                    <w:ind w:hanging="675"/>
                                    <w:rPr>
                                      <w:rFonts w:ascii="Arial" w:hAnsi="Arial" w:cs="Arial"/>
                                      <w:sz w:val="20"/>
                                      <w:szCs w:val="20"/>
                                    </w:rPr>
                                  </w:pPr>
                                  <w:r>
                                    <w:rPr>
                                      <w:rFonts w:ascii="Arial" w:hAnsi="Arial" w:cs="Arial"/>
                                      <w:sz w:val="20"/>
                                      <w:szCs w:val="20"/>
                                    </w:rPr>
                                    <w:t>(2) Imatinib 36 mes</w:t>
                                  </w:r>
                                  <w:r w:rsidRPr="0055776F">
                                    <w:rPr>
                                      <w:rFonts w:ascii="Arial" w:hAnsi="Arial" w:cs="Arial"/>
                                      <w:sz w:val="20"/>
                                      <w:szCs w:val="20"/>
                                    </w:rPr>
                                    <w:t>:</w:t>
                                  </w:r>
                                </w:p>
                              </w:tc>
                              <w:tc>
                                <w:tcPr>
                                  <w:tcW w:w="851" w:type="dxa"/>
                                  <w:tcBorders>
                                    <w:bottom w:val="single" w:sz="4" w:space="0" w:color="auto"/>
                                  </w:tcBorders>
                                  <w:shd w:val="clear" w:color="auto" w:fill="auto"/>
                                </w:tcPr>
                                <w:p w14:paraId="32369083" w14:textId="77777777" w:rsidR="004550EF" w:rsidRPr="0055776F" w:rsidRDefault="004550EF" w:rsidP="000322A8">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32369084" w14:textId="77777777" w:rsidR="004550EF" w:rsidRPr="0055776F" w:rsidRDefault="004550EF" w:rsidP="000322A8">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32369085" w14:textId="77777777" w:rsidR="004550EF" w:rsidRPr="0055776F" w:rsidRDefault="004550EF" w:rsidP="000322A8">
                                  <w:pPr>
                                    <w:rPr>
                                      <w:rFonts w:ascii="Arial" w:hAnsi="Arial" w:cs="Arial"/>
                                      <w:sz w:val="20"/>
                                      <w:szCs w:val="20"/>
                                    </w:rPr>
                                  </w:pPr>
                                  <w:r w:rsidRPr="0055776F">
                                    <w:rPr>
                                      <w:rFonts w:ascii="Arial" w:hAnsi="Arial" w:cs="Arial"/>
                                      <w:sz w:val="20"/>
                                      <w:szCs w:val="20"/>
                                    </w:rPr>
                                    <w:t>186</w:t>
                                  </w:r>
                                </w:p>
                              </w:tc>
                            </w:tr>
                            <w:tr w:rsidR="004550EF" w:rsidRPr="0055776F" w14:paraId="3236908C" w14:textId="77777777" w:rsidTr="000322A8">
                              <w:tc>
                                <w:tcPr>
                                  <w:tcW w:w="817" w:type="dxa"/>
                                  <w:shd w:val="clear" w:color="auto" w:fill="auto"/>
                                </w:tcPr>
                                <w:p w14:paraId="32369087"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88" w14:textId="77777777" w:rsidR="004550EF" w:rsidRPr="0055776F" w:rsidRDefault="004550EF" w:rsidP="00094DF4">
                                  <w:pPr>
                                    <w:ind w:hanging="675"/>
                                    <w:rPr>
                                      <w:rFonts w:ascii="Arial" w:hAnsi="Arial" w:cs="Arial"/>
                                      <w:sz w:val="20"/>
                                      <w:szCs w:val="20"/>
                                    </w:rPr>
                                  </w:pPr>
                                  <w:r w:rsidRPr="0055776F">
                                    <w:rPr>
                                      <w:rFonts w:ascii="Arial" w:hAnsi="Arial" w:cs="Arial"/>
                                      <w:sz w:val="20"/>
                                      <w:szCs w:val="20"/>
                                    </w:rPr>
                                    <w:t>Cen</w:t>
                                  </w:r>
                                  <w:r>
                                    <w:rPr>
                                      <w:rFonts w:ascii="Arial" w:hAnsi="Arial" w:cs="Arial"/>
                                      <w:sz w:val="20"/>
                                      <w:szCs w:val="20"/>
                                    </w:rPr>
                                    <w:t>zorované pozorovania</w:t>
                                  </w:r>
                                </w:p>
                              </w:tc>
                              <w:tc>
                                <w:tcPr>
                                  <w:tcW w:w="851" w:type="dxa"/>
                                  <w:tcBorders>
                                    <w:top w:val="single" w:sz="4" w:space="0" w:color="auto"/>
                                  </w:tcBorders>
                                  <w:shd w:val="clear" w:color="auto" w:fill="auto"/>
                                </w:tcPr>
                                <w:p w14:paraId="32369089" w14:textId="77777777" w:rsidR="004550EF" w:rsidRPr="0055776F" w:rsidRDefault="004550EF" w:rsidP="000322A8">
                                  <w:pPr>
                                    <w:rPr>
                                      <w:rFonts w:ascii="Arial" w:hAnsi="Arial" w:cs="Arial"/>
                                      <w:sz w:val="20"/>
                                      <w:szCs w:val="20"/>
                                    </w:rPr>
                                  </w:pPr>
                                </w:p>
                              </w:tc>
                              <w:tc>
                                <w:tcPr>
                                  <w:tcW w:w="709" w:type="dxa"/>
                                  <w:tcBorders>
                                    <w:top w:val="single" w:sz="4" w:space="0" w:color="auto"/>
                                  </w:tcBorders>
                                  <w:shd w:val="clear" w:color="auto" w:fill="auto"/>
                                </w:tcPr>
                                <w:p w14:paraId="3236908A" w14:textId="77777777" w:rsidR="004550EF" w:rsidRPr="0055776F" w:rsidRDefault="004550EF" w:rsidP="000322A8">
                                  <w:pPr>
                                    <w:rPr>
                                      <w:rFonts w:ascii="Arial" w:hAnsi="Arial" w:cs="Arial"/>
                                      <w:sz w:val="20"/>
                                      <w:szCs w:val="20"/>
                                    </w:rPr>
                                  </w:pPr>
                                </w:p>
                              </w:tc>
                              <w:tc>
                                <w:tcPr>
                                  <w:tcW w:w="850" w:type="dxa"/>
                                  <w:tcBorders>
                                    <w:top w:val="single" w:sz="4" w:space="0" w:color="auto"/>
                                  </w:tcBorders>
                                  <w:shd w:val="clear" w:color="auto" w:fill="auto"/>
                                </w:tcPr>
                                <w:p w14:paraId="3236908B" w14:textId="77777777" w:rsidR="004550EF" w:rsidRPr="0055776F" w:rsidRDefault="004550EF" w:rsidP="000322A8">
                                  <w:pPr>
                                    <w:rPr>
                                      <w:rFonts w:ascii="Arial" w:hAnsi="Arial" w:cs="Arial"/>
                                      <w:sz w:val="20"/>
                                      <w:szCs w:val="20"/>
                                    </w:rPr>
                                  </w:pPr>
                                </w:p>
                              </w:tc>
                            </w:tr>
                          </w:tbl>
                          <w:p w14:paraId="3236908D" w14:textId="77777777" w:rsidR="004550EF" w:rsidRPr="00A33DBA" w:rsidRDefault="004550EF" w:rsidP="00F04B61">
                            <w:pPr>
                              <w:rPr>
                                <w:rFonts w:ascii="Arial" w:hAnsi="Arial" w:cs="Arial"/>
                                <w:sz w:val="20"/>
                                <w:szCs w:val="20"/>
                              </w:rPr>
                            </w:pPr>
                          </w:p>
                          <w:p w14:paraId="3236908E" w14:textId="77777777" w:rsidR="004550EF" w:rsidRPr="00A33DBA" w:rsidRDefault="004550EF" w:rsidP="00E540AC">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69028" id="_x0000_s1030" type="#_x0000_t202" style="position:absolute;left:0;text-align:left;margin-left:26.85pt;margin-top:73.9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" filled="f" stroked="f">
                <v:textbox>
                  <w:txbxContent>
                    <w:p w14:paraId="32369070" w14:textId="77777777" w:rsidR="004550EF" w:rsidRDefault="004550EF" w:rsidP="00F04B61">
                      <w:pPr>
                        <w:rPr>
                          <w:rFonts w:ascii="Arial" w:hAnsi="Arial" w:cs="Arial"/>
                          <w:sz w:val="20"/>
                          <w:szCs w:val="20"/>
                        </w:rPr>
                      </w:pPr>
                    </w:p>
                    <w:tbl>
                      <w:tblPr>
                        <w:tblW w:w="0" w:type="auto"/>
                        <w:tblLook w:val="04A0" w:firstRow="1" w:lastRow="0" w:firstColumn="1" w:lastColumn="0" w:noHBand="0" w:noVBand="1"/>
                      </w:tblPr>
                      <w:tblGrid>
                        <w:gridCol w:w="984"/>
                        <w:gridCol w:w="2464"/>
                        <w:gridCol w:w="851"/>
                        <w:gridCol w:w="709"/>
                        <w:gridCol w:w="861"/>
                      </w:tblGrid>
                      <w:tr w:rsidR="004550EF" w:rsidRPr="0055776F" w14:paraId="32369074" w14:textId="77777777" w:rsidTr="000322A8">
                        <w:tc>
                          <w:tcPr>
                            <w:tcW w:w="5691" w:type="dxa"/>
                            <w:gridSpan w:val="5"/>
                            <w:shd w:val="clear" w:color="auto" w:fill="auto"/>
                          </w:tcPr>
                          <w:p w14:paraId="32369071" w14:textId="77777777" w:rsidR="004550EF" w:rsidRPr="0055776F" w:rsidRDefault="004550EF" w:rsidP="000322A8">
                            <w:pPr>
                              <w:rPr>
                                <w:rFonts w:ascii="Arial" w:hAnsi="Arial" w:cs="Arial"/>
                                <w:sz w:val="20"/>
                                <w:szCs w:val="20"/>
                              </w:rPr>
                            </w:pPr>
                            <w:r>
                              <w:rPr>
                                <w:rFonts w:ascii="Arial" w:hAnsi="Arial" w:cs="Arial"/>
                                <w:sz w:val="20"/>
                                <w:szCs w:val="20"/>
                              </w:rPr>
                              <w:t>P =</w:t>
                            </w:r>
                            <w:r w:rsidRPr="0055776F">
                              <w:rPr>
                                <w:rFonts w:ascii="Arial" w:hAnsi="Arial" w:cs="Arial"/>
                                <w:sz w:val="20"/>
                                <w:szCs w:val="20"/>
                              </w:rPr>
                              <w:t xml:space="preserve"> 0</w:t>
                            </w:r>
                            <w:r>
                              <w:rPr>
                                <w:rFonts w:ascii="Arial" w:hAnsi="Arial" w:cs="Arial"/>
                                <w:sz w:val="20"/>
                                <w:szCs w:val="20"/>
                              </w:rPr>
                              <w:t>,0</w:t>
                            </w:r>
                            <w:r w:rsidRPr="0055776F">
                              <w:rPr>
                                <w:rFonts w:ascii="Arial" w:hAnsi="Arial" w:cs="Arial"/>
                                <w:sz w:val="20"/>
                                <w:szCs w:val="20"/>
                              </w:rPr>
                              <w:t>19</w:t>
                            </w:r>
                          </w:p>
                          <w:p w14:paraId="32369072" w14:textId="77777777" w:rsidR="004550EF" w:rsidRPr="0055776F" w:rsidRDefault="004550EF" w:rsidP="000322A8">
                            <w:pPr>
                              <w:rPr>
                                <w:rFonts w:ascii="Arial" w:hAnsi="Arial" w:cs="Arial"/>
                                <w:sz w:val="20"/>
                                <w:szCs w:val="20"/>
                              </w:rPr>
                            </w:pPr>
                            <w:r>
                              <w:rPr>
                                <w:rFonts w:ascii="Arial" w:hAnsi="Arial" w:cs="Arial"/>
                                <w:sz w:val="20"/>
                                <w:szCs w:val="20"/>
                              </w:rPr>
                              <w:t xml:space="preserve">Pomer rizika </w:t>
                            </w:r>
                            <w:r w:rsidRPr="0055776F">
                              <w:rPr>
                                <w:rFonts w:ascii="Arial" w:hAnsi="Arial" w:cs="Arial"/>
                                <w:sz w:val="20"/>
                                <w:szCs w:val="20"/>
                              </w:rPr>
                              <w:t>0</w:t>
                            </w:r>
                            <w:r>
                              <w:rPr>
                                <w:rFonts w:ascii="Arial" w:hAnsi="Arial" w:cs="Arial"/>
                                <w:sz w:val="20"/>
                                <w:szCs w:val="20"/>
                              </w:rPr>
                              <w:t>,</w:t>
                            </w:r>
                            <w:r w:rsidRPr="0055776F">
                              <w:rPr>
                                <w:rFonts w:ascii="Arial" w:hAnsi="Arial" w:cs="Arial"/>
                                <w:sz w:val="20"/>
                                <w:szCs w:val="20"/>
                              </w:rPr>
                              <w:t>45</w:t>
                            </w:r>
                          </w:p>
                          <w:p w14:paraId="32369073" w14:textId="77777777" w:rsidR="004550EF" w:rsidRPr="0055776F" w:rsidRDefault="004550EF" w:rsidP="006A3A5F">
                            <w:pPr>
                              <w:rPr>
                                <w:rFonts w:ascii="Arial" w:hAnsi="Arial" w:cs="Arial"/>
                                <w:sz w:val="20"/>
                                <w:szCs w:val="20"/>
                                <w:lang w:val="de-DE"/>
                              </w:rPr>
                            </w:pPr>
                            <w:r w:rsidRPr="0055776F">
                              <w:rPr>
                                <w:rFonts w:ascii="Arial" w:hAnsi="Arial" w:cs="Arial"/>
                                <w:sz w:val="20"/>
                                <w:szCs w:val="20"/>
                              </w:rPr>
                              <w:t>(9</w:t>
                            </w:r>
                            <w:r>
                              <w:rPr>
                                <w:rFonts w:ascii="Arial" w:hAnsi="Arial" w:cs="Arial"/>
                                <w:sz w:val="20"/>
                                <w:szCs w:val="20"/>
                              </w:rPr>
                              <w:t>5% Cl, 0,22</w:t>
                            </w:r>
                            <w:r>
                              <w:rPr>
                                <w:rFonts w:ascii="Arial" w:hAnsi="Arial" w:cs="Arial"/>
                                <w:sz w:val="20"/>
                                <w:szCs w:val="20"/>
                              </w:rPr>
                              <w:noBreakHyphen/>
                            </w:r>
                            <w:r w:rsidRPr="0055776F">
                              <w:rPr>
                                <w:rFonts w:ascii="Arial" w:hAnsi="Arial" w:cs="Arial"/>
                                <w:sz w:val="20"/>
                                <w:szCs w:val="20"/>
                              </w:rPr>
                              <w:t>0</w:t>
                            </w:r>
                            <w:r>
                              <w:rPr>
                                <w:rFonts w:ascii="Arial" w:hAnsi="Arial" w:cs="Arial"/>
                                <w:sz w:val="20"/>
                                <w:szCs w:val="20"/>
                              </w:rPr>
                              <w:t>,</w:t>
                            </w:r>
                            <w:r w:rsidRPr="0055776F">
                              <w:rPr>
                                <w:rFonts w:ascii="Arial" w:hAnsi="Arial" w:cs="Arial"/>
                                <w:sz w:val="20"/>
                                <w:szCs w:val="20"/>
                              </w:rPr>
                              <w:t>89)</w:t>
                            </w:r>
                          </w:p>
                        </w:tc>
                      </w:tr>
                      <w:tr w:rsidR="004550EF" w:rsidRPr="0055776F" w14:paraId="3236907A" w14:textId="77777777" w:rsidTr="000322A8">
                        <w:tc>
                          <w:tcPr>
                            <w:tcW w:w="817" w:type="dxa"/>
                            <w:shd w:val="clear" w:color="auto" w:fill="auto"/>
                          </w:tcPr>
                          <w:p w14:paraId="32369075" w14:textId="77777777" w:rsidR="004550EF" w:rsidRPr="0055776F" w:rsidRDefault="004550EF" w:rsidP="000322A8">
                            <w:pPr>
                              <w:rPr>
                                <w:rFonts w:ascii="Arial" w:hAnsi="Arial" w:cs="Arial"/>
                                <w:sz w:val="20"/>
                                <w:szCs w:val="20"/>
                              </w:rPr>
                            </w:pPr>
                          </w:p>
                        </w:tc>
                        <w:tc>
                          <w:tcPr>
                            <w:tcW w:w="2464" w:type="dxa"/>
                            <w:shd w:val="clear" w:color="auto" w:fill="auto"/>
                          </w:tcPr>
                          <w:p w14:paraId="32369076" w14:textId="77777777" w:rsidR="004550EF" w:rsidRPr="0055776F" w:rsidRDefault="004550EF" w:rsidP="000322A8">
                            <w:pPr>
                              <w:rPr>
                                <w:rFonts w:ascii="Arial" w:hAnsi="Arial" w:cs="Arial"/>
                                <w:sz w:val="20"/>
                                <w:szCs w:val="20"/>
                              </w:rPr>
                            </w:pPr>
                          </w:p>
                        </w:tc>
                        <w:tc>
                          <w:tcPr>
                            <w:tcW w:w="851" w:type="dxa"/>
                            <w:tcBorders>
                              <w:bottom w:val="single" w:sz="4" w:space="0" w:color="auto"/>
                            </w:tcBorders>
                            <w:shd w:val="clear" w:color="auto" w:fill="auto"/>
                          </w:tcPr>
                          <w:p w14:paraId="32369077" w14:textId="77777777" w:rsidR="004550EF" w:rsidRPr="0055776F" w:rsidRDefault="004550EF" w:rsidP="000322A8">
                            <w:pPr>
                              <w:rPr>
                                <w:rFonts w:ascii="Arial" w:hAnsi="Arial" w:cs="Arial"/>
                                <w:sz w:val="20"/>
                                <w:szCs w:val="20"/>
                              </w:rPr>
                            </w:pPr>
                            <w:r w:rsidRPr="0055776F">
                              <w:rPr>
                                <w:rFonts w:ascii="Arial" w:hAnsi="Arial" w:cs="Arial"/>
                                <w:sz w:val="20"/>
                                <w:szCs w:val="20"/>
                                <w:lang w:val="de-DE"/>
                              </w:rPr>
                              <w:t>N</w:t>
                            </w:r>
                          </w:p>
                        </w:tc>
                        <w:tc>
                          <w:tcPr>
                            <w:tcW w:w="709" w:type="dxa"/>
                            <w:tcBorders>
                              <w:bottom w:val="single" w:sz="4" w:space="0" w:color="auto"/>
                            </w:tcBorders>
                            <w:shd w:val="clear" w:color="auto" w:fill="auto"/>
                          </w:tcPr>
                          <w:p w14:paraId="32369078" w14:textId="77777777" w:rsidR="004550EF" w:rsidRPr="0055776F" w:rsidRDefault="004550EF" w:rsidP="009F7365">
                            <w:pPr>
                              <w:rPr>
                                <w:rFonts w:ascii="Arial" w:hAnsi="Arial" w:cs="Arial"/>
                                <w:sz w:val="20"/>
                                <w:szCs w:val="20"/>
                              </w:rPr>
                            </w:pPr>
                            <w:r>
                              <w:rPr>
                                <w:rFonts w:ascii="Arial" w:hAnsi="Arial" w:cs="Arial"/>
                                <w:sz w:val="20"/>
                                <w:szCs w:val="20"/>
                                <w:lang w:val="de-DE"/>
                              </w:rPr>
                              <w:t>Udal</w:t>
                            </w:r>
                          </w:p>
                        </w:tc>
                        <w:tc>
                          <w:tcPr>
                            <w:tcW w:w="850" w:type="dxa"/>
                            <w:tcBorders>
                              <w:bottom w:val="single" w:sz="4" w:space="0" w:color="auto"/>
                            </w:tcBorders>
                            <w:shd w:val="clear" w:color="auto" w:fill="auto"/>
                          </w:tcPr>
                          <w:p w14:paraId="32369079" w14:textId="77777777" w:rsidR="004550EF" w:rsidRPr="0055776F" w:rsidRDefault="004550EF" w:rsidP="009F7365">
                            <w:pPr>
                              <w:rPr>
                                <w:rFonts w:ascii="Arial" w:hAnsi="Arial" w:cs="Arial"/>
                                <w:sz w:val="20"/>
                                <w:szCs w:val="20"/>
                              </w:rPr>
                            </w:pPr>
                            <w:r w:rsidRPr="0055776F">
                              <w:rPr>
                                <w:rFonts w:ascii="Arial" w:hAnsi="Arial" w:cs="Arial"/>
                                <w:sz w:val="20"/>
                                <w:szCs w:val="20"/>
                                <w:lang w:val="de-DE"/>
                              </w:rPr>
                              <w:t>Cen</w:t>
                            </w:r>
                            <w:r>
                              <w:rPr>
                                <w:rFonts w:ascii="Arial" w:hAnsi="Arial" w:cs="Arial"/>
                                <w:sz w:val="20"/>
                                <w:szCs w:val="20"/>
                                <w:lang w:val="de-DE"/>
                              </w:rPr>
                              <w:t>zor</w:t>
                            </w:r>
                          </w:p>
                        </w:tc>
                      </w:tr>
                      <w:tr w:rsidR="004550EF" w:rsidRPr="0055776F" w14:paraId="32369080" w14:textId="77777777" w:rsidTr="000322A8">
                        <w:tc>
                          <w:tcPr>
                            <w:tcW w:w="817" w:type="dxa"/>
                            <w:shd w:val="clear" w:color="auto" w:fill="auto"/>
                          </w:tcPr>
                          <w:p w14:paraId="3236907B" w14:textId="77777777" w:rsidR="004550EF" w:rsidRPr="0055776F" w:rsidRDefault="004550EF" w:rsidP="000322A8">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3236907C" w14:textId="77777777" w:rsidR="004550EF" w:rsidRPr="0055776F" w:rsidRDefault="004550EF" w:rsidP="00094DF4">
                            <w:pPr>
                              <w:ind w:hanging="675"/>
                              <w:rPr>
                                <w:rFonts w:ascii="Arial" w:hAnsi="Arial" w:cs="Arial"/>
                                <w:sz w:val="20"/>
                                <w:szCs w:val="20"/>
                              </w:rPr>
                            </w:pPr>
                            <w:r>
                              <w:rPr>
                                <w:rFonts w:ascii="Arial" w:hAnsi="Arial" w:cs="Arial"/>
                                <w:sz w:val="20"/>
                                <w:szCs w:val="20"/>
                              </w:rPr>
                              <w:t>(1) Imatinib 12 mes</w:t>
                            </w:r>
                            <w:r w:rsidRPr="0055776F">
                              <w:rPr>
                                <w:rFonts w:ascii="Arial" w:hAnsi="Arial" w:cs="Arial"/>
                                <w:sz w:val="20"/>
                                <w:szCs w:val="20"/>
                              </w:rPr>
                              <w:t>:</w:t>
                            </w:r>
                          </w:p>
                        </w:tc>
                        <w:tc>
                          <w:tcPr>
                            <w:tcW w:w="851" w:type="dxa"/>
                            <w:tcBorders>
                              <w:top w:val="single" w:sz="4" w:space="0" w:color="auto"/>
                            </w:tcBorders>
                            <w:shd w:val="clear" w:color="auto" w:fill="auto"/>
                          </w:tcPr>
                          <w:p w14:paraId="3236907D" w14:textId="77777777" w:rsidR="004550EF" w:rsidRPr="0055776F" w:rsidRDefault="004550EF" w:rsidP="000322A8">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3236907E" w14:textId="77777777" w:rsidR="004550EF" w:rsidRPr="0055776F" w:rsidRDefault="004550EF" w:rsidP="000322A8">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3236907F" w14:textId="77777777" w:rsidR="004550EF" w:rsidRPr="0055776F" w:rsidRDefault="004550EF" w:rsidP="000322A8">
                            <w:pPr>
                              <w:rPr>
                                <w:rFonts w:ascii="Arial" w:hAnsi="Arial" w:cs="Arial"/>
                                <w:sz w:val="20"/>
                                <w:szCs w:val="20"/>
                              </w:rPr>
                            </w:pPr>
                            <w:r w:rsidRPr="0055776F">
                              <w:rPr>
                                <w:rFonts w:ascii="Arial" w:hAnsi="Arial" w:cs="Arial"/>
                                <w:sz w:val="20"/>
                                <w:szCs w:val="20"/>
                              </w:rPr>
                              <w:t>174</w:t>
                            </w:r>
                          </w:p>
                        </w:tc>
                      </w:tr>
                      <w:tr w:rsidR="004550EF" w:rsidRPr="0055776F" w14:paraId="32369086" w14:textId="77777777" w:rsidTr="000322A8">
                        <w:tc>
                          <w:tcPr>
                            <w:tcW w:w="817" w:type="dxa"/>
                            <w:shd w:val="clear" w:color="auto" w:fill="auto"/>
                          </w:tcPr>
                          <w:p w14:paraId="32369081"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82" w14:textId="77777777" w:rsidR="004550EF" w:rsidRPr="0055776F" w:rsidRDefault="004550EF" w:rsidP="00094DF4">
                            <w:pPr>
                              <w:ind w:hanging="675"/>
                              <w:rPr>
                                <w:rFonts w:ascii="Arial" w:hAnsi="Arial" w:cs="Arial"/>
                                <w:sz w:val="20"/>
                                <w:szCs w:val="20"/>
                              </w:rPr>
                            </w:pPr>
                            <w:r>
                              <w:rPr>
                                <w:rFonts w:ascii="Arial" w:hAnsi="Arial" w:cs="Arial"/>
                                <w:sz w:val="20"/>
                                <w:szCs w:val="20"/>
                              </w:rPr>
                              <w:t>(2) Imatinib 36 mes</w:t>
                            </w:r>
                            <w:r w:rsidRPr="0055776F">
                              <w:rPr>
                                <w:rFonts w:ascii="Arial" w:hAnsi="Arial" w:cs="Arial"/>
                                <w:sz w:val="20"/>
                                <w:szCs w:val="20"/>
                              </w:rPr>
                              <w:t>:</w:t>
                            </w:r>
                          </w:p>
                        </w:tc>
                        <w:tc>
                          <w:tcPr>
                            <w:tcW w:w="851" w:type="dxa"/>
                            <w:tcBorders>
                              <w:bottom w:val="single" w:sz="4" w:space="0" w:color="auto"/>
                            </w:tcBorders>
                            <w:shd w:val="clear" w:color="auto" w:fill="auto"/>
                          </w:tcPr>
                          <w:p w14:paraId="32369083" w14:textId="77777777" w:rsidR="004550EF" w:rsidRPr="0055776F" w:rsidRDefault="004550EF" w:rsidP="000322A8">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32369084" w14:textId="77777777" w:rsidR="004550EF" w:rsidRPr="0055776F" w:rsidRDefault="004550EF" w:rsidP="000322A8">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32369085" w14:textId="77777777" w:rsidR="004550EF" w:rsidRPr="0055776F" w:rsidRDefault="004550EF" w:rsidP="000322A8">
                            <w:pPr>
                              <w:rPr>
                                <w:rFonts w:ascii="Arial" w:hAnsi="Arial" w:cs="Arial"/>
                                <w:sz w:val="20"/>
                                <w:szCs w:val="20"/>
                              </w:rPr>
                            </w:pPr>
                            <w:r w:rsidRPr="0055776F">
                              <w:rPr>
                                <w:rFonts w:ascii="Arial" w:hAnsi="Arial" w:cs="Arial"/>
                                <w:sz w:val="20"/>
                                <w:szCs w:val="20"/>
                              </w:rPr>
                              <w:t>186</w:t>
                            </w:r>
                          </w:p>
                        </w:tc>
                      </w:tr>
                      <w:tr w:rsidR="004550EF" w:rsidRPr="0055776F" w14:paraId="3236908C" w14:textId="77777777" w:rsidTr="000322A8">
                        <w:tc>
                          <w:tcPr>
                            <w:tcW w:w="817" w:type="dxa"/>
                            <w:shd w:val="clear" w:color="auto" w:fill="auto"/>
                          </w:tcPr>
                          <w:p w14:paraId="32369087"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88" w14:textId="77777777" w:rsidR="004550EF" w:rsidRPr="0055776F" w:rsidRDefault="004550EF" w:rsidP="00094DF4">
                            <w:pPr>
                              <w:ind w:hanging="675"/>
                              <w:rPr>
                                <w:rFonts w:ascii="Arial" w:hAnsi="Arial" w:cs="Arial"/>
                                <w:sz w:val="20"/>
                                <w:szCs w:val="20"/>
                              </w:rPr>
                            </w:pPr>
                            <w:r w:rsidRPr="0055776F">
                              <w:rPr>
                                <w:rFonts w:ascii="Arial" w:hAnsi="Arial" w:cs="Arial"/>
                                <w:sz w:val="20"/>
                                <w:szCs w:val="20"/>
                              </w:rPr>
                              <w:t>Cen</w:t>
                            </w:r>
                            <w:r>
                              <w:rPr>
                                <w:rFonts w:ascii="Arial" w:hAnsi="Arial" w:cs="Arial"/>
                                <w:sz w:val="20"/>
                                <w:szCs w:val="20"/>
                              </w:rPr>
                              <w:t>zorované pozorovania</w:t>
                            </w:r>
                          </w:p>
                        </w:tc>
                        <w:tc>
                          <w:tcPr>
                            <w:tcW w:w="851" w:type="dxa"/>
                            <w:tcBorders>
                              <w:top w:val="single" w:sz="4" w:space="0" w:color="auto"/>
                            </w:tcBorders>
                            <w:shd w:val="clear" w:color="auto" w:fill="auto"/>
                          </w:tcPr>
                          <w:p w14:paraId="32369089" w14:textId="77777777" w:rsidR="004550EF" w:rsidRPr="0055776F" w:rsidRDefault="004550EF" w:rsidP="000322A8">
                            <w:pPr>
                              <w:rPr>
                                <w:rFonts w:ascii="Arial" w:hAnsi="Arial" w:cs="Arial"/>
                                <w:sz w:val="20"/>
                                <w:szCs w:val="20"/>
                              </w:rPr>
                            </w:pPr>
                          </w:p>
                        </w:tc>
                        <w:tc>
                          <w:tcPr>
                            <w:tcW w:w="709" w:type="dxa"/>
                            <w:tcBorders>
                              <w:top w:val="single" w:sz="4" w:space="0" w:color="auto"/>
                            </w:tcBorders>
                            <w:shd w:val="clear" w:color="auto" w:fill="auto"/>
                          </w:tcPr>
                          <w:p w14:paraId="3236908A" w14:textId="77777777" w:rsidR="004550EF" w:rsidRPr="0055776F" w:rsidRDefault="004550EF" w:rsidP="000322A8">
                            <w:pPr>
                              <w:rPr>
                                <w:rFonts w:ascii="Arial" w:hAnsi="Arial" w:cs="Arial"/>
                                <w:sz w:val="20"/>
                                <w:szCs w:val="20"/>
                              </w:rPr>
                            </w:pPr>
                          </w:p>
                        </w:tc>
                        <w:tc>
                          <w:tcPr>
                            <w:tcW w:w="850" w:type="dxa"/>
                            <w:tcBorders>
                              <w:top w:val="single" w:sz="4" w:space="0" w:color="auto"/>
                            </w:tcBorders>
                            <w:shd w:val="clear" w:color="auto" w:fill="auto"/>
                          </w:tcPr>
                          <w:p w14:paraId="3236908B" w14:textId="77777777" w:rsidR="004550EF" w:rsidRPr="0055776F" w:rsidRDefault="004550EF" w:rsidP="000322A8">
                            <w:pPr>
                              <w:rPr>
                                <w:rFonts w:ascii="Arial" w:hAnsi="Arial" w:cs="Arial"/>
                                <w:sz w:val="20"/>
                                <w:szCs w:val="20"/>
                              </w:rPr>
                            </w:pPr>
                          </w:p>
                        </w:tc>
                      </w:tr>
                    </w:tbl>
                    <w:p w14:paraId="3236908D" w14:textId="77777777" w:rsidR="004550EF" w:rsidRPr="00A33DBA" w:rsidRDefault="004550EF" w:rsidP="00F04B61">
                      <w:pPr>
                        <w:rPr>
                          <w:rFonts w:ascii="Arial" w:hAnsi="Arial" w:cs="Arial"/>
                          <w:sz w:val="20"/>
                          <w:szCs w:val="20"/>
                        </w:rPr>
                      </w:pPr>
                    </w:p>
                    <w:p w14:paraId="3236908E" w14:textId="77777777" w:rsidR="004550EF" w:rsidRPr="00A33DBA" w:rsidRDefault="004550EF" w:rsidP="00E540AC">
                      <w:pPr>
                        <w:rPr>
                          <w:rFonts w:ascii="Arial" w:hAnsi="Arial" w:cs="Arial"/>
                          <w:sz w:val="20"/>
                          <w:szCs w:val="20"/>
                        </w:rPr>
                      </w:pPr>
                    </w:p>
                  </w:txbxContent>
                </v:textbox>
              </v:shape>
            </w:pict>
          </mc:Fallback>
        </mc:AlternateContent>
      </w:r>
      <w:r w:rsidRPr="00C83045">
        <w:rPr>
          <w:noProof/>
          <w:lang w:val="en-US" w:eastAsia="en-US"/>
        </w:rPr>
        <w:drawing>
          <wp:inline distT="0" distB="0" distL="0" distR="0" wp14:anchorId="3236902A" wp14:editId="3236902B">
            <wp:extent cx="5949315" cy="263461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32368095" w14:textId="77777777" w:rsidR="00E540AC" w:rsidRPr="00C83045" w:rsidRDefault="00DF0316" w:rsidP="00D4304B">
      <w:pPr>
        <w:keepNext/>
        <w:keepLines/>
        <w:widowControl w:val="0"/>
        <w:rPr>
          <w:rFonts w:eastAsia="MS Mincho"/>
          <w:szCs w:val="22"/>
          <w:lang w:val="en-US"/>
        </w:rPr>
      </w:pPr>
      <w:r w:rsidRPr="00C83045">
        <w:rPr>
          <w:rFonts w:eastAsia="MS Mincho"/>
          <w:noProof/>
          <w:szCs w:val="22"/>
          <w:lang w:val="en-US" w:eastAsia="en-US"/>
        </w:rPr>
        <mc:AlternateContent>
          <mc:Choice Requires="wps">
            <w:drawing>
              <wp:anchor distT="0" distB="0" distL="114300" distR="114300" simplePos="0" relativeHeight="251657216" behindDoc="0" locked="0" layoutInCell="1" allowOverlap="1" wp14:anchorId="3236902C" wp14:editId="3236902D">
                <wp:simplePos x="0" y="0"/>
                <wp:positionH relativeFrom="column">
                  <wp:posOffset>2186940</wp:posOffset>
                </wp:positionH>
                <wp:positionV relativeFrom="paragraph">
                  <wp:posOffset>6350</wp:posOffset>
                </wp:positionV>
                <wp:extent cx="1876425" cy="295275"/>
                <wp:effectExtent l="5715" t="6350" r="3810" b="31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36908F" w14:textId="77777777" w:rsidR="004550EF" w:rsidRPr="00A33DBA" w:rsidRDefault="004550EF" w:rsidP="00E540AC">
                            <w:pPr>
                              <w:rPr>
                                <w:rFonts w:ascii="Arial" w:hAnsi="Arial" w:cs="Arial"/>
                                <w:sz w:val="20"/>
                                <w:szCs w:val="20"/>
                              </w:rPr>
                            </w:pPr>
                            <w:r>
                              <w:rPr>
                                <w:rFonts w:ascii="Arial" w:hAnsi="Arial" w:cs="Arial"/>
                                <w:sz w:val="20"/>
                                <w:szCs w:val="20"/>
                                <w:lang w:val="de-DE"/>
                              </w:rPr>
                              <w:t>Čas prežívania v mesiacoch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6902C" id="_x0000_s1031" type="#_x0000_t202" style="position:absolute;left:0;text-align:left;margin-left:172.2pt;margin-top:.5pt;width:147.7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" stroked="f">
                <v:fill opacity="0"/>
                <v:textbox>
                  <w:txbxContent>
                    <w:p w14:paraId="3236908F" w14:textId="77777777" w:rsidR="004550EF" w:rsidRPr="00A33DBA" w:rsidRDefault="004550EF" w:rsidP="00E540AC">
                      <w:pPr>
                        <w:rPr>
                          <w:rFonts w:ascii="Arial" w:hAnsi="Arial" w:cs="Arial"/>
                          <w:sz w:val="20"/>
                          <w:szCs w:val="20"/>
                        </w:rPr>
                      </w:pPr>
                      <w:r>
                        <w:rPr>
                          <w:rFonts w:ascii="Arial" w:hAnsi="Arial" w:cs="Arial"/>
                          <w:sz w:val="20"/>
                          <w:szCs w:val="20"/>
                          <w:lang w:val="de-DE"/>
                        </w:rPr>
                        <w:t>Čas prežívania v mesiacoch</w:t>
                      </w:r>
                    </w:p>
                  </w:txbxContent>
                </v:textbox>
              </v:shape>
            </w:pict>
          </mc:Fallback>
        </mc:AlternateContent>
      </w:r>
    </w:p>
    <w:p w14:paraId="32368096" w14:textId="77777777" w:rsidR="00E540AC" w:rsidRPr="00C83045" w:rsidRDefault="00E540AC" w:rsidP="00D4304B">
      <w:pPr>
        <w:keepNext/>
        <w:keepLines/>
        <w:widowControl w:val="0"/>
        <w:rPr>
          <w:rFonts w:eastAsia="MS Mincho"/>
          <w:szCs w:val="22"/>
          <w:lang w:val="en-US"/>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E540AC" w:rsidRPr="00C83045" w14:paraId="32368098" w14:textId="77777777" w:rsidTr="004A5979">
        <w:tc>
          <w:tcPr>
            <w:tcW w:w="10632" w:type="dxa"/>
            <w:gridSpan w:val="16"/>
            <w:shd w:val="clear" w:color="auto" w:fill="auto"/>
          </w:tcPr>
          <w:p w14:paraId="32368097" w14:textId="77777777" w:rsidR="00E540AC" w:rsidRPr="00C83045" w:rsidRDefault="006A3A5F" w:rsidP="00D4304B">
            <w:pPr>
              <w:keepNext/>
              <w:keepLines/>
              <w:widowControl w:val="0"/>
              <w:ind w:left="-27" w:firstLine="0"/>
              <w:rPr>
                <w:rFonts w:ascii="Arial" w:hAnsi="Arial" w:cs="Arial"/>
                <w:sz w:val="16"/>
                <w:szCs w:val="16"/>
                <w:lang w:val="en-US" w:eastAsia="en-US"/>
              </w:rPr>
            </w:pPr>
            <w:r w:rsidRPr="00C83045">
              <w:rPr>
                <w:rFonts w:ascii="Arial" w:hAnsi="Arial" w:cs="Arial"/>
                <w:sz w:val="20"/>
                <w:szCs w:val="20"/>
                <w:lang w:val="en-US" w:eastAsia="en-US"/>
              </w:rPr>
              <w:t>V riziku</w:t>
            </w:r>
            <w:r w:rsidR="00F71912" w:rsidRPr="00C83045">
              <w:rPr>
                <w:rFonts w:ascii="Arial" w:hAnsi="Arial" w:cs="Arial"/>
                <w:sz w:val="20"/>
                <w:szCs w:val="20"/>
                <w:lang w:val="en-US" w:eastAsia="en-US"/>
              </w:rPr>
              <w:t xml:space="preserve"> </w:t>
            </w:r>
            <w:r w:rsidRPr="00C83045">
              <w:rPr>
                <w:rFonts w:ascii="Arial" w:hAnsi="Arial" w:cs="Arial"/>
                <w:sz w:val="20"/>
                <w:szCs w:val="20"/>
                <w:lang w:val="en-US" w:eastAsia="en-US"/>
              </w:rPr>
              <w:t>: udalosti</w:t>
            </w:r>
          </w:p>
        </w:tc>
      </w:tr>
      <w:tr w:rsidR="00E540AC" w:rsidRPr="00C83045" w14:paraId="323680A9" w14:textId="77777777" w:rsidTr="00E540AC">
        <w:tc>
          <w:tcPr>
            <w:tcW w:w="450" w:type="dxa"/>
            <w:shd w:val="clear" w:color="auto" w:fill="auto"/>
          </w:tcPr>
          <w:p w14:paraId="32368099" w14:textId="77777777" w:rsidR="00E540AC" w:rsidRPr="00C83045" w:rsidRDefault="00E540AC" w:rsidP="00D4304B">
            <w:pPr>
              <w:keepNext/>
              <w:keepLines/>
              <w:widowControl w:val="0"/>
              <w:ind w:left="0" w:firstLine="0"/>
              <w:rPr>
                <w:sz w:val="20"/>
                <w:szCs w:val="20"/>
                <w:lang w:val="en-US" w:eastAsia="en-US"/>
              </w:rPr>
            </w:pPr>
            <w:r w:rsidRPr="00C83045">
              <w:rPr>
                <w:sz w:val="20"/>
                <w:szCs w:val="20"/>
                <w:lang w:val="en-US" w:eastAsia="en-US"/>
              </w:rPr>
              <w:t>(1)</w:t>
            </w:r>
          </w:p>
        </w:tc>
        <w:tc>
          <w:tcPr>
            <w:tcW w:w="687" w:type="dxa"/>
            <w:shd w:val="clear" w:color="auto" w:fill="auto"/>
          </w:tcPr>
          <w:p w14:paraId="3236809A"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199:0</w:t>
            </w:r>
          </w:p>
        </w:tc>
        <w:tc>
          <w:tcPr>
            <w:tcW w:w="670" w:type="dxa"/>
            <w:shd w:val="clear" w:color="auto" w:fill="auto"/>
          </w:tcPr>
          <w:p w14:paraId="3236809B"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190:2</w:t>
            </w:r>
          </w:p>
        </w:tc>
        <w:tc>
          <w:tcPr>
            <w:tcW w:w="710" w:type="dxa"/>
            <w:shd w:val="clear" w:color="auto" w:fill="auto"/>
          </w:tcPr>
          <w:p w14:paraId="3236809C"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188:2</w:t>
            </w:r>
          </w:p>
        </w:tc>
        <w:tc>
          <w:tcPr>
            <w:tcW w:w="717" w:type="dxa"/>
            <w:shd w:val="clear" w:color="auto" w:fill="auto"/>
          </w:tcPr>
          <w:p w14:paraId="3236809D"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183:6</w:t>
            </w:r>
          </w:p>
        </w:tc>
        <w:tc>
          <w:tcPr>
            <w:tcW w:w="691" w:type="dxa"/>
            <w:shd w:val="clear" w:color="auto" w:fill="auto"/>
          </w:tcPr>
          <w:p w14:paraId="3236809E"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176:8</w:t>
            </w:r>
          </w:p>
        </w:tc>
        <w:tc>
          <w:tcPr>
            <w:tcW w:w="770" w:type="dxa"/>
            <w:shd w:val="clear" w:color="auto" w:fill="auto"/>
          </w:tcPr>
          <w:p w14:paraId="3236809F"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156:10</w:t>
            </w:r>
          </w:p>
        </w:tc>
        <w:tc>
          <w:tcPr>
            <w:tcW w:w="779" w:type="dxa"/>
            <w:shd w:val="clear" w:color="auto" w:fill="auto"/>
          </w:tcPr>
          <w:p w14:paraId="323680A0"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140:11</w:t>
            </w:r>
          </w:p>
        </w:tc>
        <w:tc>
          <w:tcPr>
            <w:tcW w:w="794" w:type="dxa"/>
            <w:shd w:val="clear" w:color="auto" w:fill="auto"/>
          </w:tcPr>
          <w:p w14:paraId="323680A1"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105:14</w:t>
            </w:r>
          </w:p>
        </w:tc>
        <w:tc>
          <w:tcPr>
            <w:tcW w:w="653" w:type="dxa"/>
            <w:shd w:val="clear" w:color="auto" w:fill="auto"/>
          </w:tcPr>
          <w:p w14:paraId="323680A2"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87:18</w:t>
            </w:r>
          </w:p>
        </w:tc>
        <w:tc>
          <w:tcPr>
            <w:tcW w:w="630" w:type="dxa"/>
            <w:shd w:val="clear" w:color="auto" w:fill="auto"/>
          </w:tcPr>
          <w:p w14:paraId="323680A3"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64:22</w:t>
            </w:r>
          </w:p>
        </w:tc>
        <w:tc>
          <w:tcPr>
            <w:tcW w:w="643" w:type="dxa"/>
            <w:shd w:val="clear" w:color="auto" w:fill="auto"/>
          </w:tcPr>
          <w:p w14:paraId="323680A4"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46:23</w:t>
            </w:r>
          </w:p>
        </w:tc>
        <w:tc>
          <w:tcPr>
            <w:tcW w:w="670" w:type="dxa"/>
            <w:shd w:val="clear" w:color="auto" w:fill="auto"/>
          </w:tcPr>
          <w:p w14:paraId="323680A5"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27:25</w:t>
            </w:r>
          </w:p>
        </w:tc>
        <w:tc>
          <w:tcPr>
            <w:tcW w:w="683" w:type="dxa"/>
            <w:shd w:val="clear" w:color="auto" w:fill="auto"/>
          </w:tcPr>
          <w:p w14:paraId="323680A6"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20:25</w:t>
            </w:r>
          </w:p>
        </w:tc>
        <w:tc>
          <w:tcPr>
            <w:tcW w:w="558" w:type="dxa"/>
            <w:shd w:val="clear" w:color="auto" w:fill="auto"/>
          </w:tcPr>
          <w:p w14:paraId="323680A7"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2:25</w:t>
            </w:r>
          </w:p>
        </w:tc>
        <w:tc>
          <w:tcPr>
            <w:tcW w:w="527" w:type="dxa"/>
            <w:shd w:val="clear" w:color="auto" w:fill="auto"/>
          </w:tcPr>
          <w:p w14:paraId="323680A8"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0:25</w:t>
            </w:r>
          </w:p>
        </w:tc>
      </w:tr>
      <w:tr w:rsidR="00E540AC" w:rsidRPr="00C83045" w14:paraId="323680BA" w14:textId="77777777" w:rsidTr="00E540AC">
        <w:tc>
          <w:tcPr>
            <w:tcW w:w="450" w:type="dxa"/>
            <w:shd w:val="clear" w:color="auto" w:fill="auto"/>
          </w:tcPr>
          <w:p w14:paraId="323680AA" w14:textId="77777777" w:rsidR="00E540AC" w:rsidRPr="00C83045" w:rsidRDefault="00E540AC" w:rsidP="00D4304B">
            <w:pPr>
              <w:keepNext/>
              <w:keepLines/>
              <w:widowControl w:val="0"/>
              <w:ind w:left="0" w:firstLine="0"/>
              <w:rPr>
                <w:sz w:val="20"/>
                <w:szCs w:val="20"/>
                <w:lang w:val="en-US" w:eastAsia="en-US"/>
              </w:rPr>
            </w:pPr>
            <w:r w:rsidRPr="00C83045">
              <w:rPr>
                <w:sz w:val="20"/>
                <w:szCs w:val="20"/>
                <w:lang w:val="en-US" w:eastAsia="en-US"/>
              </w:rPr>
              <w:t>(2)</w:t>
            </w:r>
          </w:p>
        </w:tc>
        <w:tc>
          <w:tcPr>
            <w:tcW w:w="687" w:type="dxa"/>
            <w:shd w:val="clear" w:color="auto" w:fill="auto"/>
          </w:tcPr>
          <w:p w14:paraId="323680AB"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198:0</w:t>
            </w:r>
          </w:p>
        </w:tc>
        <w:tc>
          <w:tcPr>
            <w:tcW w:w="670" w:type="dxa"/>
            <w:shd w:val="clear" w:color="auto" w:fill="auto"/>
          </w:tcPr>
          <w:p w14:paraId="323680AC"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196:0</w:t>
            </w:r>
          </w:p>
        </w:tc>
        <w:tc>
          <w:tcPr>
            <w:tcW w:w="710" w:type="dxa"/>
            <w:shd w:val="clear" w:color="auto" w:fill="auto"/>
          </w:tcPr>
          <w:p w14:paraId="323680AD"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192:0</w:t>
            </w:r>
          </w:p>
        </w:tc>
        <w:tc>
          <w:tcPr>
            <w:tcW w:w="717" w:type="dxa"/>
            <w:shd w:val="clear" w:color="auto" w:fill="auto"/>
          </w:tcPr>
          <w:p w14:paraId="323680AE"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187:4</w:t>
            </w:r>
          </w:p>
        </w:tc>
        <w:tc>
          <w:tcPr>
            <w:tcW w:w="691" w:type="dxa"/>
            <w:shd w:val="clear" w:color="auto" w:fill="auto"/>
          </w:tcPr>
          <w:p w14:paraId="323680AF"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184:5</w:t>
            </w:r>
          </w:p>
        </w:tc>
        <w:tc>
          <w:tcPr>
            <w:tcW w:w="770" w:type="dxa"/>
            <w:shd w:val="clear" w:color="auto" w:fill="auto"/>
          </w:tcPr>
          <w:p w14:paraId="323680B0"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164</w:t>
            </w:r>
            <w:r w:rsidR="00F71912" w:rsidRPr="00C83045">
              <w:rPr>
                <w:sz w:val="20"/>
                <w:szCs w:val="20"/>
                <w:lang w:val="en-US" w:eastAsia="en-US"/>
              </w:rPr>
              <w:t xml:space="preserve"> </w:t>
            </w:r>
            <w:r w:rsidRPr="00C83045">
              <w:rPr>
                <w:sz w:val="20"/>
                <w:szCs w:val="20"/>
                <w:lang w:val="en-US" w:eastAsia="en-US"/>
              </w:rPr>
              <w:t>:7</w:t>
            </w:r>
          </w:p>
        </w:tc>
        <w:tc>
          <w:tcPr>
            <w:tcW w:w="779" w:type="dxa"/>
            <w:shd w:val="clear" w:color="auto" w:fill="auto"/>
          </w:tcPr>
          <w:p w14:paraId="323680B1"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152:7</w:t>
            </w:r>
          </w:p>
        </w:tc>
        <w:tc>
          <w:tcPr>
            <w:tcW w:w="794" w:type="dxa"/>
            <w:shd w:val="clear" w:color="auto" w:fill="auto"/>
          </w:tcPr>
          <w:p w14:paraId="323680B2"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119:8</w:t>
            </w:r>
          </w:p>
        </w:tc>
        <w:tc>
          <w:tcPr>
            <w:tcW w:w="653" w:type="dxa"/>
            <w:shd w:val="clear" w:color="auto" w:fill="auto"/>
          </w:tcPr>
          <w:p w14:paraId="323680B3"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100:8</w:t>
            </w:r>
          </w:p>
        </w:tc>
        <w:tc>
          <w:tcPr>
            <w:tcW w:w="630" w:type="dxa"/>
            <w:shd w:val="clear" w:color="auto" w:fill="auto"/>
          </w:tcPr>
          <w:p w14:paraId="323680B4"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76:10</w:t>
            </w:r>
          </w:p>
        </w:tc>
        <w:tc>
          <w:tcPr>
            <w:tcW w:w="643" w:type="dxa"/>
            <w:shd w:val="clear" w:color="auto" w:fill="auto"/>
          </w:tcPr>
          <w:p w14:paraId="323680B5"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56:11</w:t>
            </w:r>
          </w:p>
        </w:tc>
        <w:tc>
          <w:tcPr>
            <w:tcW w:w="670" w:type="dxa"/>
            <w:shd w:val="clear" w:color="auto" w:fill="auto"/>
          </w:tcPr>
          <w:p w14:paraId="323680B6"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31:11</w:t>
            </w:r>
          </w:p>
        </w:tc>
        <w:tc>
          <w:tcPr>
            <w:tcW w:w="683" w:type="dxa"/>
            <w:shd w:val="clear" w:color="auto" w:fill="auto"/>
          </w:tcPr>
          <w:p w14:paraId="323680B7" w14:textId="77777777" w:rsidR="00E540AC" w:rsidRPr="00C83045" w:rsidRDefault="00E540AC" w:rsidP="00D4304B">
            <w:pPr>
              <w:keepNext/>
              <w:keepLines/>
              <w:widowControl w:val="0"/>
              <w:ind w:left="-45" w:firstLine="0"/>
              <w:rPr>
                <w:sz w:val="20"/>
                <w:szCs w:val="20"/>
                <w:lang w:val="en-US" w:eastAsia="en-US"/>
              </w:rPr>
            </w:pPr>
            <w:r w:rsidRPr="00C83045">
              <w:rPr>
                <w:sz w:val="20"/>
                <w:szCs w:val="20"/>
                <w:lang w:val="en-US" w:eastAsia="en-US"/>
              </w:rPr>
              <w:t>13:12</w:t>
            </w:r>
          </w:p>
        </w:tc>
        <w:tc>
          <w:tcPr>
            <w:tcW w:w="558" w:type="dxa"/>
            <w:shd w:val="clear" w:color="auto" w:fill="auto"/>
          </w:tcPr>
          <w:p w14:paraId="323680B8" w14:textId="77777777" w:rsidR="00E540AC" w:rsidRPr="00C83045" w:rsidRDefault="00366FAB" w:rsidP="00D4304B">
            <w:pPr>
              <w:keepNext/>
              <w:keepLines/>
              <w:widowControl w:val="0"/>
              <w:ind w:left="-45" w:firstLine="0"/>
              <w:rPr>
                <w:sz w:val="20"/>
                <w:szCs w:val="20"/>
                <w:lang w:val="en-US" w:eastAsia="en-US"/>
              </w:rPr>
            </w:pPr>
            <w:r w:rsidRPr="00C83045">
              <w:rPr>
                <w:sz w:val="20"/>
                <w:szCs w:val="20"/>
                <w:lang w:val="en-US" w:eastAsia="en-US"/>
              </w:rPr>
              <w:t>0</w:t>
            </w:r>
            <w:r w:rsidR="00E540AC" w:rsidRPr="00C83045">
              <w:rPr>
                <w:sz w:val="20"/>
                <w:szCs w:val="20"/>
                <w:lang w:val="en-US" w:eastAsia="en-US"/>
              </w:rPr>
              <w:t>:12</w:t>
            </w:r>
          </w:p>
        </w:tc>
        <w:tc>
          <w:tcPr>
            <w:tcW w:w="527" w:type="dxa"/>
            <w:shd w:val="clear" w:color="auto" w:fill="auto"/>
          </w:tcPr>
          <w:p w14:paraId="323680B9" w14:textId="77777777" w:rsidR="00E540AC" w:rsidRPr="00C83045" w:rsidRDefault="00E540AC" w:rsidP="00D4304B">
            <w:pPr>
              <w:keepNext/>
              <w:keepLines/>
              <w:widowControl w:val="0"/>
              <w:ind w:left="-45" w:firstLine="0"/>
              <w:rPr>
                <w:sz w:val="20"/>
                <w:szCs w:val="20"/>
                <w:lang w:val="en-US" w:eastAsia="en-US"/>
              </w:rPr>
            </w:pPr>
          </w:p>
        </w:tc>
      </w:tr>
    </w:tbl>
    <w:p w14:paraId="323680BB" w14:textId="77777777" w:rsidR="00A271C2" w:rsidRPr="00C83045" w:rsidRDefault="00A271C2" w:rsidP="00D4304B">
      <w:pPr>
        <w:widowControl w:val="0"/>
        <w:ind w:left="0" w:firstLine="0"/>
        <w:rPr>
          <w:color w:val="000000"/>
          <w:szCs w:val="22"/>
          <w:u w:val="single"/>
        </w:rPr>
      </w:pPr>
    </w:p>
    <w:p w14:paraId="323680BC" w14:textId="77777777" w:rsidR="00D8427D" w:rsidRPr="00C83045" w:rsidRDefault="0062582E" w:rsidP="00D4304B">
      <w:pPr>
        <w:pStyle w:val="EndnoteText"/>
        <w:widowControl w:val="0"/>
        <w:tabs>
          <w:tab w:val="clear" w:pos="567"/>
        </w:tabs>
        <w:rPr>
          <w:color w:val="000000"/>
          <w:szCs w:val="22"/>
          <w:lang w:val="sk-SK"/>
        </w:rPr>
      </w:pPr>
      <w:r w:rsidRPr="00C83045">
        <w:rPr>
          <w:color w:val="000000"/>
          <w:szCs w:val="22"/>
          <w:lang w:val="sk-SK"/>
        </w:rPr>
        <w:t>U pediatrických pacientov s GIST s pozitivitou c-Kit nie sú kontrolované klinické skúšania. V</w:t>
      </w:r>
      <w:r w:rsidR="00D46E7C" w:rsidRPr="00C83045">
        <w:rPr>
          <w:color w:val="000000"/>
          <w:szCs w:val="22"/>
          <w:lang w:val="sk-SK"/>
        </w:rPr>
        <w:t> </w:t>
      </w:r>
      <w:r w:rsidRPr="00C83045">
        <w:rPr>
          <w:color w:val="000000"/>
          <w:szCs w:val="22"/>
          <w:lang w:val="sk-SK"/>
        </w:rPr>
        <w:t>7</w:t>
      </w:r>
      <w:r w:rsidR="00A314BC" w:rsidRPr="00C83045">
        <w:rPr>
          <w:color w:val="000000"/>
          <w:szCs w:val="22"/>
          <w:lang w:val="sk-SK"/>
        </w:rPr>
        <w:t> publikáciá</w:t>
      </w:r>
      <w:r w:rsidRPr="00C83045">
        <w:rPr>
          <w:color w:val="000000"/>
          <w:szCs w:val="22"/>
          <w:lang w:val="sk-SK"/>
        </w:rPr>
        <w:t xml:space="preserve">ch boli správy o 17 pacientoch s GIST (s mutáciami Kit a PDGFR alebo bez nich). Vek týchto pacientov bol v rozmedzí od </w:t>
      </w:r>
      <w:r w:rsidR="00D46E7C" w:rsidRPr="00C83045">
        <w:rPr>
          <w:color w:val="000000"/>
          <w:szCs w:val="22"/>
          <w:lang w:val="sk-SK"/>
        </w:rPr>
        <w:t>8</w:t>
      </w:r>
      <w:r w:rsidRPr="00C83045">
        <w:rPr>
          <w:color w:val="000000"/>
          <w:szCs w:val="22"/>
          <w:lang w:val="sk-SK"/>
        </w:rPr>
        <w:t xml:space="preserve"> do 1</w:t>
      </w:r>
      <w:r w:rsidR="00D46E7C" w:rsidRPr="00C83045">
        <w:rPr>
          <w:color w:val="000000"/>
          <w:szCs w:val="22"/>
          <w:lang w:val="sk-SK"/>
        </w:rPr>
        <w:t>8</w:t>
      </w:r>
      <w:r w:rsidRPr="00C83045">
        <w:rPr>
          <w:color w:val="000000"/>
          <w:szCs w:val="22"/>
          <w:lang w:val="sk-SK"/>
        </w:rPr>
        <w:t> roko</w:t>
      </w:r>
      <w:r w:rsidR="006E5DE7" w:rsidRPr="00C83045">
        <w:rPr>
          <w:color w:val="000000"/>
          <w:szCs w:val="22"/>
          <w:lang w:val="sk-SK"/>
        </w:rPr>
        <w:t>v</w:t>
      </w:r>
      <w:r w:rsidRPr="00C83045">
        <w:rPr>
          <w:color w:val="000000"/>
          <w:szCs w:val="22"/>
          <w:lang w:val="sk-SK"/>
        </w:rPr>
        <w:t xml:space="preserve"> a imatinib sa im podával </w:t>
      </w:r>
      <w:r w:rsidR="00D46E7C" w:rsidRPr="00C83045">
        <w:rPr>
          <w:color w:val="000000"/>
          <w:szCs w:val="22"/>
          <w:lang w:val="sk-SK"/>
        </w:rPr>
        <w:t>v adjuvantnej liečbe</w:t>
      </w:r>
      <w:r w:rsidR="00D8427D" w:rsidRPr="00C83045">
        <w:rPr>
          <w:color w:val="000000"/>
          <w:szCs w:val="22"/>
          <w:lang w:val="sk-SK"/>
        </w:rPr>
        <w:t>, ako</w:t>
      </w:r>
      <w:r w:rsidR="00D46E7C" w:rsidRPr="00C83045">
        <w:rPr>
          <w:color w:val="000000"/>
          <w:szCs w:val="22"/>
          <w:lang w:val="sk-SK"/>
        </w:rPr>
        <w:t xml:space="preserve"> aj pri metastázach v</w:t>
      </w:r>
      <w:r w:rsidRPr="00C83045">
        <w:rPr>
          <w:color w:val="000000"/>
          <w:szCs w:val="22"/>
          <w:lang w:val="sk-SK"/>
        </w:rPr>
        <w:t xml:space="preserve"> dávkach od </w:t>
      </w:r>
      <w:r w:rsidR="00D46E7C" w:rsidRPr="00C83045">
        <w:rPr>
          <w:color w:val="000000"/>
          <w:szCs w:val="22"/>
          <w:lang w:val="sk-SK"/>
        </w:rPr>
        <w:t>3</w:t>
      </w:r>
      <w:r w:rsidRPr="00C83045">
        <w:rPr>
          <w:color w:val="000000"/>
          <w:szCs w:val="22"/>
          <w:lang w:val="sk-SK"/>
        </w:rPr>
        <w:t xml:space="preserve">00 do </w:t>
      </w:r>
      <w:r w:rsidR="00D46E7C" w:rsidRPr="00C83045">
        <w:rPr>
          <w:color w:val="000000"/>
          <w:szCs w:val="22"/>
          <w:lang w:val="sk-SK"/>
        </w:rPr>
        <w:t>8</w:t>
      </w:r>
      <w:r w:rsidRPr="00C83045">
        <w:rPr>
          <w:color w:val="000000"/>
          <w:szCs w:val="22"/>
          <w:lang w:val="sk-SK"/>
        </w:rPr>
        <w:t xml:space="preserve">00 mg denne. U </w:t>
      </w:r>
      <w:r w:rsidR="00D46E7C" w:rsidRPr="00C83045">
        <w:rPr>
          <w:color w:val="000000"/>
          <w:szCs w:val="22"/>
          <w:lang w:val="sk-SK"/>
        </w:rPr>
        <w:t xml:space="preserve">väčšiny pediatrických </w:t>
      </w:r>
      <w:r w:rsidRPr="00C83045">
        <w:rPr>
          <w:color w:val="000000"/>
          <w:szCs w:val="22"/>
          <w:lang w:val="sk-SK"/>
        </w:rPr>
        <w:t xml:space="preserve">pacientov </w:t>
      </w:r>
      <w:r w:rsidR="00D8427D" w:rsidRPr="00C83045">
        <w:rPr>
          <w:color w:val="000000"/>
          <w:szCs w:val="22"/>
          <w:lang w:val="sk-SK"/>
        </w:rPr>
        <w:t xml:space="preserve">liečených pre GIST chýbali údaje potvrdzujúce mutácie c-kit alebo PDGFR, čo mohlo viesť </w:t>
      </w:r>
      <w:r w:rsidR="00723902" w:rsidRPr="00C83045">
        <w:rPr>
          <w:color w:val="000000"/>
          <w:szCs w:val="22"/>
          <w:lang w:val="sk-SK"/>
        </w:rPr>
        <w:t>k</w:t>
      </w:r>
      <w:r w:rsidR="002956F5" w:rsidRPr="00C83045">
        <w:rPr>
          <w:color w:val="000000"/>
          <w:szCs w:val="22"/>
          <w:lang w:val="sk-SK"/>
        </w:rPr>
        <w:t> </w:t>
      </w:r>
      <w:r w:rsidR="00723902" w:rsidRPr="00C83045">
        <w:rPr>
          <w:color w:val="000000"/>
          <w:szCs w:val="22"/>
          <w:lang w:val="sk-SK"/>
        </w:rPr>
        <w:t>zmiešaným klinickým výsledkom.</w:t>
      </w:r>
    </w:p>
    <w:p w14:paraId="323680BD" w14:textId="77777777" w:rsidR="00D8427D" w:rsidRPr="00C83045" w:rsidRDefault="00D8427D" w:rsidP="00D4304B">
      <w:pPr>
        <w:pStyle w:val="EndnoteText"/>
        <w:widowControl w:val="0"/>
        <w:tabs>
          <w:tab w:val="clear" w:pos="567"/>
        </w:tabs>
        <w:rPr>
          <w:color w:val="000000"/>
          <w:szCs w:val="22"/>
          <w:lang w:val="sk-SK"/>
        </w:rPr>
      </w:pPr>
    </w:p>
    <w:p w14:paraId="323680BE" w14:textId="77777777" w:rsidR="002D6E67" w:rsidRPr="00C83045" w:rsidRDefault="002D6E67" w:rsidP="00D4304B">
      <w:pPr>
        <w:keepNext/>
        <w:keepLines/>
        <w:widowControl w:val="0"/>
        <w:ind w:left="0" w:firstLine="0"/>
        <w:rPr>
          <w:color w:val="000000"/>
          <w:szCs w:val="22"/>
          <w:u w:val="single"/>
        </w:rPr>
      </w:pPr>
      <w:r w:rsidRPr="00C83045">
        <w:rPr>
          <w:color w:val="000000"/>
          <w:szCs w:val="22"/>
          <w:u w:val="single"/>
        </w:rPr>
        <w:lastRenderedPageBreak/>
        <w:t>Klinické skúšania pri DFSP</w:t>
      </w:r>
    </w:p>
    <w:p w14:paraId="323680BF" w14:textId="77777777" w:rsidR="002D6E67" w:rsidRPr="00C83045" w:rsidRDefault="002D6E67" w:rsidP="00D4304B">
      <w:pPr>
        <w:pStyle w:val="Text"/>
        <w:widowControl w:val="0"/>
        <w:spacing w:before="0"/>
        <w:jc w:val="left"/>
        <w:rPr>
          <w:rFonts w:eastAsia="MS Mincho"/>
          <w:strike/>
          <w:color w:val="000000"/>
          <w:sz w:val="22"/>
          <w:szCs w:val="22"/>
          <w:lang w:val="sk-SK" w:eastAsia="ja-JP"/>
        </w:rPr>
      </w:pPr>
      <w:r w:rsidRPr="00C83045">
        <w:rPr>
          <w:color w:val="000000"/>
          <w:sz w:val="22"/>
          <w:szCs w:val="22"/>
          <w:lang w:val="sk-SK"/>
        </w:rPr>
        <w:t xml:space="preserve">Vykonalo sa jedno otvorené multicentrické klinické skúšanie fázy II (štúdia B2225), do ktorého bolo zaradených 12 pacientov s DFSP, ktorým sa podával Glivec 800 mg denne. Vek pacientov s DFSP bol v rozmedzí od 23 do 75 rokov; DFSP bol metastazujúci, lokálne rekurentný po pôvodnej resekcii a v čase zaradenia do klinického skúšania sa nepovažoval za vhodný pre ďalšiu resekciu. Primárny dôkaz účinnosti bol založený na podiele objektívnych odpovedí. Z 12 zaradených pacientov sa u 9 dosiahla odpoveď na liečbu, u jedného kompletná a u 8 čiastočná. U 3 pacientov s čiastočnou odpoveďou sa ochorenie následne odstránilo chirurgickým zákrokom. Medián trvania liečby v klinickom skúšaní B2225 bol 6,2 mesiacov, maximálne trvanie 24,3 mesiacov. Správy o ďalších 6 pacientoch s DFSP liečených Glivecom, ktorých vek bol v rozmedzí od 18 mesiacov do 49 rokov, boli v 5 publikovaných hláseniach o prípadoch. Dospelí pacienti, o ktorých boli správy v publikovanej literatúre, dostávali buď 400 mg (4 prípady), alebo 800 mg (1 prípad) Glivecu denne. </w:t>
      </w:r>
      <w:r w:rsidRPr="00C83045">
        <w:rPr>
          <w:rFonts w:eastAsia="MS Mincho"/>
          <w:color w:val="000000"/>
          <w:sz w:val="22"/>
          <w:szCs w:val="22"/>
          <w:lang w:val="sk-SK" w:eastAsia="ja-JP"/>
        </w:rPr>
        <w:t xml:space="preserve">Odpoveď na liečbu sa dosiahla u 5 pacientov, u 3 kompletná a u 2 čiastočná. </w:t>
      </w:r>
      <w:r w:rsidRPr="00C83045">
        <w:rPr>
          <w:color w:val="000000"/>
          <w:sz w:val="22"/>
          <w:szCs w:val="22"/>
          <w:lang w:val="sk-SK"/>
        </w:rPr>
        <w:t>Medián trvania liečby v publikovanej literatúre bol v rozmedzí 4 týždne a viac ako 20 mesiacov.</w:t>
      </w:r>
      <w:r w:rsidRPr="00C83045">
        <w:rPr>
          <w:color w:val="000000"/>
          <w:sz w:val="22"/>
          <w:szCs w:val="22"/>
          <w:lang w:val="sk-SK" w:eastAsia="ja-JP"/>
        </w:rPr>
        <w:t xml:space="preserve"> Translokácia t(17:22)[(q22:q13)] alebo jej génový produkt bola prítomná u takmer všetkých pacientov s odpoveďou na liečbu Glivecom.</w:t>
      </w:r>
    </w:p>
    <w:p w14:paraId="323680C0" w14:textId="77777777" w:rsidR="00103921" w:rsidRPr="00C83045" w:rsidRDefault="00103921" w:rsidP="00D4304B">
      <w:pPr>
        <w:widowControl w:val="0"/>
        <w:ind w:left="0" w:firstLine="0"/>
        <w:rPr>
          <w:noProof/>
          <w:color w:val="000000"/>
          <w:szCs w:val="22"/>
        </w:rPr>
      </w:pPr>
    </w:p>
    <w:p w14:paraId="323680C1" w14:textId="77777777" w:rsidR="00D8427D" w:rsidRPr="00C83045" w:rsidRDefault="00D8427D" w:rsidP="00D4304B">
      <w:pPr>
        <w:pStyle w:val="EndnoteText"/>
        <w:widowControl w:val="0"/>
        <w:tabs>
          <w:tab w:val="clear" w:pos="567"/>
        </w:tabs>
        <w:rPr>
          <w:color w:val="000000"/>
          <w:szCs w:val="22"/>
          <w:lang w:val="sk-SK"/>
        </w:rPr>
      </w:pPr>
      <w:r w:rsidRPr="00C83045">
        <w:rPr>
          <w:color w:val="000000"/>
          <w:szCs w:val="22"/>
          <w:lang w:val="sk-SK"/>
        </w:rPr>
        <w:t>U pediatrických pacientov s DFSP nie sú kontrolované klinické skúšania. V 3 </w:t>
      </w:r>
      <w:r w:rsidR="00A314BC" w:rsidRPr="00C83045">
        <w:rPr>
          <w:color w:val="000000"/>
          <w:szCs w:val="22"/>
          <w:lang w:val="sk-SK"/>
        </w:rPr>
        <w:t>publikáciách</w:t>
      </w:r>
      <w:r w:rsidRPr="00C83045">
        <w:rPr>
          <w:color w:val="000000"/>
          <w:szCs w:val="22"/>
          <w:lang w:val="sk-SK"/>
        </w:rPr>
        <w:t xml:space="preserve"> boli správy o 5 pacientoch s DFSP a s preskupeniami génu PDGFR. Vek týchto pacientov bol v rozmedzí od novorodencov do 14 rokov a imatinib sa im podával v</w:t>
      </w:r>
      <w:r w:rsidR="000C18E3" w:rsidRPr="00C83045">
        <w:rPr>
          <w:color w:val="000000"/>
          <w:szCs w:val="22"/>
          <w:lang w:val="sk-SK"/>
        </w:rPr>
        <w:t> </w:t>
      </w:r>
      <w:r w:rsidRPr="00C83045">
        <w:rPr>
          <w:color w:val="000000"/>
          <w:szCs w:val="22"/>
          <w:lang w:val="sk-SK"/>
        </w:rPr>
        <w:t>dávk</w:t>
      </w:r>
      <w:r w:rsidR="000C18E3" w:rsidRPr="00C83045">
        <w:rPr>
          <w:color w:val="000000"/>
          <w:szCs w:val="22"/>
          <w:lang w:val="sk-SK"/>
        </w:rPr>
        <w:t xml:space="preserve">e </w:t>
      </w:r>
      <w:r w:rsidR="000C18E3" w:rsidRPr="00C83045">
        <w:rPr>
          <w:color w:val="000000"/>
          <w:szCs w:val="22"/>
          <w:lang w:val="sk-SK" w:eastAsia="ja-JP"/>
        </w:rPr>
        <w:t>50</w:t>
      </w:r>
      <w:r w:rsidR="000C18E3" w:rsidRPr="00C83045">
        <w:rPr>
          <w:color w:val="000000"/>
          <w:szCs w:val="22"/>
          <w:lang w:val="sk-SK"/>
        </w:rPr>
        <w:t> </w:t>
      </w:r>
      <w:r w:rsidR="000C18E3" w:rsidRPr="00C83045">
        <w:rPr>
          <w:color w:val="000000"/>
          <w:szCs w:val="22"/>
          <w:lang w:val="sk-SK" w:eastAsia="ja-JP"/>
        </w:rPr>
        <w:t>mg</w:t>
      </w:r>
      <w:r w:rsidR="000C18E3" w:rsidRPr="00C83045">
        <w:rPr>
          <w:color w:val="000000"/>
          <w:szCs w:val="22"/>
          <w:lang w:val="sk-SK"/>
        </w:rPr>
        <w:t xml:space="preserve"> denne alebo v dávkach </w:t>
      </w:r>
      <w:r w:rsidRPr="00C83045">
        <w:rPr>
          <w:color w:val="000000"/>
          <w:szCs w:val="22"/>
          <w:lang w:val="sk-SK"/>
        </w:rPr>
        <w:t xml:space="preserve">od </w:t>
      </w:r>
      <w:r w:rsidRPr="00C83045">
        <w:rPr>
          <w:color w:val="000000"/>
          <w:szCs w:val="22"/>
          <w:lang w:val="sk-SK" w:eastAsia="ja-JP"/>
        </w:rPr>
        <w:t>400 do 520</w:t>
      </w:r>
      <w:r w:rsidRPr="00C83045">
        <w:rPr>
          <w:color w:val="000000"/>
          <w:szCs w:val="22"/>
          <w:lang w:val="sk-SK"/>
        </w:rPr>
        <w:t> </w:t>
      </w:r>
      <w:r w:rsidRPr="00C83045">
        <w:rPr>
          <w:color w:val="000000"/>
          <w:szCs w:val="22"/>
          <w:lang w:val="sk-SK" w:eastAsia="ja-JP"/>
        </w:rPr>
        <w:t>mg/m</w:t>
      </w:r>
      <w:r w:rsidRPr="00C83045">
        <w:rPr>
          <w:color w:val="000000"/>
          <w:szCs w:val="22"/>
          <w:vertAlign w:val="superscript"/>
          <w:lang w:val="sk-SK" w:eastAsia="ja-JP"/>
        </w:rPr>
        <w:t>2</w:t>
      </w:r>
      <w:r w:rsidRPr="00C83045">
        <w:rPr>
          <w:color w:val="000000"/>
          <w:szCs w:val="22"/>
          <w:lang w:val="sk-SK" w:eastAsia="ja-JP"/>
        </w:rPr>
        <w:t xml:space="preserve"> denne</w:t>
      </w:r>
      <w:r w:rsidRPr="00C83045">
        <w:rPr>
          <w:color w:val="000000"/>
          <w:szCs w:val="22"/>
          <w:lang w:val="sk-SK"/>
        </w:rPr>
        <w:t xml:space="preserve">. </w:t>
      </w:r>
      <w:r w:rsidR="002956F5" w:rsidRPr="00C83045">
        <w:rPr>
          <w:color w:val="000000"/>
          <w:szCs w:val="22"/>
          <w:lang w:val="sk-SK"/>
        </w:rPr>
        <w:t>V</w:t>
      </w:r>
      <w:r w:rsidRPr="00C83045">
        <w:rPr>
          <w:color w:val="000000"/>
          <w:szCs w:val="22"/>
          <w:lang w:val="sk-SK"/>
        </w:rPr>
        <w:t>šet</w:t>
      </w:r>
      <w:r w:rsidR="002956F5" w:rsidRPr="00C83045">
        <w:rPr>
          <w:color w:val="000000"/>
          <w:szCs w:val="22"/>
          <w:lang w:val="sk-SK"/>
        </w:rPr>
        <w:t>ci</w:t>
      </w:r>
      <w:r w:rsidRPr="00C83045">
        <w:rPr>
          <w:color w:val="000000"/>
          <w:szCs w:val="22"/>
          <w:lang w:val="sk-SK"/>
        </w:rPr>
        <w:t xml:space="preserve"> pacient</w:t>
      </w:r>
      <w:r w:rsidR="002956F5" w:rsidRPr="00C83045">
        <w:rPr>
          <w:color w:val="000000"/>
          <w:szCs w:val="22"/>
          <w:lang w:val="sk-SK"/>
        </w:rPr>
        <w:t>i</w:t>
      </w:r>
      <w:r w:rsidRPr="00C83045">
        <w:rPr>
          <w:color w:val="000000"/>
          <w:szCs w:val="22"/>
          <w:lang w:val="sk-SK"/>
        </w:rPr>
        <w:t xml:space="preserve"> dosiahl</w:t>
      </w:r>
      <w:r w:rsidR="002956F5" w:rsidRPr="00C83045">
        <w:rPr>
          <w:color w:val="000000"/>
          <w:szCs w:val="22"/>
          <w:lang w:val="sk-SK"/>
        </w:rPr>
        <w:t>i</w:t>
      </w:r>
      <w:r w:rsidRPr="00C83045">
        <w:rPr>
          <w:color w:val="000000"/>
          <w:szCs w:val="22"/>
          <w:lang w:val="sk-SK"/>
        </w:rPr>
        <w:t xml:space="preserve"> </w:t>
      </w:r>
      <w:r w:rsidR="003C6CE4" w:rsidRPr="00C83045">
        <w:rPr>
          <w:color w:val="000000"/>
          <w:szCs w:val="22"/>
          <w:lang w:val="sk-SK"/>
        </w:rPr>
        <w:t>čiastočn</w:t>
      </w:r>
      <w:r w:rsidR="002956F5" w:rsidRPr="00C83045">
        <w:rPr>
          <w:color w:val="000000"/>
          <w:szCs w:val="22"/>
          <w:lang w:val="sk-SK"/>
        </w:rPr>
        <w:t>ú</w:t>
      </w:r>
      <w:r w:rsidR="003C6CE4" w:rsidRPr="00C83045">
        <w:rPr>
          <w:color w:val="000000"/>
          <w:szCs w:val="22"/>
          <w:lang w:val="sk-SK"/>
        </w:rPr>
        <w:t xml:space="preserve"> a/alebo </w:t>
      </w:r>
      <w:r w:rsidRPr="00C83045">
        <w:rPr>
          <w:color w:val="000000"/>
          <w:szCs w:val="22"/>
          <w:lang w:val="sk-SK"/>
        </w:rPr>
        <w:t>kompletn</w:t>
      </w:r>
      <w:r w:rsidR="002956F5" w:rsidRPr="00C83045">
        <w:rPr>
          <w:color w:val="000000"/>
          <w:szCs w:val="22"/>
          <w:lang w:val="sk-SK"/>
        </w:rPr>
        <w:t>ú</w:t>
      </w:r>
      <w:r w:rsidRPr="00C83045">
        <w:rPr>
          <w:color w:val="000000"/>
          <w:szCs w:val="22"/>
          <w:lang w:val="sk-SK"/>
        </w:rPr>
        <w:t xml:space="preserve"> odpoveď.</w:t>
      </w:r>
    </w:p>
    <w:p w14:paraId="323680C2" w14:textId="77777777" w:rsidR="006B28A0" w:rsidRPr="00C83045" w:rsidRDefault="006B28A0" w:rsidP="00D4304B">
      <w:pPr>
        <w:widowControl w:val="0"/>
        <w:ind w:left="560" w:hanging="560"/>
        <w:rPr>
          <w:bCs/>
          <w:color w:val="000000"/>
          <w:szCs w:val="22"/>
        </w:rPr>
      </w:pPr>
    </w:p>
    <w:p w14:paraId="323680C3" w14:textId="77777777" w:rsidR="00847D15" w:rsidRPr="00C83045" w:rsidRDefault="000328DA" w:rsidP="00D4304B">
      <w:pPr>
        <w:keepNext/>
        <w:keepLines/>
        <w:widowControl w:val="0"/>
        <w:ind w:left="560" w:hanging="560"/>
        <w:rPr>
          <w:b/>
          <w:bCs/>
          <w:color w:val="000000"/>
          <w:szCs w:val="22"/>
        </w:rPr>
      </w:pPr>
      <w:r w:rsidRPr="00C83045">
        <w:rPr>
          <w:b/>
          <w:bCs/>
          <w:color w:val="000000"/>
          <w:szCs w:val="22"/>
        </w:rPr>
        <w:t>5.2</w:t>
      </w:r>
      <w:r w:rsidRPr="00C83045">
        <w:rPr>
          <w:b/>
          <w:bCs/>
          <w:color w:val="000000"/>
          <w:szCs w:val="22"/>
        </w:rPr>
        <w:tab/>
      </w:r>
      <w:r w:rsidR="00847D15" w:rsidRPr="00C83045">
        <w:rPr>
          <w:b/>
          <w:bCs/>
          <w:color w:val="000000"/>
          <w:szCs w:val="22"/>
        </w:rPr>
        <w:t>Farmakokinetické vlastnosti</w:t>
      </w:r>
    </w:p>
    <w:p w14:paraId="323680C4" w14:textId="77777777" w:rsidR="00847D15" w:rsidRPr="00C83045" w:rsidRDefault="00847D15" w:rsidP="00D4304B">
      <w:pPr>
        <w:keepNext/>
        <w:keepLines/>
        <w:widowControl w:val="0"/>
        <w:ind w:left="0" w:firstLine="0"/>
        <w:rPr>
          <w:color w:val="000000"/>
          <w:szCs w:val="22"/>
        </w:rPr>
      </w:pPr>
    </w:p>
    <w:p w14:paraId="323680C5" w14:textId="77777777" w:rsidR="00847D15" w:rsidRPr="00C83045" w:rsidRDefault="00847D15" w:rsidP="00D4304B">
      <w:pPr>
        <w:pStyle w:val="Heading2"/>
        <w:keepLines/>
        <w:widowControl w:val="0"/>
        <w:autoSpaceDE/>
        <w:autoSpaceDN/>
        <w:rPr>
          <w:b w:val="0"/>
          <w:i w:val="0"/>
          <w:color w:val="000000"/>
          <w:sz w:val="22"/>
          <w:szCs w:val="22"/>
          <w:u w:val="single"/>
        </w:rPr>
      </w:pPr>
      <w:r w:rsidRPr="00C83045">
        <w:rPr>
          <w:b w:val="0"/>
          <w:i w:val="0"/>
          <w:color w:val="000000"/>
          <w:sz w:val="22"/>
          <w:szCs w:val="22"/>
          <w:u w:val="single"/>
        </w:rPr>
        <w:t>Farmakokinetika Glivecu</w:t>
      </w:r>
    </w:p>
    <w:p w14:paraId="323680C6" w14:textId="77777777" w:rsidR="00847D15" w:rsidRPr="00C83045" w:rsidRDefault="00847D15" w:rsidP="00D4304B">
      <w:pPr>
        <w:widowControl w:val="0"/>
        <w:ind w:left="0" w:firstLine="0"/>
        <w:rPr>
          <w:color w:val="000000"/>
          <w:szCs w:val="22"/>
        </w:rPr>
      </w:pPr>
      <w:r w:rsidRPr="00C83045">
        <w:rPr>
          <w:color w:val="000000"/>
          <w:szCs w:val="22"/>
        </w:rPr>
        <w:t>Farmakokinetika Glivecu sa hodnotila v rozmedzí dávok od 25 do 1 000 mg. Farmakokinetické profily v plazme sa stanovili v 1. deň a buď na 7., alebo 28. deň, keď koncentrácie v plazme dosiahli rovnovážny stav.</w:t>
      </w:r>
    </w:p>
    <w:p w14:paraId="323680C7" w14:textId="77777777" w:rsidR="00847D15" w:rsidRPr="00C83045" w:rsidRDefault="00847D15" w:rsidP="00D4304B">
      <w:pPr>
        <w:widowControl w:val="0"/>
        <w:ind w:left="0" w:firstLine="0"/>
        <w:rPr>
          <w:color w:val="000000"/>
          <w:szCs w:val="22"/>
        </w:rPr>
      </w:pPr>
    </w:p>
    <w:p w14:paraId="323680C8" w14:textId="77777777" w:rsidR="00C6653A" w:rsidRPr="00C83045" w:rsidRDefault="00C6653A" w:rsidP="00D4304B">
      <w:pPr>
        <w:pStyle w:val="Heading2"/>
        <w:widowControl w:val="0"/>
        <w:autoSpaceDE/>
        <w:autoSpaceDN/>
        <w:rPr>
          <w:b w:val="0"/>
          <w:i w:val="0"/>
          <w:color w:val="000000"/>
          <w:sz w:val="22"/>
          <w:szCs w:val="22"/>
          <w:u w:val="single"/>
        </w:rPr>
      </w:pPr>
      <w:r w:rsidRPr="00C83045">
        <w:rPr>
          <w:b w:val="0"/>
          <w:i w:val="0"/>
          <w:color w:val="000000"/>
          <w:sz w:val="22"/>
          <w:szCs w:val="22"/>
          <w:u w:val="single"/>
        </w:rPr>
        <w:t>Absorpcia</w:t>
      </w:r>
    </w:p>
    <w:p w14:paraId="323680C9" w14:textId="77777777" w:rsidR="00C6653A" w:rsidRPr="00C83045" w:rsidRDefault="00C6653A" w:rsidP="00D4304B">
      <w:pPr>
        <w:pStyle w:val="Footer"/>
        <w:widowControl w:val="0"/>
        <w:ind w:left="0" w:firstLine="0"/>
        <w:rPr>
          <w:color w:val="000000"/>
          <w:szCs w:val="22"/>
        </w:rPr>
      </w:pPr>
      <w:r w:rsidRPr="00C83045">
        <w:rPr>
          <w:color w:val="000000"/>
          <w:szCs w:val="22"/>
        </w:rPr>
        <w:t>Priemerná absolútna biologická dostupnosť kapsúl je 98%. Po perorálnom podaní bola medzi pacientmi vysoká variabilita hodnôt AUC imatinibu v plazme. Pri podaní s jedlom s vysokým obsahom tukov sa miera absorpcie imatinibu trochu znížila (pokles C</w:t>
      </w:r>
      <w:r w:rsidRPr="00C83045">
        <w:rPr>
          <w:color w:val="000000"/>
          <w:szCs w:val="22"/>
          <w:vertAlign w:val="subscript"/>
        </w:rPr>
        <w:t>max</w:t>
      </w:r>
      <w:r w:rsidRPr="00C83045">
        <w:rPr>
          <w:color w:val="000000"/>
          <w:szCs w:val="22"/>
        </w:rPr>
        <w:t xml:space="preserve"> o 11% a predĺženie t</w:t>
      </w:r>
      <w:r w:rsidRPr="00C83045">
        <w:rPr>
          <w:color w:val="000000"/>
          <w:szCs w:val="22"/>
          <w:vertAlign w:val="subscript"/>
        </w:rPr>
        <w:t>max</w:t>
      </w:r>
      <w:r w:rsidRPr="00C83045">
        <w:rPr>
          <w:color w:val="000000"/>
          <w:szCs w:val="22"/>
        </w:rPr>
        <w:t xml:space="preserve"> o 1,5 hod) a o málo sa zmenšila hodnota AUC (7,4%) v porovnaní s podaním nalačno. Účinok gastrointestinálneho chirurgického zákroku na absorpciu liečiva pri neskoršom podávaní sa nesledoval.</w:t>
      </w:r>
    </w:p>
    <w:p w14:paraId="323680CA" w14:textId="77777777" w:rsidR="00847D15" w:rsidRPr="00C83045" w:rsidRDefault="00847D15" w:rsidP="00D4304B">
      <w:pPr>
        <w:pStyle w:val="Footer"/>
        <w:widowControl w:val="0"/>
        <w:ind w:left="0" w:firstLine="0"/>
        <w:rPr>
          <w:color w:val="000000"/>
          <w:szCs w:val="22"/>
        </w:rPr>
      </w:pPr>
    </w:p>
    <w:p w14:paraId="323680CB" w14:textId="77777777" w:rsidR="00847D15" w:rsidRPr="00C83045" w:rsidRDefault="00847D15" w:rsidP="00D4304B">
      <w:pPr>
        <w:pStyle w:val="Footer"/>
        <w:keepNext/>
        <w:widowControl w:val="0"/>
        <w:ind w:left="0" w:firstLine="0"/>
        <w:rPr>
          <w:color w:val="000000"/>
          <w:szCs w:val="22"/>
          <w:u w:val="single"/>
        </w:rPr>
      </w:pPr>
      <w:r w:rsidRPr="00C83045">
        <w:rPr>
          <w:color w:val="000000"/>
          <w:szCs w:val="22"/>
          <w:u w:val="single"/>
        </w:rPr>
        <w:t>Distribúcia</w:t>
      </w:r>
    </w:p>
    <w:p w14:paraId="323680CC" w14:textId="77777777" w:rsidR="00847D15" w:rsidRPr="00C83045" w:rsidRDefault="00847D15" w:rsidP="00D4304B">
      <w:pPr>
        <w:pStyle w:val="Footer"/>
        <w:widowControl w:val="0"/>
        <w:ind w:left="0" w:firstLine="0"/>
        <w:rPr>
          <w:color w:val="000000"/>
          <w:szCs w:val="22"/>
        </w:rPr>
      </w:pPr>
      <w:r w:rsidRPr="00C83045">
        <w:rPr>
          <w:color w:val="000000"/>
          <w:szCs w:val="22"/>
        </w:rPr>
        <w:t xml:space="preserve">Pri klinicky významných koncentráciách sa na bielkoviny plazmy pri pokusoch </w:t>
      </w:r>
      <w:r w:rsidRPr="00C83045">
        <w:rPr>
          <w:i/>
          <w:color w:val="000000"/>
          <w:szCs w:val="22"/>
        </w:rPr>
        <w:t>in vitro</w:t>
      </w:r>
      <w:r w:rsidRPr="00C83045">
        <w:rPr>
          <w:color w:val="000000"/>
          <w:szCs w:val="22"/>
        </w:rPr>
        <w:t xml:space="preserve"> viazalo približne 95% imatinibu, najviac na albumín a kyslý alfa-glykoproteín, s nízkym podielom viazaným na lipoproteíny.</w:t>
      </w:r>
    </w:p>
    <w:p w14:paraId="323680CD" w14:textId="77777777" w:rsidR="00847D15" w:rsidRPr="00C83045" w:rsidRDefault="00847D15" w:rsidP="00D4304B">
      <w:pPr>
        <w:pStyle w:val="Footer"/>
        <w:widowControl w:val="0"/>
        <w:ind w:left="0" w:firstLine="0"/>
        <w:rPr>
          <w:color w:val="000000"/>
          <w:szCs w:val="22"/>
        </w:rPr>
      </w:pPr>
    </w:p>
    <w:p w14:paraId="323680CE" w14:textId="77777777" w:rsidR="00C6653A" w:rsidRPr="00C83045" w:rsidRDefault="00C6653A" w:rsidP="00D4304B">
      <w:pPr>
        <w:pStyle w:val="Footer"/>
        <w:keepNext/>
        <w:widowControl w:val="0"/>
        <w:ind w:left="0" w:firstLine="0"/>
        <w:rPr>
          <w:color w:val="000000"/>
          <w:szCs w:val="22"/>
          <w:u w:val="single"/>
        </w:rPr>
      </w:pPr>
      <w:r w:rsidRPr="00C83045">
        <w:rPr>
          <w:noProof/>
          <w:u w:val="single"/>
        </w:rPr>
        <w:t>Biotransformácia</w:t>
      </w:r>
    </w:p>
    <w:p w14:paraId="323680CF" w14:textId="77777777" w:rsidR="00847D15" w:rsidRPr="00C83045" w:rsidRDefault="00847D15" w:rsidP="00D4304B">
      <w:pPr>
        <w:pStyle w:val="Footer"/>
        <w:widowControl w:val="0"/>
        <w:ind w:left="0" w:firstLine="0"/>
        <w:rPr>
          <w:color w:val="000000"/>
          <w:szCs w:val="22"/>
        </w:rPr>
      </w:pPr>
      <w:r w:rsidRPr="00C83045">
        <w:rPr>
          <w:color w:val="000000"/>
          <w:szCs w:val="22"/>
        </w:rPr>
        <w:t xml:space="preserve">Hlavným cirkulujúcim metabolitom u ľudí je N-demetylovaný piperazínový derivát, ktorý vykazuje </w:t>
      </w:r>
      <w:r w:rsidRPr="00C83045">
        <w:rPr>
          <w:i/>
          <w:color w:val="000000"/>
          <w:szCs w:val="22"/>
        </w:rPr>
        <w:t>in vitro</w:t>
      </w:r>
      <w:r w:rsidRPr="00C83045">
        <w:rPr>
          <w:color w:val="000000"/>
          <w:szCs w:val="22"/>
        </w:rPr>
        <w:t xml:space="preserve"> podobnú účinnosť ako nezmenené liečivo. Zistilo sa, že hodnota AUC tohto metabolitu v plazme dosahuje len 16% AUC imatinibu.</w:t>
      </w:r>
      <w:r w:rsidR="00F3655F" w:rsidRPr="00C83045">
        <w:rPr>
          <w:color w:val="000000"/>
          <w:szCs w:val="22"/>
        </w:rPr>
        <w:t xml:space="preserve"> </w:t>
      </w:r>
      <w:r w:rsidR="00A2249B" w:rsidRPr="00C83045">
        <w:rPr>
          <w:color w:val="000000"/>
          <w:szCs w:val="22"/>
        </w:rPr>
        <w:t>Väzba na bielkoviny plazmy N-demetylovaného metabolitu je podobná ako pri nezmenenom liečive.</w:t>
      </w:r>
    </w:p>
    <w:p w14:paraId="323680D0" w14:textId="77777777" w:rsidR="00847D15" w:rsidRPr="00C83045" w:rsidRDefault="00847D15" w:rsidP="00D4304B">
      <w:pPr>
        <w:pStyle w:val="Footer"/>
        <w:widowControl w:val="0"/>
        <w:ind w:left="0" w:firstLine="0"/>
        <w:rPr>
          <w:color w:val="000000"/>
          <w:szCs w:val="22"/>
        </w:rPr>
      </w:pPr>
    </w:p>
    <w:p w14:paraId="323680D1" w14:textId="77777777" w:rsidR="00847D15" w:rsidRPr="00C83045" w:rsidRDefault="00847D15" w:rsidP="00D4304B">
      <w:pPr>
        <w:pStyle w:val="Footer"/>
        <w:widowControl w:val="0"/>
        <w:ind w:left="0" w:firstLine="0"/>
        <w:rPr>
          <w:color w:val="000000"/>
          <w:szCs w:val="22"/>
        </w:rPr>
      </w:pPr>
      <w:r w:rsidRPr="00C83045">
        <w:rPr>
          <w:color w:val="000000"/>
          <w:szCs w:val="22"/>
        </w:rPr>
        <w:t>Imatinib a jeho N-demetylovaný metabolit spolu predstavovali 65% cirkulujúcej rádioaktivity (AUC</w:t>
      </w:r>
      <w:r w:rsidRPr="00C83045">
        <w:rPr>
          <w:color w:val="000000"/>
          <w:szCs w:val="22"/>
          <w:vertAlign w:val="subscript"/>
        </w:rPr>
        <w:t>0</w:t>
      </w:r>
      <w:r w:rsidRPr="00C83045">
        <w:rPr>
          <w:color w:val="000000"/>
          <w:szCs w:val="22"/>
          <w:vertAlign w:val="subscript"/>
        </w:rPr>
        <w:noBreakHyphen/>
        <w:t>48h</w:t>
      </w:r>
      <w:r w:rsidRPr="00C83045">
        <w:rPr>
          <w:color w:val="000000"/>
          <w:szCs w:val="22"/>
        </w:rPr>
        <w:t>). Zvyšná cirkulujúca rádioaktivita sa pripísala radu vedľajších metabolitov.</w:t>
      </w:r>
    </w:p>
    <w:p w14:paraId="323680D2" w14:textId="77777777" w:rsidR="00847D15" w:rsidRPr="00C83045" w:rsidRDefault="00847D15" w:rsidP="00D4304B">
      <w:pPr>
        <w:pStyle w:val="Footer"/>
        <w:widowControl w:val="0"/>
        <w:ind w:left="0" w:firstLine="0"/>
        <w:rPr>
          <w:color w:val="000000"/>
          <w:szCs w:val="22"/>
        </w:rPr>
      </w:pPr>
    </w:p>
    <w:p w14:paraId="323680D3" w14:textId="77777777" w:rsidR="00847D15" w:rsidRPr="00C83045" w:rsidRDefault="00847D15" w:rsidP="00D4304B">
      <w:pPr>
        <w:pStyle w:val="Footer"/>
        <w:widowControl w:val="0"/>
        <w:ind w:left="0" w:firstLine="0"/>
        <w:rPr>
          <w:color w:val="000000"/>
          <w:szCs w:val="22"/>
        </w:rPr>
      </w:pPr>
      <w:r w:rsidRPr="00C83045">
        <w:rPr>
          <w:color w:val="000000"/>
          <w:szCs w:val="22"/>
        </w:rPr>
        <w:t xml:space="preserve">Výsledky </w:t>
      </w:r>
      <w:r w:rsidRPr="00C83045">
        <w:rPr>
          <w:i/>
          <w:color w:val="000000"/>
          <w:szCs w:val="22"/>
        </w:rPr>
        <w:t>in vitro</w:t>
      </w:r>
      <w:r w:rsidRPr="00C83045">
        <w:rPr>
          <w:color w:val="000000"/>
          <w:szCs w:val="22"/>
        </w:rPr>
        <w:t xml:space="preserve"> ukázali, že CYP3A4 bol hlavný ľudský enzým P450, ktorý katalyzuje biotransformáciu imatinibu. Zo skupiny liečiv, pri ktorých prichádza do úvahy súčasné podávanie (paracetamol, aciklovir, alopurinol, amfotericín, cytarabín, erytromycín, flukonazol, hydroxymočovina, norfloxacín, penicilín V), len pri erytromycíne (IC</w:t>
      </w:r>
      <w:r w:rsidRPr="00C83045">
        <w:rPr>
          <w:color w:val="000000"/>
          <w:szCs w:val="22"/>
          <w:vertAlign w:val="subscript"/>
        </w:rPr>
        <w:t>50</w:t>
      </w:r>
      <w:r w:rsidRPr="00C83045">
        <w:rPr>
          <w:color w:val="000000"/>
          <w:szCs w:val="22"/>
        </w:rPr>
        <w:t xml:space="preserve"> 50 </w:t>
      </w:r>
      <w:r w:rsidRPr="00C83045">
        <w:rPr>
          <w:color w:val="000000"/>
          <w:szCs w:val="22"/>
        </w:rPr>
        <w:sym w:font="Symbol" w:char="F06D"/>
      </w:r>
      <w:r w:rsidR="00CE7396" w:rsidRPr="00C83045">
        <w:rPr>
          <w:color w:val="000000"/>
          <w:szCs w:val="22"/>
        </w:rPr>
        <w:t>mol/l</w:t>
      </w:r>
      <w:r w:rsidRPr="00C83045">
        <w:rPr>
          <w:color w:val="000000"/>
          <w:szCs w:val="22"/>
        </w:rPr>
        <w:t>) a flukonazole (IC</w:t>
      </w:r>
      <w:r w:rsidRPr="00C83045">
        <w:rPr>
          <w:color w:val="000000"/>
          <w:szCs w:val="22"/>
          <w:vertAlign w:val="subscript"/>
        </w:rPr>
        <w:t>50</w:t>
      </w:r>
      <w:r w:rsidRPr="00C83045">
        <w:rPr>
          <w:color w:val="000000"/>
          <w:szCs w:val="22"/>
        </w:rPr>
        <w:t xml:space="preserve"> 118 </w:t>
      </w:r>
      <w:r w:rsidRPr="00C83045">
        <w:rPr>
          <w:color w:val="000000"/>
          <w:szCs w:val="22"/>
        </w:rPr>
        <w:sym w:font="Symbol" w:char="F06D"/>
      </w:r>
      <w:r w:rsidR="00CE7396" w:rsidRPr="00C83045">
        <w:rPr>
          <w:color w:val="000000"/>
          <w:szCs w:val="22"/>
        </w:rPr>
        <w:t>mol/l</w:t>
      </w:r>
      <w:r w:rsidRPr="00C83045">
        <w:rPr>
          <w:color w:val="000000"/>
          <w:szCs w:val="22"/>
        </w:rPr>
        <w:t>) sa preukázala inhibícia metabolizmu imatinibu, ktorá by mohla byť klinicky významná.</w:t>
      </w:r>
    </w:p>
    <w:p w14:paraId="323680D4" w14:textId="77777777" w:rsidR="00847D15" w:rsidRPr="00C83045" w:rsidRDefault="00847D15" w:rsidP="00D4304B">
      <w:pPr>
        <w:pStyle w:val="Footer"/>
        <w:widowControl w:val="0"/>
        <w:ind w:left="0" w:firstLine="0"/>
        <w:rPr>
          <w:color w:val="000000"/>
          <w:szCs w:val="22"/>
        </w:rPr>
      </w:pPr>
    </w:p>
    <w:p w14:paraId="323680D5" w14:textId="77777777" w:rsidR="00847D15" w:rsidRPr="00C83045" w:rsidRDefault="00847D15" w:rsidP="00D4304B">
      <w:pPr>
        <w:pStyle w:val="Footer"/>
        <w:widowControl w:val="0"/>
        <w:ind w:left="0" w:firstLine="0"/>
        <w:rPr>
          <w:color w:val="000000"/>
          <w:szCs w:val="22"/>
        </w:rPr>
      </w:pPr>
      <w:r w:rsidRPr="00C83045">
        <w:rPr>
          <w:color w:val="000000"/>
          <w:szCs w:val="22"/>
        </w:rPr>
        <w:t xml:space="preserve">Ukázalo sa, že imatinib je </w:t>
      </w:r>
      <w:r w:rsidRPr="00C83045">
        <w:rPr>
          <w:i/>
          <w:color w:val="000000"/>
          <w:szCs w:val="22"/>
        </w:rPr>
        <w:t>in vitro</w:t>
      </w:r>
      <w:r w:rsidRPr="00C83045">
        <w:rPr>
          <w:color w:val="000000"/>
          <w:szCs w:val="22"/>
        </w:rPr>
        <w:t xml:space="preserve"> kompetitívny inhibítor markerových substrátov CYP2C9, CYP2D6 </w:t>
      </w:r>
      <w:r w:rsidRPr="00C83045">
        <w:rPr>
          <w:color w:val="000000"/>
          <w:szCs w:val="22"/>
        </w:rPr>
        <w:lastRenderedPageBreak/>
        <w:t>a CYP3A4/5. Príslušné hodnoty K</w:t>
      </w:r>
      <w:r w:rsidRPr="00C83045">
        <w:rPr>
          <w:color w:val="000000"/>
          <w:szCs w:val="22"/>
          <w:vertAlign w:val="subscript"/>
        </w:rPr>
        <w:t>i</w:t>
      </w:r>
      <w:r w:rsidRPr="00C83045">
        <w:rPr>
          <w:color w:val="000000"/>
          <w:szCs w:val="22"/>
        </w:rPr>
        <w:t xml:space="preserve"> v ľudských pečeňových mikrozómoch boli 27, 7,5 a 7,9 </w:t>
      </w:r>
      <w:r w:rsidRPr="00C83045">
        <w:rPr>
          <w:color w:val="000000"/>
          <w:szCs w:val="22"/>
        </w:rPr>
        <w:sym w:font="Symbol" w:char="F06D"/>
      </w:r>
      <w:r w:rsidRPr="00C83045">
        <w:rPr>
          <w:color w:val="000000"/>
          <w:szCs w:val="22"/>
        </w:rPr>
        <w:t>mol/l. Maximálne plazmatické koncentrácie imatinibu u pacientov sú 2–4 </w:t>
      </w:r>
      <w:r w:rsidRPr="00C83045">
        <w:rPr>
          <w:color w:val="000000"/>
          <w:szCs w:val="22"/>
        </w:rPr>
        <w:sym w:font="Symbol" w:char="F06D"/>
      </w:r>
      <w:r w:rsidRPr="00C83045">
        <w:rPr>
          <w:color w:val="000000"/>
          <w:szCs w:val="22"/>
        </w:rPr>
        <w:t>mol/l, z čoho vyplýva, že je možná inhibícia metabolizmu súčasne podávaných liečiv, na ktorom sa podieľajú CYP2D6 a/alebo CYP3A4/5. Imatinib neovplyvňoval biotransformáciu 5-fluorouracilu, ale inhiboval metabolizmus paklitaxelu ako následok kompetitívnej inhibície CYP2C8 (K</w:t>
      </w:r>
      <w:r w:rsidRPr="00C83045">
        <w:rPr>
          <w:color w:val="000000"/>
          <w:szCs w:val="22"/>
          <w:vertAlign w:val="subscript"/>
        </w:rPr>
        <w:t>i</w:t>
      </w:r>
      <w:r w:rsidRPr="00C83045">
        <w:rPr>
          <w:color w:val="000000"/>
          <w:szCs w:val="22"/>
        </w:rPr>
        <w:t xml:space="preserve"> = 34,7 </w:t>
      </w:r>
      <w:r w:rsidRPr="00C83045">
        <w:rPr>
          <w:color w:val="000000"/>
          <w:szCs w:val="22"/>
        </w:rPr>
        <w:sym w:font="Symbol" w:char="F06D"/>
      </w:r>
      <w:r w:rsidRPr="00C83045">
        <w:rPr>
          <w:color w:val="000000"/>
          <w:szCs w:val="22"/>
        </w:rPr>
        <w:t>mol/l). Táto hodnota K</w:t>
      </w:r>
      <w:r w:rsidRPr="00C83045">
        <w:rPr>
          <w:color w:val="000000"/>
          <w:szCs w:val="22"/>
          <w:vertAlign w:val="subscript"/>
        </w:rPr>
        <w:t>i</w:t>
      </w:r>
      <w:r w:rsidRPr="00C83045">
        <w:rPr>
          <w:color w:val="000000"/>
          <w:szCs w:val="22"/>
        </w:rPr>
        <w:t xml:space="preserve"> je oveľa vyššia ako očakávané hladiny imatinibu v plazme pacientov, z čoho vyplýva, že sa neočakáva interakcia pri súčasnom podávaní imatinibu s 5-fluorouracilom, ani s paklitaxelom.</w:t>
      </w:r>
    </w:p>
    <w:p w14:paraId="323680D6" w14:textId="77777777" w:rsidR="00847D15" w:rsidRPr="00C83045" w:rsidRDefault="00847D15" w:rsidP="00D4304B">
      <w:pPr>
        <w:pStyle w:val="Footer"/>
        <w:widowControl w:val="0"/>
        <w:ind w:left="0" w:firstLine="0"/>
        <w:rPr>
          <w:color w:val="000000"/>
          <w:szCs w:val="22"/>
        </w:rPr>
      </w:pPr>
    </w:p>
    <w:p w14:paraId="323680D7" w14:textId="77777777" w:rsidR="00847D15" w:rsidRPr="00C83045" w:rsidRDefault="00847D15" w:rsidP="00D4304B">
      <w:pPr>
        <w:pStyle w:val="Footer"/>
        <w:keepNext/>
        <w:widowControl w:val="0"/>
        <w:ind w:left="0" w:firstLine="0"/>
        <w:rPr>
          <w:color w:val="000000"/>
          <w:szCs w:val="22"/>
          <w:u w:val="single"/>
        </w:rPr>
      </w:pPr>
      <w:r w:rsidRPr="00C83045">
        <w:rPr>
          <w:color w:val="000000"/>
          <w:szCs w:val="22"/>
          <w:u w:val="single"/>
        </w:rPr>
        <w:t>Eliminácia</w:t>
      </w:r>
    </w:p>
    <w:p w14:paraId="323680D8" w14:textId="77777777" w:rsidR="00847D15" w:rsidRPr="00C83045" w:rsidRDefault="00847D15" w:rsidP="00D4304B">
      <w:pPr>
        <w:pStyle w:val="Footer"/>
        <w:widowControl w:val="0"/>
        <w:ind w:left="0" w:firstLine="0"/>
        <w:rPr>
          <w:color w:val="000000"/>
          <w:szCs w:val="22"/>
        </w:rPr>
      </w:pPr>
      <w:r w:rsidRPr="00C83045">
        <w:rPr>
          <w:color w:val="000000"/>
          <w:szCs w:val="22"/>
        </w:rPr>
        <w:t xml:space="preserve">Pri stanovení zlúčenín po perorálnom podaní imatinibu označeného </w:t>
      </w:r>
      <w:r w:rsidRPr="00C83045">
        <w:rPr>
          <w:color w:val="000000"/>
          <w:szCs w:val="22"/>
          <w:vertAlign w:val="superscript"/>
        </w:rPr>
        <w:t>14</w:t>
      </w:r>
      <w:r w:rsidRPr="00C83045">
        <w:rPr>
          <w:color w:val="000000"/>
          <w:szCs w:val="22"/>
        </w:rPr>
        <w:t>C sa približne 81% dávky našlo v priebehu 7 dní v stolici (68% dávky) a v moči (13% dávky). Ako nezmenený imatinib sa vylúčilo 25% dávky (5% močom, 20% stolicou), zvyšok boli metabolity.</w:t>
      </w:r>
    </w:p>
    <w:p w14:paraId="323680D9" w14:textId="77777777" w:rsidR="00847D15" w:rsidRPr="00C83045" w:rsidRDefault="00847D15" w:rsidP="00D4304B">
      <w:pPr>
        <w:pStyle w:val="Footer"/>
        <w:widowControl w:val="0"/>
        <w:ind w:left="0" w:firstLine="0"/>
        <w:rPr>
          <w:color w:val="000000"/>
          <w:szCs w:val="22"/>
        </w:rPr>
      </w:pPr>
    </w:p>
    <w:p w14:paraId="323680DA" w14:textId="77777777" w:rsidR="00847D15" w:rsidRPr="00C83045" w:rsidRDefault="00847D15" w:rsidP="00D4304B">
      <w:pPr>
        <w:pStyle w:val="Footer"/>
        <w:keepNext/>
        <w:widowControl w:val="0"/>
        <w:ind w:left="0" w:firstLine="0"/>
        <w:rPr>
          <w:color w:val="000000"/>
          <w:szCs w:val="22"/>
          <w:u w:val="single"/>
        </w:rPr>
      </w:pPr>
      <w:r w:rsidRPr="00C83045">
        <w:rPr>
          <w:color w:val="000000"/>
          <w:szCs w:val="22"/>
          <w:u w:val="single"/>
        </w:rPr>
        <w:t>Farmakokinetika v plazme</w:t>
      </w:r>
    </w:p>
    <w:p w14:paraId="323680DB" w14:textId="77777777" w:rsidR="00847D15" w:rsidRPr="00C83045" w:rsidRDefault="00847D15" w:rsidP="00D4304B">
      <w:pPr>
        <w:pStyle w:val="Footer"/>
        <w:widowControl w:val="0"/>
        <w:ind w:left="0" w:firstLine="0"/>
        <w:rPr>
          <w:color w:val="000000"/>
          <w:szCs w:val="22"/>
        </w:rPr>
      </w:pPr>
      <w:r w:rsidRPr="00C83045">
        <w:rPr>
          <w:color w:val="000000"/>
          <w:szCs w:val="22"/>
        </w:rPr>
        <w:t>Po perorálnom podaní zdravým dobrovoľníkom bol t</w:t>
      </w:r>
      <w:r w:rsidRPr="00C83045">
        <w:rPr>
          <w:color w:val="000000"/>
          <w:szCs w:val="22"/>
          <w:vertAlign w:val="subscript"/>
        </w:rPr>
        <w:t>1/2</w:t>
      </w:r>
      <w:r w:rsidRPr="00C83045">
        <w:rPr>
          <w:color w:val="000000"/>
          <w:szCs w:val="22"/>
        </w:rPr>
        <w:t xml:space="preserve"> asi 18 hodín, z čoho možno usudzovať, že podávanie 1-krát denne postačuje. Zvyšovanie priemernej hodnoty AUC so zvyšujúcou sa dávkou bolo po perorálnom podaní imatinibu lineárne a úmerné dávke v rozmedzí 25–1 000 mg. Kinetika imatinibu sa pri opakovanom podávaní nemenila a pri rovnovážnom stave a podávaní 1-krát denne bola akumulácia 1,5- až 2,5-násobná.</w:t>
      </w:r>
    </w:p>
    <w:p w14:paraId="323680DC" w14:textId="77777777" w:rsidR="00847D15" w:rsidRPr="00C83045" w:rsidRDefault="00847D15" w:rsidP="00D4304B">
      <w:pPr>
        <w:pStyle w:val="Footer"/>
        <w:widowControl w:val="0"/>
        <w:ind w:left="0" w:firstLine="0"/>
        <w:rPr>
          <w:color w:val="000000"/>
          <w:szCs w:val="22"/>
        </w:rPr>
      </w:pPr>
    </w:p>
    <w:p w14:paraId="323680DD" w14:textId="77777777" w:rsidR="00847D15" w:rsidRPr="00C83045" w:rsidRDefault="00847D15" w:rsidP="00D4304B">
      <w:pPr>
        <w:pStyle w:val="Footer"/>
        <w:keepNext/>
        <w:widowControl w:val="0"/>
        <w:ind w:left="0" w:firstLine="0"/>
        <w:rPr>
          <w:color w:val="000000"/>
          <w:szCs w:val="22"/>
          <w:u w:val="single"/>
        </w:rPr>
      </w:pPr>
      <w:r w:rsidRPr="00C83045">
        <w:rPr>
          <w:color w:val="000000"/>
          <w:szCs w:val="22"/>
          <w:u w:val="single"/>
        </w:rPr>
        <w:t>Farmakokinetika u pacientov s GIST</w:t>
      </w:r>
    </w:p>
    <w:p w14:paraId="323680DE" w14:textId="77777777" w:rsidR="00847D15" w:rsidRPr="00C83045" w:rsidRDefault="00847D15" w:rsidP="00D4304B">
      <w:pPr>
        <w:pStyle w:val="Footer"/>
        <w:widowControl w:val="0"/>
        <w:ind w:left="0" w:firstLine="0"/>
        <w:rPr>
          <w:color w:val="000000"/>
          <w:szCs w:val="22"/>
        </w:rPr>
      </w:pPr>
      <w:r w:rsidRPr="00C83045">
        <w:rPr>
          <w:color w:val="000000"/>
          <w:szCs w:val="22"/>
        </w:rPr>
        <w:t xml:space="preserve">U pacientov s GIST bola expozícia v rovnovážnom stave 1,5-násobne vyššia, ako sa pozorovala u pacientov s CML pri rovnakom dávkovaní (400 mg denne). Pri predbežnej analýze farmakokinetiky v skupine pacientov s GIST sa zistilo, že tri premenné (albumín, </w:t>
      </w:r>
      <w:r w:rsidR="007F0728" w:rsidRPr="00C83045">
        <w:rPr>
          <w:color w:val="000000"/>
          <w:szCs w:val="22"/>
        </w:rPr>
        <w:t>WBC</w:t>
      </w:r>
      <w:r w:rsidRPr="00C83045">
        <w:rPr>
          <w:color w:val="000000"/>
          <w:szCs w:val="22"/>
        </w:rPr>
        <w:t xml:space="preserve"> a bilirubín) majú štatisticky významnú súvislosť s farmakokinetikou imatinibu. Znížené hodnoty albumínu spôsobili zníženie klírensu (CL/f) a vyššie hodnoty </w:t>
      </w:r>
      <w:r w:rsidR="007F0728" w:rsidRPr="00C83045">
        <w:rPr>
          <w:color w:val="000000"/>
          <w:szCs w:val="22"/>
        </w:rPr>
        <w:t>WBC</w:t>
      </w:r>
      <w:r w:rsidRPr="00C83045">
        <w:rPr>
          <w:color w:val="000000"/>
          <w:szCs w:val="22"/>
        </w:rPr>
        <w:t xml:space="preserve"> mali za následok zníženie CL/f. Tieto súvislosti však nie sú natoľko významné, aby si vyžiadali úpravu dávkovania. V tejto skupine pacientov môže prítomnosť metastáz v pečeni viesť k insuficiencii pečene a zníženiu metabolizmu.</w:t>
      </w:r>
    </w:p>
    <w:p w14:paraId="323680DF" w14:textId="77777777" w:rsidR="00847D15" w:rsidRPr="00C83045" w:rsidRDefault="00847D15" w:rsidP="00D4304B">
      <w:pPr>
        <w:pStyle w:val="Footer"/>
        <w:widowControl w:val="0"/>
        <w:ind w:left="0" w:firstLine="0"/>
        <w:rPr>
          <w:color w:val="000000"/>
          <w:szCs w:val="22"/>
        </w:rPr>
      </w:pPr>
    </w:p>
    <w:p w14:paraId="323680E0" w14:textId="77777777" w:rsidR="00847D15" w:rsidRPr="00C83045" w:rsidRDefault="00847D15" w:rsidP="00D4304B">
      <w:pPr>
        <w:pStyle w:val="Footer"/>
        <w:keepNext/>
        <w:widowControl w:val="0"/>
        <w:ind w:left="0" w:firstLine="0"/>
        <w:rPr>
          <w:color w:val="000000"/>
          <w:szCs w:val="22"/>
          <w:u w:val="single"/>
        </w:rPr>
      </w:pPr>
      <w:r w:rsidRPr="00C83045">
        <w:rPr>
          <w:color w:val="000000"/>
          <w:szCs w:val="22"/>
          <w:u w:val="single"/>
        </w:rPr>
        <w:t xml:space="preserve">Farmakokinetika u </w:t>
      </w:r>
      <w:r w:rsidR="00CE7396" w:rsidRPr="00C83045">
        <w:rPr>
          <w:color w:val="000000"/>
          <w:szCs w:val="22"/>
          <w:u w:val="single"/>
        </w:rPr>
        <w:t>špeciálnych</w:t>
      </w:r>
      <w:r w:rsidRPr="00C83045">
        <w:rPr>
          <w:color w:val="000000"/>
          <w:szCs w:val="22"/>
          <w:u w:val="single"/>
        </w:rPr>
        <w:t xml:space="preserve"> skupín pacientov</w:t>
      </w:r>
    </w:p>
    <w:p w14:paraId="323680E1" w14:textId="77777777" w:rsidR="00847D15" w:rsidRPr="00C83045" w:rsidRDefault="00847D15" w:rsidP="00D4304B">
      <w:pPr>
        <w:pStyle w:val="Footer"/>
        <w:widowControl w:val="0"/>
        <w:ind w:left="0" w:firstLine="0"/>
        <w:rPr>
          <w:color w:val="000000"/>
          <w:szCs w:val="22"/>
        </w:rPr>
      </w:pPr>
      <w:r w:rsidRPr="00C83045">
        <w:rPr>
          <w:color w:val="000000"/>
          <w:szCs w:val="22"/>
        </w:rPr>
        <w:t xml:space="preserve">Pri analýze farmakokinetiky u </w:t>
      </w:r>
      <w:r w:rsidR="00CE7396" w:rsidRPr="00C83045">
        <w:rPr>
          <w:color w:val="000000"/>
          <w:szCs w:val="22"/>
        </w:rPr>
        <w:t>špeciálnych</w:t>
      </w:r>
      <w:r w:rsidRPr="00C83045">
        <w:rPr>
          <w:color w:val="000000"/>
          <w:szCs w:val="22"/>
        </w:rPr>
        <w:t xml:space="preserve"> skupín pacientov s CML sa zistil len malý vplyv veku na distribučný objem (zvýšenie o 12% u pacientov vo veku </w:t>
      </w:r>
      <w:r w:rsidRPr="00C83045">
        <w:rPr>
          <w:color w:val="000000"/>
          <w:szCs w:val="22"/>
        </w:rPr>
        <w:sym w:font="Symbol" w:char="F03E"/>
      </w:r>
      <w:r w:rsidRPr="00C83045">
        <w:rPr>
          <w:color w:val="000000"/>
          <w:szCs w:val="22"/>
        </w:rPr>
        <w:t> 65 rokov). Táto zmena sa nepovažuje za klinicky významnú. Vplyv telesnej hmotnosti na klírens imatinibu je taký, že u pacienta s hmotnosťou 50 kg sa očakáva priemerný klírens 8,5 l/hod, zatiaľ čo u pacienta s hmotnosťou 100 kg sa klírens zvýši na 11,8 l/hod. Tieto zmeny sa nepovažujú za dostačujúce, aby bolo potrebné upraviť dávkovanie na základe kg telesnej hmotnosti. Pohlavie nemá vplyv na kinetiku imatinibu.</w:t>
      </w:r>
    </w:p>
    <w:p w14:paraId="323680E2" w14:textId="77777777" w:rsidR="00847D15" w:rsidRPr="00C83045" w:rsidRDefault="00847D15" w:rsidP="00D4304B">
      <w:pPr>
        <w:pStyle w:val="Footer"/>
        <w:widowControl w:val="0"/>
        <w:ind w:left="0" w:firstLine="0"/>
        <w:rPr>
          <w:color w:val="000000"/>
          <w:szCs w:val="22"/>
        </w:rPr>
      </w:pPr>
    </w:p>
    <w:p w14:paraId="323680E3" w14:textId="77777777" w:rsidR="00847D15" w:rsidRPr="00C83045" w:rsidRDefault="00847D15" w:rsidP="00D4304B">
      <w:pPr>
        <w:pStyle w:val="Footer"/>
        <w:keepNext/>
        <w:widowControl w:val="0"/>
        <w:ind w:left="0" w:firstLine="0"/>
        <w:rPr>
          <w:color w:val="000000"/>
          <w:szCs w:val="22"/>
          <w:u w:val="single"/>
        </w:rPr>
      </w:pPr>
      <w:r w:rsidRPr="00C83045">
        <w:rPr>
          <w:color w:val="000000"/>
          <w:szCs w:val="22"/>
          <w:u w:val="single"/>
        </w:rPr>
        <w:t>Farmakokinetika u detí</w:t>
      </w:r>
    </w:p>
    <w:p w14:paraId="323680E4" w14:textId="77777777" w:rsidR="00847D15" w:rsidRPr="00C83045" w:rsidRDefault="00847D15" w:rsidP="00D4304B">
      <w:pPr>
        <w:pStyle w:val="Footer"/>
        <w:widowControl w:val="0"/>
        <w:ind w:left="0" w:firstLine="0"/>
        <w:rPr>
          <w:color w:val="000000"/>
          <w:szCs w:val="22"/>
        </w:rPr>
      </w:pPr>
      <w:r w:rsidRPr="00C83045">
        <w:rPr>
          <w:color w:val="000000"/>
          <w:szCs w:val="22"/>
        </w:rPr>
        <w:t>Tak ako aj u dospelých pacientov, imatinib sa rýchlo resorboval po perorálnom podaní u pediatrických pacientov v klinick</w:t>
      </w:r>
      <w:r w:rsidR="008513D9" w:rsidRPr="00C83045">
        <w:rPr>
          <w:color w:val="000000"/>
          <w:szCs w:val="22"/>
        </w:rPr>
        <w:t>ých</w:t>
      </w:r>
      <w:r w:rsidRPr="00C83045">
        <w:rPr>
          <w:color w:val="000000"/>
          <w:szCs w:val="22"/>
        </w:rPr>
        <w:t xml:space="preserve"> skúšan</w:t>
      </w:r>
      <w:r w:rsidR="008513D9" w:rsidRPr="00C83045">
        <w:rPr>
          <w:color w:val="000000"/>
          <w:szCs w:val="22"/>
        </w:rPr>
        <w:t>iach</w:t>
      </w:r>
      <w:r w:rsidRPr="00C83045">
        <w:rPr>
          <w:color w:val="000000"/>
          <w:szCs w:val="22"/>
        </w:rPr>
        <w:t xml:space="preserve"> </w:t>
      </w:r>
      <w:r w:rsidR="00E65F57" w:rsidRPr="00C83045">
        <w:rPr>
          <w:color w:val="000000"/>
          <w:szCs w:val="22"/>
        </w:rPr>
        <w:t>fáz</w:t>
      </w:r>
      <w:r w:rsidRPr="00C83045">
        <w:rPr>
          <w:color w:val="000000"/>
          <w:szCs w:val="22"/>
        </w:rPr>
        <w:t>y</w:t>
      </w:r>
      <w:r w:rsidR="00956E85" w:rsidRPr="00C83045">
        <w:rPr>
          <w:color w:val="000000"/>
          <w:szCs w:val="22"/>
        </w:rPr>
        <w:t> </w:t>
      </w:r>
      <w:r w:rsidRPr="00C83045">
        <w:rPr>
          <w:color w:val="000000"/>
          <w:szCs w:val="22"/>
        </w:rPr>
        <w:t>I</w:t>
      </w:r>
      <w:r w:rsidR="008513D9" w:rsidRPr="00C83045">
        <w:rPr>
          <w:color w:val="000000"/>
          <w:szCs w:val="22"/>
        </w:rPr>
        <w:t> aj fázy II</w:t>
      </w:r>
      <w:r w:rsidRPr="00C83045">
        <w:rPr>
          <w:color w:val="000000"/>
          <w:szCs w:val="22"/>
        </w:rPr>
        <w:t>. Dávkami 260 a 340 mg/m</w:t>
      </w:r>
      <w:r w:rsidRPr="00C83045">
        <w:rPr>
          <w:color w:val="000000"/>
          <w:szCs w:val="22"/>
          <w:vertAlign w:val="superscript"/>
        </w:rPr>
        <w:t>2</w:t>
      </w:r>
      <w:r w:rsidRPr="00C83045">
        <w:rPr>
          <w:color w:val="000000"/>
          <w:szCs w:val="22"/>
        </w:rPr>
        <w:t>/deň sa u detí dosiahla rovnaká expozícia ako dávkami 400 mg a 600 mg u dospelých pacientov. Porovnaním AUC</w:t>
      </w:r>
      <w:r w:rsidRPr="00C83045">
        <w:rPr>
          <w:color w:val="000000"/>
          <w:szCs w:val="22"/>
          <w:vertAlign w:val="subscript"/>
        </w:rPr>
        <w:t>(0</w:t>
      </w:r>
      <w:r w:rsidRPr="00C83045">
        <w:rPr>
          <w:color w:val="000000"/>
          <w:szCs w:val="22"/>
          <w:vertAlign w:val="subscript"/>
        </w:rPr>
        <w:noBreakHyphen/>
        <w:t xml:space="preserve">24) </w:t>
      </w:r>
      <w:r w:rsidRPr="00C83045">
        <w:rPr>
          <w:color w:val="000000"/>
          <w:szCs w:val="22"/>
        </w:rPr>
        <w:t>na 8. a 1. deň pri hladine dávok 340 mg/m</w:t>
      </w:r>
      <w:r w:rsidRPr="00C83045">
        <w:rPr>
          <w:color w:val="000000"/>
          <w:szCs w:val="22"/>
          <w:vertAlign w:val="superscript"/>
        </w:rPr>
        <w:t>2</w:t>
      </w:r>
      <w:r w:rsidRPr="00C83045">
        <w:rPr>
          <w:color w:val="000000"/>
          <w:szCs w:val="22"/>
        </w:rPr>
        <w:t>/deň sa zistilo, že dochádza k 1,7-násobnej akumulácii liečiva po opakovanom podávaní raz denne.</w:t>
      </w:r>
    </w:p>
    <w:p w14:paraId="323680E5" w14:textId="77777777" w:rsidR="00D7388B" w:rsidRPr="00C83045" w:rsidRDefault="00D7388B" w:rsidP="00D4304B">
      <w:pPr>
        <w:pStyle w:val="EndnoteText"/>
        <w:widowControl w:val="0"/>
        <w:rPr>
          <w:color w:val="000000"/>
          <w:szCs w:val="22"/>
          <w:lang w:val="sk-SK"/>
        </w:rPr>
      </w:pPr>
    </w:p>
    <w:p w14:paraId="323680E6" w14:textId="77777777" w:rsidR="00D7388B" w:rsidRPr="00C83045" w:rsidRDefault="00D7388B" w:rsidP="00D4304B">
      <w:pPr>
        <w:pStyle w:val="EndnoteText"/>
        <w:widowControl w:val="0"/>
        <w:rPr>
          <w:color w:val="000000"/>
          <w:szCs w:val="22"/>
          <w:lang w:val="sk-SK"/>
        </w:rPr>
      </w:pPr>
      <w:r w:rsidRPr="00C83045">
        <w:rPr>
          <w:color w:val="000000"/>
          <w:szCs w:val="22"/>
          <w:lang w:val="sk-SK"/>
        </w:rPr>
        <w:t xml:space="preserve">Podľa združenej populačnej farmakokinetickej analýzy u pediatrických pacientov s hematologickými poruchami (CML, Ph+ALL alebo iné hematologické poruchy liečené imatinibom) sa klírens imatinibu zvyšuje s narastajúcou plochou </w:t>
      </w:r>
      <w:r w:rsidR="000E20A1" w:rsidRPr="00C83045">
        <w:rPr>
          <w:color w:val="000000"/>
          <w:szCs w:val="22"/>
          <w:lang w:val="sk-SK"/>
        </w:rPr>
        <w:t xml:space="preserve">povrchu </w:t>
      </w:r>
      <w:r w:rsidRPr="00C83045">
        <w:rPr>
          <w:color w:val="000000"/>
          <w:szCs w:val="22"/>
          <w:lang w:val="sk-SK"/>
        </w:rPr>
        <w:t xml:space="preserve">tela (BSA). </w:t>
      </w:r>
      <w:r w:rsidR="000E20A1" w:rsidRPr="00C83045">
        <w:rPr>
          <w:color w:val="000000"/>
          <w:szCs w:val="22"/>
          <w:lang w:val="sk-SK"/>
        </w:rPr>
        <w:t xml:space="preserve">Po </w:t>
      </w:r>
      <w:r w:rsidR="009E7F7D" w:rsidRPr="00C83045">
        <w:rPr>
          <w:color w:val="000000"/>
          <w:szCs w:val="22"/>
          <w:lang w:val="sk-SK"/>
        </w:rPr>
        <w:t>korekcii vpl</w:t>
      </w:r>
      <w:r w:rsidR="000E20A1" w:rsidRPr="00C83045">
        <w:rPr>
          <w:color w:val="000000"/>
          <w:szCs w:val="22"/>
          <w:lang w:val="sk-SK"/>
        </w:rPr>
        <w:t xml:space="preserve">yvu plochy povrchu tela nemali ostatné demografické </w:t>
      </w:r>
      <w:r w:rsidR="009E7F7D" w:rsidRPr="00C83045">
        <w:rPr>
          <w:color w:val="000000"/>
          <w:szCs w:val="22"/>
          <w:lang w:val="sk-SK"/>
        </w:rPr>
        <w:t>údaje ako vek</w:t>
      </w:r>
      <w:r w:rsidRPr="00C83045">
        <w:rPr>
          <w:color w:val="000000"/>
          <w:szCs w:val="22"/>
          <w:lang w:val="sk-SK"/>
        </w:rPr>
        <w:t xml:space="preserve">, </w:t>
      </w:r>
      <w:r w:rsidR="009E7F7D" w:rsidRPr="00C83045">
        <w:rPr>
          <w:color w:val="000000"/>
          <w:szCs w:val="22"/>
          <w:lang w:val="sk-SK"/>
        </w:rPr>
        <w:t>telesná hmotnosť a index telesnej hmotnosti klinicky významný účinok na expozíciu</w:t>
      </w:r>
      <w:r w:rsidRPr="00C83045">
        <w:rPr>
          <w:color w:val="000000"/>
          <w:szCs w:val="22"/>
          <w:lang w:val="sk-SK"/>
        </w:rPr>
        <w:t xml:space="preserve"> imatinib</w:t>
      </w:r>
      <w:r w:rsidR="009E7F7D" w:rsidRPr="00C83045">
        <w:rPr>
          <w:color w:val="000000"/>
          <w:szCs w:val="22"/>
          <w:lang w:val="sk-SK"/>
        </w:rPr>
        <w:t>u</w:t>
      </w:r>
      <w:r w:rsidRPr="00C83045">
        <w:rPr>
          <w:color w:val="000000"/>
          <w:szCs w:val="22"/>
          <w:lang w:val="sk-SK"/>
        </w:rPr>
        <w:t xml:space="preserve">. </w:t>
      </w:r>
      <w:r w:rsidR="009E7F7D" w:rsidRPr="00C83045">
        <w:rPr>
          <w:color w:val="000000"/>
          <w:szCs w:val="22"/>
          <w:lang w:val="sk-SK"/>
        </w:rPr>
        <w:t xml:space="preserve">Analýza potvrdila, že expozícia imatinibu u pediatrických pacientov dostávajúcich dávku </w:t>
      </w:r>
      <w:r w:rsidRPr="00C83045">
        <w:rPr>
          <w:color w:val="000000"/>
          <w:szCs w:val="22"/>
          <w:lang w:val="sk-SK"/>
        </w:rPr>
        <w:t>260 mg/m</w:t>
      </w:r>
      <w:r w:rsidRPr="00C83045">
        <w:rPr>
          <w:color w:val="000000"/>
          <w:szCs w:val="22"/>
          <w:vertAlign w:val="superscript"/>
          <w:lang w:val="sk-SK"/>
        </w:rPr>
        <w:t>2</w:t>
      </w:r>
      <w:r w:rsidRPr="00C83045">
        <w:rPr>
          <w:color w:val="000000"/>
          <w:szCs w:val="22"/>
          <w:lang w:val="sk-SK"/>
        </w:rPr>
        <w:t xml:space="preserve"> </w:t>
      </w:r>
      <w:r w:rsidR="009E7F7D" w:rsidRPr="00C83045">
        <w:rPr>
          <w:color w:val="000000"/>
          <w:szCs w:val="22"/>
          <w:lang w:val="sk-SK"/>
        </w:rPr>
        <w:t>raz denne</w:t>
      </w:r>
      <w:r w:rsidRPr="00C83045">
        <w:rPr>
          <w:color w:val="000000"/>
          <w:szCs w:val="22"/>
          <w:lang w:val="sk-SK"/>
        </w:rPr>
        <w:t xml:space="preserve"> (</w:t>
      </w:r>
      <w:r w:rsidR="009E7F7D" w:rsidRPr="00C83045">
        <w:rPr>
          <w:color w:val="000000"/>
          <w:szCs w:val="22"/>
          <w:lang w:val="sk-SK"/>
        </w:rPr>
        <w:t>neprekračujúc dávku</w:t>
      </w:r>
      <w:r w:rsidRPr="00C83045">
        <w:rPr>
          <w:color w:val="000000"/>
          <w:szCs w:val="22"/>
          <w:lang w:val="sk-SK"/>
        </w:rPr>
        <w:t xml:space="preserve"> 400 mg </w:t>
      </w:r>
      <w:r w:rsidR="009E7F7D" w:rsidRPr="00C83045">
        <w:rPr>
          <w:color w:val="000000"/>
          <w:szCs w:val="22"/>
          <w:lang w:val="sk-SK"/>
        </w:rPr>
        <w:t>raz denne</w:t>
      </w:r>
      <w:r w:rsidRPr="00C83045">
        <w:rPr>
          <w:color w:val="000000"/>
          <w:szCs w:val="22"/>
          <w:lang w:val="sk-SK"/>
        </w:rPr>
        <w:t xml:space="preserve">) </w:t>
      </w:r>
      <w:r w:rsidR="009E7F7D" w:rsidRPr="00C83045">
        <w:rPr>
          <w:color w:val="000000"/>
          <w:szCs w:val="22"/>
          <w:lang w:val="sk-SK"/>
        </w:rPr>
        <w:t>alebo</w:t>
      </w:r>
      <w:r w:rsidRPr="00C83045">
        <w:rPr>
          <w:color w:val="000000"/>
          <w:szCs w:val="22"/>
          <w:lang w:val="sk-SK"/>
        </w:rPr>
        <w:t xml:space="preserve"> 340 mg/m</w:t>
      </w:r>
      <w:r w:rsidRPr="00C83045">
        <w:rPr>
          <w:color w:val="000000"/>
          <w:szCs w:val="22"/>
          <w:vertAlign w:val="superscript"/>
          <w:lang w:val="sk-SK"/>
        </w:rPr>
        <w:t>2</w:t>
      </w:r>
      <w:r w:rsidR="009E7F7D" w:rsidRPr="00C83045">
        <w:rPr>
          <w:color w:val="000000"/>
          <w:szCs w:val="22"/>
          <w:lang w:val="sk-SK"/>
        </w:rPr>
        <w:t xml:space="preserve"> raz denne</w:t>
      </w:r>
      <w:r w:rsidRPr="00C83045">
        <w:rPr>
          <w:color w:val="000000"/>
          <w:szCs w:val="22"/>
          <w:lang w:val="sk-SK"/>
        </w:rPr>
        <w:t xml:space="preserve"> (</w:t>
      </w:r>
      <w:r w:rsidR="009E7F7D" w:rsidRPr="00C83045">
        <w:rPr>
          <w:color w:val="000000"/>
          <w:szCs w:val="22"/>
          <w:lang w:val="sk-SK"/>
        </w:rPr>
        <w:t>neprekračujúc dávku 600 mg raz denne</w:t>
      </w:r>
      <w:r w:rsidRPr="00C83045">
        <w:rPr>
          <w:color w:val="000000"/>
          <w:szCs w:val="22"/>
          <w:lang w:val="sk-SK"/>
        </w:rPr>
        <w:t xml:space="preserve">) </w:t>
      </w:r>
      <w:r w:rsidR="001314F8" w:rsidRPr="00C83045">
        <w:rPr>
          <w:color w:val="000000"/>
          <w:szCs w:val="22"/>
          <w:lang w:val="sk-SK"/>
        </w:rPr>
        <w:t>bola podobná ako u dospelých pacientov dostávajúcich dávky</w:t>
      </w:r>
      <w:r w:rsidRPr="00C83045">
        <w:rPr>
          <w:color w:val="000000"/>
          <w:szCs w:val="22"/>
          <w:lang w:val="sk-SK"/>
        </w:rPr>
        <w:t xml:space="preserve"> imatinib</w:t>
      </w:r>
      <w:r w:rsidR="006B7E14" w:rsidRPr="00C83045">
        <w:rPr>
          <w:color w:val="000000"/>
          <w:szCs w:val="22"/>
          <w:lang w:val="sk-SK"/>
        </w:rPr>
        <w:t>u</w:t>
      </w:r>
      <w:r w:rsidRPr="00C83045">
        <w:rPr>
          <w:color w:val="000000"/>
          <w:szCs w:val="22"/>
          <w:lang w:val="sk-SK"/>
        </w:rPr>
        <w:t xml:space="preserve"> 400 mg </w:t>
      </w:r>
      <w:r w:rsidR="001314F8" w:rsidRPr="00C83045">
        <w:rPr>
          <w:color w:val="000000"/>
          <w:szCs w:val="22"/>
          <w:lang w:val="sk-SK"/>
        </w:rPr>
        <w:t>alebo</w:t>
      </w:r>
      <w:r w:rsidRPr="00C83045">
        <w:rPr>
          <w:color w:val="000000"/>
          <w:szCs w:val="22"/>
          <w:lang w:val="sk-SK"/>
        </w:rPr>
        <w:t xml:space="preserve"> 600 mg </w:t>
      </w:r>
      <w:r w:rsidR="001314F8" w:rsidRPr="00C83045">
        <w:rPr>
          <w:color w:val="000000"/>
          <w:szCs w:val="22"/>
          <w:lang w:val="sk-SK"/>
        </w:rPr>
        <w:t>raz denne</w:t>
      </w:r>
      <w:r w:rsidRPr="00C83045">
        <w:rPr>
          <w:color w:val="000000"/>
          <w:szCs w:val="22"/>
          <w:lang w:val="sk-SK"/>
        </w:rPr>
        <w:t>.</w:t>
      </w:r>
    </w:p>
    <w:p w14:paraId="323680E7" w14:textId="77777777" w:rsidR="00847D15" w:rsidRPr="00C83045" w:rsidRDefault="00847D15" w:rsidP="00D4304B">
      <w:pPr>
        <w:pStyle w:val="Footer"/>
        <w:widowControl w:val="0"/>
        <w:ind w:left="0" w:firstLine="0"/>
        <w:rPr>
          <w:color w:val="000000"/>
          <w:szCs w:val="22"/>
        </w:rPr>
      </w:pPr>
    </w:p>
    <w:p w14:paraId="323680E8" w14:textId="77777777" w:rsidR="00847D15" w:rsidRPr="00C83045" w:rsidRDefault="00847D15" w:rsidP="00D4304B">
      <w:pPr>
        <w:pStyle w:val="Footer"/>
        <w:keepNext/>
        <w:widowControl w:val="0"/>
        <w:ind w:left="0" w:firstLine="0"/>
        <w:rPr>
          <w:color w:val="000000"/>
          <w:szCs w:val="22"/>
          <w:u w:val="single"/>
        </w:rPr>
      </w:pPr>
      <w:r w:rsidRPr="00C83045">
        <w:rPr>
          <w:color w:val="000000"/>
          <w:szCs w:val="22"/>
          <w:u w:val="single"/>
        </w:rPr>
        <w:t>Zhoršenie funkcie orgánov</w:t>
      </w:r>
    </w:p>
    <w:p w14:paraId="323680E9" w14:textId="77777777" w:rsidR="00947B4E" w:rsidRPr="00C83045" w:rsidRDefault="00847D15" w:rsidP="00D4304B">
      <w:pPr>
        <w:pStyle w:val="Footer"/>
        <w:widowControl w:val="0"/>
        <w:ind w:left="0" w:firstLine="0"/>
        <w:rPr>
          <w:color w:val="000000"/>
          <w:szCs w:val="22"/>
        </w:rPr>
      </w:pPr>
      <w:r w:rsidRPr="00C83045">
        <w:rPr>
          <w:color w:val="000000"/>
          <w:szCs w:val="22"/>
        </w:rPr>
        <w:t xml:space="preserve">Imatinib a jeho metabolity sa nevylučujú vo významnom rozsahu obličkami. </w:t>
      </w:r>
      <w:r w:rsidR="00947B4E" w:rsidRPr="00C83045">
        <w:rPr>
          <w:color w:val="000000"/>
          <w:szCs w:val="22"/>
        </w:rPr>
        <w:t xml:space="preserve">U pacientov s ľahkým a stredne ťažkým zhoršením funkcie obličiek sa plazmatická expozícia zdá byť vyššia </w:t>
      </w:r>
      <w:r w:rsidR="001F2E5B" w:rsidRPr="00C83045">
        <w:rPr>
          <w:color w:val="000000"/>
          <w:szCs w:val="22"/>
        </w:rPr>
        <w:t xml:space="preserve">ako u pacientov s normálnou funkciou obličiek. Zvýšenie je približne 1,5- až 2-násobné, čo zodpovedá 1,5-násobnému </w:t>
      </w:r>
      <w:r w:rsidR="001F2E5B" w:rsidRPr="00C83045">
        <w:rPr>
          <w:color w:val="000000"/>
          <w:szCs w:val="22"/>
        </w:rPr>
        <w:lastRenderedPageBreak/>
        <w:t xml:space="preserve">stúpnutiu plazmatického AGP, na ktorý sa imatinib pevne viaže. Klírens </w:t>
      </w:r>
      <w:r w:rsidR="006F58FC" w:rsidRPr="00C83045">
        <w:rPr>
          <w:color w:val="000000"/>
          <w:szCs w:val="22"/>
        </w:rPr>
        <w:t xml:space="preserve">imatinibu ako </w:t>
      </w:r>
      <w:r w:rsidR="001F2E5B" w:rsidRPr="00C83045">
        <w:rPr>
          <w:color w:val="000000"/>
          <w:szCs w:val="22"/>
        </w:rPr>
        <w:t xml:space="preserve">voľného </w:t>
      </w:r>
      <w:r w:rsidR="006F58FC" w:rsidRPr="00C83045">
        <w:rPr>
          <w:color w:val="000000"/>
          <w:szCs w:val="22"/>
        </w:rPr>
        <w:t xml:space="preserve">liečiva </w:t>
      </w:r>
      <w:r w:rsidR="001F2E5B" w:rsidRPr="00C83045">
        <w:rPr>
          <w:color w:val="000000"/>
          <w:szCs w:val="22"/>
        </w:rPr>
        <w:t>je pravdepodobne podobný u pacientov so zhoršenou funkciou obličiek a normálnou funkciou obličiek, pretože vylučovanie obličkami predstavuje pr</w:t>
      </w:r>
      <w:r w:rsidR="006F58FC" w:rsidRPr="00C83045">
        <w:rPr>
          <w:color w:val="000000"/>
          <w:szCs w:val="22"/>
        </w:rPr>
        <w:t>i</w:t>
      </w:r>
      <w:r w:rsidR="001F2E5B" w:rsidRPr="00C83045">
        <w:rPr>
          <w:color w:val="000000"/>
          <w:szCs w:val="22"/>
        </w:rPr>
        <w:t xml:space="preserve"> imatinib</w:t>
      </w:r>
      <w:r w:rsidR="006F58FC" w:rsidRPr="00C83045">
        <w:rPr>
          <w:color w:val="000000"/>
          <w:szCs w:val="22"/>
        </w:rPr>
        <w:t>e</w:t>
      </w:r>
      <w:r w:rsidR="001F2E5B" w:rsidRPr="00C83045">
        <w:rPr>
          <w:color w:val="000000"/>
          <w:szCs w:val="22"/>
        </w:rPr>
        <w:t xml:space="preserve"> len menej významnú dráhu el</w:t>
      </w:r>
      <w:r w:rsidR="00B27FF9" w:rsidRPr="00C83045">
        <w:rPr>
          <w:color w:val="000000"/>
          <w:szCs w:val="22"/>
        </w:rPr>
        <w:t>i</w:t>
      </w:r>
      <w:r w:rsidR="001F2E5B" w:rsidRPr="00C83045">
        <w:rPr>
          <w:color w:val="000000"/>
          <w:szCs w:val="22"/>
        </w:rPr>
        <w:t>minácie (pozri časti 4.2 a 4.4).</w:t>
      </w:r>
    </w:p>
    <w:p w14:paraId="323680EA" w14:textId="77777777" w:rsidR="00947B4E" w:rsidRPr="00C83045" w:rsidRDefault="00947B4E" w:rsidP="00D4304B">
      <w:pPr>
        <w:pStyle w:val="Footer"/>
        <w:widowControl w:val="0"/>
        <w:ind w:left="0" w:firstLine="0"/>
        <w:rPr>
          <w:color w:val="000000"/>
          <w:szCs w:val="22"/>
        </w:rPr>
      </w:pPr>
    </w:p>
    <w:p w14:paraId="323680EB" w14:textId="77777777" w:rsidR="00847D15" w:rsidRPr="00C83045" w:rsidRDefault="007D52CB" w:rsidP="00D4304B">
      <w:pPr>
        <w:pStyle w:val="Footer"/>
        <w:widowControl w:val="0"/>
        <w:ind w:left="0" w:firstLine="0"/>
        <w:rPr>
          <w:color w:val="000000"/>
          <w:szCs w:val="22"/>
        </w:rPr>
      </w:pPr>
      <w:r w:rsidRPr="00C83045">
        <w:rPr>
          <w:color w:val="000000"/>
          <w:szCs w:val="22"/>
        </w:rPr>
        <w:t xml:space="preserve">Hoci výsledky farmakokinetickej analýzy ukázali, že medzi jedincami je značná variabilita, priemerná expozícia imatinibu </w:t>
      </w:r>
      <w:r w:rsidR="00CD7C55" w:rsidRPr="00C83045">
        <w:rPr>
          <w:color w:val="000000"/>
          <w:szCs w:val="22"/>
        </w:rPr>
        <w:t xml:space="preserve">sa </w:t>
      </w:r>
      <w:r w:rsidRPr="00C83045">
        <w:rPr>
          <w:color w:val="000000"/>
          <w:szCs w:val="22"/>
        </w:rPr>
        <w:t xml:space="preserve">nezvýšila u pacientov s rôznym stupňom poruchy funkcie pečene </w:t>
      </w:r>
      <w:r w:rsidR="00CD7C55" w:rsidRPr="00C83045">
        <w:rPr>
          <w:color w:val="000000"/>
          <w:szCs w:val="22"/>
        </w:rPr>
        <w:t xml:space="preserve">v porovnaní s pacientmi s normálnou funkciou pečene </w:t>
      </w:r>
      <w:r w:rsidR="00847D15" w:rsidRPr="00C83045">
        <w:rPr>
          <w:color w:val="000000"/>
          <w:szCs w:val="22"/>
        </w:rPr>
        <w:t>(pozri časti 4.2</w:t>
      </w:r>
      <w:r w:rsidR="00CD7C55" w:rsidRPr="00C83045">
        <w:rPr>
          <w:color w:val="000000"/>
          <w:szCs w:val="22"/>
        </w:rPr>
        <w:t>,</w:t>
      </w:r>
      <w:r w:rsidR="00847D15" w:rsidRPr="00C83045">
        <w:rPr>
          <w:color w:val="000000"/>
          <w:szCs w:val="22"/>
        </w:rPr>
        <w:t xml:space="preserve"> 4.4</w:t>
      </w:r>
      <w:r w:rsidR="00CD7C55" w:rsidRPr="00C83045">
        <w:rPr>
          <w:color w:val="000000"/>
          <w:szCs w:val="22"/>
        </w:rPr>
        <w:t xml:space="preserve"> a 4.8</w:t>
      </w:r>
      <w:r w:rsidR="00847D15" w:rsidRPr="00C83045">
        <w:rPr>
          <w:color w:val="000000"/>
          <w:szCs w:val="22"/>
        </w:rPr>
        <w:t>).</w:t>
      </w:r>
    </w:p>
    <w:p w14:paraId="323680EC" w14:textId="77777777" w:rsidR="00847D15" w:rsidRPr="00C83045" w:rsidRDefault="00847D15" w:rsidP="00D4304B">
      <w:pPr>
        <w:widowControl w:val="0"/>
        <w:rPr>
          <w:color w:val="000000"/>
          <w:szCs w:val="22"/>
        </w:rPr>
      </w:pPr>
    </w:p>
    <w:p w14:paraId="323680ED" w14:textId="77777777" w:rsidR="00847D15" w:rsidRPr="00C83045" w:rsidRDefault="00847D15" w:rsidP="00D4304B">
      <w:pPr>
        <w:keepNext/>
        <w:widowControl w:val="0"/>
        <w:rPr>
          <w:b/>
          <w:bCs/>
          <w:color w:val="000000"/>
          <w:szCs w:val="22"/>
        </w:rPr>
      </w:pPr>
      <w:r w:rsidRPr="00C83045">
        <w:rPr>
          <w:b/>
          <w:bCs/>
          <w:color w:val="000000"/>
          <w:szCs w:val="22"/>
        </w:rPr>
        <w:t>5.3</w:t>
      </w:r>
      <w:r w:rsidRPr="00C83045">
        <w:rPr>
          <w:b/>
          <w:bCs/>
          <w:color w:val="000000"/>
          <w:szCs w:val="22"/>
        </w:rPr>
        <w:tab/>
        <w:t>Predklinické údaje o bezpečnosti</w:t>
      </w:r>
    </w:p>
    <w:p w14:paraId="323680EE" w14:textId="77777777" w:rsidR="00847D15" w:rsidRPr="00C83045" w:rsidRDefault="00847D15" w:rsidP="00D4304B">
      <w:pPr>
        <w:keepNext/>
        <w:widowControl w:val="0"/>
        <w:rPr>
          <w:color w:val="000000"/>
          <w:szCs w:val="22"/>
        </w:rPr>
      </w:pPr>
    </w:p>
    <w:p w14:paraId="323680EF" w14:textId="77777777" w:rsidR="00847D15" w:rsidRPr="00C83045" w:rsidRDefault="00847D15" w:rsidP="00D4304B">
      <w:pPr>
        <w:widowControl w:val="0"/>
        <w:ind w:left="0" w:firstLine="0"/>
        <w:rPr>
          <w:color w:val="000000"/>
          <w:szCs w:val="22"/>
        </w:rPr>
      </w:pPr>
      <w:r w:rsidRPr="00C83045">
        <w:rPr>
          <w:color w:val="000000"/>
          <w:szCs w:val="22"/>
        </w:rPr>
        <w:t>Profil predklinickej bezpečnosti imatinibu sa stanovil na potkanoch, psoch, opiciach a králikoch.</w:t>
      </w:r>
    </w:p>
    <w:p w14:paraId="323680F0" w14:textId="77777777" w:rsidR="00847D15" w:rsidRPr="00C83045" w:rsidRDefault="00847D15" w:rsidP="00D4304B">
      <w:pPr>
        <w:widowControl w:val="0"/>
        <w:ind w:left="0" w:firstLine="0"/>
        <w:rPr>
          <w:color w:val="000000"/>
          <w:szCs w:val="22"/>
        </w:rPr>
      </w:pPr>
    </w:p>
    <w:p w14:paraId="323680F1" w14:textId="77777777" w:rsidR="00847D15" w:rsidRPr="00C83045" w:rsidRDefault="00847D15" w:rsidP="00D4304B">
      <w:pPr>
        <w:widowControl w:val="0"/>
        <w:ind w:left="0" w:firstLine="0"/>
        <w:rPr>
          <w:color w:val="000000"/>
          <w:szCs w:val="22"/>
        </w:rPr>
      </w:pPr>
      <w:r w:rsidRPr="00C83045">
        <w:rPr>
          <w:color w:val="000000"/>
          <w:szCs w:val="22"/>
        </w:rPr>
        <w:t>Štúdie toxicity po opakovanom podávaní u potkanov, psov a opíc ukázali malé až stredne veľké hematologické zmeny, ktoré sprevádzali zmeny kostnej drene u potkanov a psov.</w:t>
      </w:r>
    </w:p>
    <w:p w14:paraId="323680F2" w14:textId="77777777" w:rsidR="00847D15" w:rsidRPr="00C83045" w:rsidRDefault="00847D15" w:rsidP="00D4304B">
      <w:pPr>
        <w:widowControl w:val="0"/>
        <w:ind w:left="0" w:firstLine="0"/>
        <w:rPr>
          <w:color w:val="000000"/>
          <w:szCs w:val="22"/>
        </w:rPr>
      </w:pPr>
    </w:p>
    <w:p w14:paraId="323680F3" w14:textId="77777777" w:rsidR="00847D15" w:rsidRPr="00C83045" w:rsidRDefault="00847D15" w:rsidP="00D4304B">
      <w:pPr>
        <w:widowControl w:val="0"/>
        <w:ind w:left="0" w:firstLine="0"/>
        <w:rPr>
          <w:color w:val="000000"/>
          <w:szCs w:val="22"/>
        </w:rPr>
      </w:pPr>
      <w:r w:rsidRPr="00C83045">
        <w:rPr>
          <w:color w:val="000000"/>
          <w:szCs w:val="22"/>
        </w:rPr>
        <w:t>Pečeň bola cieľovým orgánom u potkanov a psov. M</w:t>
      </w:r>
      <w:r w:rsidR="00A41F00" w:rsidRPr="00C83045">
        <w:rPr>
          <w:color w:val="000000"/>
          <w:szCs w:val="22"/>
        </w:rPr>
        <w:t>ierne</w:t>
      </w:r>
      <w:r w:rsidRPr="00C83045">
        <w:rPr>
          <w:color w:val="000000"/>
          <w:szCs w:val="22"/>
        </w:rPr>
        <w:t xml:space="preserve"> až stredne veľké zvýšenie aminotransferáz a malý pokles hladín cholesterolu, triacylglycerolov, celkových bielkovín a albumínu sa pozorovali u oboch druhov zvierat. V pečeni potkanov sa nezistili žiadne histopatologické zmeny. Prejavy závažnej toxicity sa pozorovali v pečeni psov, ktorí dostávali imatinib počas 2 týždňov, a u ktorých došlo k zvýšeniu pečeňových enzýmov, hepatocelulárnej nekróze, nekróze žlčových ciest a hyperplázii žlčových ciest.</w:t>
      </w:r>
    </w:p>
    <w:p w14:paraId="323680F4" w14:textId="77777777" w:rsidR="00847D15" w:rsidRPr="00C83045" w:rsidRDefault="00847D15" w:rsidP="00D4304B">
      <w:pPr>
        <w:widowControl w:val="0"/>
        <w:ind w:left="0" w:firstLine="0"/>
        <w:rPr>
          <w:color w:val="000000"/>
          <w:szCs w:val="22"/>
        </w:rPr>
      </w:pPr>
    </w:p>
    <w:p w14:paraId="323680F5" w14:textId="77777777" w:rsidR="00847D15" w:rsidRPr="00C83045" w:rsidRDefault="00847D15" w:rsidP="00D4304B">
      <w:pPr>
        <w:widowControl w:val="0"/>
        <w:ind w:left="0" w:firstLine="0"/>
        <w:rPr>
          <w:color w:val="000000"/>
          <w:szCs w:val="22"/>
        </w:rPr>
      </w:pPr>
      <w:r w:rsidRPr="00C83045">
        <w:rPr>
          <w:color w:val="000000"/>
          <w:szCs w:val="22"/>
        </w:rPr>
        <w:t xml:space="preserve">Toxicita pre obličky sa pozorovala u opíc, ktoré dostávali imatinib počas 2 týždňov a u ktorých vznikla ložisková mineralizácia, rozšírenie obličkových tubulov a tubulárna nefróza. Zvýšenie dusíka močoviny v krvi (BUN) a kreatinínu sa pozorovalo u niekoľkých zvierat. Hyperplázia prechodného epitelu v obličkovej papile a v močovom mechúre bez zmien biochemických ukazovateľov v sére a moči sa pozorovala u potkanov, ktoré dostávali dávky </w:t>
      </w:r>
      <w:r w:rsidRPr="00C83045">
        <w:rPr>
          <w:color w:val="000000"/>
          <w:szCs w:val="22"/>
        </w:rPr>
        <w:sym w:font="Symbol" w:char="F0B3"/>
      </w:r>
      <w:r w:rsidRPr="00C83045">
        <w:rPr>
          <w:color w:val="000000"/>
          <w:szCs w:val="22"/>
        </w:rPr>
        <w:t> 6 mg/kg v štúdii trvajúcej 13 týždňov. Pri chronickom podávaní imatinibu sa pozoroval zvýšený výskyt oportúnnych infekcií.</w:t>
      </w:r>
    </w:p>
    <w:p w14:paraId="323680F6" w14:textId="77777777" w:rsidR="00847D15" w:rsidRPr="00C83045" w:rsidRDefault="00847D15" w:rsidP="00D4304B">
      <w:pPr>
        <w:widowControl w:val="0"/>
        <w:ind w:left="0" w:firstLine="0"/>
        <w:rPr>
          <w:color w:val="000000"/>
          <w:szCs w:val="22"/>
        </w:rPr>
      </w:pPr>
    </w:p>
    <w:p w14:paraId="323680F7" w14:textId="77777777" w:rsidR="00847D15" w:rsidRPr="00C83045" w:rsidRDefault="006B39D8" w:rsidP="00D4304B">
      <w:pPr>
        <w:widowControl w:val="0"/>
        <w:ind w:left="0" w:firstLine="0"/>
        <w:rPr>
          <w:color w:val="000000"/>
          <w:szCs w:val="22"/>
        </w:rPr>
      </w:pPr>
      <w:r w:rsidRPr="00C83045">
        <w:rPr>
          <w:color w:val="000000"/>
          <w:szCs w:val="22"/>
        </w:rPr>
        <w:t>V štúdii na opiciach trvajúcej 39 týždňov sa nezistila NOAEL (hladina bez pozorovaných nežiaducich účinkov) ani pri najnižšej dávke 15 mg/kg, čo je približne jedna tretina maximálnej dávky 800 mg u ľudí, prepočítanej na povrch tela. Liečba mala za následok zhoršenie normálne potlačených infekcií malárie u týchto zvierat.</w:t>
      </w:r>
    </w:p>
    <w:p w14:paraId="323680F8" w14:textId="77777777" w:rsidR="00847D15" w:rsidRPr="00C83045" w:rsidRDefault="00847D15" w:rsidP="00D4304B">
      <w:pPr>
        <w:widowControl w:val="0"/>
        <w:ind w:left="0" w:firstLine="0"/>
        <w:rPr>
          <w:color w:val="000000"/>
          <w:szCs w:val="22"/>
        </w:rPr>
      </w:pPr>
    </w:p>
    <w:p w14:paraId="323680F9" w14:textId="77777777" w:rsidR="00847D15" w:rsidRPr="00C83045" w:rsidRDefault="00847D15" w:rsidP="00D4304B">
      <w:pPr>
        <w:widowControl w:val="0"/>
        <w:ind w:left="0" w:firstLine="0"/>
        <w:rPr>
          <w:color w:val="000000"/>
          <w:szCs w:val="22"/>
        </w:rPr>
      </w:pPr>
      <w:r w:rsidRPr="00C83045">
        <w:rPr>
          <w:color w:val="000000"/>
          <w:szCs w:val="22"/>
        </w:rPr>
        <w:t xml:space="preserve">Imatinib sa nepovažoval za genotoxický pri skúšaní </w:t>
      </w:r>
      <w:r w:rsidRPr="00C83045">
        <w:rPr>
          <w:i/>
          <w:color w:val="000000"/>
          <w:szCs w:val="22"/>
        </w:rPr>
        <w:t>in vitro</w:t>
      </w:r>
      <w:r w:rsidRPr="00C83045">
        <w:rPr>
          <w:color w:val="000000"/>
          <w:szCs w:val="22"/>
        </w:rPr>
        <w:t xml:space="preserve"> na bakteriálnych bunkách (Amesov test), </w:t>
      </w:r>
      <w:r w:rsidRPr="00C83045">
        <w:rPr>
          <w:i/>
          <w:color w:val="000000"/>
          <w:szCs w:val="22"/>
        </w:rPr>
        <w:t>in vitro</w:t>
      </w:r>
      <w:r w:rsidRPr="00C83045">
        <w:rPr>
          <w:color w:val="000000"/>
          <w:szCs w:val="22"/>
        </w:rPr>
        <w:t xml:space="preserve"> na cicavčích bunkách (myšací lymfóm) a </w:t>
      </w:r>
      <w:r w:rsidRPr="00C83045">
        <w:rPr>
          <w:i/>
          <w:color w:val="000000"/>
          <w:szCs w:val="22"/>
        </w:rPr>
        <w:t>in vivo</w:t>
      </w:r>
      <w:r w:rsidRPr="00C83045">
        <w:rPr>
          <w:color w:val="000000"/>
          <w:szCs w:val="22"/>
        </w:rPr>
        <w:t xml:space="preserve"> na potkaních mikronukleoch. Pozitívne genotoxické účinky imatinibu sa pozorovali pri jednom skúšaní </w:t>
      </w:r>
      <w:r w:rsidRPr="00C83045">
        <w:rPr>
          <w:i/>
          <w:color w:val="000000"/>
          <w:szCs w:val="22"/>
        </w:rPr>
        <w:t>in vitro</w:t>
      </w:r>
      <w:r w:rsidRPr="00C83045">
        <w:rPr>
          <w:color w:val="000000"/>
          <w:szCs w:val="22"/>
        </w:rPr>
        <w:t xml:space="preserve"> na cicavčích bunkách (ovárium čínskeho škrečka), pri ktorom sa zistila klastogenita (chromozómová aberácia) po metabolickej aktivácii. Dva medziprodukty z výrobného procesu, ktoré sú prítomné aj v lieku, majú mutagénne účinky v Amesovom teste. Jeden z týchto medziproduktov bol pozitívny aj v teste na myšacom lymfóme.</w:t>
      </w:r>
    </w:p>
    <w:p w14:paraId="323680FA" w14:textId="77777777" w:rsidR="00847D15" w:rsidRPr="00C83045" w:rsidRDefault="00847D15" w:rsidP="00D4304B">
      <w:pPr>
        <w:widowControl w:val="0"/>
        <w:ind w:left="0" w:firstLine="0"/>
        <w:rPr>
          <w:color w:val="000000"/>
          <w:szCs w:val="22"/>
        </w:rPr>
      </w:pPr>
    </w:p>
    <w:p w14:paraId="323680FB" w14:textId="77777777" w:rsidR="00847D15" w:rsidRPr="00C83045" w:rsidRDefault="00847D15" w:rsidP="00D4304B">
      <w:pPr>
        <w:widowControl w:val="0"/>
        <w:ind w:left="0" w:firstLine="0"/>
        <w:rPr>
          <w:color w:val="000000"/>
          <w:szCs w:val="22"/>
        </w:rPr>
      </w:pPr>
      <w:r w:rsidRPr="00C83045">
        <w:rPr>
          <w:color w:val="000000"/>
          <w:szCs w:val="22"/>
        </w:rPr>
        <w:t xml:space="preserve">V štúdii fertility sa po podávaní potkaním samcom počas 70 dní pred párením znížila hmotnosť semenníkov a nadsemenníkov a podiel pohyblivých spermií pri dávke 60 mg/kg, čo sa približne rovná maximálnej klinickej dávke 800 mg/deň, prepočítanej na povrch tela. Toto sa nepozorovalo pri dávkach </w:t>
      </w:r>
      <w:r w:rsidRPr="00C83045">
        <w:rPr>
          <w:color w:val="000000"/>
          <w:szCs w:val="22"/>
        </w:rPr>
        <w:sym w:font="Symbol" w:char="F0A3"/>
      </w:r>
      <w:r w:rsidRPr="00C83045">
        <w:rPr>
          <w:color w:val="000000"/>
          <w:szCs w:val="22"/>
        </w:rPr>
        <w:t xml:space="preserve"> 20 mg/kg. Malý až stredne veľký pokles spermatogenézy sa tiež pozoroval u psov pri perorálnych dávkach </w:t>
      </w:r>
      <w:r w:rsidRPr="00C83045">
        <w:rPr>
          <w:color w:val="000000"/>
          <w:szCs w:val="22"/>
        </w:rPr>
        <w:sym w:font="Symbol" w:char="F0B3"/>
      </w:r>
      <w:r w:rsidRPr="00C83045">
        <w:rPr>
          <w:color w:val="000000"/>
          <w:szCs w:val="22"/>
        </w:rPr>
        <w:t xml:space="preserve"> 30 mg/kg. Keď sa potkaním samiciam podával imatinib počas 14 dní pred párením a potom až do 6. dňa gravidity, neovplyvnilo to párenie, ani počet gravidných samíc. Pri dávke 60 mg/kg u potkaních samíc došlo k významnej poimplantačnej strate plodov a k zníženiu počtu živých plodov. Toto sa nepozorovalo pri dávkach </w:t>
      </w:r>
      <w:r w:rsidRPr="00C83045">
        <w:rPr>
          <w:color w:val="000000"/>
          <w:szCs w:val="22"/>
        </w:rPr>
        <w:sym w:font="Symbol" w:char="F0A3"/>
      </w:r>
      <w:r w:rsidRPr="00C83045">
        <w:rPr>
          <w:color w:val="000000"/>
          <w:szCs w:val="22"/>
        </w:rPr>
        <w:t> 20 mg/kg.</w:t>
      </w:r>
    </w:p>
    <w:p w14:paraId="323680FC" w14:textId="77777777" w:rsidR="00847D15" w:rsidRPr="00C83045" w:rsidRDefault="00847D15" w:rsidP="00D4304B">
      <w:pPr>
        <w:widowControl w:val="0"/>
        <w:ind w:left="0" w:firstLine="0"/>
        <w:rPr>
          <w:color w:val="000000"/>
          <w:szCs w:val="22"/>
        </w:rPr>
      </w:pPr>
    </w:p>
    <w:p w14:paraId="323680FD" w14:textId="77777777" w:rsidR="00847D15" w:rsidRPr="00C83045" w:rsidRDefault="00847D15" w:rsidP="00D4304B">
      <w:pPr>
        <w:widowControl w:val="0"/>
        <w:ind w:left="0" w:firstLine="0"/>
        <w:rPr>
          <w:color w:val="000000"/>
          <w:szCs w:val="22"/>
        </w:rPr>
      </w:pPr>
      <w:r w:rsidRPr="00C83045">
        <w:rPr>
          <w:color w:val="000000"/>
          <w:szCs w:val="22"/>
        </w:rPr>
        <w:t>V štúdii pre- a postnatálneho vývoja potkanov sa pri perorálnom podávaní v skupine dávky 45 mg/kg/deň pozoroval červený vaginálny výtok buď na 14., alebo na 15. deň gravidity. Pri tejto dávke sa zvýšil počet mŕtvonarodených mláďat, ako aj úmrtí mláďat v dňoch 0 až 4 po pôrode. U potomkov F</w:t>
      </w:r>
      <w:r w:rsidRPr="00C83045">
        <w:rPr>
          <w:color w:val="000000"/>
          <w:szCs w:val="22"/>
          <w:vertAlign w:val="subscript"/>
        </w:rPr>
        <w:t>1</w:t>
      </w:r>
      <w:r w:rsidRPr="00C83045">
        <w:rPr>
          <w:color w:val="000000"/>
          <w:szCs w:val="22"/>
        </w:rPr>
        <w:t xml:space="preserve"> bola pri tejto hladine dávok nižšia priemerná telesná hmotnosť od narodenia až po utratenie zvierat a počet mláďat, ktoré splnili kritérium oddelenia predkožky, sa mierne znížil. </w:t>
      </w:r>
      <w:r w:rsidRPr="00C83045">
        <w:rPr>
          <w:color w:val="000000"/>
          <w:szCs w:val="22"/>
        </w:rPr>
        <w:lastRenderedPageBreak/>
        <w:t>Plodnosť u F</w:t>
      </w:r>
      <w:r w:rsidRPr="00C83045">
        <w:rPr>
          <w:color w:val="000000"/>
          <w:szCs w:val="22"/>
          <w:vertAlign w:val="subscript"/>
        </w:rPr>
        <w:t xml:space="preserve">1 </w:t>
      </w:r>
      <w:r w:rsidRPr="00C83045">
        <w:rPr>
          <w:color w:val="000000"/>
          <w:szCs w:val="22"/>
        </w:rPr>
        <w:t xml:space="preserve">nebola ovplyvnená, ale pri dávke 45 mg/kg/deň sa pozoroval zvýšený počet resorpcií a znížený počet životaschopných plodov. </w:t>
      </w:r>
      <w:r w:rsidR="006B39D8" w:rsidRPr="00C83045">
        <w:rPr>
          <w:color w:val="000000"/>
          <w:szCs w:val="22"/>
        </w:rPr>
        <w:t xml:space="preserve">Hladina bez pozorovaných účinkov (NOEL) </w:t>
      </w:r>
      <w:r w:rsidRPr="00C83045">
        <w:rPr>
          <w:color w:val="000000"/>
          <w:szCs w:val="22"/>
        </w:rPr>
        <w:t>u matiek aj generácie F</w:t>
      </w:r>
      <w:r w:rsidRPr="00C83045">
        <w:rPr>
          <w:color w:val="000000"/>
          <w:szCs w:val="22"/>
          <w:vertAlign w:val="subscript"/>
        </w:rPr>
        <w:t>1</w:t>
      </w:r>
      <w:r w:rsidRPr="00C83045">
        <w:rPr>
          <w:color w:val="000000"/>
          <w:szCs w:val="22"/>
        </w:rPr>
        <w:t xml:space="preserve"> bola 15 mg/kg/deň (štvrtina maximálnej dávky u ľudí, ktorá je 800 mg).</w:t>
      </w:r>
    </w:p>
    <w:p w14:paraId="323680FE" w14:textId="77777777" w:rsidR="00847D15" w:rsidRPr="00C83045" w:rsidRDefault="00847D15" w:rsidP="00D4304B">
      <w:pPr>
        <w:widowControl w:val="0"/>
        <w:ind w:left="0" w:firstLine="0"/>
        <w:rPr>
          <w:color w:val="000000"/>
          <w:szCs w:val="22"/>
        </w:rPr>
      </w:pPr>
    </w:p>
    <w:p w14:paraId="323680FF" w14:textId="77777777" w:rsidR="00847D15" w:rsidRPr="00C83045" w:rsidRDefault="00847D15" w:rsidP="00D4304B">
      <w:pPr>
        <w:widowControl w:val="0"/>
        <w:ind w:left="0" w:firstLine="0"/>
        <w:rPr>
          <w:color w:val="000000"/>
          <w:szCs w:val="22"/>
        </w:rPr>
      </w:pPr>
      <w:r w:rsidRPr="00C83045">
        <w:rPr>
          <w:color w:val="000000"/>
          <w:szCs w:val="22"/>
        </w:rPr>
        <w:t xml:space="preserve">Imatinib bol teratogénny u potkanov, keď sa podával počas organogenézy v dávkach </w:t>
      </w:r>
      <w:r w:rsidRPr="00C83045">
        <w:rPr>
          <w:color w:val="000000"/>
          <w:szCs w:val="22"/>
        </w:rPr>
        <w:sym w:font="Symbol" w:char="F0B3"/>
      </w:r>
      <w:r w:rsidRPr="00C83045">
        <w:rPr>
          <w:color w:val="000000"/>
          <w:szCs w:val="22"/>
        </w:rPr>
        <w:t> 100 mg/kg, čo sa približne rovná maximálnej klinickej dávke 800 mg</w:t>
      </w:r>
      <w:r w:rsidR="00670B45" w:rsidRPr="00C83045">
        <w:rPr>
          <w:color w:val="000000"/>
          <w:szCs w:val="22"/>
        </w:rPr>
        <w:t>/deň</w:t>
      </w:r>
      <w:r w:rsidRPr="00C83045">
        <w:rPr>
          <w:color w:val="000000"/>
          <w:szCs w:val="22"/>
        </w:rPr>
        <w:t xml:space="preserve">, prepočítanej na povrch tela. Teratogénne účinky zahŕňali exencefáliu alebo encefalokélu a neprítomnosť alebo zmenšenie frontálnych a neprítomnosť parietálnych kostí. Tieto účinky sa nezistili pri dávkach </w:t>
      </w:r>
      <w:r w:rsidRPr="00C83045">
        <w:rPr>
          <w:color w:val="000000"/>
          <w:szCs w:val="22"/>
        </w:rPr>
        <w:sym w:font="Symbol" w:char="F0A3"/>
      </w:r>
      <w:r w:rsidRPr="00C83045">
        <w:rPr>
          <w:color w:val="000000"/>
          <w:szCs w:val="22"/>
        </w:rPr>
        <w:t> 30 mg/kg.</w:t>
      </w:r>
    </w:p>
    <w:p w14:paraId="32368100" w14:textId="77777777" w:rsidR="00FD3418" w:rsidRPr="00C83045" w:rsidRDefault="00FD3418" w:rsidP="00D4304B">
      <w:pPr>
        <w:pStyle w:val="Text"/>
        <w:widowControl w:val="0"/>
        <w:spacing w:before="0"/>
        <w:jc w:val="left"/>
        <w:rPr>
          <w:color w:val="000000"/>
          <w:sz w:val="22"/>
          <w:szCs w:val="22"/>
          <w:lang w:val="sk-SK"/>
        </w:rPr>
      </w:pPr>
    </w:p>
    <w:p w14:paraId="32368101" w14:textId="77777777" w:rsidR="00FD3418" w:rsidRPr="00C83045" w:rsidRDefault="00D014FC" w:rsidP="00D4304B">
      <w:pPr>
        <w:pStyle w:val="Text"/>
        <w:widowControl w:val="0"/>
        <w:spacing w:before="0"/>
        <w:jc w:val="left"/>
        <w:rPr>
          <w:color w:val="000000"/>
          <w:sz w:val="22"/>
          <w:szCs w:val="22"/>
          <w:lang w:val="sk-SK"/>
        </w:rPr>
      </w:pPr>
      <w:r w:rsidRPr="00C83045">
        <w:rPr>
          <w:color w:val="000000"/>
          <w:sz w:val="22"/>
          <w:szCs w:val="22"/>
          <w:lang w:val="sk-SK"/>
        </w:rPr>
        <w:t xml:space="preserve">V toxikologickej vývojovej štúdii u </w:t>
      </w:r>
      <w:r w:rsidR="00FC427D" w:rsidRPr="00C83045">
        <w:rPr>
          <w:color w:val="000000"/>
          <w:sz w:val="22"/>
          <w:szCs w:val="22"/>
          <w:lang w:val="sk-SK"/>
        </w:rPr>
        <w:t xml:space="preserve">juvenilných </w:t>
      </w:r>
      <w:r w:rsidRPr="00C83045">
        <w:rPr>
          <w:color w:val="000000"/>
          <w:sz w:val="22"/>
          <w:szCs w:val="22"/>
          <w:lang w:val="sk-SK"/>
        </w:rPr>
        <w:t>potkanov neboli zistené žiadn</w:t>
      </w:r>
      <w:r w:rsidR="009045D2" w:rsidRPr="00C83045">
        <w:rPr>
          <w:color w:val="000000"/>
          <w:sz w:val="22"/>
          <w:szCs w:val="22"/>
          <w:lang w:val="sk-SK"/>
        </w:rPr>
        <w:t>e</w:t>
      </w:r>
      <w:r w:rsidRPr="00C83045">
        <w:rPr>
          <w:color w:val="000000"/>
          <w:sz w:val="22"/>
          <w:szCs w:val="22"/>
          <w:lang w:val="sk-SK"/>
        </w:rPr>
        <w:t xml:space="preserve"> nové cieľové orgány </w:t>
      </w:r>
      <w:r w:rsidR="00FD3418" w:rsidRPr="00C83045">
        <w:rPr>
          <w:color w:val="000000"/>
          <w:sz w:val="22"/>
          <w:szCs w:val="22"/>
          <w:lang w:val="sk-SK"/>
        </w:rPr>
        <w:t>(d</w:t>
      </w:r>
      <w:r w:rsidRPr="00C83045">
        <w:rPr>
          <w:color w:val="000000"/>
          <w:sz w:val="22"/>
          <w:szCs w:val="22"/>
          <w:lang w:val="sk-SK"/>
        </w:rPr>
        <w:t>eň</w:t>
      </w:r>
      <w:r w:rsidR="00FD3418" w:rsidRPr="00C83045">
        <w:rPr>
          <w:color w:val="000000"/>
          <w:sz w:val="22"/>
          <w:szCs w:val="22"/>
          <w:lang w:val="sk-SK"/>
        </w:rPr>
        <w:t xml:space="preserve"> 10 </w:t>
      </w:r>
      <w:r w:rsidRPr="00C83045">
        <w:rPr>
          <w:color w:val="000000"/>
          <w:sz w:val="22"/>
          <w:szCs w:val="22"/>
          <w:lang w:val="sk-SK"/>
        </w:rPr>
        <w:t>až</w:t>
      </w:r>
      <w:r w:rsidR="00FD3418" w:rsidRPr="00C83045">
        <w:rPr>
          <w:color w:val="000000"/>
          <w:sz w:val="22"/>
          <w:szCs w:val="22"/>
          <w:lang w:val="sk-SK"/>
        </w:rPr>
        <w:t xml:space="preserve"> 70</w:t>
      </w:r>
      <w:r w:rsidR="009045D2" w:rsidRPr="00C83045">
        <w:rPr>
          <w:color w:val="000000"/>
          <w:sz w:val="22"/>
          <w:szCs w:val="22"/>
          <w:lang w:val="sk-SK"/>
        </w:rPr>
        <w:t> </w:t>
      </w:r>
      <w:r w:rsidR="00FD3418" w:rsidRPr="00C83045">
        <w:rPr>
          <w:color w:val="000000"/>
          <w:sz w:val="22"/>
          <w:szCs w:val="22"/>
          <w:lang w:val="sk-SK"/>
        </w:rPr>
        <w:t xml:space="preserve">postpartum) </w:t>
      </w:r>
      <w:r w:rsidRPr="00C83045">
        <w:rPr>
          <w:color w:val="000000"/>
          <w:sz w:val="22"/>
          <w:szCs w:val="22"/>
          <w:lang w:val="sk-SK"/>
        </w:rPr>
        <w:t>s ohľadom na už známe cieľové orgány u dosp</w:t>
      </w:r>
      <w:r w:rsidR="00C4728F" w:rsidRPr="00C83045">
        <w:rPr>
          <w:color w:val="000000"/>
          <w:sz w:val="22"/>
          <w:szCs w:val="22"/>
          <w:lang w:val="sk-SK"/>
        </w:rPr>
        <w:t>e</w:t>
      </w:r>
      <w:r w:rsidRPr="00C83045">
        <w:rPr>
          <w:color w:val="000000"/>
          <w:sz w:val="22"/>
          <w:szCs w:val="22"/>
          <w:lang w:val="sk-SK"/>
        </w:rPr>
        <w:t>lých potkanov</w:t>
      </w:r>
      <w:r w:rsidR="00FD3418" w:rsidRPr="00C83045">
        <w:rPr>
          <w:color w:val="000000"/>
          <w:sz w:val="22"/>
          <w:szCs w:val="22"/>
          <w:lang w:val="sk-SK"/>
        </w:rPr>
        <w:t xml:space="preserve">. </w:t>
      </w:r>
      <w:r w:rsidR="00C4728F" w:rsidRPr="00C83045">
        <w:rPr>
          <w:color w:val="000000"/>
          <w:sz w:val="22"/>
          <w:szCs w:val="22"/>
          <w:lang w:val="sk-SK"/>
        </w:rPr>
        <w:t>V tejto štúdii bol pri dávkach 0,3</w:t>
      </w:r>
      <w:r w:rsidR="009045D2" w:rsidRPr="00C83045">
        <w:rPr>
          <w:color w:val="000000"/>
          <w:sz w:val="22"/>
          <w:szCs w:val="22"/>
          <w:lang w:val="sk-SK"/>
        </w:rPr>
        <w:t>-</w:t>
      </w:r>
      <w:r w:rsidR="00C4728F" w:rsidRPr="00C83045">
        <w:rPr>
          <w:color w:val="000000"/>
          <w:sz w:val="22"/>
          <w:szCs w:val="22"/>
          <w:lang w:val="sk-SK"/>
        </w:rPr>
        <w:t xml:space="preserve"> až 2-nás</w:t>
      </w:r>
      <w:r w:rsidR="009045D2" w:rsidRPr="00C83045">
        <w:rPr>
          <w:color w:val="000000"/>
          <w:sz w:val="22"/>
          <w:szCs w:val="22"/>
          <w:lang w:val="sk-SK"/>
        </w:rPr>
        <w:t>obne vyšších</w:t>
      </w:r>
      <w:r w:rsidR="00852EF5" w:rsidRPr="00C83045">
        <w:rPr>
          <w:color w:val="000000"/>
          <w:sz w:val="22"/>
          <w:szCs w:val="22"/>
          <w:lang w:val="sk-SK"/>
        </w:rPr>
        <w:t>,</w:t>
      </w:r>
      <w:r w:rsidR="009045D2" w:rsidRPr="00C83045">
        <w:rPr>
          <w:color w:val="000000"/>
          <w:sz w:val="22"/>
          <w:szCs w:val="22"/>
          <w:lang w:val="sk-SK"/>
        </w:rPr>
        <w:t xml:space="preserve"> ako je priemerná e</w:t>
      </w:r>
      <w:r w:rsidR="00C4728F" w:rsidRPr="00C83045">
        <w:rPr>
          <w:color w:val="000000"/>
          <w:sz w:val="22"/>
          <w:szCs w:val="22"/>
          <w:lang w:val="sk-SK"/>
        </w:rPr>
        <w:t>x</w:t>
      </w:r>
      <w:r w:rsidR="009045D2" w:rsidRPr="00C83045">
        <w:rPr>
          <w:color w:val="000000"/>
          <w:sz w:val="22"/>
          <w:szCs w:val="22"/>
          <w:lang w:val="sk-SK"/>
        </w:rPr>
        <w:t>p</w:t>
      </w:r>
      <w:r w:rsidR="00C4728F" w:rsidRPr="00C83045">
        <w:rPr>
          <w:color w:val="000000"/>
          <w:sz w:val="22"/>
          <w:szCs w:val="22"/>
          <w:lang w:val="sk-SK"/>
        </w:rPr>
        <w:t>ozícia u detí pri najvyššej odporúčanej dávke 340 mg/m</w:t>
      </w:r>
      <w:r w:rsidR="00C4728F" w:rsidRPr="00C83045">
        <w:rPr>
          <w:color w:val="000000"/>
          <w:sz w:val="22"/>
          <w:szCs w:val="22"/>
          <w:vertAlign w:val="superscript"/>
          <w:lang w:val="sk-SK"/>
        </w:rPr>
        <w:t>2</w:t>
      </w:r>
      <w:r w:rsidR="00852EF5" w:rsidRPr="00C83045">
        <w:rPr>
          <w:color w:val="000000"/>
          <w:sz w:val="22"/>
          <w:szCs w:val="22"/>
          <w:lang w:val="sk-SK"/>
        </w:rPr>
        <w:t>,</w:t>
      </w:r>
      <w:r w:rsidR="00C4728F" w:rsidRPr="00C83045">
        <w:rPr>
          <w:color w:val="000000"/>
          <w:sz w:val="22"/>
          <w:szCs w:val="22"/>
          <w:vertAlign w:val="superscript"/>
          <w:lang w:val="sk-SK"/>
        </w:rPr>
        <w:t xml:space="preserve"> </w:t>
      </w:r>
      <w:r w:rsidR="00C4728F" w:rsidRPr="00C83045">
        <w:rPr>
          <w:color w:val="000000"/>
          <w:sz w:val="22"/>
          <w:szCs w:val="22"/>
          <w:lang w:val="sk-SK"/>
        </w:rPr>
        <w:t>zaznamenaný</w:t>
      </w:r>
      <w:r w:rsidR="00FD3418" w:rsidRPr="00C83045">
        <w:rPr>
          <w:color w:val="000000"/>
          <w:sz w:val="22"/>
          <w:szCs w:val="22"/>
          <w:lang w:val="sk-SK"/>
        </w:rPr>
        <w:t xml:space="preserve"> </w:t>
      </w:r>
      <w:r w:rsidR="00C4728F" w:rsidRPr="00C83045">
        <w:rPr>
          <w:color w:val="000000"/>
          <w:sz w:val="22"/>
          <w:szCs w:val="22"/>
          <w:lang w:val="sk-SK"/>
        </w:rPr>
        <w:t>vplyv na rast</w:t>
      </w:r>
      <w:r w:rsidR="00FD3418" w:rsidRPr="00C83045">
        <w:rPr>
          <w:color w:val="000000"/>
          <w:sz w:val="22"/>
          <w:szCs w:val="22"/>
          <w:lang w:val="sk-SK"/>
        </w:rPr>
        <w:t xml:space="preserve">, </w:t>
      </w:r>
      <w:r w:rsidR="00C4728F" w:rsidRPr="00C83045">
        <w:rPr>
          <w:color w:val="000000"/>
          <w:sz w:val="22"/>
          <w:szCs w:val="22"/>
          <w:lang w:val="sk-SK"/>
        </w:rPr>
        <w:t>oneskorený vývin vaginálneho otvoru a separácie predkožky</w:t>
      </w:r>
      <w:r w:rsidR="00FD3418" w:rsidRPr="00C83045">
        <w:rPr>
          <w:color w:val="000000"/>
          <w:sz w:val="22"/>
          <w:szCs w:val="22"/>
          <w:lang w:val="sk-SK"/>
        </w:rPr>
        <w:t xml:space="preserve">. </w:t>
      </w:r>
      <w:r w:rsidR="00D32705" w:rsidRPr="00C83045">
        <w:rPr>
          <w:color w:val="000000"/>
          <w:sz w:val="22"/>
          <w:szCs w:val="22"/>
          <w:lang w:val="sk-SK"/>
        </w:rPr>
        <w:t>Pri dávkach zhruba 2-násobne vyšších</w:t>
      </w:r>
      <w:r w:rsidR="00852EF5" w:rsidRPr="00C83045">
        <w:rPr>
          <w:color w:val="000000"/>
          <w:sz w:val="22"/>
          <w:szCs w:val="22"/>
          <w:lang w:val="sk-SK"/>
        </w:rPr>
        <w:t>,</w:t>
      </w:r>
      <w:r w:rsidR="00D32705" w:rsidRPr="00C83045">
        <w:rPr>
          <w:color w:val="000000"/>
          <w:sz w:val="22"/>
          <w:szCs w:val="22"/>
          <w:lang w:val="sk-SK"/>
        </w:rPr>
        <w:t xml:space="preserve"> ako je priemerná ex</w:t>
      </w:r>
      <w:r w:rsidR="009045D2" w:rsidRPr="00C83045">
        <w:rPr>
          <w:color w:val="000000"/>
          <w:sz w:val="22"/>
          <w:szCs w:val="22"/>
          <w:lang w:val="sk-SK"/>
        </w:rPr>
        <w:t>p</w:t>
      </w:r>
      <w:r w:rsidR="00D32705" w:rsidRPr="00C83045">
        <w:rPr>
          <w:color w:val="000000"/>
          <w:sz w:val="22"/>
          <w:szCs w:val="22"/>
          <w:lang w:val="sk-SK"/>
        </w:rPr>
        <w:t>ozícia u detí pri najvyššej odporúčanej dávke 340 mg/m</w:t>
      </w:r>
      <w:r w:rsidR="00D32705" w:rsidRPr="00C83045">
        <w:rPr>
          <w:color w:val="000000"/>
          <w:sz w:val="22"/>
          <w:szCs w:val="22"/>
          <w:vertAlign w:val="superscript"/>
          <w:lang w:val="sk-SK"/>
        </w:rPr>
        <w:t>2</w:t>
      </w:r>
      <w:r w:rsidR="00852EF5" w:rsidRPr="00C83045">
        <w:rPr>
          <w:color w:val="000000"/>
          <w:sz w:val="22"/>
          <w:szCs w:val="22"/>
          <w:lang w:val="sk-SK"/>
        </w:rPr>
        <w:t>,</w:t>
      </w:r>
      <w:r w:rsidR="00D32705" w:rsidRPr="00C83045">
        <w:rPr>
          <w:color w:val="000000"/>
          <w:sz w:val="22"/>
          <w:szCs w:val="22"/>
          <w:vertAlign w:val="superscript"/>
          <w:lang w:val="sk-SK"/>
        </w:rPr>
        <w:t xml:space="preserve"> </w:t>
      </w:r>
      <w:r w:rsidR="00D32705" w:rsidRPr="00C83045">
        <w:rPr>
          <w:color w:val="000000"/>
          <w:sz w:val="22"/>
          <w:szCs w:val="22"/>
          <w:lang w:val="sk-SK"/>
        </w:rPr>
        <w:t xml:space="preserve">bola okrem toho zaznamenaná u mláďat </w:t>
      </w:r>
      <w:r w:rsidR="00FD3418" w:rsidRPr="00C83045">
        <w:rPr>
          <w:color w:val="000000"/>
          <w:sz w:val="22"/>
          <w:szCs w:val="22"/>
          <w:lang w:val="sk-SK"/>
        </w:rPr>
        <w:t>mortalit</w:t>
      </w:r>
      <w:r w:rsidR="00D32705" w:rsidRPr="00C83045">
        <w:rPr>
          <w:color w:val="000000"/>
          <w:sz w:val="22"/>
          <w:szCs w:val="22"/>
          <w:lang w:val="sk-SK"/>
        </w:rPr>
        <w:t>a</w:t>
      </w:r>
      <w:r w:rsidR="00FD3418" w:rsidRPr="00C83045">
        <w:rPr>
          <w:color w:val="000000"/>
          <w:sz w:val="22"/>
          <w:szCs w:val="22"/>
          <w:lang w:val="sk-SK"/>
        </w:rPr>
        <w:t xml:space="preserve"> (</w:t>
      </w:r>
      <w:r w:rsidR="00D32705" w:rsidRPr="00C83045">
        <w:rPr>
          <w:color w:val="000000"/>
          <w:sz w:val="22"/>
          <w:szCs w:val="22"/>
          <w:lang w:val="sk-SK"/>
        </w:rPr>
        <w:t>približne v období odstavenia mláďat</w:t>
      </w:r>
      <w:r w:rsidR="00FD3418" w:rsidRPr="00C83045">
        <w:rPr>
          <w:color w:val="000000"/>
          <w:sz w:val="22"/>
          <w:szCs w:val="22"/>
          <w:lang w:val="sk-SK"/>
        </w:rPr>
        <w:t>).</w:t>
      </w:r>
    </w:p>
    <w:p w14:paraId="32368102" w14:textId="77777777" w:rsidR="00847D15" w:rsidRPr="00C83045" w:rsidRDefault="00847D15" w:rsidP="00D4304B">
      <w:pPr>
        <w:widowControl w:val="0"/>
        <w:ind w:left="0" w:firstLine="0"/>
        <w:rPr>
          <w:color w:val="000000"/>
          <w:szCs w:val="22"/>
        </w:rPr>
      </w:pPr>
    </w:p>
    <w:p w14:paraId="32368103" w14:textId="77777777" w:rsidR="00355D2E" w:rsidRPr="00C83045" w:rsidRDefault="0009196F" w:rsidP="00D4304B">
      <w:pPr>
        <w:widowControl w:val="0"/>
        <w:ind w:left="0" w:firstLine="0"/>
        <w:rPr>
          <w:color w:val="000000"/>
          <w:szCs w:val="22"/>
        </w:rPr>
      </w:pPr>
      <w:r w:rsidRPr="00C83045">
        <w:rPr>
          <w:color w:val="000000"/>
          <w:szCs w:val="22"/>
        </w:rPr>
        <w:t>V štúdii karcinogenity na potkanoch</w:t>
      </w:r>
      <w:r w:rsidR="005C1886" w:rsidRPr="00C83045">
        <w:rPr>
          <w:color w:val="000000"/>
          <w:szCs w:val="22"/>
        </w:rPr>
        <w:t>,</w:t>
      </w:r>
      <w:r w:rsidRPr="00C83045">
        <w:rPr>
          <w:color w:val="000000"/>
          <w:szCs w:val="22"/>
        </w:rPr>
        <w:t xml:space="preserve"> trvajúcej 2 roky</w:t>
      </w:r>
      <w:r w:rsidR="005C1886" w:rsidRPr="00C83045">
        <w:rPr>
          <w:color w:val="000000"/>
          <w:szCs w:val="22"/>
        </w:rPr>
        <w:t>,</w:t>
      </w:r>
      <w:r w:rsidRPr="00C83045">
        <w:rPr>
          <w:color w:val="000000"/>
          <w:szCs w:val="22"/>
        </w:rPr>
        <w:t xml:space="preserve"> malo podávanie imatinibu v dávkach 15, 30 a 60 mg/kg/deň za následok štatisticky významné </w:t>
      </w:r>
      <w:r w:rsidR="00C233A5" w:rsidRPr="00C83045">
        <w:rPr>
          <w:color w:val="000000"/>
          <w:szCs w:val="22"/>
        </w:rPr>
        <w:t>skráte</w:t>
      </w:r>
      <w:r w:rsidRPr="00C83045">
        <w:rPr>
          <w:color w:val="000000"/>
          <w:szCs w:val="22"/>
        </w:rPr>
        <w:t xml:space="preserve">nie </w:t>
      </w:r>
      <w:r w:rsidR="00C233A5" w:rsidRPr="00C83045">
        <w:rPr>
          <w:color w:val="000000"/>
          <w:szCs w:val="22"/>
        </w:rPr>
        <w:t>života u samcov pri 60 mg/kg/deň a u samíc pri ≥</w:t>
      </w:r>
      <w:r w:rsidR="004D5AF2" w:rsidRPr="00C83045">
        <w:rPr>
          <w:color w:val="000000"/>
          <w:szCs w:val="22"/>
        </w:rPr>
        <w:t> </w:t>
      </w:r>
      <w:r w:rsidR="00C233A5" w:rsidRPr="00C83045">
        <w:rPr>
          <w:color w:val="000000"/>
          <w:szCs w:val="22"/>
        </w:rPr>
        <w:t xml:space="preserve">30 mg/kg/deň. </w:t>
      </w:r>
      <w:r w:rsidR="00EE4A5B" w:rsidRPr="00C83045">
        <w:rPr>
          <w:color w:val="000000"/>
          <w:szCs w:val="22"/>
        </w:rPr>
        <w:t>Histopatologické vyšetrenie potomstva ukázalo kardiomyopatiu (obe pohlavia), chronickú progre</w:t>
      </w:r>
      <w:r w:rsidR="00B74981" w:rsidRPr="00C83045">
        <w:rPr>
          <w:color w:val="000000"/>
          <w:szCs w:val="22"/>
        </w:rPr>
        <w:t xml:space="preserve">sívnu nefropatiu (samice) a papilóm predkožkovej žľazy ako hlavné príčiny smrti alebo </w:t>
      </w:r>
      <w:r w:rsidR="0071043D" w:rsidRPr="00C83045">
        <w:rPr>
          <w:color w:val="000000"/>
          <w:szCs w:val="22"/>
        </w:rPr>
        <w:t xml:space="preserve">dôvody na utratenie. Cieľovými orgánmi </w:t>
      </w:r>
      <w:r w:rsidR="00F032BD" w:rsidRPr="00C83045">
        <w:rPr>
          <w:color w:val="000000"/>
          <w:szCs w:val="22"/>
        </w:rPr>
        <w:t xml:space="preserve">pre </w:t>
      </w:r>
      <w:r w:rsidR="0071043D" w:rsidRPr="00C83045">
        <w:rPr>
          <w:color w:val="000000"/>
          <w:szCs w:val="22"/>
        </w:rPr>
        <w:t>neoplastick</w:t>
      </w:r>
      <w:r w:rsidR="00F032BD" w:rsidRPr="00C83045">
        <w:rPr>
          <w:color w:val="000000"/>
          <w:szCs w:val="22"/>
        </w:rPr>
        <w:t>é</w:t>
      </w:r>
      <w:r w:rsidR="0071043D" w:rsidRPr="00C83045">
        <w:rPr>
          <w:color w:val="000000"/>
          <w:szCs w:val="22"/>
        </w:rPr>
        <w:t xml:space="preserve"> zmen</w:t>
      </w:r>
      <w:r w:rsidR="00F032BD" w:rsidRPr="00C83045">
        <w:rPr>
          <w:color w:val="000000"/>
          <w:szCs w:val="22"/>
        </w:rPr>
        <w:t>y</w:t>
      </w:r>
      <w:r w:rsidR="0071043D" w:rsidRPr="00C83045">
        <w:rPr>
          <w:color w:val="000000"/>
          <w:szCs w:val="22"/>
        </w:rPr>
        <w:t xml:space="preserve"> boli obličky, močový mechúr, </w:t>
      </w:r>
      <w:r w:rsidR="00F032BD" w:rsidRPr="00C83045">
        <w:rPr>
          <w:color w:val="000000"/>
          <w:szCs w:val="22"/>
        </w:rPr>
        <w:t xml:space="preserve">uretra, predkožková a klitorisová žľaza, tenké črevo, </w:t>
      </w:r>
      <w:r w:rsidR="005514C4" w:rsidRPr="00C83045">
        <w:rPr>
          <w:color w:val="000000"/>
          <w:szCs w:val="22"/>
        </w:rPr>
        <w:t>prištítne telieska, nadobličky a</w:t>
      </w:r>
      <w:r w:rsidR="00F579B2" w:rsidRPr="00C83045">
        <w:rPr>
          <w:color w:val="000000"/>
          <w:szCs w:val="22"/>
        </w:rPr>
        <w:t> bez</w:t>
      </w:r>
      <w:r w:rsidR="005514C4" w:rsidRPr="00C83045">
        <w:rPr>
          <w:color w:val="000000"/>
          <w:szCs w:val="22"/>
        </w:rPr>
        <w:t>žľazov</w:t>
      </w:r>
      <w:r w:rsidR="00F579B2" w:rsidRPr="00C83045">
        <w:rPr>
          <w:color w:val="000000"/>
          <w:szCs w:val="22"/>
        </w:rPr>
        <w:t>á časť</w:t>
      </w:r>
      <w:r w:rsidR="005514C4" w:rsidRPr="00C83045">
        <w:rPr>
          <w:color w:val="000000"/>
          <w:szCs w:val="22"/>
        </w:rPr>
        <w:t xml:space="preserve"> žalúdk</w:t>
      </w:r>
      <w:r w:rsidR="00F579B2" w:rsidRPr="00C83045">
        <w:rPr>
          <w:color w:val="000000"/>
          <w:szCs w:val="22"/>
        </w:rPr>
        <w:t>a</w:t>
      </w:r>
      <w:r w:rsidR="005514C4" w:rsidRPr="00C83045">
        <w:rPr>
          <w:color w:val="000000"/>
          <w:szCs w:val="22"/>
        </w:rPr>
        <w:t>.</w:t>
      </w:r>
    </w:p>
    <w:p w14:paraId="32368104" w14:textId="77777777" w:rsidR="006B39D8" w:rsidRPr="00C83045" w:rsidRDefault="006B39D8" w:rsidP="00D4304B">
      <w:pPr>
        <w:widowControl w:val="0"/>
        <w:ind w:left="0" w:firstLine="0"/>
        <w:rPr>
          <w:color w:val="000000"/>
          <w:szCs w:val="22"/>
        </w:rPr>
      </w:pPr>
    </w:p>
    <w:p w14:paraId="32368105" w14:textId="77777777" w:rsidR="00CC1240" w:rsidRPr="00C83045" w:rsidRDefault="006B39D8" w:rsidP="00D4304B">
      <w:pPr>
        <w:widowControl w:val="0"/>
        <w:ind w:left="0" w:firstLine="0"/>
        <w:rPr>
          <w:bCs/>
          <w:color w:val="000000"/>
          <w:szCs w:val="22"/>
        </w:rPr>
      </w:pPr>
      <w:r w:rsidRPr="00C83045">
        <w:rPr>
          <w:color w:val="000000"/>
          <w:szCs w:val="22"/>
        </w:rPr>
        <w:t xml:space="preserve">Papilómy/karcinómy predkožkovej/klitorisovej žľazy sa pozorovali </w:t>
      </w:r>
      <w:r w:rsidR="00BB3EDF" w:rsidRPr="00C83045">
        <w:rPr>
          <w:color w:val="000000"/>
          <w:szCs w:val="22"/>
        </w:rPr>
        <w:t xml:space="preserve">pri </w:t>
      </w:r>
      <w:r w:rsidR="009253A6" w:rsidRPr="00C83045">
        <w:rPr>
          <w:color w:val="000000"/>
          <w:szCs w:val="22"/>
        </w:rPr>
        <w:t>dávk</w:t>
      </w:r>
      <w:r w:rsidR="00BB3EDF" w:rsidRPr="00C83045">
        <w:rPr>
          <w:color w:val="000000"/>
          <w:szCs w:val="22"/>
        </w:rPr>
        <w:t>ach</w:t>
      </w:r>
      <w:r w:rsidR="009253A6" w:rsidRPr="00C83045">
        <w:rPr>
          <w:color w:val="000000"/>
          <w:szCs w:val="22"/>
        </w:rPr>
        <w:t xml:space="preserve"> </w:t>
      </w:r>
      <w:r w:rsidRPr="00C83045">
        <w:rPr>
          <w:color w:val="000000"/>
          <w:szCs w:val="22"/>
        </w:rPr>
        <w:t>30 mg/kg/deň</w:t>
      </w:r>
      <w:r w:rsidR="002B172F" w:rsidRPr="00C83045">
        <w:rPr>
          <w:color w:val="000000"/>
          <w:szCs w:val="22"/>
        </w:rPr>
        <w:t xml:space="preserve"> </w:t>
      </w:r>
      <w:r w:rsidR="00BB3EDF" w:rsidRPr="00C83045">
        <w:rPr>
          <w:color w:val="000000"/>
          <w:szCs w:val="22"/>
        </w:rPr>
        <w:t xml:space="preserve">a vyšších, </w:t>
      </w:r>
      <w:r w:rsidRPr="00C83045">
        <w:rPr>
          <w:color w:val="000000"/>
          <w:szCs w:val="22"/>
        </w:rPr>
        <w:t xml:space="preserve">čo predstavuje približne 0,5- alebo 0,3-násobok dennej expozície u ľudí (založenej na AUC) pri 400 mg/deň alebo 800 mg/deň, a 0,4-násobok dennej expozície u detí (založenej na AUC) pri </w:t>
      </w:r>
      <w:r w:rsidRPr="00C83045">
        <w:rPr>
          <w:bCs/>
          <w:color w:val="000000"/>
          <w:szCs w:val="22"/>
        </w:rPr>
        <w:t>340 mg/m</w:t>
      </w:r>
      <w:r w:rsidRPr="00C83045">
        <w:rPr>
          <w:bCs/>
          <w:color w:val="000000"/>
          <w:szCs w:val="22"/>
          <w:vertAlign w:val="superscript"/>
        </w:rPr>
        <w:t>2</w:t>
      </w:r>
      <w:r w:rsidR="004170CD" w:rsidRPr="00C83045">
        <w:rPr>
          <w:bCs/>
          <w:color w:val="000000"/>
          <w:szCs w:val="22"/>
        </w:rPr>
        <w:t>/deň.</w:t>
      </w:r>
      <w:r w:rsidRPr="00C83045">
        <w:rPr>
          <w:color w:val="000000"/>
          <w:szCs w:val="22"/>
        </w:rPr>
        <w:t xml:space="preserve"> </w:t>
      </w:r>
      <w:r w:rsidR="006B01DE" w:rsidRPr="00C83045">
        <w:rPr>
          <w:color w:val="000000"/>
          <w:szCs w:val="22"/>
        </w:rPr>
        <w:t>Hladina bez pozorovaných účinkov (NOEL) bola 15</w:t>
      </w:r>
      <w:r w:rsidR="006B01DE" w:rsidRPr="00C83045">
        <w:rPr>
          <w:bCs/>
          <w:color w:val="000000"/>
          <w:szCs w:val="22"/>
        </w:rPr>
        <w:t xml:space="preserve"> mg/kg/deň. </w:t>
      </w:r>
      <w:r w:rsidR="000F74CE" w:rsidRPr="00C83045">
        <w:rPr>
          <w:color w:val="000000"/>
          <w:szCs w:val="22"/>
        </w:rPr>
        <w:t xml:space="preserve">Adenóm/karcinóm obličiek, papilóm močového mechúra </w:t>
      </w:r>
      <w:r w:rsidR="00337BF6" w:rsidRPr="00C83045">
        <w:rPr>
          <w:color w:val="000000"/>
          <w:szCs w:val="22"/>
        </w:rPr>
        <w:t>a</w:t>
      </w:r>
      <w:r w:rsidR="00A229E7" w:rsidRPr="00C83045">
        <w:rPr>
          <w:color w:val="000000"/>
          <w:szCs w:val="22"/>
        </w:rPr>
        <w:t> </w:t>
      </w:r>
      <w:r w:rsidR="00337BF6" w:rsidRPr="00C83045">
        <w:rPr>
          <w:color w:val="000000"/>
          <w:szCs w:val="22"/>
        </w:rPr>
        <w:t>uretry</w:t>
      </w:r>
      <w:r w:rsidR="00A229E7" w:rsidRPr="00C83045">
        <w:rPr>
          <w:color w:val="000000"/>
          <w:szCs w:val="22"/>
        </w:rPr>
        <w:t>, adenokarcinómy tenkého čreva, adenómy prištítnych teliesok, benígne a malígne nádory drene nadobličiek</w:t>
      </w:r>
      <w:r w:rsidR="00CC1240" w:rsidRPr="00C83045">
        <w:rPr>
          <w:color w:val="000000"/>
          <w:szCs w:val="22"/>
        </w:rPr>
        <w:t xml:space="preserve"> a papilómy/karcinómy </w:t>
      </w:r>
      <w:r w:rsidR="00F579B2" w:rsidRPr="00C83045">
        <w:rPr>
          <w:color w:val="000000"/>
          <w:szCs w:val="22"/>
        </w:rPr>
        <w:t>bez</w:t>
      </w:r>
      <w:r w:rsidR="00CC1240" w:rsidRPr="00C83045">
        <w:rPr>
          <w:color w:val="000000"/>
          <w:szCs w:val="22"/>
        </w:rPr>
        <w:t>žľazov</w:t>
      </w:r>
      <w:r w:rsidR="00F579B2" w:rsidRPr="00C83045">
        <w:rPr>
          <w:color w:val="000000"/>
          <w:szCs w:val="22"/>
        </w:rPr>
        <w:t>ej časti</w:t>
      </w:r>
      <w:r w:rsidR="00CC1240" w:rsidRPr="00C83045">
        <w:rPr>
          <w:color w:val="000000"/>
          <w:szCs w:val="22"/>
        </w:rPr>
        <w:t xml:space="preserve"> žalúdka sa zaznamenali pri </w:t>
      </w:r>
      <w:r w:rsidR="00CC1240" w:rsidRPr="00C83045">
        <w:rPr>
          <w:bCs/>
          <w:color w:val="000000"/>
          <w:szCs w:val="22"/>
        </w:rPr>
        <w:t>60 mg/kg/deň</w:t>
      </w:r>
      <w:r w:rsidR="00443875" w:rsidRPr="00C83045">
        <w:rPr>
          <w:bCs/>
          <w:color w:val="000000"/>
          <w:szCs w:val="22"/>
        </w:rPr>
        <w:t xml:space="preserve">, čo predstavuje </w:t>
      </w:r>
      <w:r w:rsidR="00737C25" w:rsidRPr="00C83045">
        <w:rPr>
          <w:color w:val="000000"/>
          <w:szCs w:val="22"/>
        </w:rPr>
        <w:t>približne 1</w:t>
      </w:r>
      <w:r w:rsidR="009C020A" w:rsidRPr="00C83045">
        <w:rPr>
          <w:color w:val="000000"/>
          <w:szCs w:val="22"/>
        </w:rPr>
        <w:t>,7</w:t>
      </w:r>
      <w:r w:rsidR="00F71EEE" w:rsidRPr="00C83045">
        <w:rPr>
          <w:color w:val="000000"/>
          <w:szCs w:val="22"/>
        </w:rPr>
        <w:t>- a</w:t>
      </w:r>
      <w:r w:rsidR="009C020A" w:rsidRPr="00C83045">
        <w:rPr>
          <w:color w:val="000000"/>
          <w:szCs w:val="22"/>
        </w:rPr>
        <w:t>lebo</w:t>
      </w:r>
      <w:r w:rsidR="00F71EEE" w:rsidRPr="00C83045">
        <w:rPr>
          <w:color w:val="000000"/>
          <w:szCs w:val="22"/>
        </w:rPr>
        <w:t xml:space="preserve"> </w:t>
      </w:r>
      <w:r w:rsidR="009C020A" w:rsidRPr="00C83045">
        <w:rPr>
          <w:color w:val="000000"/>
          <w:szCs w:val="22"/>
        </w:rPr>
        <w:t>1</w:t>
      </w:r>
      <w:r w:rsidR="00737C25" w:rsidRPr="00C83045">
        <w:rPr>
          <w:color w:val="000000"/>
          <w:szCs w:val="22"/>
        </w:rPr>
        <w:t xml:space="preserve">-násobok dennej expozície u ľudí (založenej na AUC) pri 400 mg/deň alebo 800 mg/deň a 1,2-násobok dennej expozície u detí (založenej na AUC) pri </w:t>
      </w:r>
      <w:r w:rsidR="00737C25" w:rsidRPr="00C83045">
        <w:rPr>
          <w:bCs/>
          <w:color w:val="000000"/>
          <w:szCs w:val="22"/>
        </w:rPr>
        <w:t>340 mg/m</w:t>
      </w:r>
      <w:r w:rsidR="00737C25" w:rsidRPr="00C83045">
        <w:rPr>
          <w:bCs/>
          <w:color w:val="000000"/>
          <w:szCs w:val="22"/>
          <w:vertAlign w:val="superscript"/>
        </w:rPr>
        <w:t>2</w:t>
      </w:r>
      <w:r w:rsidR="00737C25" w:rsidRPr="00C83045">
        <w:rPr>
          <w:bCs/>
          <w:color w:val="000000"/>
          <w:szCs w:val="22"/>
        </w:rPr>
        <w:t>/deň.</w:t>
      </w:r>
      <w:r w:rsidR="00E6351E" w:rsidRPr="00C83045">
        <w:rPr>
          <w:bCs/>
          <w:color w:val="000000"/>
          <w:szCs w:val="22"/>
        </w:rPr>
        <w:t xml:space="preserve"> </w:t>
      </w:r>
      <w:r w:rsidR="00E6351E" w:rsidRPr="00C83045">
        <w:rPr>
          <w:color w:val="000000"/>
          <w:szCs w:val="22"/>
        </w:rPr>
        <w:t>Hladina bez pozorovaných účinkov (NOEL) bola 30</w:t>
      </w:r>
      <w:r w:rsidR="00E6351E" w:rsidRPr="00C83045">
        <w:rPr>
          <w:bCs/>
          <w:color w:val="000000"/>
          <w:szCs w:val="22"/>
        </w:rPr>
        <w:t> mg/kg/deň.</w:t>
      </w:r>
    </w:p>
    <w:p w14:paraId="32368106" w14:textId="77777777" w:rsidR="00CC1240" w:rsidRPr="00C83045" w:rsidRDefault="00CC1240" w:rsidP="00D4304B">
      <w:pPr>
        <w:widowControl w:val="0"/>
        <w:ind w:left="0" w:firstLine="0"/>
        <w:rPr>
          <w:bCs/>
          <w:color w:val="000000"/>
          <w:szCs w:val="22"/>
        </w:rPr>
      </w:pPr>
    </w:p>
    <w:p w14:paraId="32368107" w14:textId="77777777" w:rsidR="006B39D8" w:rsidRPr="00C83045" w:rsidRDefault="006B39D8" w:rsidP="00D4304B">
      <w:pPr>
        <w:widowControl w:val="0"/>
        <w:ind w:left="0" w:firstLine="0"/>
        <w:rPr>
          <w:bCs/>
          <w:color w:val="000000"/>
          <w:szCs w:val="22"/>
        </w:rPr>
      </w:pPr>
      <w:r w:rsidRPr="00C83045">
        <w:rPr>
          <w:bCs/>
          <w:color w:val="000000"/>
          <w:szCs w:val="22"/>
        </w:rPr>
        <w:t xml:space="preserve">Mechanizmus a významnosť týchto nálezov v štúdii karcinogenity na potkanoch nie sú ešte </w:t>
      </w:r>
      <w:r w:rsidR="00F579B2" w:rsidRPr="00C83045">
        <w:rPr>
          <w:bCs/>
          <w:color w:val="000000"/>
          <w:szCs w:val="22"/>
        </w:rPr>
        <w:t xml:space="preserve">u ľudí </w:t>
      </w:r>
      <w:r w:rsidRPr="00C83045">
        <w:rPr>
          <w:bCs/>
          <w:color w:val="000000"/>
          <w:szCs w:val="22"/>
        </w:rPr>
        <w:t>objasnené.</w:t>
      </w:r>
    </w:p>
    <w:p w14:paraId="32368108" w14:textId="77777777" w:rsidR="0046780F" w:rsidRPr="00C83045" w:rsidRDefault="0046780F" w:rsidP="00D4304B">
      <w:pPr>
        <w:widowControl w:val="0"/>
        <w:ind w:left="0" w:firstLine="0"/>
        <w:rPr>
          <w:bCs/>
          <w:color w:val="000000"/>
          <w:szCs w:val="22"/>
        </w:rPr>
      </w:pPr>
    </w:p>
    <w:p w14:paraId="32368109" w14:textId="77777777" w:rsidR="0046780F" w:rsidRPr="00C83045" w:rsidRDefault="007F4BC8" w:rsidP="00D4304B">
      <w:pPr>
        <w:widowControl w:val="0"/>
        <w:ind w:left="0" w:firstLine="0"/>
        <w:rPr>
          <w:bCs/>
          <w:color w:val="000000"/>
          <w:szCs w:val="22"/>
        </w:rPr>
      </w:pPr>
      <w:r w:rsidRPr="00C83045">
        <w:rPr>
          <w:bCs/>
          <w:color w:val="000000"/>
          <w:szCs w:val="22"/>
        </w:rPr>
        <w:t>N</w:t>
      </w:r>
      <w:r w:rsidR="00F579B2" w:rsidRPr="00C83045">
        <w:rPr>
          <w:bCs/>
          <w:color w:val="000000"/>
          <w:szCs w:val="22"/>
        </w:rPr>
        <w:t>on-</w:t>
      </w:r>
      <w:r w:rsidR="0046780F" w:rsidRPr="00C83045">
        <w:rPr>
          <w:bCs/>
          <w:color w:val="000000"/>
          <w:szCs w:val="22"/>
        </w:rPr>
        <w:t xml:space="preserve">neoplastické lézie, ktoré sa nezistili </w:t>
      </w:r>
      <w:r w:rsidR="006766FA" w:rsidRPr="00C83045">
        <w:rPr>
          <w:bCs/>
          <w:color w:val="000000"/>
          <w:szCs w:val="22"/>
        </w:rPr>
        <w:t xml:space="preserve">v predchádzajúcich predklinických štúdiách, </w:t>
      </w:r>
      <w:r w:rsidR="004A7418" w:rsidRPr="00C83045">
        <w:rPr>
          <w:bCs/>
          <w:color w:val="000000"/>
          <w:szCs w:val="22"/>
        </w:rPr>
        <w:t xml:space="preserve">boli v kardiovaskulárnom systéme, pankrease, endokrinných orgánoch a zuboch. </w:t>
      </w:r>
      <w:r w:rsidR="000F64BF" w:rsidRPr="00C83045">
        <w:rPr>
          <w:bCs/>
          <w:color w:val="000000"/>
          <w:szCs w:val="22"/>
        </w:rPr>
        <w:t xml:space="preserve">Najdôležitejšie zmeny zahŕňali hypertrofiu </w:t>
      </w:r>
      <w:r w:rsidR="00A16F3F" w:rsidRPr="00C83045">
        <w:rPr>
          <w:bCs/>
          <w:color w:val="000000"/>
          <w:szCs w:val="22"/>
        </w:rPr>
        <w:t xml:space="preserve">a dilatáciu srdca, </w:t>
      </w:r>
      <w:r w:rsidR="003A2BFD" w:rsidRPr="00C83045">
        <w:rPr>
          <w:bCs/>
          <w:color w:val="000000"/>
          <w:szCs w:val="22"/>
        </w:rPr>
        <w:t xml:space="preserve">ktoré </w:t>
      </w:r>
      <w:r w:rsidR="006F29E7" w:rsidRPr="00C83045">
        <w:rPr>
          <w:bCs/>
          <w:color w:val="000000"/>
          <w:szCs w:val="22"/>
        </w:rPr>
        <w:t>viedl</w:t>
      </w:r>
      <w:r w:rsidR="003A2BFD" w:rsidRPr="00C83045">
        <w:rPr>
          <w:bCs/>
          <w:color w:val="000000"/>
          <w:szCs w:val="22"/>
        </w:rPr>
        <w:t>i</w:t>
      </w:r>
      <w:r w:rsidR="006F29E7" w:rsidRPr="00C83045">
        <w:rPr>
          <w:bCs/>
          <w:color w:val="000000"/>
          <w:szCs w:val="22"/>
        </w:rPr>
        <w:t xml:space="preserve"> u niektorých zvierat k</w:t>
      </w:r>
      <w:r w:rsidR="00D766D8" w:rsidRPr="00C83045">
        <w:rPr>
          <w:bCs/>
          <w:color w:val="000000"/>
          <w:szCs w:val="22"/>
        </w:rPr>
        <w:t xml:space="preserve"> príznakom </w:t>
      </w:r>
      <w:r w:rsidR="006F29E7" w:rsidRPr="00C83045">
        <w:rPr>
          <w:bCs/>
          <w:color w:val="000000"/>
          <w:szCs w:val="22"/>
        </w:rPr>
        <w:t>insuficienci</w:t>
      </w:r>
      <w:r w:rsidR="00D766D8" w:rsidRPr="00C83045">
        <w:rPr>
          <w:bCs/>
          <w:color w:val="000000"/>
          <w:szCs w:val="22"/>
        </w:rPr>
        <w:t>e</w:t>
      </w:r>
      <w:r w:rsidR="00321313" w:rsidRPr="00C83045">
        <w:rPr>
          <w:bCs/>
          <w:color w:val="000000"/>
          <w:szCs w:val="22"/>
        </w:rPr>
        <w:t xml:space="preserve"> srdca.</w:t>
      </w:r>
    </w:p>
    <w:p w14:paraId="3236810A" w14:textId="77777777" w:rsidR="00847D15" w:rsidRPr="00C83045" w:rsidRDefault="00847D15" w:rsidP="00D4304B">
      <w:pPr>
        <w:widowControl w:val="0"/>
        <w:rPr>
          <w:color w:val="000000"/>
          <w:szCs w:val="22"/>
        </w:rPr>
      </w:pPr>
    </w:p>
    <w:p w14:paraId="3236810B" w14:textId="77777777" w:rsidR="001E77A3" w:rsidRPr="00C83045" w:rsidRDefault="00525531" w:rsidP="00D4304B">
      <w:pPr>
        <w:widowControl w:val="0"/>
        <w:rPr>
          <w:color w:val="000000"/>
        </w:rPr>
      </w:pPr>
      <w:r w:rsidRPr="00C83045">
        <w:rPr>
          <w:bCs/>
          <w:color w:val="000000"/>
        </w:rPr>
        <w:t>Liečivo</w:t>
      </w:r>
      <w:r w:rsidR="001E77A3" w:rsidRPr="00C83045">
        <w:rPr>
          <w:bCs/>
          <w:color w:val="000000"/>
        </w:rPr>
        <w:t xml:space="preserve"> imatinib </w:t>
      </w:r>
      <w:r w:rsidRPr="00C83045">
        <w:rPr>
          <w:bCs/>
          <w:color w:val="000000"/>
        </w:rPr>
        <w:t xml:space="preserve">predstavuje pre organizmy </w:t>
      </w:r>
      <w:bookmarkStart w:id="3" w:name="OLE_LINK5"/>
      <w:bookmarkStart w:id="4" w:name="OLE_LINK6"/>
      <w:r w:rsidRPr="00C83045">
        <w:rPr>
          <w:bCs/>
          <w:color w:val="000000"/>
        </w:rPr>
        <w:t xml:space="preserve">žijúce v sedimentoch </w:t>
      </w:r>
      <w:r w:rsidR="001E77A3" w:rsidRPr="00C83045">
        <w:rPr>
          <w:bCs/>
          <w:color w:val="000000"/>
        </w:rPr>
        <w:t>environment</w:t>
      </w:r>
      <w:r w:rsidRPr="00C83045">
        <w:rPr>
          <w:bCs/>
          <w:color w:val="000000"/>
        </w:rPr>
        <w:t>á</w:t>
      </w:r>
      <w:r w:rsidR="001E77A3" w:rsidRPr="00C83045">
        <w:rPr>
          <w:bCs/>
          <w:color w:val="000000"/>
        </w:rPr>
        <w:t>l</w:t>
      </w:r>
      <w:bookmarkEnd w:id="3"/>
      <w:bookmarkEnd w:id="4"/>
      <w:r w:rsidRPr="00C83045">
        <w:rPr>
          <w:bCs/>
          <w:color w:val="000000"/>
        </w:rPr>
        <w:t>ne riziko</w:t>
      </w:r>
      <w:r w:rsidR="001E77A3" w:rsidRPr="00C83045">
        <w:rPr>
          <w:bCs/>
          <w:color w:val="000000"/>
        </w:rPr>
        <w:t>.</w:t>
      </w:r>
    </w:p>
    <w:p w14:paraId="3236810C" w14:textId="77777777" w:rsidR="00847D15" w:rsidRPr="00C83045" w:rsidRDefault="00847D15" w:rsidP="00D4304B">
      <w:pPr>
        <w:widowControl w:val="0"/>
        <w:rPr>
          <w:color w:val="000000"/>
          <w:szCs w:val="22"/>
        </w:rPr>
      </w:pPr>
    </w:p>
    <w:p w14:paraId="3236810D" w14:textId="77777777" w:rsidR="001E77A3" w:rsidRPr="00C83045" w:rsidRDefault="001E77A3" w:rsidP="00D4304B">
      <w:pPr>
        <w:widowControl w:val="0"/>
        <w:rPr>
          <w:color w:val="000000"/>
          <w:szCs w:val="22"/>
        </w:rPr>
      </w:pPr>
    </w:p>
    <w:p w14:paraId="3236810E" w14:textId="77777777" w:rsidR="00847D15" w:rsidRPr="00C83045" w:rsidRDefault="00847D15" w:rsidP="00D4304B">
      <w:pPr>
        <w:keepNext/>
        <w:widowControl w:val="0"/>
        <w:rPr>
          <w:b/>
          <w:color w:val="000000"/>
          <w:szCs w:val="22"/>
        </w:rPr>
      </w:pPr>
      <w:r w:rsidRPr="00C83045">
        <w:rPr>
          <w:b/>
          <w:color w:val="000000"/>
          <w:szCs w:val="22"/>
        </w:rPr>
        <w:t>6.</w:t>
      </w:r>
      <w:r w:rsidRPr="00C83045">
        <w:rPr>
          <w:b/>
          <w:color w:val="000000"/>
          <w:szCs w:val="22"/>
        </w:rPr>
        <w:tab/>
        <w:t>FARMACEUTICKÉ INFORMÁCIE</w:t>
      </w:r>
    </w:p>
    <w:p w14:paraId="3236810F" w14:textId="77777777" w:rsidR="00847D15" w:rsidRPr="00C83045" w:rsidRDefault="00847D15" w:rsidP="00D4304B">
      <w:pPr>
        <w:keepNext/>
        <w:widowControl w:val="0"/>
        <w:rPr>
          <w:color w:val="000000"/>
          <w:szCs w:val="22"/>
        </w:rPr>
      </w:pPr>
    </w:p>
    <w:p w14:paraId="32368110" w14:textId="77777777" w:rsidR="00847D15" w:rsidRPr="00C83045" w:rsidRDefault="00847D15" w:rsidP="00D4304B">
      <w:pPr>
        <w:keepNext/>
        <w:widowControl w:val="0"/>
        <w:rPr>
          <w:b/>
          <w:bCs/>
          <w:color w:val="000000"/>
          <w:szCs w:val="22"/>
        </w:rPr>
      </w:pPr>
      <w:r w:rsidRPr="00C83045">
        <w:rPr>
          <w:b/>
          <w:bCs/>
          <w:color w:val="000000"/>
          <w:szCs w:val="22"/>
        </w:rPr>
        <w:t>6.1</w:t>
      </w:r>
      <w:r w:rsidRPr="00C83045">
        <w:rPr>
          <w:b/>
          <w:bCs/>
          <w:color w:val="000000"/>
          <w:szCs w:val="22"/>
        </w:rPr>
        <w:tab/>
        <w:t>Zoznam pomocných látok</w:t>
      </w:r>
    </w:p>
    <w:p w14:paraId="32368111" w14:textId="77777777" w:rsidR="00847D15" w:rsidRPr="00C83045" w:rsidRDefault="00847D15" w:rsidP="00D4304B">
      <w:pPr>
        <w:keepNext/>
        <w:widowControl w:val="0"/>
        <w:rPr>
          <w:color w:val="000000"/>
          <w:szCs w:val="22"/>
        </w:rPr>
      </w:pPr>
    </w:p>
    <w:p w14:paraId="32368121" w14:textId="77777777" w:rsidR="00A56D61" w:rsidRPr="00583DD0" w:rsidRDefault="00A56D61" w:rsidP="00D4304B">
      <w:pPr>
        <w:keepNext/>
        <w:widowControl w:val="0"/>
        <w:tabs>
          <w:tab w:val="left" w:pos="2160"/>
        </w:tabs>
        <w:ind w:left="0" w:firstLine="0"/>
        <w:rPr>
          <w:color w:val="000000"/>
          <w:szCs w:val="22"/>
        </w:rPr>
      </w:pPr>
      <w:r w:rsidRPr="00583DD0">
        <w:rPr>
          <w:color w:val="000000"/>
          <w:szCs w:val="22"/>
        </w:rPr>
        <w:t>Obsah kapsuly:</w:t>
      </w:r>
      <w:r w:rsidRPr="00583DD0">
        <w:rPr>
          <w:color w:val="000000"/>
          <w:szCs w:val="22"/>
        </w:rPr>
        <w:tab/>
        <w:t>mikrokryštalická celulóza</w:t>
      </w:r>
    </w:p>
    <w:p w14:paraId="32368122" w14:textId="77777777" w:rsidR="00A56D61" w:rsidRPr="00583DD0" w:rsidRDefault="00A56D61" w:rsidP="00D4304B">
      <w:pPr>
        <w:keepNext/>
        <w:widowControl w:val="0"/>
        <w:ind w:left="1440" w:firstLine="720"/>
        <w:rPr>
          <w:color w:val="000000"/>
          <w:szCs w:val="22"/>
        </w:rPr>
      </w:pPr>
      <w:r w:rsidRPr="00583DD0">
        <w:rPr>
          <w:color w:val="000000"/>
          <w:szCs w:val="22"/>
        </w:rPr>
        <w:t>krospovidón</w:t>
      </w:r>
    </w:p>
    <w:p w14:paraId="32368123" w14:textId="299868BA" w:rsidR="00A56D61" w:rsidRPr="00583DD0" w:rsidRDefault="00DB7BC9" w:rsidP="00D4304B">
      <w:pPr>
        <w:pStyle w:val="BodyText"/>
        <w:keepNext/>
        <w:widowControl w:val="0"/>
        <w:autoSpaceDE/>
        <w:autoSpaceDN/>
        <w:ind w:left="1440" w:firstLine="720"/>
        <w:rPr>
          <w:color w:val="000000"/>
          <w:sz w:val="22"/>
          <w:szCs w:val="22"/>
        </w:rPr>
      </w:pPr>
      <w:r w:rsidRPr="00CD056A">
        <w:rPr>
          <w:color w:val="000000"/>
          <w:sz w:val="22"/>
          <w:szCs w:val="22"/>
        </w:rPr>
        <w:t>S</w:t>
      </w:r>
      <w:r w:rsidR="00A56D61" w:rsidRPr="00CD056A">
        <w:rPr>
          <w:color w:val="000000"/>
          <w:sz w:val="22"/>
          <w:szCs w:val="22"/>
        </w:rPr>
        <w:t>tearát</w:t>
      </w:r>
      <w:r w:rsidRPr="00CD056A">
        <w:rPr>
          <w:color w:val="000000"/>
          <w:sz w:val="22"/>
          <w:szCs w:val="22"/>
        </w:rPr>
        <w:t xml:space="preserve"> horečnatý</w:t>
      </w:r>
    </w:p>
    <w:p w14:paraId="32368124" w14:textId="77777777" w:rsidR="00A56D61" w:rsidRPr="00C83045" w:rsidRDefault="00A56D61" w:rsidP="00D4304B">
      <w:pPr>
        <w:pStyle w:val="BodyText"/>
        <w:widowControl w:val="0"/>
        <w:autoSpaceDE/>
        <w:autoSpaceDN/>
        <w:ind w:left="1440" w:firstLine="720"/>
        <w:rPr>
          <w:color w:val="000000"/>
          <w:sz w:val="22"/>
          <w:szCs w:val="22"/>
        </w:rPr>
      </w:pPr>
      <w:r w:rsidRPr="00583DD0">
        <w:rPr>
          <w:color w:val="000000"/>
          <w:sz w:val="22"/>
          <w:szCs w:val="22"/>
        </w:rPr>
        <w:t>koloidný oxid kremičitý bezvodý</w:t>
      </w:r>
    </w:p>
    <w:p w14:paraId="32368125" w14:textId="77777777" w:rsidR="00A56D61" w:rsidRPr="00C83045" w:rsidRDefault="00A56D61" w:rsidP="00D4304B">
      <w:pPr>
        <w:pStyle w:val="BodyText"/>
        <w:widowControl w:val="0"/>
        <w:autoSpaceDE/>
        <w:autoSpaceDN/>
        <w:jc w:val="both"/>
        <w:rPr>
          <w:color w:val="000000"/>
          <w:sz w:val="22"/>
          <w:szCs w:val="22"/>
        </w:rPr>
      </w:pPr>
    </w:p>
    <w:p w14:paraId="32368126" w14:textId="77777777" w:rsidR="00A56D61" w:rsidRPr="00C83045" w:rsidRDefault="00A56D61" w:rsidP="00D4304B">
      <w:pPr>
        <w:keepNext/>
        <w:widowControl w:val="0"/>
        <w:tabs>
          <w:tab w:val="left" w:pos="2160"/>
        </w:tabs>
        <w:ind w:left="0" w:firstLine="0"/>
        <w:rPr>
          <w:color w:val="000000"/>
          <w:szCs w:val="22"/>
        </w:rPr>
      </w:pPr>
      <w:r w:rsidRPr="00C83045">
        <w:rPr>
          <w:color w:val="000000"/>
          <w:szCs w:val="22"/>
        </w:rPr>
        <w:lastRenderedPageBreak/>
        <w:t>Stena kapsuly:</w:t>
      </w:r>
      <w:r w:rsidRPr="00C83045">
        <w:rPr>
          <w:color w:val="000000"/>
          <w:szCs w:val="22"/>
        </w:rPr>
        <w:tab/>
        <w:t>želatína</w:t>
      </w:r>
    </w:p>
    <w:p w14:paraId="32368127" w14:textId="77777777" w:rsidR="00A56D61" w:rsidRPr="00C83045" w:rsidRDefault="00A56D61" w:rsidP="00D4304B">
      <w:pPr>
        <w:keepNext/>
        <w:widowControl w:val="0"/>
        <w:ind w:left="1440" w:firstLine="720"/>
        <w:rPr>
          <w:color w:val="000000"/>
          <w:szCs w:val="22"/>
        </w:rPr>
      </w:pPr>
      <w:r w:rsidRPr="00C83045">
        <w:rPr>
          <w:color w:val="000000"/>
          <w:szCs w:val="22"/>
        </w:rPr>
        <w:t>červený oxid železitý (E172)</w:t>
      </w:r>
    </w:p>
    <w:p w14:paraId="32368128" w14:textId="77777777" w:rsidR="00A56D61" w:rsidRPr="00C83045" w:rsidRDefault="00A56D61" w:rsidP="00D4304B">
      <w:pPr>
        <w:keepNext/>
        <w:widowControl w:val="0"/>
        <w:ind w:left="1440" w:firstLine="720"/>
        <w:rPr>
          <w:color w:val="000000"/>
          <w:szCs w:val="22"/>
        </w:rPr>
      </w:pPr>
      <w:r w:rsidRPr="00C83045">
        <w:rPr>
          <w:color w:val="000000"/>
          <w:szCs w:val="22"/>
        </w:rPr>
        <w:t>žltý oxid železitý (E172)</w:t>
      </w:r>
    </w:p>
    <w:p w14:paraId="32368129" w14:textId="77777777" w:rsidR="00A56D61" w:rsidRPr="00C83045" w:rsidRDefault="00A56D61" w:rsidP="00D4304B">
      <w:pPr>
        <w:widowControl w:val="0"/>
        <w:ind w:left="1440" w:firstLine="720"/>
        <w:rPr>
          <w:color w:val="000000"/>
          <w:szCs w:val="22"/>
        </w:rPr>
      </w:pPr>
      <w:r w:rsidRPr="00C83045">
        <w:rPr>
          <w:color w:val="000000"/>
          <w:szCs w:val="22"/>
        </w:rPr>
        <w:t>oxid titaničitý (E171)</w:t>
      </w:r>
    </w:p>
    <w:p w14:paraId="3236812A" w14:textId="77777777" w:rsidR="00A56D61" w:rsidRPr="00C83045" w:rsidRDefault="00A56D61" w:rsidP="00D4304B">
      <w:pPr>
        <w:widowControl w:val="0"/>
        <w:rPr>
          <w:color w:val="000000"/>
          <w:szCs w:val="22"/>
        </w:rPr>
      </w:pPr>
    </w:p>
    <w:p w14:paraId="3236812B" w14:textId="77777777" w:rsidR="00A56D61" w:rsidRPr="00C83045" w:rsidRDefault="00A56D61" w:rsidP="00D4304B">
      <w:pPr>
        <w:keepNext/>
        <w:widowControl w:val="0"/>
        <w:ind w:left="2160" w:hanging="2160"/>
        <w:rPr>
          <w:color w:val="000000"/>
          <w:szCs w:val="22"/>
        </w:rPr>
      </w:pPr>
      <w:r w:rsidRPr="00C83045">
        <w:rPr>
          <w:color w:val="000000"/>
          <w:szCs w:val="22"/>
        </w:rPr>
        <w:t>Farbivo na potlač:</w:t>
      </w:r>
      <w:r w:rsidRPr="00C83045">
        <w:rPr>
          <w:color w:val="000000"/>
          <w:szCs w:val="22"/>
        </w:rPr>
        <w:tab/>
        <w:t>červený oxid železitý (E172)</w:t>
      </w:r>
    </w:p>
    <w:p w14:paraId="3236812C" w14:textId="77777777" w:rsidR="00A56D61" w:rsidRPr="00C83045" w:rsidRDefault="00A56D61" w:rsidP="00D4304B">
      <w:pPr>
        <w:widowControl w:val="0"/>
        <w:ind w:left="2007" w:firstLine="153"/>
        <w:rPr>
          <w:color w:val="000000"/>
          <w:szCs w:val="22"/>
        </w:rPr>
      </w:pPr>
      <w:r w:rsidRPr="00C83045">
        <w:rPr>
          <w:color w:val="000000"/>
          <w:szCs w:val="22"/>
        </w:rPr>
        <w:t>šelak</w:t>
      </w:r>
    </w:p>
    <w:p w14:paraId="3236812D" w14:textId="77777777" w:rsidR="00A56D61" w:rsidRPr="00C83045" w:rsidRDefault="00A56D61" w:rsidP="00D4304B">
      <w:pPr>
        <w:pStyle w:val="BodyText"/>
        <w:widowControl w:val="0"/>
        <w:rPr>
          <w:color w:val="000000"/>
          <w:sz w:val="22"/>
          <w:szCs w:val="22"/>
        </w:rPr>
      </w:pPr>
    </w:p>
    <w:p w14:paraId="3236812E" w14:textId="77777777" w:rsidR="00847D15" w:rsidRPr="00C83045" w:rsidRDefault="00847D15" w:rsidP="00D4304B">
      <w:pPr>
        <w:keepNext/>
        <w:widowControl w:val="0"/>
        <w:rPr>
          <w:b/>
          <w:bCs/>
          <w:color w:val="000000"/>
          <w:szCs w:val="22"/>
        </w:rPr>
      </w:pPr>
      <w:r w:rsidRPr="00C83045">
        <w:rPr>
          <w:b/>
          <w:bCs/>
          <w:color w:val="000000"/>
          <w:szCs w:val="22"/>
        </w:rPr>
        <w:t>6.2</w:t>
      </w:r>
      <w:r w:rsidRPr="00C83045">
        <w:rPr>
          <w:b/>
          <w:bCs/>
          <w:color w:val="000000"/>
          <w:szCs w:val="22"/>
        </w:rPr>
        <w:tab/>
        <w:t>Inkompatibility</w:t>
      </w:r>
    </w:p>
    <w:p w14:paraId="3236812F" w14:textId="77777777" w:rsidR="00847D15" w:rsidRPr="00C83045" w:rsidRDefault="00847D15" w:rsidP="00D4304B">
      <w:pPr>
        <w:keepNext/>
        <w:widowControl w:val="0"/>
        <w:rPr>
          <w:bCs/>
          <w:color w:val="000000"/>
          <w:szCs w:val="22"/>
        </w:rPr>
      </w:pPr>
    </w:p>
    <w:p w14:paraId="32368130" w14:textId="77777777" w:rsidR="00847D15" w:rsidRPr="00C83045" w:rsidRDefault="00847D15" w:rsidP="00D4304B">
      <w:pPr>
        <w:widowControl w:val="0"/>
        <w:rPr>
          <w:color w:val="000000"/>
          <w:szCs w:val="22"/>
        </w:rPr>
      </w:pPr>
      <w:r w:rsidRPr="00C83045">
        <w:rPr>
          <w:color w:val="000000"/>
          <w:szCs w:val="22"/>
        </w:rPr>
        <w:t>Ne</w:t>
      </w:r>
      <w:r w:rsidR="00A41F00" w:rsidRPr="00C83045">
        <w:rPr>
          <w:color w:val="000000"/>
          <w:szCs w:val="22"/>
        </w:rPr>
        <w:t>aplikovateľné</w:t>
      </w:r>
      <w:r w:rsidRPr="00C83045">
        <w:rPr>
          <w:color w:val="000000"/>
          <w:szCs w:val="22"/>
        </w:rPr>
        <w:t>.</w:t>
      </w:r>
    </w:p>
    <w:p w14:paraId="32368131" w14:textId="77777777" w:rsidR="00847D15" w:rsidRPr="00C83045" w:rsidRDefault="00847D15" w:rsidP="00D4304B">
      <w:pPr>
        <w:widowControl w:val="0"/>
        <w:rPr>
          <w:color w:val="000000"/>
          <w:szCs w:val="22"/>
        </w:rPr>
      </w:pPr>
    </w:p>
    <w:p w14:paraId="32368132" w14:textId="77777777" w:rsidR="00847D15" w:rsidRPr="00C83045" w:rsidRDefault="00847D15" w:rsidP="00D4304B">
      <w:pPr>
        <w:keepNext/>
        <w:widowControl w:val="0"/>
        <w:rPr>
          <w:color w:val="000000"/>
          <w:szCs w:val="22"/>
        </w:rPr>
      </w:pPr>
      <w:r w:rsidRPr="00C83045">
        <w:rPr>
          <w:b/>
          <w:bCs/>
          <w:color w:val="000000"/>
          <w:szCs w:val="22"/>
        </w:rPr>
        <w:t>6.3</w:t>
      </w:r>
      <w:r w:rsidRPr="00C83045">
        <w:rPr>
          <w:b/>
          <w:bCs/>
          <w:color w:val="000000"/>
          <w:szCs w:val="22"/>
        </w:rPr>
        <w:tab/>
        <w:t>Čas použiteľnosti</w:t>
      </w:r>
    </w:p>
    <w:p w14:paraId="32368133" w14:textId="77777777" w:rsidR="00847D15" w:rsidRPr="00C83045" w:rsidRDefault="00847D15" w:rsidP="00D4304B">
      <w:pPr>
        <w:keepNext/>
        <w:widowControl w:val="0"/>
        <w:rPr>
          <w:color w:val="000000"/>
          <w:szCs w:val="22"/>
        </w:rPr>
      </w:pPr>
    </w:p>
    <w:p w14:paraId="32368134" w14:textId="77777777" w:rsidR="00847D15" w:rsidRPr="00C83045" w:rsidRDefault="00847D15" w:rsidP="00D4304B">
      <w:pPr>
        <w:widowControl w:val="0"/>
        <w:rPr>
          <w:color w:val="000000"/>
          <w:szCs w:val="22"/>
        </w:rPr>
      </w:pPr>
      <w:r w:rsidRPr="00C83045">
        <w:rPr>
          <w:color w:val="000000"/>
          <w:szCs w:val="22"/>
        </w:rPr>
        <w:t>2 roky</w:t>
      </w:r>
    </w:p>
    <w:p w14:paraId="32368135" w14:textId="77777777" w:rsidR="00847D15" w:rsidRPr="00C83045" w:rsidRDefault="00847D15" w:rsidP="00D4304B">
      <w:pPr>
        <w:widowControl w:val="0"/>
        <w:rPr>
          <w:color w:val="000000"/>
          <w:szCs w:val="22"/>
        </w:rPr>
      </w:pPr>
    </w:p>
    <w:p w14:paraId="32368136" w14:textId="77777777" w:rsidR="00847D15" w:rsidRPr="00C83045" w:rsidRDefault="00847D15" w:rsidP="00D4304B">
      <w:pPr>
        <w:keepNext/>
        <w:widowControl w:val="0"/>
        <w:rPr>
          <w:b/>
          <w:color w:val="000000"/>
          <w:szCs w:val="22"/>
        </w:rPr>
      </w:pPr>
      <w:r w:rsidRPr="00C83045">
        <w:rPr>
          <w:b/>
          <w:bCs/>
          <w:color w:val="000000"/>
          <w:szCs w:val="22"/>
        </w:rPr>
        <w:t>6.4</w:t>
      </w:r>
      <w:r w:rsidRPr="00C83045">
        <w:rPr>
          <w:color w:val="000000"/>
          <w:szCs w:val="22"/>
        </w:rPr>
        <w:tab/>
      </w:r>
      <w:r w:rsidRPr="00C83045">
        <w:rPr>
          <w:b/>
          <w:color w:val="000000"/>
          <w:szCs w:val="22"/>
        </w:rPr>
        <w:t>Špeciálne upozornenia na uchovávanie</w:t>
      </w:r>
    </w:p>
    <w:p w14:paraId="32368137" w14:textId="77777777" w:rsidR="00847D15" w:rsidRPr="00C83045" w:rsidRDefault="00847D15" w:rsidP="00D4304B">
      <w:pPr>
        <w:keepNext/>
        <w:widowControl w:val="0"/>
        <w:rPr>
          <w:color w:val="000000"/>
          <w:szCs w:val="22"/>
        </w:rPr>
      </w:pPr>
    </w:p>
    <w:p w14:paraId="32368138" w14:textId="77777777" w:rsidR="00847D15" w:rsidRPr="00C83045" w:rsidRDefault="00847D15" w:rsidP="00D4304B">
      <w:pPr>
        <w:pStyle w:val="BodyText"/>
        <w:widowControl w:val="0"/>
        <w:rPr>
          <w:color w:val="000000"/>
          <w:sz w:val="22"/>
          <w:szCs w:val="22"/>
        </w:rPr>
      </w:pPr>
      <w:r w:rsidRPr="00C83045">
        <w:rPr>
          <w:color w:val="000000"/>
          <w:sz w:val="22"/>
          <w:szCs w:val="22"/>
        </w:rPr>
        <w:t>Uchovávajte pri teplote neprevyšujúcej 30°C.</w:t>
      </w:r>
    </w:p>
    <w:p w14:paraId="32368139" w14:textId="77777777" w:rsidR="00847D15" w:rsidRPr="00C83045" w:rsidRDefault="00847D15" w:rsidP="00D4304B">
      <w:pPr>
        <w:widowControl w:val="0"/>
        <w:rPr>
          <w:color w:val="000000"/>
          <w:szCs w:val="22"/>
        </w:rPr>
      </w:pPr>
    </w:p>
    <w:p w14:paraId="3236813A" w14:textId="77777777" w:rsidR="00847D15" w:rsidRPr="00C83045" w:rsidRDefault="00847D15" w:rsidP="00D4304B">
      <w:pPr>
        <w:widowControl w:val="0"/>
        <w:rPr>
          <w:color w:val="000000"/>
          <w:szCs w:val="22"/>
        </w:rPr>
      </w:pPr>
      <w:r w:rsidRPr="00C83045">
        <w:rPr>
          <w:color w:val="000000"/>
          <w:szCs w:val="22"/>
        </w:rPr>
        <w:t>Uchovávajte v pôvodnom obale</w:t>
      </w:r>
      <w:r w:rsidR="00AA27DB" w:rsidRPr="00C83045">
        <w:rPr>
          <w:color w:val="000000"/>
          <w:szCs w:val="22"/>
        </w:rPr>
        <w:t xml:space="preserve"> na ochranu pred vlhkosťou</w:t>
      </w:r>
      <w:r w:rsidRPr="00C83045">
        <w:rPr>
          <w:color w:val="000000"/>
          <w:szCs w:val="22"/>
        </w:rPr>
        <w:t>.</w:t>
      </w:r>
    </w:p>
    <w:p w14:paraId="3236813B" w14:textId="77777777" w:rsidR="00847D15" w:rsidRPr="00C83045" w:rsidRDefault="00847D15" w:rsidP="00D4304B">
      <w:pPr>
        <w:widowControl w:val="0"/>
        <w:rPr>
          <w:color w:val="000000"/>
          <w:szCs w:val="22"/>
        </w:rPr>
      </w:pPr>
    </w:p>
    <w:p w14:paraId="3236813C" w14:textId="77777777" w:rsidR="00847D15" w:rsidRPr="00C83045" w:rsidRDefault="00847D15" w:rsidP="00D4304B">
      <w:pPr>
        <w:keepNext/>
        <w:widowControl w:val="0"/>
        <w:rPr>
          <w:b/>
          <w:color w:val="000000"/>
          <w:szCs w:val="22"/>
        </w:rPr>
      </w:pPr>
      <w:r w:rsidRPr="00C83045">
        <w:rPr>
          <w:b/>
          <w:bCs/>
          <w:color w:val="000000"/>
          <w:szCs w:val="22"/>
        </w:rPr>
        <w:t>6.5</w:t>
      </w:r>
      <w:r w:rsidRPr="00C83045">
        <w:rPr>
          <w:b/>
          <w:bCs/>
          <w:color w:val="000000"/>
          <w:szCs w:val="22"/>
        </w:rPr>
        <w:tab/>
      </w:r>
      <w:r w:rsidRPr="00C83045">
        <w:rPr>
          <w:b/>
          <w:color w:val="000000"/>
          <w:szCs w:val="22"/>
        </w:rPr>
        <w:t>Druh obalu a obsah balenia</w:t>
      </w:r>
    </w:p>
    <w:p w14:paraId="3236813D" w14:textId="77777777" w:rsidR="00847D15" w:rsidRPr="00C83045" w:rsidRDefault="00847D15" w:rsidP="00D4304B">
      <w:pPr>
        <w:keepNext/>
        <w:widowControl w:val="0"/>
        <w:rPr>
          <w:bCs/>
          <w:color w:val="000000"/>
          <w:szCs w:val="22"/>
        </w:rPr>
      </w:pPr>
    </w:p>
    <w:p w14:paraId="3236813E" w14:textId="77777777" w:rsidR="00847D15" w:rsidRPr="00C83045" w:rsidRDefault="00847D15" w:rsidP="00D4304B">
      <w:pPr>
        <w:pStyle w:val="BodyText"/>
        <w:widowControl w:val="0"/>
        <w:rPr>
          <w:color w:val="000000"/>
          <w:sz w:val="22"/>
          <w:szCs w:val="22"/>
        </w:rPr>
      </w:pPr>
      <w:r w:rsidRPr="00C83045">
        <w:rPr>
          <w:color w:val="000000"/>
          <w:sz w:val="22"/>
          <w:szCs w:val="22"/>
        </w:rPr>
        <w:t>Blistre PVC/hliník</w:t>
      </w:r>
    </w:p>
    <w:p w14:paraId="3236813F" w14:textId="77777777" w:rsidR="00A56D61" w:rsidRDefault="00A56D61" w:rsidP="00D4304B">
      <w:pPr>
        <w:widowControl w:val="0"/>
        <w:rPr>
          <w:color w:val="000000"/>
          <w:szCs w:val="22"/>
          <w:u w:val="single"/>
        </w:rPr>
      </w:pPr>
    </w:p>
    <w:p w14:paraId="32368144" w14:textId="77777777" w:rsidR="00A56D61" w:rsidRPr="00C83045" w:rsidRDefault="00A56D61" w:rsidP="00D4304B">
      <w:pPr>
        <w:widowControl w:val="0"/>
        <w:ind w:left="0" w:firstLine="0"/>
        <w:rPr>
          <w:color w:val="000000"/>
          <w:szCs w:val="22"/>
        </w:rPr>
      </w:pPr>
      <w:r w:rsidRPr="00C83045">
        <w:rPr>
          <w:color w:val="000000"/>
          <w:szCs w:val="22"/>
        </w:rPr>
        <w:t>Balenia obsahujú 24, 48, 96, 120 a 180 kapsúl.</w:t>
      </w:r>
    </w:p>
    <w:p w14:paraId="32368145" w14:textId="77777777" w:rsidR="00847D15" w:rsidRDefault="00847D15" w:rsidP="00D4304B">
      <w:pPr>
        <w:widowControl w:val="0"/>
        <w:rPr>
          <w:color w:val="000000"/>
          <w:szCs w:val="22"/>
        </w:rPr>
      </w:pPr>
    </w:p>
    <w:p w14:paraId="32368146" w14:textId="77777777" w:rsidR="00A56D61" w:rsidRPr="00C83045" w:rsidRDefault="00EF2B45" w:rsidP="00D4304B">
      <w:pPr>
        <w:widowControl w:val="0"/>
        <w:ind w:left="0" w:firstLine="0"/>
        <w:rPr>
          <w:color w:val="000000"/>
          <w:szCs w:val="22"/>
        </w:rPr>
      </w:pPr>
      <w:r w:rsidRPr="00BF5AB0">
        <w:t>Na trh nemusia byť uvedené všetky veľkosti balenia</w:t>
      </w:r>
      <w:r w:rsidR="00A56D61" w:rsidRPr="00C83045">
        <w:rPr>
          <w:color w:val="000000"/>
          <w:szCs w:val="22"/>
        </w:rPr>
        <w:t>.</w:t>
      </w:r>
    </w:p>
    <w:p w14:paraId="32368147" w14:textId="77777777" w:rsidR="00A56D61" w:rsidRPr="00C83045" w:rsidRDefault="00A56D61" w:rsidP="00D4304B">
      <w:pPr>
        <w:widowControl w:val="0"/>
        <w:rPr>
          <w:color w:val="000000"/>
          <w:szCs w:val="22"/>
        </w:rPr>
      </w:pPr>
    </w:p>
    <w:p w14:paraId="32368148" w14:textId="77777777" w:rsidR="00D43751" w:rsidRPr="00C83045" w:rsidRDefault="00D43751" w:rsidP="00D4304B">
      <w:pPr>
        <w:keepNext/>
        <w:widowControl w:val="0"/>
        <w:rPr>
          <w:b/>
          <w:color w:val="000000"/>
          <w:szCs w:val="22"/>
        </w:rPr>
      </w:pPr>
      <w:r w:rsidRPr="00C83045">
        <w:rPr>
          <w:b/>
          <w:color w:val="000000"/>
          <w:szCs w:val="22"/>
        </w:rPr>
        <w:t>6.6</w:t>
      </w:r>
      <w:r w:rsidRPr="00C83045">
        <w:rPr>
          <w:b/>
          <w:color w:val="000000"/>
          <w:szCs w:val="22"/>
        </w:rPr>
        <w:tab/>
      </w:r>
      <w:r w:rsidRPr="00C83045">
        <w:rPr>
          <w:b/>
          <w:bCs/>
          <w:color w:val="000000"/>
          <w:szCs w:val="22"/>
        </w:rPr>
        <w:t>Špeciálne opatrenia na likvidáciu</w:t>
      </w:r>
    </w:p>
    <w:p w14:paraId="32368149" w14:textId="77777777" w:rsidR="00847D15" w:rsidRPr="00C83045" w:rsidRDefault="00847D15" w:rsidP="00D4304B">
      <w:pPr>
        <w:keepNext/>
        <w:widowControl w:val="0"/>
        <w:rPr>
          <w:color w:val="000000"/>
          <w:szCs w:val="22"/>
        </w:rPr>
      </w:pPr>
    </w:p>
    <w:p w14:paraId="3236814A" w14:textId="77777777" w:rsidR="00847D15" w:rsidRPr="00C83045" w:rsidRDefault="00EF2B45" w:rsidP="00D4304B">
      <w:pPr>
        <w:widowControl w:val="0"/>
        <w:ind w:left="0" w:firstLine="0"/>
        <w:rPr>
          <w:color w:val="000000"/>
          <w:szCs w:val="22"/>
        </w:rPr>
      </w:pPr>
      <w:r w:rsidRPr="00A72672">
        <w:t>Všetok nepoužitý liek alebo odpad vzniknutý z</w:t>
      </w:r>
      <w:r>
        <w:t> </w:t>
      </w:r>
      <w:r w:rsidRPr="00BF5AB0">
        <w:t>lieku sa má zlikvidovať v</w:t>
      </w:r>
      <w:r>
        <w:t> </w:t>
      </w:r>
      <w:r w:rsidRPr="00BF5AB0">
        <w:t>súlade s</w:t>
      </w:r>
      <w:r>
        <w:t> </w:t>
      </w:r>
      <w:r w:rsidRPr="00BF5AB0">
        <w:t>národnými požiadavkami</w:t>
      </w:r>
      <w:r w:rsidR="007C3B99" w:rsidRPr="00C83045">
        <w:t>.</w:t>
      </w:r>
    </w:p>
    <w:p w14:paraId="3236814B" w14:textId="77777777" w:rsidR="00847D15" w:rsidRPr="00C83045" w:rsidRDefault="00847D15" w:rsidP="00D4304B">
      <w:pPr>
        <w:widowControl w:val="0"/>
        <w:rPr>
          <w:color w:val="000000"/>
          <w:szCs w:val="22"/>
        </w:rPr>
      </w:pPr>
    </w:p>
    <w:p w14:paraId="3236814C" w14:textId="77777777" w:rsidR="00847D15" w:rsidRPr="00C83045" w:rsidRDefault="00847D15" w:rsidP="00D4304B">
      <w:pPr>
        <w:widowControl w:val="0"/>
        <w:rPr>
          <w:color w:val="000000"/>
          <w:szCs w:val="22"/>
        </w:rPr>
      </w:pPr>
    </w:p>
    <w:p w14:paraId="3236814D" w14:textId="77777777" w:rsidR="00847D15" w:rsidRPr="00C83045" w:rsidRDefault="00847D15" w:rsidP="00D4304B">
      <w:pPr>
        <w:keepNext/>
        <w:widowControl w:val="0"/>
        <w:rPr>
          <w:b/>
          <w:bCs/>
          <w:caps/>
          <w:color w:val="000000"/>
          <w:szCs w:val="22"/>
        </w:rPr>
      </w:pPr>
      <w:r w:rsidRPr="00C83045">
        <w:rPr>
          <w:b/>
          <w:bCs/>
          <w:color w:val="000000"/>
          <w:szCs w:val="22"/>
        </w:rPr>
        <w:t>7.</w:t>
      </w:r>
      <w:r w:rsidRPr="00C83045">
        <w:rPr>
          <w:b/>
          <w:bCs/>
          <w:color w:val="000000"/>
          <w:szCs w:val="22"/>
        </w:rPr>
        <w:tab/>
      </w:r>
      <w:r w:rsidRPr="00C83045">
        <w:rPr>
          <w:b/>
          <w:bCs/>
          <w:caps/>
          <w:color w:val="000000"/>
          <w:szCs w:val="22"/>
        </w:rPr>
        <w:t>DrŽiteĽ rozhodnutia o registrácii</w:t>
      </w:r>
    </w:p>
    <w:p w14:paraId="3236814E" w14:textId="77777777" w:rsidR="00847D15" w:rsidRPr="00C83045" w:rsidRDefault="00847D15" w:rsidP="00D4304B">
      <w:pPr>
        <w:keepNext/>
        <w:widowControl w:val="0"/>
        <w:rPr>
          <w:bCs/>
          <w:color w:val="000000"/>
          <w:szCs w:val="22"/>
        </w:rPr>
      </w:pPr>
    </w:p>
    <w:p w14:paraId="3236814F" w14:textId="77777777" w:rsidR="00847D15" w:rsidRPr="00C83045" w:rsidRDefault="00847D15" w:rsidP="00D4304B">
      <w:pPr>
        <w:keepNext/>
        <w:widowControl w:val="0"/>
        <w:rPr>
          <w:bCs/>
          <w:color w:val="000000"/>
          <w:szCs w:val="22"/>
        </w:rPr>
      </w:pPr>
      <w:r w:rsidRPr="00C83045">
        <w:rPr>
          <w:bCs/>
          <w:color w:val="000000"/>
          <w:szCs w:val="22"/>
        </w:rPr>
        <w:t>Novartis Europharm Limited</w:t>
      </w:r>
    </w:p>
    <w:p w14:paraId="32368150" w14:textId="77777777" w:rsidR="006E79DA" w:rsidRPr="00EB33FE" w:rsidRDefault="006E79DA" w:rsidP="00D4304B">
      <w:pPr>
        <w:keepNext/>
        <w:widowControl w:val="0"/>
        <w:rPr>
          <w:color w:val="000000"/>
        </w:rPr>
      </w:pPr>
      <w:r w:rsidRPr="00EB33FE">
        <w:rPr>
          <w:color w:val="000000"/>
        </w:rPr>
        <w:t>Vista Building</w:t>
      </w:r>
    </w:p>
    <w:p w14:paraId="32368151" w14:textId="77777777" w:rsidR="006E79DA" w:rsidRPr="00EB33FE" w:rsidRDefault="006E79DA" w:rsidP="00D4304B">
      <w:pPr>
        <w:keepNext/>
        <w:widowControl w:val="0"/>
        <w:rPr>
          <w:color w:val="000000"/>
        </w:rPr>
      </w:pPr>
      <w:r w:rsidRPr="00EB33FE">
        <w:rPr>
          <w:color w:val="000000"/>
        </w:rPr>
        <w:t>Elm Park, Merrion Road</w:t>
      </w:r>
    </w:p>
    <w:p w14:paraId="32368152" w14:textId="77777777" w:rsidR="006E79DA" w:rsidRPr="00EB33FE" w:rsidRDefault="006E79DA" w:rsidP="00D4304B">
      <w:pPr>
        <w:keepNext/>
        <w:widowControl w:val="0"/>
        <w:rPr>
          <w:color w:val="000000"/>
        </w:rPr>
      </w:pPr>
      <w:r w:rsidRPr="00EB33FE">
        <w:rPr>
          <w:color w:val="000000"/>
        </w:rPr>
        <w:t>Dublin 4</w:t>
      </w:r>
    </w:p>
    <w:p w14:paraId="32368153" w14:textId="77777777" w:rsidR="006E79DA" w:rsidRDefault="006E79DA" w:rsidP="00D4304B">
      <w:pPr>
        <w:widowControl w:val="0"/>
        <w:rPr>
          <w:color w:val="000000"/>
        </w:rPr>
      </w:pPr>
      <w:r w:rsidRPr="00EB33FE">
        <w:rPr>
          <w:color w:val="000000"/>
        </w:rPr>
        <w:t>Írsko</w:t>
      </w:r>
    </w:p>
    <w:p w14:paraId="32368154" w14:textId="77777777" w:rsidR="00847D15" w:rsidRPr="00C83045" w:rsidRDefault="00847D15" w:rsidP="00D4304B">
      <w:pPr>
        <w:widowControl w:val="0"/>
        <w:rPr>
          <w:bCs/>
          <w:color w:val="000000"/>
          <w:szCs w:val="22"/>
        </w:rPr>
      </w:pPr>
    </w:p>
    <w:p w14:paraId="32368155" w14:textId="77777777" w:rsidR="00847D15" w:rsidRPr="00C83045" w:rsidRDefault="00847D15" w:rsidP="00D4304B">
      <w:pPr>
        <w:widowControl w:val="0"/>
        <w:rPr>
          <w:bCs/>
          <w:color w:val="000000"/>
          <w:szCs w:val="22"/>
        </w:rPr>
      </w:pPr>
    </w:p>
    <w:p w14:paraId="32368156" w14:textId="77777777" w:rsidR="00847D15" w:rsidRPr="00C83045" w:rsidRDefault="00847D15" w:rsidP="00D4304B">
      <w:pPr>
        <w:keepNext/>
        <w:widowControl w:val="0"/>
        <w:rPr>
          <w:b/>
          <w:bCs/>
          <w:caps/>
          <w:color w:val="000000"/>
          <w:szCs w:val="22"/>
        </w:rPr>
      </w:pPr>
      <w:r w:rsidRPr="00C83045">
        <w:rPr>
          <w:b/>
          <w:bCs/>
          <w:caps/>
          <w:color w:val="000000"/>
          <w:szCs w:val="22"/>
        </w:rPr>
        <w:t>8.</w:t>
      </w:r>
      <w:r w:rsidRPr="00C83045">
        <w:rPr>
          <w:b/>
          <w:bCs/>
          <w:caps/>
          <w:color w:val="000000"/>
          <w:szCs w:val="22"/>
        </w:rPr>
        <w:tab/>
        <w:t>Registračné čísl</w:t>
      </w:r>
      <w:r w:rsidR="00EF2B45">
        <w:rPr>
          <w:b/>
          <w:bCs/>
          <w:caps/>
          <w:color w:val="000000"/>
          <w:szCs w:val="22"/>
        </w:rPr>
        <w:t>A</w:t>
      </w:r>
    </w:p>
    <w:p w14:paraId="32368157" w14:textId="77777777" w:rsidR="00847D15" w:rsidRPr="00C83045" w:rsidRDefault="00847D15" w:rsidP="00D4304B">
      <w:pPr>
        <w:keepNext/>
        <w:widowControl w:val="0"/>
        <w:rPr>
          <w:color w:val="000000"/>
          <w:szCs w:val="22"/>
        </w:rPr>
      </w:pPr>
    </w:p>
    <w:p w14:paraId="3236815C" w14:textId="77777777" w:rsidR="00A56D61" w:rsidRPr="00C83045" w:rsidRDefault="00A56D61" w:rsidP="00D4304B">
      <w:pPr>
        <w:pStyle w:val="EndnoteText"/>
        <w:widowControl w:val="0"/>
        <w:tabs>
          <w:tab w:val="clear" w:pos="567"/>
        </w:tabs>
        <w:rPr>
          <w:color w:val="000000"/>
          <w:szCs w:val="22"/>
          <w:lang w:val="sk-SK"/>
        </w:rPr>
      </w:pPr>
      <w:r w:rsidRPr="00C83045">
        <w:rPr>
          <w:color w:val="000000"/>
          <w:szCs w:val="22"/>
          <w:lang w:val="sk-SK"/>
        </w:rPr>
        <w:t>EU/1/01/198/002-006</w:t>
      </w:r>
    </w:p>
    <w:p w14:paraId="3236815D" w14:textId="77777777" w:rsidR="00A56D61" w:rsidRPr="00C83045" w:rsidRDefault="00A56D61" w:rsidP="00D4304B">
      <w:pPr>
        <w:widowControl w:val="0"/>
        <w:rPr>
          <w:color w:val="000000"/>
          <w:szCs w:val="22"/>
        </w:rPr>
      </w:pPr>
    </w:p>
    <w:p w14:paraId="3236815E" w14:textId="77777777" w:rsidR="00847D15" w:rsidRPr="00C83045" w:rsidRDefault="00847D15" w:rsidP="00D4304B">
      <w:pPr>
        <w:widowControl w:val="0"/>
        <w:rPr>
          <w:color w:val="000000"/>
          <w:szCs w:val="22"/>
        </w:rPr>
      </w:pPr>
    </w:p>
    <w:p w14:paraId="3236815F" w14:textId="77777777" w:rsidR="00847D15" w:rsidRPr="00C83045" w:rsidRDefault="00847D15" w:rsidP="00D4304B">
      <w:pPr>
        <w:keepNext/>
        <w:widowControl w:val="0"/>
        <w:rPr>
          <w:b/>
          <w:caps/>
          <w:color w:val="000000"/>
          <w:szCs w:val="22"/>
        </w:rPr>
      </w:pPr>
      <w:r w:rsidRPr="00C83045">
        <w:rPr>
          <w:b/>
          <w:caps/>
          <w:color w:val="000000"/>
          <w:szCs w:val="22"/>
        </w:rPr>
        <w:t>9.</w:t>
      </w:r>
      <w:r w:rsidRPr="00C83045">
        <w:rPr>
          <w:b/>
          <w:caps/>
          <w:color w:val="000000"/>
          <w:szCs w:val="22"/>
        </w:rPr>
        <w:tab/>
        <w:t>Dátum PRVEJ registrácie/</w:t>
      </w:r>
      <w:r w:rsidR="0015244D" w:rsidRPr="00C83045">
        <w:rPr>
          <w:b/>
          <w:caps/>
          <w:color w:val="000000"/>
          <w:szCs w:val="22"/>
        </w:rPr>
        <w:t xml:space="preserve">predĺŽeniA </w:t>
      </w:r>
      <w:r w:rsidRPr="00C83045">
        <w:rPr>
          <w:b/>
          <w:caps/>
          <w:color w:val="000000"/>
          <w:szCs w:val="22"/>
        </w:rPr>
        <w:t>registrácie</w:t>
      </w:r>
    </w:p>
    <w:p w14:paraId="32368160" w14:textId="77777777" w:rsidR="00847D15" w:rsidRPr="00C83045" w:rsidRDefault="00847D15" w:rsidP="00D4304B">
      <w:pPr>
        <w:keepNext/>
        <w:widowControl w:val="0"/>
        <w:rPr>
          <w:bCs/>
          <w:caps/>
          <w:color w:val="000000"/>
          <w:szCs w:val="22"/>
        </w:rPr>
      </w:pPr>
    </w:p>
    <w:p w14:paraId="32368161" w14:textId="77777777" w:rsidR="00C6653A" w:rsidRPr="00C83045" w:rsidRDefault="00C6653A" w:rsidP="00D4304B">
      <w:pPr>
        <w:keepNext/>
        <w:widowControl w:val="0"/>
        <w:rPr>
          <w:color w:val="000000"/>
          <w:szCs w:val="22"/>
        </w:rPr>
      </w:pPr>
      <w:r w:rsidRPr="00C83045">
        <w:rPr>
          <w:color w:val="000000"/>
          <w:szCs w:val="22"/>
        </w:rPr>
        <w:t>Dátum prvej registrácie: 07. novembra 2001</w:t>
      </w:r>
    </w:p>
    <w:p w14:paraId="32368162" w14:textId="77777777" w:rsidR="00C6653A" w:rsidRPr="00C83045" w:rsidRDefault="00C6653A" w:rsidP="00D4304B">
      <w:pPr>
        <w:widowControl w:val="0"/>
        <w:rPr>
          <w:color w:val="000000"/>
          <w:szCs w:val="22"/>
        </w:rPr>
      </w:pPr>
      <w:r w:rsidRPr="00C83045">
        <w:rPr>
          <w:color w:val="000000"/>
          <w:szCs w:val="22"/>
        </w:rPr>
        <w:t>Dátum posledného predĺženia</w:t>
      </w:r>
      <w:r w:rsidR="009C742B" w:rsidRPr="00C83045">
        <w:rPr>
          <w:noProof/>
          <w:szCs w:val="22"/>
        </w:rPr>
        <w:t xml:space="preserve"> registrácie</w:t>
      </w:r>
      <w:r w:rsidRPr="00C83045">
        <w:rPr>
          <w:color w:val="000000"/>
          <w:szCs w:val="22"/>
        </w:rPr>
        <w:t>: 07. novembra 2006</w:t>
      </w:r>
    </w:p>
    <w:p w14:paraId="32368163" w14:textId="77777777" w:rsidR="00847D15" w:rsidRPr="00C83045" w:rsidRDefault="00847D15" w:rsidP="00D4304B">
      <w:pPr>
        <w:widowControl w:val="0"/>
        <w:rPr>
          <w:bCs/>
          <w:caps/>
          <w:color w:val="000000"/>
          <w:szCs w:val="22"/>
        </w:rPr>
      </w:pPr>
    </w:p>
    <w:p w14:paraId="32368164" w14:textId="77777777" w:rsidR="00847D15" w:rsidRPr="00C83045" w:rsidRDefault="00847D15" w:rsidP="00D4304B">
      <w:pPr>
        <w:widowControl w:val="0"/>
        <w:rPr>
          <w:bCs/>
          <w:caps/>
          <w:color w:val="000000"/>
          <w:szCs w:val="22"/>
        </w:rPr>
      </w:pPr>
    </w:p>
    <w:p w14:paraId="32368165" w14:textId="77777777" w:rsidR="00847D15" w:rsidRPr="00C83045" w:rsidRDefault="00847D15" w:rsidP="00D4304B">
      <w:pPr>
        <w:keepNext/>
        <w:widowControl w:val="0"/>
        <w:rPr>
          <w:color w:val="000000"/>
          <w:szCs w:val="22"/>
        </w:rPr>
      </w:pPr>
      <w:r w:rsidRPr="00C83045">
        <w:rPr>
          <w:b/>
          <w:caps/>
          <w:color w:val="000000"/>
          <w:szCs w:val="22"/>
        </w:rPr>
        <w:lastRenderedPageBreak/>
        <w:t>10.</w:t>
      </w:r>
      <w:r w:rsidRPr="00C83045">
        <w:rPr>
          <w:b/>
          <w:caps/>
          <w:color w:val="000000"/>
          <w:szCs w:val="22"/>
        </w:rPr>
        <w:tab/>
        <w:t>Dátum revízie textu</w:t>
      </w:r>
    </w:p>
    <w:p w14:paraId="32368166" w14:textId="77777777" w:rsidR="0015244D" w:rsidRPr="00C83045" w:rsidRDefault="0015244D" w:rsidP="00D4304B">
      <w:pPr>
        <w:keepNext/>
        <w:widowControl w:val="0"/>
        <w:rPr>
          <w:bCs/>
          <w:caps/>
          <w:color w:val="000000"/>
          <w:szCs w:val="22"/>
        </w:rPr>
      </w:pPr>
    </w:p>
    <w:p w14:paraId="32368167" w14:textId="77777777" w:rsidR="0015244D" w:rsidRPr="00C83045" w:rsidRDefault="0015244D" w:rsidP="00D4304B">
      <w:pPr>
        <w:keepNext/>
        <w:widowControl w:val="0"/>
        <w:rPr>
          <w:bCs/>
          <w:caps/>
          <w:color w:val="000000"/>
          <w:szCs w:val="22"/>
        </w:rPr>
      </w:pPr>
    </w:p>
    <w:p w14:paraId="32368168" w14:textId="77777777" w:rsidR="00C6653A" w:rsidRPr="00C83045" w:rsidRDefault="00C6653A" w:rsidP="00D4304B">
      <w:pPr>
        <w:widowControl w:val="0"/>
        <w:ind w:left="0" w:firstLine="0"/>
        <w:rPr>
          <w:noProof/>
          <w:color w:val="000000"/>
          <w:szCs w:val="22"/>
        </w:rPr>
      </w:pPr>
      <w:r w:rsidRPr="00C83045">
        <w:rPr>
          <w:noProof/>
          <w:color w:val="000000"/>
          <w:szCs w:val="22"/>
        </w:rPr>
        <w:t xml:space="preserve">Podrobné informácie o tomto lieku sú dostupné na internetovej stránke Európskej agentúry pre lieky </w:t>
      </w:r>
      <w:r w:rsidR="00EA575B" w:rsidRPr="00C83045">
        <w:rPr>
          <w:noProof/>
          <w:color w:val="000000"/>
          <w:szCs w:val="22"/>
        </w:rPr>
        <w:t>http://www.ema.europa.eu</w:t>
      </w:r>
    </w:p>
    <w:p w14:paraId="32368169" w14:textId="77777777" w:rsidR="00C6161D" w:rsidRPr="00C83045" w:rsidRDefault="00A56D61" w:rsidP="00D4304B">
      <w:pPr>
        <w:widowControl w:val="0"/>
        <w:ind w:left="0" w:firstLine="0"/>
        <w:rPr>
          <w:noProof/>
          <w:snapToGrid w:val="0"/>
          <w:szCs w:val="22"/>
          <w:lang w:eastAsia="en-US"/>
        </w:rPr>
      </w:pPr>
      <w:r>
        <w:rPr>
          <w:noProof/>
          <w:color w:val="000000"/>
          <w:szCs w:val="22"/>
        </w:rPr>
        <w:br w:type="page"/>
      </w:r>
      <w:r w:rsidR="00DF0316" w:rsidRPr="00C83045">
        <w:rPr>
          <w:noProof/>
          <w:snapToGrid w:val="0"/>
          <w:szCs w:val="20"/>
          <w:lang w:val="en-US" w:eastAsia="en-US"/>
        </w:rPr>
        <w:lastRenderedPageBreak/>
        <w:drawing>
          <wp:inline distT="0" distB="0" distL="0" distR="0" wp14:anchorId="3236902E" wp14:editId="3236902F">
            <wp:extent cx="201295" cy="173990"/>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C6161D" w:rsidRPr="00C83045">
        <w:rPr>
          <w:noProof/>
          <w:snapToGrid w:val="0"/>
          <w:szCs w:val="22"/>
          <w:lang w:eastAsia="en-US"/>
        </w:rPr>
        <w:t>Tento liek je predmetom ďalšieho monitorovania. To umožní rýchle získanie nových informácií o bezpečnosti.</w:t>
      </w:r>
      <w:r w:rsidR="00C6161D" w:rsidRPr="00C83045">
        <w:rPr>
          <w:snapToGrid w:val="0"/>
          <w:szCs w:val="22"/>
          <w:lang w:eastAsia="en-US"/>
        </w:rPr>
        <w:t xml:space="preserve"> Od </w:t>
      </w:r>
      <w:r w:rsidR="00C6161D" w:rsidRPr="00C83045">
        <w:rPr>
          <w:noProof/>
          <w:snapToGrid w:val="0"/>
          <w:szCs w:val="22"/>
          <w:lang w:eastAsia="en-US"/>
        </w:rPr>
        <w:t>zdravotníckych pracovníkov sa vyžaduje, aby hlásili akékoľvek podozrenia na nežiaduce reakcie.</w:t>
      </w:r>
      <w:r w:rsidR="00C6161D" w:rsidRPr="00C83045">
        <w:rPr>
          <w:snapToGrid w:val="0"/>
          <w:szCs w:val="22"/>
          <w:lang w:eastAsia="en-US"/>
        </w:rPr>
        <w:t xml:space="preserve"> </w:t>
      </w:r>
      <w:r w:rsidR="00C6161D" w:rsidRPr="00C83045">
        <w:rPr>
          <w:noProof/>
          <w:snapToGrid w:val="0"/>
          <w:szCs w:val="22"/>
          <w:lang w:eastAsia="en-US"/>
        </w:rPr>
        <w:t>Informácie o tom, ako hlásiť nežiaduce reakcie, nájdete v časti 4.8.</w:t>
      </w:r>
    </w:p>
    <w:p w14:paraId="3236816A" w14:textId="77777777" w:rsidR="00C6161D" w:rsidRPr="00C83045" w:rsidRDefault="00C6161D" w:rsidP="00D4304B">
      <w:pPr>
        <w:widowControl w:val="0"/>
        <w:tabs>
          <w:tab w:val="left" w:pos="567"/>
        </w:tabs>
        <w:ind w:left="0" w:firstLine="0"/>
        <w:rPr>
          <w:noProof/>
          <w:snapToGrid w:val="0"/>
          <w:szCs w:val="22"/>
          <w:lang w:eastAsia="en-US"/>
        </w:rPr>
      </w:pPr>
    </w:p>
    <w:p w14:paraId="3236816B" w14:textId="77777777" w:rsidR="00C6161D" w:rsidRPr="00C83045" w:rsidRDefault="00C6161D" w:rsidP="00D4304B">
      <w:pPr>
        <w:widowControl w:val="0"/>
        <w:tabs>
          <w:tab w:val="left" w:pos="567"/>
        </w:tabs>
        <w:ind w:left="0" w:firstLine="0"/>
        <w:rPr>
          <w:noProof/>
          <w:snapToGrid w:val="0"/>
          <w:szCs w:val="22"/>
          <w:lang w:eastAsia="en-US"/>
        </w:rPr>
      </w:pPr>
    </w:p>
    <w:p w14:paraId="3236816C" w14:textId="77777777" w:rsidR="000F592D" w:rsidRPr="00C83045" w:rsidRDefault="000F592D" w:rsidP="00D4304B">
      <w:pPr>
        <w:keepNext/>
        <w:widowControl w:val="0"/>
        <w:rPr>
          <w:b/>
          <w:bCs/>
          <w:caps/>
          <w:color w:val="000000"/>
          <w:szCs w:val="22"/>
        </w:rPr>
      </w:pPr>
      <w:r w:rsidRPr="00C83045">
        <w:rPr>
          <w:b/>
          <w:bCs/>
          <w:caps/>
          <w:color w:val="000000"/>
          <w:szCs w:val="22"/>
        </w:rPr>
        <w:t>1.</w:t>
      </w:r>
      <w:r w:rsidRPr="00C83045">
        <w:rPr>
          <w:b/>
          <w:bCs/>
          <w:caps/>
          <w:color w:val="000000"/>
          <w:szCs w:val="22"/>
        </w:rPr>
        <w:tab/>
        <w:t>Názov lieku</w:t>
      </w:r>
    </w:p>
    <w:p w14:paraId="3236816D" w14:textId="77777777" w:rsidR="000F592D" w:rsidRPr="00C83045" w:rsidRDefault="000F592D" w:rsidP="00D4304B">
      <w:pPr>
        <w:keepNext/>
        <w:widowControl w:val="0"/>
        <w:rPr>
          <w:bCs/>
          <w:caps/>
          <w:color w:val="000000"/>
          <w:szCs w:val="22"/>
        </w:rPr>
      </w:pPr>
    </w:p>
    <w:p w14:paraId="3236816E" w14:textId="77777777" w:rsidR="000F592D" w:rsidRPr="00C83045" w:rsidRDefault="0027374F" w:rsidP="00D4304B">
      <w:pPr>
        <w:widowControl w:val="0"/>
        <w:rPr>
          <w:color w:val="000000"/>
          <w:szCs w:val="22"/>
        </w:rPr>
      </w:pPr>
      <w:r w:rsidRPr="00C83045">
        <w:rPr>
          <w:color w:val="000000"/>
          <w:szCs w:val="22"/>
        </w:rPr>
        <w:t xml:space="preserve">Glivec </w:t>
      </w:r>
      <w:r w:rsidR="000F592D" w:rsidRPr="00C83045">
        <w:rPr>
          <w:color w:val="000000"/>
          <w:szCs w:val="22"/>
        </w:rPr>
        <w:t>100 mg filmom obalené tablety</w:t>
      </w:r>
    </w:p>
    <w:p w14:paraId="3236816F" w14:textId="77777777" w:rsidR="0028115F" w:rsidRPr="00C83045" w:rsidRDefault="0028115F" w:rsidP="00D4304B">
      <w:pPr>
        <w:widowControl w:val="0"/>
        <w:rPr>
          <w:color w:val="000000"/>
          <w:szCs w:val="22"/>
        </w:rPr>
      </w:pPr>
      <w:r w:rsidRPr="00C83045">
        <w:rPr>
          <w:color w:val="000000"/>
          <w:szCs w:val="22"/>
        </w:rPr>
        <w:t>Glivec 400 mg filmom obalené tablety</w:t>
      </w:r>
    </w:p>
    <w:p w14:paraId="32368170" w14:textId="77777777" w:rsidR="000F592D" w:rsidRPr="00C83045" w:rsidRDefault="000F592D" w:rsidP="00D4304B">
      <w:pPr>
        <w:widowControl w:val="0"/>
        <w:rPr>
          <w:color w:val="000000"/>
          <w:szCs w:val="22"/>
        </w:rPr>
      </w:pPr>
    </w:p>
    <w:p w14:paraId="32368171" w14:textId="77777777" w:rsidR="000F592D" w:rsidRPr="00C83045" w:rsidRDefault="000F592D" w:rsidP="00D4304B">
      <w:pPr>
        <w:widowControl w:val="0"/>
        <w:rPr>
          <w:color w:val="000000"/>
          <w:szCs w:val="22"/>
        </w:rPr>
      </w:pPr>
    </w:p>
    <w:p w14:paraId="32368172" w14:textId="77777777" w:rsidR="000F592D" w:rsidRPr="00C83045" w:rsidRDefault="000F592D" w:rsidP="00D4304B">
      <w:pPr>
        <w:keepNext/>
        <w:widowControl w:val="0"/>
        <w:rPr>
          <w:b/>
          <w:bCs/>
          <w:caps/>
          <w:color w:val="000000"/>
          <w:szCs w:val="22"/>
        </w:rPr>
      </w:pPr>
      <w:r w:rsidRPr="00C83045">
        <w:rPr>
          <w:b/>
          <w:bCs/>
          <w:caps/>
          <w:color w:val="000000"/>
          <w:szCs w:val="22"/>
        </w:rPr>
        <w:t>2.</w:t>
      </w:r>
      <w:r w:rsidRPr="00C83045">
        <w:rPr>
          <w:b/>
          <w:bCs/>
          <w:caps/>
          <w:color w:val="000000"/>
          <w:szCs w:val="22"/>
        </w:rPr>
        <w:tab/>
        <w:t>Kvalitatívne a kvantitatívne zloŽenie</w:t>
      </w:r>
    </w:p>
    <w:p w14:paraId="32368173" w14:textId="77777777" w:rsidR="000F592D" w:rsidRPr="00C83045" w:rsidRDefault="000F592D" w:rsidP="00D4304B">
      <w:pPr>
        <w:keepNext/>
        <w:widowControl w:val="0"/>
        <w:rPr>
          <w:color w:val="000000"/>
          <w:szCs w:val="22"/>
        </w:rPr>
      </w:pPr>
    </w:p>
    <w:p w14:paraId="32368174" w14:textId="77777777" w:rsidR="0028115F" w:rsidRPr="006F7F96" w:rsidRDefault="0028115F" w:rsidP="00D4304B">
      <w:pPr>
        <w:keepNext/>
        <w:widowControl w:val="0"/>
        <w:rPr>
          <w:color w:val="000000"/>
          <w:szCs w:val="22"/>
          <w:u w:val="single"/>
        </w:rPr>
      </w:pPr>
      <w:r w:rsidRPr="006F7F96">
        <w:rPr>
          <w:color w:val="000000"/>
          <w:szCs w:val="22"/>
          <w:u w:val="single"/>
        </w:rPr>
        <w:t>Glivec 100 mg filmom obalené tablety</w:t>
      </w:r>
    </w:p>
    <w:p w14:paraId="32368175" w14:textId="77777777" w:rsidR="000F592D" w:rsidRPr="00C83045" w:rsidRDefault="000F592D" w:rsidP="00D4304B">
      <w:pPr>
        <w:widowControl w:val="0"/>
        <w:rPr>
          <w:color w:val="000000"/>
          <w:szCs w:val="22"/>
        </w:rPr>
      </w:pPr>
      <w:r w:rsidRPr="00C83045">
        <w:rPr>
          <w:color w:val="000000"/>
          <w:szCs w:val="22"/>
        </w:rPr>
        <w:t>Každá filmom obalená tableta obsahuje 100 mg imatinibu (ako mesilátu).</w:t>
      </w:r>
    </w:p>
    <w:p w14:paraId="32368176" w14:textId="77777777" w:rsidR="000F592D" w:rsidRPr="00C83045" w:rsidRDefault="000F592D" w:rsidP="00D4304B">
      <w:pPr>
        <w:widowControl w:val="0"/>
        <w:ind w:left="0" w:firstLine="0"/>
        <w:rPr>
          <w:color w:val="000000"/>
          <w:szCs w:val="22"/>
        </w:rPr>
      </w:pPr>
    </w:p>
    <w:p w14:paraId="32368177" w14:textId="77777777" w:rsidR="0028115F" w:rsidRPr="0099120F" w:rsidRDefault="0028115F" w:rsidP="00D4304B">
      <w:pPr>
        <w:keepNext/>
        <w:widowControl w:val="0"/>
        <w:rPr>
          <w:color w:val="000000"/>
          <w:szCs w:val="22"/>
          <w:u w:val="single"/>
        </w:rPr>
      </w:pPr>
      <w:r w:rsidRPr="0099120F">
        <w:rPr>
          <w:color w:val="000000"/>
          <w:szCs w:val="22"/>
          <w:u w:val="single"/>
        </w:rPr>
        <w:t>Glivec 400 mg filmom obalené tablety</w:t>
      </w:r>
    </w:p>
    <w:p w14:paraId="32368178" w14:textId="77777777" w:rsidR="0028115F" w:rsidRPr="00C83045" w:rsidRDefault="0028115F" w:rsidP="00D4304B">
      <w:pPr>
        <w:widowControl w:val="0"/>
        <w:rPr>
          <w:color w:val="000000"/>
          <w:szCs w:val="22"/>
        </w:rPr>
      </w:pPr>
      <w:r w:rsidRPr="00C83045">
        <w:rPr>
          <w:color w:val="000000"/>
          <w:szCs w:val="22"/>
        </w:rPr>
        <w:t>Každá filmom obalená tableta obsahuje 400 mg imatinibu (ako mesilátu).</w:t>
      </w:r>
    </w:p>
    <w:p w14:paraId="32368179" w14:textId="77777777" w:rsidR="0028115F" w:rsidRDefault="0028115F" w:rsidP="00D4304B">
      <w:pPr>
        <w:widowControl w:val="0"/>
        <w:outlineLvl w:val="0"/>
        <w:rPr>
          <w:color w:val="000000"/>
          <w:szCs w:val="22"/>
        </w:rPr>
      </w:pPr>
    </w:p>
    <w:p w14:paraId="3236817A" w14:textId="77777777" w:rsidR="0027374F" w:rsidRPr="00C83045" w:rsidRDefault="0027374F" w:rsidP="00D4304B">
      <w:pPr>
        <w:widowControl w:val="0"/>
        <w:outlineLvl w:val="0"/>
        <w:rPr>
          <w:color w:val="000000"/>
          <w:szCs w:val="22"/>
        </w:rPr>
      </w:pPr>
      <w:r w:rsidRPr="00C83045">
        <w:rPr>
          <w:color w:val="000000"/>
          <w:szCs w:val="22"/>
        </w:rPr>
        <w:t>Úplný zoznam pomocných látok, pozri časť 6.1.</w:t>
      </w:r>
    </w:p>
    <w:p w14:paraId="3236817B" w14:textId="77777777" w:rsidR="000F592D" w:rsidRPr="00C83045" w:rsidRDefault="000F592D" w:rsidP="00D4304B">
      <w:pPr>
        <w:widowControl w:val="0"/>
        <w:rPr>
          <w:color w:val="000000"/>
          <w:szCs w:val="22"/>
        </w:rPr>
      </w:pPr>
    </w:p>
    <w:p w14:paraId="3236817C" w14:textId="77777777" w:rsidR="000F592D" w:rsidRPr="00C83045" w:rsidRDefault="000F592D" w:rsidP="00D4304B">
      <w:pPr>
        <w:widowControl w:val="0"/>
        <w:rPr>
          <w:color w:val="000000"/>
          <w:szCs w:val="22"/>
        </w:rPr>
      </w:pPr>
    </w:p>
    <w:p w14:paraId="3236817D" w14:textId="77777777" w:rsidR="000F592D" w:rsidRPr="00C83045" w:rsidRDefault="000F592D" w:rsidP="00D4304B">
      <w:pPr>
        <w:keepNext/>
        <w:widowControl w:val="0"/>
        <w:rPr>
          <w:b/>
          <w:bCs/>
          <w:caps/>
          <w:color w:val="000000"/>
          <w:szCs w:val="22"/>
        </w:rPr>
      </w:pPr>
      <w:r w:rsidRPr="00C83045">
        <w:rPr>
          <w:b/>
          <w:bCs/>
          <w:caps/>
          <w:color w:val="000000"/>
          <w:szCs w:val="22"/>
        </w:rPr>
        <w:t>3.</w:t>
      </w:r>
      <w:r w:rsidRPr="00C83045">
        <w:rPr>
          <w:b/>
          <w:bCs/>
          <w:caps/>
          <w:color w:val="000000"/>
          <w:szCs w:val="22"/>
        </w:rPr>
        <w:tab/>
        <w:t>Lieková forma</w:t>
      </w:r>
    </w:p>
    <w:p w14:paraId="3236817E" w14:textId="77777777" w:rsidR="000F592D" w:rsidRPr="00C83045" w:rsidRDefault="000F592D" w:rsidP="00D4304B">
      <w:pPr>
        <w:keepNext/>
        <w:widowControl w:val="0"/>
        <w:rPr>
          <w:color w:val="000000"/>
          <w:szCs w:val="22"/>
        </w:rPr>
      </w:pPr>
    </w:p>
    <w:p w14:paraId="3236817F" w14:textId="77777777" w:rsidR="000F592D" w:rsidRPr="00C83045" w:rsidRDefault="000F592D" w:rsidP="00D4304B">
      <w:pPr>
        <w:widowControl w:val="0"/>
        <w:rPr>
          <w:color w:val="000000"/>
          <w:szCs w:val="22"/>
        </w:rPr>
      </w:pPr>
      <w:r w:rsidRPr="00C83045">
        <w:rPr>
          <w:color w:val="000000"/>
          <w:szCs w:val="22"/>
        </w:rPr>
        <w:t>Filmom obalená tableta</w:t>
      </w:r>
    </w:p>
    <w:p w14:paraId="32368180" w14:textId="77777777" w:rsidR="000F592D" w:rsidRPr="00C83045" w:rsidRDefault="000F592D" w:rsidP="00D4304B">
      <w:pPr>
        <w:widowControl w:val="0"/>
        <w:rPr>
          <w:color w:val="000000"/>
          <w:szCs w:val="22"/>
        </w:rPr>
      </w:pPr>
    </w:p>
    <w:p w14:paraId="32368181" w14:textId="77777777" w:rsidR="0028115F" w:rsidRPr="003D39F4" w:rsidRDefault="0028115F" w:rsidP="00D4304B">
      <w:pPr>
        <w:keepNext/>
        <w:widowControl w:val="0"/>
        <w:rPr>
          <w:color w:val="000000"/>
          <w:szCs w:val="22"/>
          <w:u w:val="single"/>
        </w:rPr>
      </w:pPr>
      <w:r w:rsidRPr="003D39F4">
        <w:rPr>
          <w:color w:val="000000"/>
          <w:szCs w:val="22"/>
          <w:u w:val="single"/>
        </w:rPr>
        <w:t>Glivec 100 mg filmom obalené tablety</w:t>
      </w:r>
    </w:p>
    <w:p w14:paraId="32368182" w14:textId="77777777" w:rsidR="000F592D" w:rsidRPr="00C83045" w:rsidRDefault="000F592D" w:rsidP="00D4304B">
      <w:pPr>
        <w:widowControl w:val="0"/>
        <w:ind w:left="0" w:firstLine="0"/>
        <w:rPr>
          <w:color w:val="000000"/>
          <w:szCs w:val="22"/>
        </w:rPr>
      </w:pPr>
      <w:r w:rsidRPr="00C83045">
        <w:rPr>
          <w:color w:val="000000"/>
          <w:szCs w:val="22"/>
        </w:rPr>
        <w:t>Tmavožltá až hnedooranžová okrúhla filmom obalená tableta, s označením „</w:t>
      </w:r>
      <w:smartTag w:uri="urn:schemas-microsoft-com:office:smarttags" w:element="stockticker">
        <w:r w:rsidRPr="00C83045">
          <w:rPr>
            <w:color w:val="000000"/>
            <w:szCs w:val="22"/>
          </w:rPr>
          <w:t>NVR</w:t>
        </w:r>
      </w:smartTag>
      <w:r w:rsidRPr="00C83045">
        <w:rPr>
          <w:color w:val="000000"/>
          <w:szCs w:val="22"/>
        </w:rPr>
        <w:t>“ na jednej a označením „SA“ a poliacou ryhou na druhej strane.</w:t>
      </w:r>
    </w:p>
    <w:p w14:paraId="32368183" w14:textId="77777777" w:rsidR="000F592D" w:rsidRDefault="000F592D" w:rsidP="00D4304B">
      <w:pPr>
        <w:widowControl w:val="0"/>
        <w:rPr>
          <w:color w:val="000000"/>
          <w:szCs w:val="22"/>
        </w:rPr>
      </w:pPr>
    </w:p>
    <w:p w14:paraId="32368184" w14:textId="77777777" w:rsidR="0056087A" w:rsidRPr="0099120F" w:rsidRDefault="0056087A" w:rsidP="00D4304B">
      <w:pPr>
        <w:keepNext/>
        <w:widowControl w:val="0"/>
        <w:rPr>
          <w:color w:val="000000"/>
          <w:szCs w:val="22"/>
          <w:u w:val="single"/>
        </w:rPr>
      </w:pPr>
      <w:r w:rsidRPr="0099120F">
        <w:rPr>
          <w:color w:val="000000"/>
          <w:szCs w:val="22"/>
          <w:u w:val="single"/>
        </w:rPr>
        <w:t>Glivec 400 mg filmom obalené tablety</w:t>
      </w:r>
    </w:p>
    <w:p w14:paraId="32368185" w14:textId="77777777" w:rsidR="0056087A" w:rsidRPr="00C83045" w:rsidRDefault="0056087A" w:rsidP="00D4304B">
      <w:pPr>
        <w:widowControl w:val="0"/>
        <w:ind w:left="0" w:firstLine="0"/>
        <w:rPr>
          <w:color w:val="000000"/>
          <w:szCs w:val="22"/>
        </w:rPr>
      </w:pPr>
      <w:r w:rsidRPr="00C83045">
        <w:rPr>
          <w:color w:val="000000"/>
          <w:szCs w:val="22"/>
        </w:rPr>
        <w:t>Tmavožltá až hnedooranžová oválna, bikonvexná filmom obalená tableta so zrezanými hranami, s vyrazeným označením „glivec“ na jednej strane.</w:t>
      </w:r>
    </w:p>
    <w:p w14:paraId="32368186" w14:textId="77777777" w:rsidR="0056087A" w:rsidRPr="00C83045" w:rsidRDefault="0056087A" w:rsidP="00D4304B">
      <w:pPr>
        <w:widowControl w:val="0"/>
        <w:rPr>
          <w:color w:val="000000"/>
          <w:szCs w:val="22"/>
        </w:rPr>
      </w:pPr>
    </w:p>
    <w:p w14:paraId="32368187" w14:textId="77777777" w:rsidR="000F592D" w:rsidRPr="00C83045" w:rsidRDefault="000F592D" w:rsidP="00D4304B">
      <w:pPr>
        <w:widowControl w:val="0"/>
        <w:rPr>
          <w:color w:val="000000"/>
          <w:szCs w:val="22"/>
        </w:rPr>
      </w:pPr>
    </w:p>
    <w:p w14:paraId="32368188" w14:textId="77777777" w:rsidR="0043631E" w:rsidRPr="00C83045" w:rsidRDefault="0043631E" w:rsidP="00D4304B">
      <w:pPr>
        <w:keepNext/>
        <w:widowControl w:val="0"/>
        <w:rPr>
          <w:b/>
          <w:bCs/>
          <w:caps/>
          <w:color w:val="000000"/>
          <w:szCs w:val="22"/>
        </w:rPr>
      </w:pPr>
      <w:r w:rsidRPr="00C83045">
        <w:rPr>
          <w:b/>
          <w:bCs/>
          <w:caps/>
          <w:color w:val="000000"/>
          <w:szCs w:val="22"/>
        </w:rPr>
        <w:t>4.</w:t>
      </w:r>
      <w:r w:rsidRPr="00C83045">
        <w:rPr>
          <w:b/>
          <w:bCs/>
          <w:caps/>
          <w:color w:val="000000"/>
          <w:szCs w:val="22"/>
        </w:rPr>
        <w:tab/>
        <w:t>Klinické údaje</w:t>
      </w:r>
    </w:p>
    <w:p w14:paraId="32368189" w14:textId="77777777" w:rsidR="0043631E" w:rsidRPr="00C83045" w:rsidRDefault="0043631E" w:rsidP="00D4304B">
      <w:pPr>
        <w:keepNext/>
        <w:widowControl w:val="0"/>
        <w:rPr>
          <w:color w:val="000000"/>
          <w:szCs w:val="22"/>
        </w:rPr>
      </w:pPr>
    </w:p>
    <w:p w14:paraId="3236818A" w14:textId="77777777" w:rsidR="0043631E" w:rsidRPr="00C83045" w:rsidRDefault="0043631E" w:rsidP="00D4304B">
      <w:pPr>
        <w:keepNext/>
        <w:widowControl w:val="0"/>
        <w:rPr>
          <w:b/>
          <w:bCs/>
          <w:color w:val="000000"/>
          <w:szCs w:val="22"/>
        </w:rPr>
      </w:pPr>
      <w:r w:rsidRPr="00C83045">
        <w:rPr>
          <w:b/>
          <w:bCs/>
          <w:color w:val="000000"/>
          <w:szCs w:val="22"/>
        </w:rPr>
        <w:t>4.1</w:t>
      </w:r>
      <w:r w:rsidRPr="00C83045">
        <w:rPr>
          <w:b/>
          <w:bCs/>
          <w:color w:val="000000"/>
          <w:szCs w:val="22"/>
        </w:rPr>
        <w:tab/>
        <w:t>Terapeutické indikácie</w:t>
      </w:r>
    </w:p>
    <w:p w14:paraId="3236818B" w14:textId="77777777" w:rsidR="0043631E" w:rsidRPr="00C83045" w:rsidRDefault="0043631E" w:rsidP="00D4304B">
      <w:pPr>
        <w:keepNext/>
        <w:widowControl w:val="0"/>
        <w:rPr>
          <w:bCs/>
          <w:color w:val="000000"/>
          <w:szCs w:val="22"/>
        </w:rPr>
      </w:pPr>
    </w:p>
    <w:p w14:paraId="3236818C" w14:textId="77777777" w:rsidR="0043631E" w:rsidRPr="00C83045" w:rsidRDefault="0043631E" w:rsidP="00D4304B">
      <w:pPr>
        <w:keepNext/>
        <w:widowControl w:val="0"/>
        <w:ind w:left="0" w:firstLine="0"/>
        <w:rPr>
          <w:color w:val="000000"/>
          <w:szCs w:val="22"/>
        </w:rPr>
      </w:pPr>
      <w:r w:rsidRPr="00C83045">
        <w:rPr>
          <w:color w:val="000000"/>
          <w:szCs w:val="22"/>
        </w:rPr>
        <w:t>Glivec je indikovaný na liečbu</w:t>
      </w:r>
    </w:p>
    <w:p w14:paraId="3236818D" w14:textId="77777777" w:rsidR="0043631E" w:rsidRPr="00C83045" w:rsidRDefault="0043631E" w:rsidP="00D4304B">
      <w:pPr>
        <w:widowControl w:val="0"/>
        <w:numPr>
          <w:ilvl w:val="0"/>
          <w:numId w:val="9"/>
        </w:numPr>
        <w:rPr>
          <w:color w:val="000000"/>
          <w:szCs w:val="22"/>
        </w:rPr>
      </w:pPr>
      <w:r w:rsidRPr="00C83045">
        <w:rPr>
          <w:color w:val="000000"/>
          <w:szCs w:val="22"/>
        </w:rPr>
        <w:t>dospelých a pediatrických pacientov s novodiagnostikovanou chronickou myelocytovou leukémiou (CML) s pozitívnym (Ph+) chromozómom Philadelphia (bcr-abl), u ktorých sa transplantácia kostnej drene nepovažuje za liečbu 1. línie.</w:t>
      </w:r>
    </w:p>
    <w:p w14:paraId="3236818E" w14:textId="77777777" w:rsidR="0043631E" w:rsidRPr="00C83045" w:rsidRDefault="0043631E" w:rsidP="00D4304B">
      <w:pPr>
        <w:widowControl w:val="0"/>
        <w:numPr>
          <w:ilvl w:val="0"/>
          <w:numId w:val="9"/>
        </w:numPr>
        <w:rPr>
          <w:color w:val="000000"/>
          <w:szCs w:val="22"/>
        </w:rPr>
      </w:pPr>
      <w:r w:rsidRPr="00C83045">
        <w:rPr>
          <w:color w:val="000000"/>
          <w:szCs w:val="22"/>
        </w:rPr>
        <w:t>dospelých a pediatrických pacientov s Ph+ CML v chronickej fáze po zlyhaní liečby interferónom alfa alebo v akcelerovanej fáze alebo v blastickej kríze.</w:t>
      </w:r>
    </w:p>
    <w:p w14:paraId="3236818F" w14:textId="77777777" w:rsidR="0043631E" w:rsidRPr="00C83045" w:rsidRDefault="0043631E" w:rsidP="00D4304B">
      <w:pPr>
        <w:widowControl w:val="0"/>
        <w:numPr>
          <w:ilvl w:val="0"/>
          <w:numId w:val="9"/>
        </w:numPr>
        <w:rPr>
          <w:color w:val="000000"/>
          <w:szCs w:val="22"/>
        </w:rPr>
      </w:pPr>
      <w:r w:rsidRPr="00C83045">
        <w:rPr>
          <w:color w:val="000000"/>
          <w:szCs w:val="22"/>
        </w:rPr>
        <w:t xml:space="preserve">dospelých </w:t>
      </w:r>
      <w:r w:rsidR="00E61FCA" w:rsidRPr="00C83045">
        <w:rPr>
          <w:color w:val="000000"/>
          <w:szCs w:val="22"/>
        </w:rPr>
        <w:t xml:space="preserve">a pediatrických </w:t>
      </w:r>
      <w:r w:rsidRPr="00C83045">
        <w:rPr>
          <w:color w:val="000000"/>
          <w:szCs w:val="22"/>
        </w:rPr>
        <w:t xml:space="preserve">pacientov s novodiagnostikovanou akútnou lymfoblastickou leukémiou s pozitívnym chromozómom Philadelphia (Ph+ </w:t>
      </w:r>
      <w:smartTag w:uri="urn:schemas-microsoft-com:office:smarttags" w:element="stockticker">
        <w:r w:rsidRPr="00C83045">
          <w:rPr>
            <w:color w:val="000000"/>
            <w:szCs w:val="22"/>
          </w:rPr>
          <w:t>ALL</w:t>
        </w:r>
      </w:smartTag>
      <w:r w:rsidRPr="00C83045">
        <w:rPr>
          <w:color w:val="000000"/>
          <w:szCs w:val="22"/>
        </w:rPr>
        <w:t>) v spojení s chemoterapiou.</w:t>
      </w:r>
    </w:p>
    <w:p w14:paraId="32368190" w14:textId="77777777" w:rsidR="0043631E" w:rsidRPr="00C83045" w:rsidRDefault="0043631E" w:rsidP="00D4304B">
      <w:pPr>
        <w:widowControl w:val="0"/>
        <w:numPr>
          <w:ilvl w:val="0"/>
          <w:numId w:val="9"/>
        </w:numPr>
        <w:rPr>
          <w:color w:val="000000"/>
          <w:szCs w:val="22"/>
        </w:rPr>
      </w:pPr>
      <w:r w:rsidRPr="00C83045">
        <w:rPr>
          <w:color w:val="000000"/>
          <w:szCs w:val="22"/>
        </w:rPr>
        <w:t xml:space="preserve">dospelých pacientov pri relapse alebo refraktérnej Ph+ </w:t>
      </w:r>
      <w:smartTag w:uri="urn:schemas-microsoft-com:office:smarttags" w:element="stockticker">
        <w:r w:rsidRPr="00C83045">
          <w:rPr>
            <w:color w:val="000000"/>
            <w:szCs w:val="22"/>
          </w:rPr>
          <w:t>ALL</w:t>
        </w:r>
      </w:smartTag>
      <w:r w:rsidRPr="00C83045">
        <w:rPr>
          <w:color w:val="000000"/>
          <w:szCs w:val="22"/>
        </w:rPr>
        <w:t xml:space="preserve"> ako monoterapia.</w:t>
      </w:r>
    </w:p>
    <w:p w14:paraId="32368191" w14:textId="77777777" w:rsidR="0043631E" w:rsidRPr="00C83045" w:rsidRDefault="0043631E" w:rsidP="00D4304B">
      <w:pPr>
        <w:widowControl w:val="0"/>
        <w:numPr>
          <w:ilvl w:val="0"/>
          <w:numId w:val="9"/>
        </w:numPr>
        <w:rPr>
          <w:color w:val="000000"/>
          <w:szCs w:val="22"/>
        </w:rPr>
      </w:pPr>
      <w:r w:rsidRPr="00C83045">
        <w:rPr>
          <w:color w:val="000000"/>
          <w:szCs w:val="22"/>
        </w:rPr>
        <w:t>dospelých pacientov s myelodysplastickými/myeloproliferatívnymi ochoreniami (</w:t>
      </w:r>
      <w:smartTag w:uri="urn:schemas-microsoft-com:office:smarttags" w:element="stockticker">
        <w:r w:rsidRPr="00C83045">
          <w:rPr>
            <w:color w:val="000000"/>
            <w:szCs w:val="22"/>
          </w:rPr>
          <w:t>MDS</w:t>
        </w:r>
      </w:smartTag>
      <w:r w:rsidRPr="00C83045">
        <w:rPr>
          <w:color w:val="000000"/>
          <w:szCs w:val="22"/>
        </w:rPr>
        <w:t xml:space="preserve">/MPD) spojenými s preskupeniami génu receptora </w:t>
      </w:r>
      <w:r w:rsidR="005A26C9" w:rsidRPr="00C83045">
        <w:rPr>
          <w:color w:val="000000"/>
          <w:szCs w:val="22"/>
        </w:rPr>
        <w:t xml:space="preserve">doštičkového </w:t>
      </w:r>
      <w:r w:rsidRPr="00C83045">
        <w:rPr>
          <w:color w:val="000000"/>
          <w:szCs w:val="22"/>
        </w:rPr>
        <w:t>rastového faktora (PDGFR).</w:t>
      </w:r>
    </w:p>
    <w:p w14:paraId="32368192" w14:textId="77777777" w:rsidR="0043631E" w:rsidRPr="00C83045" w:rsidRDefault="0043631E" w:rsidP="00D4304B">
      <w:pPr>
        <w:pStyle w:val="EndnoteText"/>
        <w:widowControl w:val="0"/>
        <w:numPr>
          <w:ilvl w:val="0"/>
          <w:numId w:val="9"/>
        </w:numPr>
        <w:rPr>
          <w:snapToGrid w:val="0"/>
          <w:color w:val="000000"/>
          <w:szCs w:val="22"/>
          <w:lang w:val="sk-SK" w:eastAsia="de-DE"/>
        </w:rPr>
      </w:pPr>
      <w:r w:rsidRPr="00C83045">
        <w:rPr>
          <w:color w:val="000000"/>
          <w:szCs w:val="22"/>
          <w:lang w:val="sk-SK"/>
        </w:rPr>
        <w:t>dospelých pacientov s pokročilým hypereozinofilným syndrómom (HES) a/alebo chronickou eozinofilovou leukémiou (</w:t>
      </w:r>
      <w:smartTag w:uri="urn:schemas-microsoft-com:office:smarttags" w:element="stockticker">
        <w:r w:rsidRPr="00C83045">
          <w:rPr>
            <w:color w:val="000000"/>
            <w:szCs w:val="22"/>
            <w:lang w:val="sk-SK"/>
          </w:rPr>
          <w:t>CEL</w:t>
        </w:r>
      </w:smartTag>
      <w:r w:rsidRPr="00C83045">
        <w:rPr>
          <w:color w:val="000000"/>
          <w:szCs w:val="22"/>
          <w:lang w:val="sk-SK"/>
        </w:rPr>
        <w:t>) s preskupením FIP1L1-PDGFR</w:t>
      </w:r>
      <w:r w:rsidRPr="00C83045">
        <w:rPr>
          <w:color w:val="000000"/>
          <w:szCs w:val="22"/>
          <w:lang w:val="sk-SK"/>
        </w:rPr>
        <w:sym w:font="Symbol" w:char="F061"/>
      </w:r>
      <w:r w:rsidRPr="00C83045">
        <w:rPr>
          <w:color w:val="000000"/>
          <w:szCs w:val="22"/>
          <w:lang w:val="sk-SK"/>
        </w:rPr>
        <w:t>.</w:t>
      </w:r>
    </w:p>
    <w:p w14:paraId="32368193" w14:textId="77777777" w:rsidR="0043631E" w:rsidRPr="00C83045" w:rsidRDefault="0043631E" w:rsidP="00D4304B">
      <w:pPr>
        <w:widowControl w:val="0"/>
        <w:ind w:left="0" w:firstLine="0"/>
        <w:rPr>
          <w:color w:val="000000"/>
          <w:szCs w:val="22"/>
        </w:rPr>
      </w:pPr>
    </w:p>
    <w:p w14:paraId="32368194" w14:textId="77777777" w:rsidR="0043631E" w:rsidRPr="00C83045" w:rsidRDefault="0043631E" w:rsidP="00D4304B">
      <w:pPr>
        <w:widowControl w:val="0"/>
        <w:ind w:left="0" w:firstLine="0"/>
        <w:rPr>
          <w:color w:val="000000"/>
          <w:szCs w:val="22"/>
        </w:rPr>
      </w:pPr>
      <w:r w:rsidRPr="00C83045">
        <w:rPr>
          <w:color w:val="000000"/>
          <w:szCs w:val="22"/>
        </w:rPr>
        <w:t>Účinok Glivecu na výsledok transplantácie kostnej drene sa nestanovil.</w:t>
      </w:r>
    </w:p>
    <w:p w14:paraId="32368195" w14:textId="77777777" w:rsidR="0043631E" w:rsidRPr="00C83045" w:rsidRDefault="0043631E" w:rsidP="00D4304B">
      <w:pPr>
        <w:widowControl w:val="0"/>
        <w:ind w:left="0" w:firstLine="0"/>
        <w:rPr>
          <w:color w:val="000000"/>
          <w:szCs w:val="22"/>
        </w:rPr>
      </w:pPr>
    </w:p>
    <w:p w14:paraId="32368196" w14:textId="77777777" w:rsidR="0043631E" w:rsidRPr="00C83045" w:rsidRDefault="0043631E" w:rsidP="00D4304B">
      <w:pPr>
        <w:keepNext/>
        <w:widowControl w:val="0"/>
        <w:ind w:left="0" w:firstLine="0"/>
        <w:rPr>
          <w:color w:val="000000"/>
          <w:szCs w:val="22"/>
        </w:rPr>
      </w:pPr>
      <w:r w:rsidRPr="00C83045">
        <w:rPr>
          <w:color w:val="000000"/>
          <w:szCs w:val="22"/>
        </w:rPr>
        <w:lastRenderedPageBreak/>
        <w:t>Glivec je indikovaný na</w:t>
      </w:r>
    </w:p>
    <w:p w14:paraId="32368197" w14:textId="77777777" w:rsidR="0043631E" w:rsidRPr="00C83045" w:rsidRDefault="0043631E" w:rsidP="00D4304B">
      <w:pPr>
        <w:widowControl w:val="0"/>
        <w:numPr>
          <w:ilvl w:val="0"/>
          <w:numId w:val="11"/>
        </w:numPr>
        <w:tabs>
          <w:tab w:val="clear" w:pos="227"/>
          <w:tab w:val="num" w:pos="0"/>
        </w:tabs>
        <w:ind w:left="567" w:hanging="567"/>
        <w:rPr>
          <w:color w:val="000000"/>
          <w:szCs w:val="22"/>
        </w:rPr>
      </w:pPr>
      <w:r w:rsidRPr="00C83045">
        <w:rPr>
          <w:color w:val="000000"/>
          <w:szCs w:val="22"/>
        </w:rPr>
        <w:t>liečbu dospelých pacientov s neresekovateľnými a/alebo metastazujúcimi malígnymi gastrointestinálnymi strómovými nádormi (GIST) s pozitivitou Kit (CD 117).</w:t>
      </w:r>
    </w:p>
    <w:p w14:paraId="32368198" w14:textId="77777777" w:rsidR="0043631E" w:rsidRPr="00C83045" w:rsidRDefault="0043631E" w:rsidP="00D4304B">
      <w:pPr>
        <w:widowControl w:val="0"/>
        <w:numPr>
          <w:ilvl w:val="0"/>
          <w:numId w:val="11"/>
        </w:numPr>
        <w:tabs>
          <w:tab w:val="clear" w:pos="227"/>
          <w:tab w:val="num" w:pos="0"/>
        </w:tabs>
        <w:ind w:left="567" w:hanging="567"/>
        <w:rPr>
          <w:color w:val="000000"/>
          <w:szCs w:val="22"/>
        </w:rPr>
      </w:pPr>
      <w:r w:rsidRPr="00C83045">
        <w:rPr>
          <w:color w:val="000000"/>
          <w:szCs w:val="22"/>
        </w:rPr>
        <w:t>adjuvantnú liečbu dospelých pacientov, u ktorých je významné riziko relapsu po resekcii GIST s pozitivitou Kit (CD 117). Pacienti, u ktorých je nízke alebo veľmi nízke riziko recidívy, nemajú dostávať adjuvantnú liečbu.</w:t>
      </w:r>
    </w:p>
    <w:p w14:paraId="32368199" w14:textId="77777777" w:rsidR="0043631E" w:rsidRPr="00C83045" w:rsidRDefault="0043631E" w:rsidP="00D4304B">
      <w:pPr>
        <w:widowControl w:val="0"/>
        <w:numPr>
          <w:ilvl w:val="0"/>
          <w:numId w:val="11"/>
        </w:numPr>
        <w:tabs>
          <w:tab w:val="clear" w:pos="227"/>
          <w:tab w:val="num" w:pos="0"/>
        </w:tabs>
        <w:ind w:left="567" w:hanging="567"/>
        <w:rPr>
          <w:color w:val="000000"/>
          <w:szCs w:val="22"/>
        </w:rPr>
      </w:pPr>
      <w:r w:rsidRPr="00C83045">
        <w:rPr>
          <w:color w:val="000000"/>
          <w:szCs w:val="22"/>
        </w:rPr>
        <w:t>liečbu dospelých pacientov s neresekovateľným dermatofibrosarcoma protuberans (DFSP) a dospelých pacientov s rekurentným a/alebo metastazujúcim DFSP, u ktorých nie je možný chirurgický zákrok.</w:t>
      </w:r>
    </w:p>
    <w:p w14:paraId="3236819A" w14:textId="77777777" w:rsidR="0043631E" w:rsidRPr="00C83045" w:rsidRDefault="0043631E" w:rsidP="00D4304B">
      <w:pPr>
        <w:widowControl w:val="0"/>
        <w:ind w:left="0" w:firstLine="0"/>
        <w:rPr>
          <w:color w:val="000000"/>
          <w:szCs w:val="22"/>
        </w:rPr>
      </w:pPr>
    </w:p>
    <w:p w14:paraId="3236819B" w14:textId="77777777" w:rsidR="0043631E" w:rsidRPr="00C83045" w:rsidRDefault="0043631E" w:rsidP="00D4304B">
      <w:pPr>
        <w:widowControl w:val="0"/>
        <w:ind w:left="0" w:firstLine="0"/>
        <w:rPr>
          <w:color w:val="000000"/>
          <w:szCs w:val="22"/>
        </w:rPr>
      </w:pPr>
      <w:r w:rsidRPr="00C83045">
        <w:rPr>
          <w:color w:val="000000"/>
          <w:szCs w:val="22"/>
        </w:rPr>
        <w:t xml:space="preserve">U dospelých a pediatrických pacientov sa účinnosť Glivecu zakladá na stupni celkovej hematologickej a cytogenetickej odpovede a prežívaní bez progresie pri CML, na stupni hematologickej a cytogenetickej odpovede pri Ph+ </w:t>
      </w:r>
      <w:smartTag w:uri="urn:schemas-microsoft-com:office:smarttags" w:element="stockticker">
        <w:r w:rsidRPr="00C83045">
          <w:rPr>
            <w:color w:val="000000"/>
            <w:szCs w:val="22"/>
          </w:rPr>
          <w:t>ALL</w:t>
        </w:r>
      </w:smartTag>
      <w:r w:rsidRPr="00C83045">
        <w:rPr>
          <w:color w:val="000000"/>
          <w:szCs w:val="22"/>
        </w:rPr>
        <w:t xml:space="preserve">, </w:t>
      </w:r>
      <w:smartTag w:uri="urn:schemas-microsoft-com:office:smarttags" w:element="stockticker">
        <w:r w:rsidRPr="00C83045">
          <w:rPr>
            <w:color w:val="000000"/>
            <w:szCs w:val="22"/>
          </w:rPr>
          <w:t>MDS</w:t>
        </w:r>
      </w:smartTag>
      <w:r w:rsidRPr="00C83045">
        <w:rPr>
          <w:color w:val="000000"/>
          <w:szCs w:val="22"/>
        </w:rPr>
        <w:t>/MPD, na stupni hematologickej odpovede pri HES/</w:t>
      </w:r>
      <w:smartTag w:uri="urn:schemas-microsoft-com:office:smarttags" w:element="stockticker">
        <w:r w:rsidRPr="00C83045">
          <w:rPr>
            <w:color w:val="000000"/>
            <w:szCs w:val="22"/>
          </w:rPr>
          <w:t>CEL</w:t>
        </w:r>
      </w:smartTag>
      <w:r w:rsidRPr="00C83045">
        <w:rPr>
          <w:color w:val="000000"/>
          <w:szCs w:val="22"/>
        </w:rPr>
        <w:t xml:space="preserve"> a na stupni objektívnej odpovede u dospelých pacientov s neresekovateľným a/alebo metastazujúcim GIST a DFSP a prežívaní bez recidívy pri adjuvantnej liečbe GIST. Skúsenosti s Glivecom u pacientov s </w:t>
      </w:r>
      <w:smartTag w:uri="urn:schemas-microsoft-com:office:smarttags" w:element="stockticker">
        <w:r w:rsidRPr="00C83045">
          <w:rPr>
            <w:color w:val="000000"/>
            <w:szCs w:val="22"/>
          </w:rPr>
          <w:t>MDS</w:t>
        </w:r>
      </w:smartTag>
      <w:r w:rsidRPr="00C83045">
        <w:rPr>
          <w:color w:val="000000"/>
          <w:szCs w:val="22"/>
        </w:rPr>
        <w:t>/MPD spojenými s preskupeniami génu PDGFR sú veľmi obmedzené (pozri časť 5.1). Okrem pri novodiagnostikovanej chronickej fáze CML nie sú kontrolované klinické skúšania, ktoré by preukázali klinickú prospešnosť alebo predĺžené prežívanie pri týchto ochoreniach.</w:t>
      </w:r>
    </w:p>
    <w:p w14:paraId="3236819C" w14:textId="77777777" w:rsidR="0043631E" w:rsidRPr="00C83045" w:rsidRDefault="0043631E" w:rsidP="00D4304B">
      <w:pPr>
        <w:widowControl w:val="0"/>
        <w:rPr>
          <w:color w:val="000000"/>
          <w:szCs w:val="22"/>
        </w:rPr>
      </w:pPr>
    </w:p>
    <w:p w14:paraId="3236819D" w14:textId="77777777" w:rsidR="0043631E" w:rsidRPr="00C83045" w:rsidRDefault="0043631E" w:rsidP="00D4304B">
      <w:pPr>
        <w:keepNext/>
        <w:widowControl w:val="0"/>
        <w:rPr>
          <w:b/>
          <w:bCs/>
          <w:color w:val="000000"/>
          <w:szCs w:val="22"/>
        </w:rPr>
      </w:pPr>
      <w:r w:rsidRPr="00C83045">
        <w:rPr>
          <w:b/>
          <w:bCs/>
          <w:color w:val="000000"/>
          <w:szCs w:val="22"/>
        </w:rPr>
        <w:t>4.2</w:t>
      </w:r>
      <w:r w:rsidRPr="00C83045">
        <w:rPr>
          <w:b/>
          <w:bCs/>
          <w:color w:val="000000"/>
          <w:szCs w:val="22"/>
        </w:rPr>
        <w:tab/>
        <w:t>Dávkovanie a spôsob podávania</w:t>
      </w:r>
    </w:p>
    <w:p w14:paraId="3236819E" w14:textId="77777777" w:rsidR="0043631E" w:rsidRPr="00C83045" w:rsidRDefault="0043631E" w:rsidP="00D4304B">
      <w:pPr>
        <w:keepNext/>
        <w:widowControl w:val="0"/>
        <w:tabs>
          <w:tab w:val="left" w:pos="360"/>
        </w:tabs>
        <w:rPr>
          <w:bCs/>
          <w:color w:val="000000"/>
          <w:szCs w:val="22"/>
        </w:rPr>
      </w:pPr>
    </w:p>
    <w:p w14:paraId="3236819F" w14:textId="77777777" w:rsidR="0027374F" w:rsidRPr="00C83045" w:rsidRDefault="0027374F" w:rsidP="00D4304B">
      <w:pPr>
        <w:widowControl w:val="0"/>
        <w:ind w:left="0" w:firstLine="0"/>
        <w:rPr>
          <w:color w:val="000000"/>
          <w:szCs w:val="22"/>
        </w:rPr>
      </w:pPr>
      <w:r w:rsidRPr="00C83045">
        <w:rPr>
          <w:color w:val="000000"/>
          <w:szCs w:val="22"/>
        </w:rPr>
        <w:t>Liečbu má začať lekár, ktorý má skúsenosti s liečbou pacientov s hematologickými malignitami, prípadne malígnymi sarkómami.</w:t>
      </w:r>
    </w:p>
    <w:p w14:paraId="323681A0" w14:textId="77777777" w:rsidR="000F592D" w:rsidRPr="00C83045" w:rsidRDefault="000F592D" w:rsidP="00D4304B">
      <w:pPr>
        <w:widowControl w:val="0"/>
        <w:ind w:left="0" w:firstLine="0"/>
        <w:rPr>
          <w:color w:val="000000"/>
          <w:szCs w:val="22"/>
        </w:rPr>
      </w:pPr>
    </w:p>
    <w:p w14:paraId="323681A1" w14:textId="77777777" w:rsidR="0056087A" w:rsidRPr="00C83045" w:rsidRDefault="0056087A" w:rsidP="00D4304B">
      <w:pPr>
        <w:widowControl w:val="0"/>
        <w:ind w:left="0" w:firstLine="0"/>
        <w:rPr>
          <w:color w:val="000000"/>
          <w:szCs w:val="22"/>
        </w:rPr>
      </w:pPr>
      <w:r w:rsidRPr="00C83045">
        <w:rPr>
          <w:color w:val="000000"/>
          <w:szCs w:val="22"/>
        </w:rPr>
        <w:t xml:space="preserve">Pre </w:t>
      </w:r>
      <w:r w:rsidR="00AA24F2">
        <w:rPr>
          <w:color w:val="000000"/>
          <w:szCs w:val="22"/>
        </w:rPr>
        <w:t>iné</w:t>
      </w:r>
      <w:r w:rsidR="00AA24F2" w:rsidRPr="00C83045">
        <w:rPr>
          <w:color w:val="000000"/>
          <w:szCs w:val="22"/>
        </w:rPr>
        <w:t xml:space="preserve"> </w:t>
      </w:r>
      <w:r w:rsidRPr="00C83045">
        <w:rPr>
          <w:color w:val="000000"/>
          <w:szCs w:val="22"/>
        </w:rPr>
        <w:t xml:space="preserve">dávky </w:t>
      </w:r>
      <w:r>
        <w:rPr>
          <w:color w:val="000000"/>
          <w:szCs w:val="22"/>
        </w:rPr>
        <w:t xml:space="preserve">ako </w:t>
      </w:r>
      <w:r w:rsidRPr="00C83045">
        <w:rPr>
          <w:color w:val="000000"/>
          <w:szCs w:val="22"/>
        </w:rPr>
        <w:t>400 mg a</w:t>
      </w:r>
      <w:r>
        <w:rPr>
          <w:color w:val="000000"/>
          <w:szCs w:val="22"/>
        </w:rPr>
        <w:t> 800 mg</w:t>
      </w:r>
      <w:r w:rsidRPr="00C83045">
        <w:rPr>
          <w:color w:val="000000"/>
          <w:szCs w:val="22"/>
        </w:rPr>
        <w:t xml:space="preserve"> (pozri odporúčanie pre dávkovanie uvedené nižšie) je dostupná deliteľná </w:t>
      </w:r>
      <w:r>
        <w:rPr>
          <w:color w:val="000000"/>
          <w:szCs w:val="22"/>
        </w:rPr>
        <w:t>1</w:t>
      </w:r>
      <w:r w:rsidRPr="00C83045">
        <w:rPr>
          <w:color w:val="000000"/>
          <w:szCs w:val="22"/>
        </w:rPr>
        <w:t>00 mg tableta.</w:t>
      </w:r>
    </w:p>
    <w:p w14:paraId="323681A2" w14:textId="77777777" w:rsidR="000F592D" w:rsidRPr="00C83045" w:rsidRDefault="000F592D" w:rsidP="00D4304B">
      <w:pPr>
        <w:widowControl w:val="0"/>
        <w:ind w:left="0" w:firstLine="0"/>
        <w:rPr>
          <w:color w:val="000000"/>
          <w:szCs w:val="22"/>
        </w:rPr>
      </w:pPr>
      <w:r w:rsidRPr="00C83045">
        <w:rPr>
          <w:color w:val="000000"/>
          <w:szCs w:val="22"/>
        </w:rPr>
        <w:t>Pre dávky 400 mg a vyššie (pozri odporúčanie pre dávkovanie uvedené nižšie) je dostupná (nedeliteľná) 400 mg tableta.</w:t>
      </w:r>
    </w:p>
    <w:p w14:paraId="323681A3" w14:textId="77777777" w:rsidR="000F592D" w:rsidRPr="00C83045" w:rsidRDefault="000F592D" w:rsidP="00D4304B">
      <w:pPr>
        <w:widowControl w:val="0"/>
        <w:ind w:left="0" w:firstLine="0"/>
        <w:rPr>
          <w:color w:val="000000"/>
          <w:szCs w:val="22"/>
        </w:rPr>
      </w:pPr>
    </w:p>
    <w:p w14:paraId="323681A4" w14:textId="77777777" w:rsidR="00FB298E" w:rsidRPr="00C83045" w:rsidRDefault="000F592D" w:rsidP="00D4304B">
      <w:pPr>
        <w:widowControl w:val="0"/>
        <w:ind w:left="0" w:firstLine="0"/>
        <w:rPr>
          <w:color w:val="000000"/>
          <w:szCs w:val="22"/>
        </w:rPr>
      </w:pPr>
      <w:r w:rsidRPr="00C83045">
        <w:rPr>
          <w:color w:val="000000"/>
          <w:szCs w:val="22"/>
        </w:rPr>
        <w:t xml:space="preserve">Predpísaná dávka sa podáva perorálne s jedlom a veľkým pohárom vody, </w:t>
      </w:r>
      <w:r w:rsidR="00FB298E" w:rsidRPr="00C83045">
        <w:rPr>
          <w:color w:val="000000"/>
          <w:szCs w:val="22"/>
        </w:rPr>
        <w:t>aby sa minimalizovalo riziko podráždenia gastrointestinálneho traktu. Dávky 400 mg alebo 600 mg sa majú podávať raz denne, zatiaľ čo dávka 800 mg sa má podávať ako 400 mg dvakrát denne, ráno a večer.</w:t>
      </w:r>
    </w:p>
    <w:p w14:paraId="323681A5" w14:textId="77777777" w:rsidR="000F592D" w:rsidRPr="00C83045" w:rsidRDefault="000F592D" w:rsidP="00D4304B">
      <w:pPr>
        <w:widowControl w:val="0"/>
        <w:ind w:left="0" w:firstLine="0"/>
        <w:rPr>
          <w:color w:val="000000"/>
          <w:szCs w:val="22"/>
        </w:rPr>
      </w:pPr>
    </w:p>
    <w:p w14:paraId="323681A6" w14:textId="77777777" w:rsidR="000F592D" w:rsidRPr="00C83045" w:rsidRDefault="000F592D" w:rsidP="00D4304B">
      <w:pPr>
        <w:widowControl w:val="0"/>
        <w:ind w:left="0" w:firstLine="0"/>
        <w:rPr>
          <w:color w:val="000000"/>
          <w:szCs w:val="22"/>
        </w:rPr>
      </w:pPr>
      <w:r w:rsidRPr="00C83045">
        <w:rPr>
          <w:color w:val="000000"/>
          <w:szCs w:val="22"/>
        </w:rPr>
        <w:t xml:space="preserve">U pacientov, ktorí nie sú schopní prehĺtať filmom obalené tablety, možno tablety dispergovať v pohári </w:t>
      </w:r>
      <w:r w:rsidR="00D572D1" w:rsidRPr="00C83045">
        <w:rPr>
          <w:color w:val="000000"/>
          <w:szCs w:val="22"/>
        </w:rPr>
        <w:t xml:space="preserve">neperlivej </w:t>
      </w:r>
      <w:r w:rsidRPr="00C83045">
        <w:rPr>
          <w:color w:val="000000"/>
          <w:szCs w:val="22"/>
        </w:rPr>
        <w:t>vody alebo jablkovej šťavy. Požadovaný počet tabliet sa pridá do primeraného objemu nápoja (približne 50 ml pri 100 mg tablete a 200 ml pri 400 mg tablete) a premieša lyžičkou. Suspenzia sa má podať ihneď po úplnom rozpade tablety/tabliet.</w:t>
      </w:r>
    </w:p>
    <w:p w14:paraId="323681A7" w14:textId="77777777" w:rsidR="000F592D" w:rsidRPr="00C83045" w:rsidRDefault="000F592D" w:rsidP="00D4304B">
      <w:pPr>
        <w:widowControl w:val="0"/>
        <w:ind w:left="0" w:firstLine="0"/>
        <w:rPr>
          <w:color w:val="000000"/>
          <w:szCs w:val="22"/>
        </w:rPr>
      </w:pPr>
    </w:p>
    <w:p w14:paraId="323681A8" w14:textId="77777777" w:rsidR="0043631E" w:rsidRPr="00C83045" w:rsidRDefault="0043631E" w:rsidP="00D4304B">
      <w:pPr>
        <w:keepNext/>
        <w:widowControl w:val="0"/>
        <w:ind w:left="0" w:firstLine="0"/>
        <w:rPr>
          <w:color w:val="000000"/>
          <w:szCs w:val="22"/>
          <w:u w:val="single"/>
        </w:rPr>
      </w:pPr>
      <w:r w:rsidRPr="00C83045">
        <w:rPr>
          <w:color w:val="000000"/>
          <w:szCs w:val="22"/>
          <w:u w:val="single"/>
        </w:rPr>
        <w:t>Dávkovanie pri CML u dospelých pacientov</w:t>
      </w:r>
    </w:p>
    <w:p w14:paraId="323681A9" w14:textId="77777777" w:rsidR="0043631E" w:rsidRPr="00C83045" w:rsidRDefault="0043631E" w:rsidP="00D4304B">
      <w:pPr>
        <w:widowControl w:val="0"/>
        <w:ind w:left="0" w:firstLine="0"/>
        <w:rPr>
          <w:color w:val="000000"/>
          <w:szCs w:val="22"/>
        </w:rPr>
      </w:pPr>
      <w:r w:rsidRPr="00C83045">
        <w:rPr>
          <w:color w:val="000000"/>
          <w:szCs w:val="22"/>
        </w:rPr>
        <w:t xml:space="preserve">U </w:t>
      </w:r>
      <w:r w:rsidR="005A26C9" w:rsidRPr="00C83045">
        <w:rPr>
          <w:color w:val="000000"/>
          <w:szCs w:val="22"/>
        </w:rPr>
        <w:t xml:space="preserve">dospelých </w:t>
      </w:r>
      <w:r w:rsidRPr="00C83045">
        <w:rPr>
          <w:color w:val="000000"/>
          <w:szCs w:val="22"/>
        </w:rPr>
        <w:t xml:space="preserve">pacientov v chronickej fáze CML je odporúčaná dávka Glivecu 400 mg/deň. Chronickú fázu CML definuje splnenie všetkých nasledujúcich kritérií: blasty v krvi a kostnej dreni </w:t>
      </w:r>
      <w:r w:rsidRPr="00C83045">
        <w:rPr>
          <w:color w:val="000000"/>
          <w:szCs w:val="22"/>
        </w:rPr>
        <w:sym w:font="Symbol" w:char="F03C"/>
      </w:r>
      <w:r w:rsidRPr="00C83045">
        <w:rPr>
          <w:color w:val="000000"/>
          <w:szCs w:val="22"/>
        </w:rPr>
        <w:t xml:space="preserve"> 15%, bazofily v periférnej krvi </w:t>
      </w:r>
      <w:r w:rsidRPr="00C83045">
        <w:rPr>
          <w:color w:val="000000"/>
          <w:szCs w:val="22"/>
        </w:rPr>
        <w:sym w:font="Symbol" w:char="F03C"/>
      </w:r>
      <w:r w:rsidRPr="00C83045">
        <w:rPr>
          <w:color w:val="000000"/>
          <w:szCs w:val="22"/>
        </w:rPr>
        <w:t xml:space="preserve"> 20%, trombocyty </w:t>
      </w:r>
      <w:r w:rsidRPr="00C83045">
        <w:rPr>
          <w:color w:val="000000"/>
          <w:szCs w:val="22"/>
        </w:rPr>
        <w:sym w:font="Symbol" w:char="F03E"/>
      </w:r>
      <w:r w:rsidRPr="00C83045">
        <w:rPr>
          <w:color w:val="000000"/>
          <w:szCs w:val="22"/>
        </w:rPr>
        <w:t> 100 x 10</w:t>
      </w:r>
      <w:r w:rsidRPr="00C83045">
        <w:rPr>
          <w:color w:val="000000"/>
          <w:szCs w:val="22"/>
          <w:vertAlign w:val="superscript"/>
        </w:rPr>
        <w:t>9</w:t>
      </w:r>
      <w:r w:rsidRPr="00C83045">
        <w:rPr>
          <w:color w:val="000000"/>
          <w:szCs w:val="22"/>
        </w:rPr>
        <w:t>/l.</w:t>
      </w:r>
    </w:p>
    <w:p w14:paraId="323681AA" w14:textId="77777777" w:rsidR="0043631E" w:rsidRPr="00C83045" w:rsidRDefault="0043631E" w:rsidP="00D4304B">
      <w:pPr>
        <w:widowControl w:val="0"/>
        <w:ind w:left="0" w:firstLine="0"/>
        <w:rPr>
          <w:color w:val="000000"/>
          <w:szCs w:val="22"/>
        </w:rPr>
      </w:pPr>
    </w:p>
    <w:p w14:paraId="323681AB" w14:textId="77777777" w:rsidR="0043631E" w:rsidRPr="00C83045" w:rsidRDefault="0043631E" w:rsidP="00D4304B">
      <w:pPr>
        <w:widowControl w:val="0"/>
        <w:ind w:left="0" w:firstLine="0"/>
        <w:rPr>
          <w:color w:val="000000"/>
          <w:szCs w:val="22"/>
        </w:rPr>
      </w:pPr>
      <w:r w:rsidRPr="00C83045">
        <w:rPr>
          <w:color w:val="000000"/>
          <w:szCs w:val="22"/>
        </w:rPr>
        <w:t xml:space="preserve">U </w:t>
      </w:r>
      <w:r w:rsidR="005A26C9" w:rsidRPr="00C83045">
        <w:rPr>
          <w:color w:val="000000"/>
          <w:szCs w:val="22"/>
        </w:rPr>
        <w:t xml:space="preserve">dospelých </w:t>
      </w:r>
      <w:r w:rsidRPr="00C83045">
        <w:rPr>
          <w:color w:val="000000"/>
          <w:szCs w:val="22"/>
        </w:rPr>
        <w:t xml:space="preserve">pacientov v akcelerovanej fáze je odporúčaná dávka Glivecu 600 mg/deň. Akcelerovanú fázu definuje splnenie ktoréhokoľvek z nasledujúcich kritérií: blasty v krvi alebo kostnej dreni </w:t>
      </w:r>
      <w:r w:rsidRPr="00C83045">
        <w:rPr>
          <w:color w:val="000000"/>
          <w:szCs w:val="22"/>
        </w:rPr>
        <w:sym w:font="Symbol" w:char="F0B3"/>
      </w:r>
      <w:r w:rsidRPr="00C83045">
        <w:rPr>
          <w:color w:val="000000"/>
          <w:szCs w:val="22"/>
        </w:rPr>
        <w:t xml:space="preserve"> 15%, ale </w:t>
      </w:r>
      <w:r w:rsidRPr="00C83045">
        <w:rPr>
          <w:color w:val="000000"/>
          <w:szCs w:val="22"/>
        </w:rPr>
        <w:sym w:font="Symbol" w:char="F03C"/>
      </w:r>
      <w:r w:rsidRPr="00C83045">
        <w:rPr>
          <w:color w:val="000000"/>
          <w:szCs w:val="22"/>
        </w:rPr>
        <w:t xml:space="preserve"> 30%, blasty + promyelocyty v krvi alebo kostnej dreni </w:t>
      </w:r>
      <w:r w:rsidRPr="00C83045">
        <w:rPr>
          <w:color w:val="000000"/>
          <w:szCs w:val="22"/>
        </w:rPr>
        <w:sym w:font="Symbol" w:char="F0B3"/>
      </w:r>
      <w:r w:rsidRPr="00C83045">
        <w:rPr>
          <w:color w:val="000000"/>
          <w:szCs w:val="22"/>
        </w:rPr>
        <w:t xml:space="preserve"> 30% (ak blasty </w:t>
      </w:r>
      <w:r w:rsidRPr="00C83045">
        <w:rPr>
          <w:color w:val="000000"/>
          <w:szCs w:val="22"/>
        </w:rPr>
        <w:sym w:font="Symbol" w:char="F03C"/>
      </w:r>
      <w:r w:rsidRPr="00C83045">
        <w:rPr>
          <w:color w:val="000000"/>
          <w:szCs w:val="22"/>
        </w:rPr>
        <w:t xml:space="preserve"> 30%), bazofily v periférnej krvi </w:t>
      </w:r>
      <w:r w:rsidRPr="00C83045">
        <w:rPr>
          <w:color w:val="000000"/>
          <w:szCs w:val="22"/>
        </w:rPr>
        <w:sym w:font="Symbol" w:char="F0B3"/>
      </w:r>
      <w:r w:rsidRPr="00C83045">
        <w:rPr>
          <w:color w:val="000000"/>
          <w:szCs w:val="22"/>
        </w:rPr>
        <w:t xml:space="preserve"> 20%, trombocyty </w:t>
      </w:r>
      <w:r w:rsidRPr="00C83045">
        <w:rPr>
          <w:color w:val="000000"/>
          <w:szCs w:val="22"/>
        </w:rPr>
        <w:sym w:font="Symbol" w:char="F03C"/>
      </w:r>
      <w:r w:rsidRPr="00C83045">
        <w:rPr>
          <w:color w:val="000000"/>
          <w:szCs w:val="22"/>
        </w:rPr>
        <w:t> 100 x 10</w:t>
      </w:r>
      <w:r w:rsidRPr="00C83045">
        <w:rPr>
          <w:color w:val="000000"/>
          <w:szCs w:val="22"/>
          <w:vertAlign w:val="superscript"/>
        </w:rPr>
        <w:t>9</w:t>
      </w:r>
      <w:r w:rsidRPr="00C83045">
        <w:rPr>
          <w:color w:val="000000"/>
          <w:szCs w:val="22"/>
        </w:rPr>
        <w:t>/l bez súvislosti s liečbou.</w:t>
      </w:r>
    </w:p>
    <w:p w14:paraId="323681AC" w14:textId="77777777" w:rsidR="0043631E" w:rsidRPr="00C83045" w:rsidRDefault="0043631E" w:rsidP="00D4304B">
      <w:pPr>
        <w:widowControl w:val="0"/>
        <w:ind w:left="0" w:firstLine="0"/>
        <w:rPr>
          <w:color w:val="000000"/>
          <w:szCs w:val="22"/>
        </w:rPr>
      </w:pPr>
    </w:p>
    <w:p w14:paraId="323681AD" w14:textId="77777777" w:rsidR="0043631E" w:rsidRPr="00C83045" w:rsidRDefault="0043631E" w:rsidP="00D4304B">
      <w:pPr>
        <w:widowControl w:val="0"/>
        <w:ind w:left="0" w:firstLine="0"/>
        <w:rPr>
          <w:color w:val="000000"/>
          <w:szCs w:val="22"/>
        </w:rPr>
      </w:pPr>
      <w:r w:rsidRPr="00C83045">
        <w:rPr>
          <w:color w:val="000000"/>
          <w:szCs w:val="22"/>
        </w:rPr>
        <w:t xml:space="preserve">U </w:t>
      </w:r>
      <w:r w:rsidR="005A26C9" w:rsidRPr="00C83045">
        <w:rPr>
          <w:color w:val="000000"/>
          <w:szCs w:val="22"/>
        </w:rPr>
        <w:t xml:space="preserve">dospelých </w:t>
      </w:r>
      <w:r w:rsidRPr="00C83045">
        <w:rPr>
          <w:color w:val="000000"/>
          <w:szCs w:val="22"/>
        </w:rPr>
        <w:t xml:space="preserve">pacientov v blastickej kríze je odporúčaná dávka Glivecu 600 mg/deň. Blastickú krízu definujú blasty v krvi alebo kostnej dreni </w:t>
      </w:r>
      <w:r w:rsidRPr="00C83045">
        <w:rPr>
          <w:color w:val="000000"/>
          <w:szCs w:val="22"/>
        </w:rPr>
        <w:sym w:font="Symbol" w:char="F0B3"/>
      </w:r>
      <w:r w:rsidRPr="00C83045">
        <w:rPr>
          <w:color w:val="000000"/>
          <w:szCs w:val="22"/>
        </w:rPr>
        <w:t> 30% alebo extramedulárne postihnutie iné ako hepatosplenomegália.</w:t>
      </w:r>
    </w:p>
    <w:p w14:paraId="323681AE" w14:textId="77777777" w:rsidR="0043631E" w:rsidRPr="00C83045" w:rsidRDefault="0043631E" w:rsidP="00D4304B">
      <w:pPr>
        <w:widowControl w:val="0"/>
        <w:ind w:left="0" w:firstLine="0"/>
        <w:rPr>
          <w:color w:val="000000"/>
          <w:szCs w:val="22"/>
        </w:rPr>
      </w:pPr>
    </w:p>
    <w:p w14:paraId="323681AF" w14:textId="77777777" w:rsidR="0043631E" w:rsidRPr="00C83045" w:rsidRDefault="0043631E" w:rsidP="00D4304B">
      <w:pPr>
        <w:widowControl w:val="0"/>
        <w:ind w:left="0" w:firstLine="0"/>
        <w:rPr>
          <w:color w:val="000000"/>
          <w:szCs w:val="22"/>
        </w:rPr>
      </w:pPr>
      <w:r w:rsidRPr="00C83045">
        <w:rPr>
          <w:color w:val="000000"/>
          <w:szCs w:val="22"/>
        </w:rPr>
        <w:t>Trvanie liečby: V klinických skúšaniach sa v liečbe Glivecom pokračovalo až do progresie ochorenia. Účinok ukončenia liečby po dosiahnutí kompletnej cytogenetickej odpovede sa nesledoval.</w:t>
      </w:r>
    </w:p>
    <w:p w14:paraId="323681B0" w14:textId="77777777" w:rsidR="0043631E" w:rsidRPr="00C83045" w:rsidRDefault="0043631E" w:rsidP="00D4304B">
      <w:pPr>
        <w:widowControl w:val="0"/>
        <w:ind w:left="0" w:firstLine="0"/>
        <w:rPr>
          <w:color w:val="000000"/>
          <w:szCs w:val="22"/>
        </w:rPr>
      </w:pPr>
    </w:p>
    <w:p w14:paraId="323681B1" w14:textId="77777777" w:rsidR="0043631E" w:rsidRPr="00C83045" w:rsidRDefault="0043631E" w:rsidP="00D4304B">
      <w:pPr>
        <w:widowControl w:val="0"/>
        <w:ind w:left="0" w:firstLine="0"/>
        <w:rPr>
          <w:color w:val="000000"/>
          <w:szCs w:val="22"/>
        </w:rPr>
      </w:pPr>
      <w:r w:rsidRPr="00C83045">
        <w:rPr>
          <w:color w:val="000000"/>
          <w:szCs w:val="22"/>
        </w:rPr>
        <w:t xml:space="preserve">O zvýšení dávky zo 400 mg na 600 mg alebo 800 mg u pacientov v chronickej fáze ochorenia alebo zo 600 mg na maximum 800 mg (podávaných ako 400 mg dvakrát denne) u pacientov v akcelerovanej </w:t>
      </w:r>
      <w:r w:rsidRPr="00C83045">
        <w:rPr>
          <w:color w:val="000000"/>
          <w:szCs w:val="22"/>
        </w:rPr>
        <w:lastRenderedPageBreak/>
        <w:t>fáze alebo blastickej kríze možno uvažovať, pokiaľ nevzniknú závažné nežiaduce reakcie na liek a nie je prítomná závažná neutropénia alebo trombocytopénia nesúvisiaca s leukémiou, za nasledujúcich okolností: progresia ochorenia (kedykoľvek); nedosiahnutie uspokojivej hematologickej odpovede po najmenej 3 mesiacoch liečby; nedosiahnutie cytogenetickej odpovede po 12 mesiacoch liečby; alebo vymiznutie predtým dosiahnutej hematologickej a/alebo cytogenetickej odpovede. Po zvýšení dávky sa musia pacienti dôsledne sledovať pre možnosť zvýšeného výskytu nežiaducich reakcií pri vyšších dávkovaniach.</w:t>
      </w:r>
    </w:p>
    <w:p w14:paraId="323681B2" w14:textId="77777777" w:rsidR="0043631E" w:rsidRPr="00C83045" w:rsidRDefault="0043631E" w:rsidP="00D4304B">
      <w:pPr>
        <w:widowControl w:val="0"/>
        <w:ind w:left="0" w:firstLine="0"/>
        <w:rPr>
          <w:color w:val="000000"/>
          <w:szCs w:val="22"/>
        </w:rPr>
      </w:pPr>
    </w:p>
    <w:p w14:paraId="323681B3" w14:textId="77777777" w:rsidR="0043631E" w:rsidRPr="00C83045" w:rsidRDefault="0043631E" w:rsidP="00D4304B">
      <w:pPr>
        <w:keepNext/>
        <w:widowControl w:val="0"/>
        <w:ind w:left="0" w:firstLine="0"/>
        <w:rPr>
          <w:color w:val="000000"/>
          <w:szCs w:val="22"/>
          <w:u w:val="single"/>
        </w:rPr>
      </w:pPr>
      <w:r w:rsidRPr="00C83045">
        <w:rPr>
          <w:color w:val="000000"/>
          <w:szCs w:val="22"/>
          <w:u w:val="single"/>
        </w:rPr>
        <w:t>Dávkovanie pri CML u detí</w:t>
      </w:r>
    </w:p>
    <w:p w14:paraId="323681B4" w14:textId="77777777" w:rsidR="0043631E" w:rsidRPr="00C83045" w:rsidRDefault="0043631E" w:rsidP="00D4304B">
      <w:pPr>
        <w:widowControl w:val="0"/>
        <w:ind w:left="0" w:firstLine="0"/>
        <w:rPr>
          <w:color w:val="000000"/>
          <w:szCs w:val="22"/>
        </w:rPr>
      </w:pPr>
      <w:r w:rsidRPr="00C83045">
        <w:rPr>
          <w:color w:val="000000"/>
          <w:szCs w:val="22"/>
        </w:rPr>
        <w:t>Dávkovanie u detí sa má stanoviť podľa plochy povrchu tela (mg/m</w:t>
      </w:r>
      <w:r w:rsidRPr="00C83045">
        <w:rPr>
          <w:color w:val="000000"/>
          <w:szCs w:val="22"/>
          <w:vertAlign w:val="superscript"/>
        </w:rPr>
        <w:t>2</w:t>
      </w:r>
      <w:r w:rsidRPr="00C83045">
        <w:rPr>
          <w:color w:val="000000"/>
          <w:szCs w:val="22"/>
        </w:rPr>
        <w:t>). Odporúča sa denná dávka 340 mg/m</w:t>
      </w:r>
      <w:r w:rsidRPr="00C83045">
        <w:rPr>
          <w:color w:val="000000"/>
          <w:szCs w:val="22"/>
          <w:vertAlign w:val="superscript"/>
        </w:rPr>
        <w:t>2</w:t>
      </w:r>
      <w:r w:rsidRPr="00C83045">
        <w:rPr>
          <w:color w:val="000000"/>
          <w:szCs w:val="22"/>
        </w:rPr>
        <w:t xml:space="preserve"> u detí v chronickej fáze CML a v pokročilých fázach CML (nemá sa prekročiť celková dávka 800 mg). Liek možno podávať buď raz denne, alebo dennú dávku možno rozdeliť na dve podania – jedno ráno a jedno večer. Odporúčania pre dávkovanie sa v súčasnosti zakladajú na malom počte pediatrických pacientov (pozri časti 5.1 a 5.2). Nie sú skúsenosti s liečbou detí mladších ako 2-ročných.</w:t>
      </w:r>
    </w:p>
    <w:p w14:paraId="323681B5" w14:textId="77777777" w:rsidR="0043631E" w:rsidRPr="00C83045" w:rsidRDefault="0043631E" w:rsidP="00D4304B">
      <w:pPr>
        <w:widowControl w:val="0"/>
        <w:ind w:left="0" w:firstLine="0"/>
        <w:rPr>
          <w:color w:val="000000"/>
          <w:szCs w:val="22"/>
        </w:rPr>
      </w:pPr>
    </w:p>
    <w:p w14:paraId="323681B6" w14:textId="77777777" w:rsidR="0043631E" w:rsidRPr="00C83045" w:rsidRDefault="0043631E" w:rsidP="00D4304B">
      <w:pPr>
        <w:widowControl w:val="0"/>
        <w:ind w:left="0" w:firstLine="0"/>
        <w:rPr>
          <w:color w:val="000000"/>
          <w:szCs w:val="22"/>
        </w:rPr>
      </w:pPr>
      <w:r w:rsidRPr="00C83045">
        <w:rPr>
          <w:color w:val="000000"/>
          <w:szCs w:val="22"/>
        </w:rPr>
        <w:t>O zvýšení dávky z 340 mg/m</w:t>
      </w:r>
      <w:r w:rsidRPr="00C83045">
        <w:rPr>
          <w:color w:val="000000"/>
          <w:szCs w:val="22"/>
          <w:vertAlign w:val="superscript"/>
        </w:rPr>
        <w:t>2</w:t>
      </w:r>
      <w:r w:rsidRPr="00C83045">
        <w:rPr>
          <w:color w:val="000000"/>
          <w:szCs w:val="22"/>
        </w:rPr>
        <w:t xml:space="preserve"> denne na 570 mg/m</w:t>
      </w:r>
      <w:r w:rsidRPr="00C83045">
        <w:rPr>
          <w:color w:val="000000"/>
          <w:szCs w:val="22"/>
          <w:vertAlign w:val="superscript"/>
        </w:rPr>
        <w:t>2</w:t>
      </w:r>
      <w:r w:rsidRPr="00C83045">
        <w:rPr>
          <w:color w:val="000000"/>
          <w:szCs w:val="22"/>
        </w:rPr>
        <w:t xml:space="preserve"> denne (nemá sa prekročiť celková dávka 800 mg) u detí možno uvažovať, pokiaľ nevzniknú závažné nežiaduce reakcie na liek a nie je prítomná závažná neutropénia alebo trombocytopénia nesúvisiaca s leukémiou, za nasledujúcich okolností: progresia ochorenia (kedykoľvek); nedosiahnutie uspokojivej hematologickej odpovede po najmenej 3 mesiacoch liečby; nedosiahnutie cytogenetickej odpovede po 12 mesiacoch liečby; alebo vymiznutie predtým dosiahnutej hematologickej a/alebo cytogenetickej odpovede. Po zvýšení dávky sa musia pacienti dôsledne sledovať pre možnosť zvýšeného výskytu nežiaducich reakcií pri vyšších dávkovaniach.</w:t>
      </w:r>
    </w:p>
    <w:p w14:paraId="323681B7" w14:textId="77777777" w:rsidR="0043631E" w:rsidRPr="00C83045" w:rsidRDefault="0043631E" w:rsidP="00D4304B">
      <w:pPr>
        <w:widowControl w:val="0"/>
        <w:ind w:left="0" w:firstLine="0"/>
        <w:rPr>
          <w:color w:val="000000"/>
          <w:szCs w:val="22"/>
        </w:rPr>
      </w:pPr>
    </w:p>
    <w:p w14:paraId="323681B8" w14:textId="77777777" w:rsidR="0043631E" w:rsidRPr="00C83045" w:rsidRDefault="0043631E" w:rsidP="00D4304B">
      <w:pPr>
        <w:keepNext/>
        <w:widowControl w:val="0"/>
        <w:ind w:left="0" w:firstLine="0"/>
        <w:rPr>
          <w:color w:val="000000"/>
          <w:szCs w:val="22"/>
          <w:u w:val="single"/>
        </w:rPr>
      </w:pPr>
      <w:r w:rsidRPr="00C83045">
        <w:rPr>
          <w:color w:val="000000"/>
          <w:szCs w:val="22"/>
          <w:u w:val="single"/>
        </w:rPr>
        <w:t>Dávkovanie pri Ph+ ALL</w:t>
      </w:r>
      <w:r w:rsidR="008F3A05" w:rsidRPr="00C83045">
        <w:rPr>
          <w:color w:val="000000"/>
          <w:szCs w:val="22"/>
          <w:u w:val="single"/>
        </w:rPr>
        <w:t xml:space="preserve"> u dospelých pacientov</w:t>
      </w:r>
    </w:p>
    <w:p w14:paraId="323681B9" w14:textId="77777777" w:rsidR="0043631E" w:rsidRPr="00C83045" w:rsidRDefault="0043631E" w:rsidP="00D4304B">
      <w:pPr>
        <w:widowControl w:val="0"/>
        <w:ind w:left="0" w:firstLine="0"/>
        <w:rPr>
          <w:color w:val="000000"/>
          <w:szCs w:val="22"/>
        </w:rPr>
      </w:pPr>
      <w:r w:rsidRPr="00C83045">
        <w:rPr>
          <w:color w:val="000000"/>
          <w:szCs w:val="22"/>
        </w:rPr>
        <w:t>U </w:t>
      </w:r>
      <w:r w:rsidR="005A26C9" w:rsidRPr="00C83045">
        <w:rPr>
          <w:color w:val="000000"/>
          <w:szCs w:val="22"/>
        </w:rPr>
        <w:t xml:space="preserve">dospelých </w:t>
      </w:r>
      <w:r w:rsidRPr="00C83045">
        <w:rPr>
          <w:color w:val="000000"/>
          <w:szCs w:val="22"/>
        </w:rPr>
        <w:t xml:space="preserve">pacientov s Ph+ </w:t>
      </w:r>
      <w:smartTag w:uri="urn:schemas-microsoft-com:office:smarttags" w:element="stockticker">
        <w:r w:rsidRPr="00C83045">
          <w:rPr>
            <w:color w:val="000000"/>
            <w:szCs w:val="22"/>
          </w:rPr>
          <w:t>ALL</w:t>
        </w:r>
      </w:smartTag>
      <w:r w:rsidRPr="00C83045">
        <w:rPr>
          <w:color w:val="000000"/>
          <w:szCs w:val="22"/>
        </w:rPr>
        <w:t xml:space="preserve"> je odporúčaná dávka Glivecu 600 mg/deň. </w:t>
      </w:r>
      <w:r w:rsidRPr="00C83045">
        <w:rPr>
          <w:rFonts w:eastAsia="MS Mincho"/>
          <w:color w:val="000000"/>
          <w:szCs w:val="22"/>
          <w:lang w:eastAsia="ja-JP"/>
        </w:rPr>
        <w:t>Hematológovia, ktorí sú odborníkmi na vedenie liečby tohto ochorenia, majú dohliadať na liečbu počas všetkých fáz poskytovania starostlivosti.</w:t>
      </w:r>
    </w:p>
    <w:p w14:paraId="323681BA" w14:textId="77777777" w:rsidR="0043631E" w:rsidRPr="00C83045" w:rsidRDefault="0043631E" w:rsidP="00D4304B">
      <w:pPr>
        <w:widowControl w:val="0"/>
        <w:ind w:left="0" w:firstLine="0"/>
        <w:rPr>
          <w:color w:val="000000"/>
          <w:szCs w:val="22"/>
        </w:rPr>
      </w:pPr>
    </w:p>
    <w:p w14:paraId="323681BB" w14:textId="77777777" w:rsidR="0043631E" w:rsidRPr="00C83045" w:rsidRDefault="0043631E" w:rsidP="00D4304B">
      <w:pPr>
        <w:widowControl w:val="0"/>
        <w:ind w:left="0" w:firstLine="0"/>
        <w:rPr>
          <w:rFonts w:eastAsia="MS Mincho"/>
          <w:color w:val="000000"/>
          <w:szCs w:val="22"/>
          <w:lang w:eastAsia="ja-JP"/>
        </w:rPr>
      </w:pPr>
      <w:r w:rsidRPr="00C83045">
        <w:rPr>
          <w:color w:val="000000"/>
          <w:szCs w:val="22"/>
        </w:rPr>
        <w:t xml:space="preserve">Režim liečby: Podľa existujúcich údajov sa preukázala účinnosť a bezpečnosť Glivecu pri podávaní v dávke 600 mg/deň v kombinácii s chemoterapiou v indukčnej, konsolidačnej a udržiavacej fáze chemoterapie (pozri časť 5.1) u dospelých pacientov s novodiagnostikovanou </w:t>
      </w:r>
      <w:r w:rsidRPr="00C83045">
        <w:rPr>
          <w:rFonts w:eastAsia="MS Mincho"/>
          <w:color w:val="000000"/>
          <w:szCs w:val="22"/>
          <w:lang w:eastAsia="ja-JP"/>
        </w:rPr>
        <w:t xml:space="preserve">Ph+ </w:t>
      </w:r>
      <w:smartTag w:uri="urn:schemas-microsoft-com:office:smarttags" w:element="stockticker">
        <w:r w:rsidRPr="00C83045">
          <w:rPr>
            <w:rFonts w:eastAsia="MS Mincho"/>
            <w:color w:val="000000"/>
            <w:szCs w:val="22"/>
            <w:lang w:eastAsia="ja-JP"/>
          </w:rPr>
          <w:t>ALL</w:t>
        </w:r>
      </w:smartTag>
      <w:r w:rsidRPr="00C83045">
        <w:rPr>
          <w:rFonts w:eastAsia="MS Mincho"/>
          <w:color w:val="000000"/>
          <w:szCs w:val="22"/>
          <w:lang w:eastAsia="ja-JP"/>
        </w:rPr>
        <w:t>. Trvanie liečby Glivecom môže byť rôzne v závislosti od zvoleného programu liečby, ale dlhšie expozície Glivecu spravidla priniesli lepšie výsledky.</w:t>
      </w:r>
    </w:p>
    <w:p w14:paraId="323681BC" w14:textId="77777777" w:rsidR="0043631E" w:rsidRPr="00C83045" w:rsidRDefault="0043631E" w:rsidP="00D4304B">
      <w:pPr>
        <w:widowControl w:val="0"/>
        <w:ind w:left="0" w:firstLine="0"/>
        <w:rPr>
          <w:color w:val="000000"/>
          <w:szCs w:val="22"/>
        </w:rPr>
      </w:pPr>
    </w:p>
    <w:p w14:paraId="323681BD" w14:textId="77777777" w:rsidR="0043631E" w:rsidRPr="00C83045" w:rsidRDefault="0043631E" w:rsidP="00D4304B">
      <w:pPr>
        <w:widowControl w:val="0"/>
        <w:ind w:left="0" w:firstLine="0"/>
        <w:rPr>
          <w:color w:val="000000"/>
          <w:szCs w:val="22"/>
        </w:rPr>
      </w:pPr>
      <w:r w:rsidRPr="00C83045">
        <w:rPr>
          <w:color w:val="000000"/>
          <w:szCs w:val="22"/>
        </w:rPr>
        <w:t xml:space="preserve">U dospelých pacientov s relapsom alebo refraktérnou </w:t>
      </w:r>
      <w:r w:rsidRPr="00C83045">
        <w:rPr>
          <w:rFonts w:eastAsia="MS Mincho"/>
          <w:color w:val="000000"/>
          <w:szCs w:val="22"/>
          <w:lang w:eastAsia="ja-JP"/>
        </w:rPr>
        <w:t xml:space="preserve">Ph+ </w:t>
      </w:r>
      <w:smartTag w:uri="urn:schemas-microsoft-com:office:smarttags" w:element="stockticker">
        <w:r w:rsidRPr="00C83045">
          <w:rPr>
            <w:rFonts w:eastAsia="MS Mincho"/>
            <w:color w:val="000000"/>
            <w:szCs w:val="22"/>
            <w:lang w:eastAsia="ja-JP"/>
          </w:rPr>
          <w:t>ALL</w:t>
        </w:r>
      </w:smartTag>
      <w:r w:rsidRPr="00C83045">
        <w:rPr>
          <w:rFonts w:eastAsia="MS Mincho"/>
          <w:color w:val="000000"/>
          <w:szCs w:val="22"/>
          <w:lang w:eastAsia="ja-JP"/>
        </w:rPr>
        <w:t xml:space="preserve"> je monoterapia Glivecom v dávke 600 mg/deň bezpečná, účinná a môže sa podávať až do nástupu progresie ochorenia.</w:t>
      </w:r>
    </w:p>
    <w:p w14:paraId="323681BE" w14:textId="77777777" w:rsidR="008F3A05" w:rsidRPr="00C83045" w:rsidRDefault="008F3A05" w:rsidP="00D4304B">
      <w:pPr>
        <w:widowControl w:val="0"/>
        <w:rPr>
          <w:rFonts w:eastAsia="MS Mincho"/>
          <w:color w:val="000000"/>
          <w:lang w:eastAsia="ja-JP"/>
        </w:rPr>
      </w:pPr>
    </w:p>
    <w:p w14:paraId="323681BF" w14:textId="77777777" w:rsidR="008F3A05" w:rsidRPr="00C83045" w:rsidRDefault="008F3A05" w:rsidP="00D4304B">
      <w:pPr>
        <w:keepNext/>
        <w:widowControl w:val="0"/>
        <w:rPr>
          <w:rFonts w:eastAsia="MS Mincho"/>
          <w:color w:val="000000"/>
          <w:u w:val="single"/>
          <w:lang w:eastAsia="ja-JP"/>
        </w:rPr>
      </w:pPr>
      <w:r w:rsidRPr="00C83045">
        <w:rPr>
          <w:rFonts w:eastAsia="MS Mincho"/>
          <w:color w:val="000000"/>
          <w:u w:val="single"/>
          <w:lang w:eastAsia="ja-JP"/>
        </w:rPr>
        <w:t>Dávkovanie pri Ph+ ALL u detí</w:t>
      </w:r>
    </w:p>
    <w:p w14:paraId="323681C0" w14:textId="77777777" w:rsidR="008F3A05" w:rsidRPr="00C83045" w:rsidRDefault="008F3A05" w:rsidP="00D4304B">
      <w:pPr>
        <w:widowControl w:val="0"/>
        <w:ind w:left="0" w:firstLine="0"/>
        <w:rPr>
          <w:color w:val="000000"/>
        </w:rPr>
      </w:pPr>
      <w:r w:rsidRPr="00C83045">
        <w:rPr>
          <w:color w:val="000000"/>
          <w:szCs w:val="22"/>
        </w:rPr>
        <w:t>Dávkovanie u detí sa má stanoviť podľa plochy povrchu tela (mg/m</w:t>
      </w:r>
      <w:r w:rsidRPr="00C83045">
        <w:rPr>
          <w:color w:val="000000"/>
          <w:szCs w:val="22"/>
          <w:vertAlign w:val="superscript"/>
        </w:rPr>
        <w:t>2</w:t>
      </w:r>
      <w:r w:rsidRPr="00C83045">
        <w:rPr>
          <w:color w:val="000000"/>
          <w:szCs w:val="22"/>
        </w:rPr>
        <w:t>). U detí s </w:t>
      </w:r>
      <w:r w:rsidRPr="00C83045">
        <w:rPr>
          <w:color w:val="000000"/>
        </w:rPr>
        <w:t xml:space="preserve">Ph+ ALL </w:t>
      </w:r>
      <w:r w:rsidRPr="00C83045">
        <w:rPr>
          <w:color w:val="000000"/>
          <w:szCs w:val="22"/>
        </w:rPr>
        <w:t>sa odporúča denná dávka</w:t>
      </w:r>
      <w:r w:rsidRPr="00C83045">
        <w:rPr>
          <w:color w:val="000000"/>
        </w:rPr>
        <w:t xml:space="preserve"> 340 mg/m</w:t>
      </w:r>
      <w:r w:rsidRPr="00C83045">
        <w:rPr>
          <w:color w:val="000000"/>
          <w:vertAlign w:val="superscript"/>
        </w:rPr>
        <w:t>2</w:t>
      </w:r>
      <w:r w:rsidRPr="00C83045">
        <w:rPr>
          <w:color w:val="000000"/>
        </w:rPr>
        <w:t xml:space="preserve"> (nesmie byť prekročená celková dávka 600 mg).</w:t>
      </w:r>
    </w:p>
    <w:p w14:paraId="323681C1" w14:textId="77777777" w:rsidR="0043631E" w:rsidRPr="00C83045" w:rsidRDefault="0043631E" w:rsidP="00D4304B">
      <w:pPr>
        <w:widowControl w:val="0"/>
        <w:ind w:left="0" w:firstLine="0"/>
        <w:rPr>
          <w:color w:val="000000"/>
          <w:szCs w:val="22"/>
        </w:rPr>
      </w:pPr>
    </w:p>
    <w:p w14:paraId="323681C2" w14:textId="77777777" w:rsidR="0043631E" w:rsidRPr="00C83045" w:rsidRDefault="0043631E" w:rsidP="00D4304B">
      <w:pPr>
        <w:keepNext/>
        <w:widowControl w:val="0"/>
        <w:ind w:left="0" w:firstLine="0"/>
        <w:rPr>
          <w:color w:val="000000"/>
          <w:szCs w:val="22"/>
          <w:u w:val="single"/>
        </w:rPr>
      </w:pPr>
      <w:r w:rsidRPr="00C83045">
        <w:rPr>
          <w:color w:val="000000"/>
          <w:szCs w:val="22"/>
          <w:u w:val="single"/>
        </w:rPr>
        <w:t xml:space="preserve">Dávkovanie pri </w:t>
      </w:r>
      <w:smartTag w:uri="urn:schemas-microsoft-com:office:smarttags" w:element="stockticker">
        <w:r w:rsidRPr="00C83045">
          <w:rPr>
            <w:color w:val="000000"/>
            <w:szCs w:val="22"/>
            <w:u w:val="single"/>
          </w:rPr>
          <w:t>MDS</w:t>
        </w:r>
      </w:smartTag>
      <w:r w:rsidRPr="00C83045">
        <w:rPr>
          <w:color w:val="000000"/>
          <w:szCs w:val="22"/>
          <w:u w:val="single"/>
        </w:rPr>
        <w:t>/MPD</w:t>
      </w:r>
    </w:p>
    <w:p w14:paraId="323681C3" w14:textId="77777777" w:rsidR="0043631E" w:rsidRPr="00C83045" w:rsidRDefault="0043631E" w:rsidP="00D4304B">
      <w:pPr>
        <w:widowControl w:val="0"/>
        <w:ind w:left="0" w:firstLine="0"/>
        <w:rPr>
          <w:color w:val="000000"/>
          <w:szCs w:val="22"/>
        </w:rPr>
      </w:pPr>
      <w:r w:rsidRPr="00C83045">
        <w:rPr>
          <w:color w:val="000000"/>
          <w:szCs w:val="22"/>
        </w:rPr>
        <w:t>U </w:t>
      </w:r>
      <w:r w:rsidR="005A26C9" w:rsidRPr="00C83045">
        <w:rPr>
          <w:color w:val="000000"/>
          <w:szCs w:val="22"/>
        </w:rPr>
        <w:t xml:space="preserve">dospelých </w:t>
      </w:r>
      <w:r w:rsidRPr="00C83045">
        <w:rPr>
          <w:color w:val="000000"/>
          <w:szCs w:val="22"/>
        </w:rPr>
        <w:t>pacientov s </w:t>
      </w:r>
      <w:smartTag w:uri="urn:schemas-microsoft-com:office:smarttags" w:element="stockticker">
        <w:r w:rsidRPr="00C83045">
          <w:rPr>
            <w:color w:val="000000"/>
            <w:szCs w:val="22"/>
          </w:rPr>
          <w:t>MDS</w:t>
        </w:r>
      </w:smartTag>
      <w:r w:rsidRPr="00C83045">
        <w:rPr>
          <w:color w:val="000000"/>
          <w:szCs w:val="22"/>
        </w:rPr>
        <w:t>/MPD je odporúčaná dávka Glivecu 400 mg/deň.</w:t>
      </w:r>
    </w:p>
    <w:p w14:paraId="323681C4" w14:textId="77777777" w:rsidR="0043631E" w:rsidRPr="00C83045" w:rsidRDefault="0043631E" w:rsidP="00D4304B">
      <w:pPr>
        <w:widowControl w:val="0"/>
        <w:ind w:left="0" w:firstLine="0"/>
        <w:rPr>
          <w:color w:val="000000"/>
          <w:szCs w:val="22"/>
        </w:rPr>
      </w:pPr>
    </w:p>
    <w:p w14:paraId="323681C5" w14:textId="77777777" w:rsidR="0043631E" w:rsidRPr="00C83045" w:rsidRDefault="0043631E" w:rsidP="00D4304B">
      <w:pPr>
        <w:widowControl w:val="0"/>
        <w:ind w:left="0" w:firstLine="0"/>
        <w:rPr>
          <w:color w:val="000000"/>
          <w:szCs w:val="22"/>
        </w:rPr>
      </w:pPr>
      <w:r w:rsidRPr="00C83045">
        <w:rPr>
          <w:color w:val="000000"/>
          <w:szCs w:val="22"/>
        </w:rPr>
        <w:t>Trvanie liečby: V jedinom zatiaľ vykonanom klinickom skúšaní sa v liečbe Glivecom pokračovalo až do progresie ochorenia (pozri časť 5.1). V čase analýzy bol medián trvania liečby 47 mesiacov (24 dní – 60 mesiacov).</w:t>
      </w:r>
    </w:p>
    <w:p w14:paraId="323681C6" w14:textId="77777777" w:rsidR="0043631E" w:rsidRPr="00C83045" w:rsidRDefault="0043631E" w:rsidP="00D4304B">
      <w:pPr>
        <w:widowControl w:val="0"/>
        <w:ind w:left="0" w:firstLine="0"/>
        <w:rPr>
          <w:color w:val="000000"/>
          <w:szCs w:val="22"/>
        </w:rPr>
      </w:pPr>
    </w:p>
    <w:p w14:paraId="323681C7" w14:textId="77777777" w:rsidR="0043631E" w:rsidRPr="00C83045" w:rsidRDefault="0043631E" w:rsidP="00D4304B">
      <w:pPr>
        <w:keepNext/>
        <w:widowControl w:val="0"/>
        <w:ind w:left="0" w:firstLine="0"/>
        <w:rPr>
          <w:color w:val="000000"/>
          <w:szCs w:val="22"/>
          <w:u w:val="single"/>
        </w:rPr>
      </w:pPr>
      <w:r w:rsidRPr="00C83045">
        <w:rPr>
          <w:color w:val="000000"/>
          <w:szCs w:val="22"/>
          <w:u w:val="single"/>
        </w:rPr>
        <w:t>Dávkovanie pri HES/</w:t>
      </w:r>
      <w:smartTag w:uri="urn:schemas-microsoft-com:office:smarttags" w:element="stockticker">
        <w:r w:rsidRPr="00C83045">
          <w:rPr>
            <w:color w:val="000000"/>
            <w:szCs w:val="22"/>
            <w:u w:val="single"/>
          </w:rPr>
          <w:t>CEL</w:t>
        </w:r>
      </w:smartTag>
    </w:p>
    <w:p w14:paraId="323681C8" w14:textId="77777777" w:rsidR="0043631E" w:rsidRPr="00C83045" w:rsidRDefault="0043631E" w:rsidP="00D4304B">
      <w:pPr>
        <w:pStyle w:val="EndnoteText"/>
        <w:widowControl w:val="0"/>
        <w:tabs>
          <w:tab w:val="clear" w:pos="567"/>
        </w:tabs>
        <w:rPr>
          <w:color w:val="000000"/>
          <w:szCs w:val="22"/>
          <w:u w:val="single"/>
          <w:lang w:val="sk-SK"/>
        </w:rPr>
      </w:pPr>
      <w:r w:rsidRPr="00C83045">
        <w:rPr>
          <w:color w:val="000000"/>
          <w:szCs w:val="22"/>
          <w:lang w:val="sk-SK"/>
        </w:rPr>
        <w:t>U </w:t>
      </w:r>
      <w:r w:rsidR="005A26C9" w:rsidRPr="00C83045">
        <w:rPr>
          <w:color w:val="000000"/>
          <w:szCs w:val="22"/>
          <w:lang w:val="sk-SK"/>
        </w:rPr>
        <w:t xml:space="preserve">dospelých </w:t>
      </w:r>
      <w:r w:rsidRPr="00C83045">
        <w:rPr>
          <w:color w:val="000000"/>
          <w:szCs w:val="22"/>
          <w:lang w:val="sk-SK"/>
        </w:rPr>
        <w:t>pacientov s HES/</w:t>
      </w:r>
      <w:smartTag w:uri="urn:schemas-microsoft-com:office:smarttags" w:element="stockticker">
        <w:r w:rsidRPr="00C83045">
          <w:rPr>
            <w:color w:val="000000"/>
            <w:szCs w:val="22"/>
            <w:lang w:val="sk-SK"/>
          </w:rPr>
          <w:t>CEL</w:t>
        </w:r>
      </w:smartTag>
      <w:r w:rsidRPr="00C83045">
        <w:rPr>
          <w:color w:val="000000"/>
          <w:szCs w:val="22"/>
          <w:lang w:val="sk-SK"/>
        </w:rPr>
        <w:t xml:space="preserve"> je odporúčaná dávka Glivecu 100 mg/deň.</w:t>
      </w:r>
    </w:p>
    <w:p w14:paraId="323681C9" w14:textId="77777777" w:rsidR="0043631E" w:rsidRPr="00C83045" w:rsidRDefault="0043631E" w:rsidP="00D4304B">
      <w:pPr>
        <w:pStyle w:val="Text"/>
        <w:widowControl w:val="0"/>
        <w:spacing w:before="0"/>
        <w:jc w:val="left"/>
        <w:rPr>
          <w:color w:val="000000"/>
          <w:sz w:val="22"/>
          <w:szCs w:val="22"/>
          <w:lang w:val="sk-SK"/>
        </w:rPr>
      </w:pPr>
    </w:p>
    <w:p w14:paraId="323681CA" w14:textId="77777777" w:rsidR="0043631E" w:rsidRPr="00C83045" w:rsidRDefault="0043631E" w:rsidP="00D4304B">
      <w:pPr>
        <w:pStyle w:val="Text"/>
        <w:widowControl w:val="0"/>
        <w:spacing w:before="0"/>
        <w:jc w:val="left"/>
        <w:rPr>
          <w:rFonts w:eastAsia="MS Mincho"/>
          <w:color w:val="000000"/>
          <w:sz w:val="22"/>
          <w:szCs w:val="22"/>
          <w:lang w:val="sk-SK" w:eastAsia="ja-JP"/>
        </w:rPr>
      </w:pPr>
      <w:r w:rsidRPr="00C83045">
        <w:rPr>
          <w:rFonts w:eastAsia="MS Mincho"/>
          <w:color w:val="000000"/>
          <w:sz w:val="22"/>
          <w:szCs w:val="22"/>
          <w:lang w:val="sk-SK" w:eastAsia="ja-JP"/>
        </w:rPr>
        <w:t>Zvýšenie dávky zo 100 mg na 400 mg možno uvážiť, pokiaľ sa nevyskytli nežiaduce reakcie na liek, ak hodnotenia preukážu nedostatočnú odpoveď na liečbu.</w:t>
      </w:r>
    </w:p>
    <w:p w14:paraId="323681CB" w14:textId="77777777" w:rsidR="0043631E" w:rsidRPr="00C83045" w:rsidRDefault="0043631E" w:rsidP="00D4304B">
      <w:pPr>
        <w:pStyle w:val="Text"/>
        <w:widowControl w:val="0"/>
        <w:spacing w:before="0"/>
        <w:jc w:val="left"/>
        <w:rPr>
          <w:rFonts w:eastAsia="MS Mincho"/>
          <w:color w:val="000000"/>
          <w:sz w:val="22"/>
          <w:szCs w:val="22"/>
          <w:lang w:val="sk-SK" w:eastAsia="ja-JP"/>
        </w:rPr>
      </w:pPr>
    </w:p>
    <w:p w14:paraId="323681CC" w14:textId="77777777" w:rsidR="0043631E" w:rsidRPr="00C83045" w:rsidRDefault="0043631E" w:rsidP="00D4304B">
      <w:pPr>
        <w:pStyle w:val="Text"/>
        <w:widowControl w:val="0"/>
        <w:spacing w:before="0"/>
        <w:jc w:val="left"/>
        <w:rPr>
          <w:rFonts w:eastAsia="MS Mincho"/>
          <w:color w:val="000000"/>
          <w:sz w:val="22"/>
          <w:szCs w:val="22"/>
          <w:lang w:val="sk-SK" w:eastAsia="ja-JP"/>
        </w:rPr>
      </w:pPr>
      <w:r w:rsidRPr="00C83045">
        <w:rPr>
          <w:rFonts w:eastAsia="MS Mincho"/>
          <w:color w:val="000000"/>
          <w:sz w:val="22"/>
          <w:szCs w:val="22"/>
          <w:lang w:val="sk-SK" w:eastAsia="ja-JP"/>
        </w:rPr>
        <w:t>V liečbe sa má pokračovať dovtedy, kým je pre pacienta prínosom.</w:t>
      </w:r>
    </w:p>
    <w:p w14:paraId="323681CD" w14:textId="77777777" w:rsidR="0043631E" w:rsidRPr="00C83045" w:rsidRDefault="0043631E" w:rsidP="00D4304B">
      <w:pPr>
        <w:widowControl w:val="0"/>
        <w:ind w:left="0" w:firstLine="0"/>
        <w:rPr>
          <w:color w:val="000000"/>
          <w:szCs w:val="22"/>
          <w:u w:val="single"/>
        </w:rPr>
      </w:pPr>
    </w:p>
    <w:p w14:paraId="323681CE" w14:textId="77777777" w:rsidR="0043631E" w:rsidRPr="00C83045" w:rsidRDefault="0043631E" w:rsidP="00D4304B">
      <w:pPr>
        <w:keepNext/>
        <w:widowControl w:val="0"/>
        <w:ind w:left="0" w:firstLine="0"/>
        <w:rPr>
          <w:color w:val="000000"/>
          <w:szCs w:val="22"/>
          <w:u w:val="single"/>
        </w:rPr>
      </w:pPr>
      <w:r w:rsidRPr="00C83045">
        <w:rPr>
          <w:color w:val="000000"/>
          <w:szCs w:val="22"/>
          <w:u w:val="single"/>
        </w:rPr>
        <w:t>Dávkovanie pri GIST</w:t>
      </w:r>
    </w:p>
    <w:p w14:paraId="323681CF" w14:textId="77777777" w:rsidR="0043631E" w:rsidRPr="00C83045" w:rsidRDefault="0043631E" w:rsidP="00D4304B">
      <w:pPr>
        <w:widowControl w:val="0"/>
        <w:ind w:left="0" w:firstLine="0"/>
        <w:rPr>
          <w:color w:val="000000"/>
          <w:szCs w:val="22"/>
        </w:rPr>
      </w:pPr>
      <w:r w:rsidRPr="00C83045">
        <w:rPr>
          <w:color w:val="000000"/>
          <w:szCs w:val="22"/>
        </w:rPr>
        <w:t xml:space="preserve">U </w:t>
      </w:r>
      <w:r w:rsidR="005A26C9" w:rsidRPr="00C83045">
        <w:rPr>
          <w:color w:val="000000"/>
          <w:szCs w:val="22"/>
        </w:rPr>
        <w:t xml:space="preserve">dospelých </w:t>
      </w:r>
      <w:r w:rsidRPr="00C83045">
        <w:rPr>
          <w:color w:val="000000"/>
          <w:szCs w:val="22"/>
        </w:rPr>
        <w:t>pacientov s neresekovateľnými a/alebo metastazujúcimi malígnymi GIST je odporúčaná dávka Glivecu 400 mg/deň.</w:t>
      </w:r>
    </w:p>
    <w:p w14:paraId="323681D0" w14:textId="77777777" w:rsidR="0043631E" w:rsidRPr="00C83045" w:rsidRDefault="0043631E" w:rsidP="00D4304B">
      <w:pPr>
        <w:widowControl w:val="0"/>
        <w:ind w:left="0" w:firstLine="0"/>
        <w:rPr>
          <w:color w:val="000000"/>
          <w:szCs w:val="22"/>
        </w:rPr>
      </w:pPr>
    </w:p>
    <w:p w14:paraId="323681D1" w14:textId="77777777" w:rsidR="0043631E" w:rsidRPr="00C83045" w:rsidRDefault="0043631E" w:rsidP="00D4304B">
      <w:pPr>
        <w:widowControl w:val="0"/>
        <w:ind w:left="0" w:firstLine="0"/>
        <w:rPr>
          <w:color w:val="000000"/>
          <w:szCs w:val="22"/>
        </w:rPr>
      </w:pPr>
      <w:r w:rsidRPr="00C83045">
        <w:rPr>
          <w:color w:val="000000"/>
          <w:szCs w:val="22"/>
        </w:rPr>
        <w:t>Sú obmedzené údaje o účinku zvýšenia dávky zo 400 mg na 600 mg alebo 800 mg u pacientov s progresiou ochorenia pri nižšej dávke (pozri časť 5.1).</w:t>
      </w:r>
    </w:p>
    <w:p w14:paraId="323681D2" w14:textId="77777777" w:rsidR="0043631E" w:rsidRPr="00C83045" w:rsidRDefault="0043631E" w:rsidP="00D4304B">
      <w:pPr>
        <w:widowControl w:val="0"/>
        <w:ind w:left="0" w:firstLine="0"/>
        <w:rPr>
          <w:color w:val="000000"/>
          <w:szCs w:val="22"/>
        </w:rPr>
      </w:pPr>
    </w:p>
    <w:p w14:paraId="323681D3" w14:textId="77777777" w:rsidR="0043631E" w:rsidRPr="00C83045" w:rsidRDefault="0043631E" w:rsidP="00D4304B">
      <w:pPr>
        <w:widowControl w:val="0"/>
        <w:ind w:left="0" w:firstLine="0"/>
        <w:rPr>
          <w:color w:val="000000"/>
          <w:szCs w:val="22"/>
        </w:rPr>
      </w:pPr>
      <w:r w:rsidRPr="00C83045">
        <w:rPr>
          <w:color w:val="000000"/>
          <w:szCs w:val="22"/>
        </w:rPr>
        <w:t>Trvanie liečby: V klinických skúšaniach s pacientmi s GIST sa v liečbe Glivecom pokračovalo až do progresie ochorenia. V čase analýzy bol medián trvania liečby 7 mesiacov (od 7 dní do 13 mesiacov). Účinok ukončenia liečby po dosiahnutí odpovede sa nesledoval.</w:t>
      </w:r>
    </w:p>
    <w:p w14:paraId="323681D4" w14:textId="77777777" w:rsidR="0043631E" w:rsidRPr="00C83045" w:rsidRDefault="0043631E" w:rsidP="00D4304B">
      <w:pPr>
        <w:widowControl w:val="0"/>
        <w:ind w:left="0" w:firstLine="0"/>
        <w:rPr>
          <w:color w:val="000000"/>
          <w:szCs w:val="22"/>
          <w:u w:val="single"/>
        </w:rPr>
      </w:pPr>
    </w:p>
    <w:p w14:paraId="323681D5" w14:textId="77777777" w:rsidR="00EA4C4F" w:rsidRPr="00C83045" w:rsidRDefault="0043631E" w:rsidP="00D4304B">
      <w:pPr>
        <w:widowControl w:val="0"/>
        <w:ind w:left="0" w:firstLine="0"/>
        <w:rPr>
          <w:color w:val="000000"/>
          <w:szCs w:val="22"/>
          <w:u w:val="single"/>
        </w:rPr>
      </w:pPr>
      <w:r w:rsidRPr="00C83045">
        <w:rPr>
          <w:color w:val="000000"/>
          <w:szCs w:val="22"/>
        </w:rPr>
        <w:t xml:space="preserve">Odporúčaná dávka Glivecu v adjuvantnej liečbe dospelých pacientov po resekcii GIST je 400 mg/deň. Optimálne trvanie liečby zatiaľ nie je stanovené. Dĺžka liečby v klinickom skúšaní na podporu tejto </w:t>
      </w:r>
      <w:r w:rsidR="00EA4C4F" w:rsidRPr="00C83045">
        <w:rPr>
          <w:color w:val="000000"/>
          <w:szCs w:val="22"/>
        </w:rPr>
        <w:t>indikácie bola 36 mesiacov (pozri časť 5.1).</w:t>
      </w:r>
    </w:p>
    <w:p w14:paraId="323681D6" w14:textId="77777777" w:rsidR="0043631E" w:rsidRPr="00C83045" w:rsidRDefault="0043631E" w:rsidP="00D4304B">
      <w:pPr>
        <w:widowControl w:val="0"/>
        <w:ind w:left="0" w:firstLine="0"/>
        <w:rPr>
          <w:color w:val="000000"/>
          <w:szCs w:val="22"/>
          <w:u w:val="single"/>
        </w:rPr>
      </w:pPr>
    </w:p>
    <w:p w14:paraId="323681D7" w14:textId="77777777" w:rsidR="0043631E" w:rsidRPr="00C83045" w:rsidRDefault="0043631E" w:rsidP="00D4304B">
      <w:pPr>
        <w:keepNext/>
        <w:widowControl w:val="0"/>
        <w:ind w:left="0" w:firstLine="0"/>
        <w:rPr>
          <w:color w:val="000000"/>
          <w:szCs w:val="22"/>
          <w:u w:val="single"/>
        </w:rPr>
      </w:pPr>
      <w:r w:rsidRPr="00C83045">
        <w:rPr>
          <w:color w:val="000000"/>
          <w:szCs w:val="22"/>
          <w:u w:val="single"/>
        </w:rPr>
        <w:t>Dávkovanie pri DFSP</w:t>
      </w:r>
    </w:p>
    <w:p w14:paraId="323681D8" w14:textId="77777777" w:rsidR="0043631E" w:rsidRPr="00C83045" w:rsidRDefault="0043631E" w:rsidP="00D4304B">
      <w:pPr>
        <w:widowControl w:val="0"/>
        <w:ind w:left="0" w:firstLine="0"/>
        <w:rPr>
          <w:color w:val="000000"/>
          <w:szCs w:val="22"/>
        </w:rPr>
      </w:pPr>
      <w:r w:rsidRPr="00C83045">
        <w:rPr>
          <w:color w:val="000000"/>
          <w:szCs w:val="22"/>
        </w:rPr>
        <w:t>U </w:t>
      </w:r>
      <w:r w:rsidR="005A26C9" w:rsidRPr="00C83045">
        <w:rPr>
          <w:color w:val="000000"/>
          <w:szCs w:val="22"/>
        </w:rPr>
        <w:t xml:space="preserve">dospelých </w:t>
      </w:r>
      <w:r w:rsidRPr="00C83045">
        <w:rPr>
          <w:color w:val="000000"/>
          <w:szCs w:val="22"/>
        </w:rPr>
        <w:t>pacientov s DFSP je odporúčaná dávka Glivecu 800 mg/deň.</w:t>
      </w:r>
    </w:p>
    <w:p w14:paraId="323681D9" w14:textId="77777777" w:rsidR="0043631E" w:rsidRPr="00C83045" w:rsidRDefault="0043631E" w:rsidP="00D4304B">
      <w:pPr>
        <w:widowControl w:val="0"/>
        <w:ind w:left="0" w:firstLine="0"/>
        <w:rPr>
          <w:color w:val="000000"/>
          <w:szCs w:val="22"/>
        </w:rPr>
      </w:pPr>
    </w:p>
    <w:p w14:paraId="323681DA" w14:textId="77777777" w:rsidR="0043631E" w:rsidRPr="00C83045" w:rsidRDefault="0043631E" w:rsidP="00D4304B">
      <w:pPr>
        <w:keepNext/>
        <w:widowControl w:val="0"/>
        <w:ind w:left="0" w:firstLine="0"/>
        <w:rPr>
          <w:color w:val="000000"/>
          <w:szCs w:val="22"/>
          <w:u w:val="single"/>
        </w:rPr>
      </w:pPr>
      <w:r w:rsidRPr="00C83045">
        <w:rPr>
          <w:color w:val="000000"/>
          <w:szCs w:val="22"/>
          <w:u w:val="single"/>
        </w:rPr>
        <w:t>Úprava dávkovania pre nežiaduce reakcie</w:t>
      </w:r>
    </w:p>
    <w:p w14:paraId="323681DB" w14:textId="77777777" w:rsidR="0043631E" w:rsidRPr="00C83045" w:rsidRDefault="0043631E" w:rsidP="00D4304B">
      <w:pPr>
        <w:pStyle w:val="Heading3"/>
        <w:widowControl w:val="0"/>
        <w:autoSpaceDE/>
        <w:autoSpaceDN/>
        <w:rPr>
          <w:i/>
          <w:color w:val="000000"/>
          <w:sz w:val="22"/>
          <w:szCs w:val="22"/>
        </w:rPr>
      </w:pPr>
      <w:r w:rsidRPr="00C83045">
        <w:rPr>
          <w:i/>
          <w:color w:val="000000"/>
          <w:sz w:val="22"/>
          <w:szCs w:val="22"/>
        </w:rPr>
        <w:t>Nehematologické nežiaduce reakcie</w:t>
      </w:r>
    </w:p>
    <w:p w14:paraId="323681DC" w14:textId="77777777" w:rsidR="0043631E" w:rsidRPr="00C83045" w:rsidRDefault="0043631E" w:rsidP="00D4304B">
      <w:pPr>
        <w:widowControl w:val="0"/>
        <w:ind w:left="0" w:firstLine="0"/>
        <w:rPr>
          <w:color w:val="000000"/>
          <w:szCs w:val="22"/>
        </w:rPr>
      </w:pPr>
      <w:r w:rsidRPr="00C83045">
        <w:rPr>
          <w:color w:val="000000"/>
          <w:szCs w:val="22"/>
        </w:rPr>
        <w:t>Ak sa pri užívaní Glivecu vyvinie závažná nehematologická nežiaduca reakcia, liečba sa musí vysadiť až do vymiznutia udalosti. Potom možno v liečbe primeraným spôsobom pokračovať, v závislosti od počiatočnej závažnosti udalosti.</w:t>
      </w:r>
    </w:p>
    <w:p w14:paraId="323681DD" w14:textId="77777777" w:rsidR="0043631E" w:rsidRPr="00C83045" w:rsidRDefault="0043631E" w:rsidP="00D4304B">
      <w:pPr>
        <w:widowControl w:val="0"/>
        <w:ind w:left="0" w:firstLine="0"/>
        <w:rPr>
          <w:color w:val="000000"/>
          <w:szCs w:val="22"/>
        </w:rPr>
      </w:pPr>
    </w:p>
    <w:p w14:paraId="323681DE" w14:textId="77777777" w:rsidR="0043631E" w:rsidRPr="00C83045" w:rsidRDefault="0043631E" w:rsidP="00D4304B">
      <w:pPr>
        <w:widowControl w:val="0"/>
        <w:ind w:left="0" w:firstLine="0"/>
        <w:rPr>
          <w:color w:val="000000"/>
          <w:szCs w:val="22"/>
        </w:rPr>
      </w:pPr>
      <w:r w:rsidRPr="00C83045">
        <w:rPr>
          <w:color w:val="000000"/>
          <w:szCs w:val="22"/>
        </w:rPr>
        <w:t xml:space="preserve">Ak sa zvýši bilirubín </w:t>
      </w:r>
      <w:r w:rsidRPr="00C83045">
        <w:rPr>
          <w:color w:val="000000"/>
          <w:szCs w:val="22"/>
        </w:rPr>
        <w:sym w:font="Symbol" w:char="F03E"/>
      </w:r>
      <w:r w:rsidRPr="00C83045">
        <w:rPr>
          <w:color w:val="000000"/>
          <w:szCs w:val="22"/>
        </w:rPr>
        <w:t xml:space="preserve"> 3-násobok stanovenej hornej hranice normálneho rozmedzia (IULN) alebo pečeňové aminotransferázy </w:t>
      </w:r>
      <w:r w:rsidRPr="00C83045">
        <w:rPr>
          <w:color w:val="000000"/>
          <w:szCs w:val="22"/>
        </w:rPr>
        <w:sym w:font="Symbol" w:char="F03E"/>
      </w:r>
      <w:r w:rsidRPr="00C83045">
        <w:rPr>
          <w:color w:val="000000"/>
          <w:szCs w:val="22"/>
        </w:rPr>
        <w:t xml:space="preserve"> 5-násobok IULN, Glivec sa má vysadiť, kým sa hladiny bilirubínu nevrátia </w:t>
      </w:r>
      <w:r w:rsidRPr="00C83045">
        <w:rPr>
          <w:color w:val="000000"/>
          <w:szCs w:val="22"/>
        </w:rPr>
        <w:sym w:font="Symbol" w:char="F03C"/>
      </w:r>
      <w:r w:rsidRPr="00C83045">
        <w:rPr>
          <w:color w:val="000000"/>
          <w:szCs w:val="22"/>
        </w:rPr>
        <w:t xml:space="preserve"> 1,5-násobok IULN a hladiny aminotransferáz </w:t>
      </w:r>
      <w:r w:rsidRPr="00C83045">
        <w:rPr>
          <w:color w:val="000000"/>
          <w:szCs w:val="22"/>
        </w:rPr>
        <w:sym w:font="Symbol" w:char="F03C"/>
      </w:r>
      <w:r w:rsidRPr="00C83045">
        <w:rPr>
          <w:color w:val="000000"/>
          <w:szCs w:val="22"/>
        </w:rPr>
        <w:t> 2,5-násobok IULN. V liečbe Glivecom potom možno pokračovať pri zníženej dennej dávke. U dospelých sa má dávka znížiť zo 400 na 300 mg, alebo zo 600 na 400 mg, alebo z 800 mg na 600 mg, a u detí z 340 na 260 mg/m</w:t>
      </w:r>
      <w:r w:rsidRPr="00C83045">
        <w:rPr>
          <w:color w:val="000000"/>
          <w:szCs w:val="22"/>
          <w:vertAlign w:val="superscript"/>
        </w:rPr>
        <w:t>2</w:t>
      </w:r>
      <w:r w:rsidRPr="00C83045">
        <w:rPr>
          <w:color w:val="000000"/>
          <w:szCs w:val="22"/>
        </w:rPr>
        <w:t>/deň.</w:t>
      </w:r>
    </w:p>
    <w:p w14:paraId="323681DF" w14:textId="77777777" w:rsidR="0043631E" w:rsidRPr="00C83045" w:rsidRDefault="0043631E" w:rsidP="00D4304B">
      <w:pPr>
        <w:pStyle w:val="Heading3"/>
        <w:keepNext w:val="0"/>
        <w:widowControl w:val="0"/>
        <w:autoSpaceDE/>
        <w:autoSpaceDN/>
        <w:rPr>
          <w:color w:val="000000"/>
          <w:sz w:val="22"/>
          <w:szCs w:val="22"/>
        </w:rPr>
      </w:pPr>
    </w:p>
    <w:p w14:paraId="323681E0" w14:textId="77777777" w:rsidR="0043631E" w:rsidRPr="00C83045" w:rsidRDefault="0043631E" w:rsidP="00D4304B">
      <w:pPr>
        <w:pStyle w:val="Heading3"/>
        <w:widowControl w:val="0"/>
        <w:autoSpaceDE/>
        <w:autoSpaceDN/>
        <w:rPr>
          <w:i/>
          <w:color w:val="000000"/>
          <w:sz w:val="22"/>
          <w:szCs w:val="22"/>
        </w:rPr>
      </w:pPr>
      <w:r w:rsidRPr="00C83045">
        <w:rPr>
          <w:i/>
          <w:color w:val="000000"/>
          <w:sz w:val="22"/>
          <w:szCs w:val="22"/>
        </w:rPr>
        <w:t>Hematologické nežiaduce reakcie</w:t>
      </w:r>
    </w:p>
    <w:p w14:paraId="323681E1" w14:textId="77777777" w:rsidR="0043631E" w:rsidRPr="00C83045" w:rsidRDefault="0043631E" w:rsidP="00D4304B">
      <w:pPr>
        <w:widowControl w:val="0"/>
        <w:ind w:left="0" w:firstLine="0"/>
        <w:rPr>
          <w:color w:val="000000"/>
          <w:szCs w:val="22"/>
        </w:rPr>
      </w:pPr>
      <w:r w:rsidRPr="00C83045">
        <w:rPr>
          <w:color w:val="000000"/>
          <w:szCs w:val="22"/>
        </w:rPr>
        <w:t>Pri závažnej neutropénii alebo trombocytopénii sa odporúča zníženie dávky alebo prerušenie liečby, ako sa uvádza v nasledujúcej tabuľke.</w:t>
      </w:r>
    </w:p>
    <w:p w14:paraId="323681E2" w14:textId="77777777" w:rsidR="0043631E" w:rsidRPr="00C83045" w:rsidRDefault="0043631E" w:rsidP="00D4304B">
      <w:pPr>
        <w:widowControl w:val="0"/>
        <w:ind w:left="0" w:firstLine="0"/>
        <w:rPr>
          <w:color w:val="000000"/>
          <w:szCs w:val="22"/>
        </w:rPr>
      </w:pPr>
    </w:p>
    <w:p w14:paraId="323681E3" w14:textId="77777777" w:rsidR="0043631E" w:rsidRPr="00C83045" w:rsidRDefault="0043631E" w:rsidP="00B62C3E">
      <w:pPr>
        <w:pStyle w:val="Heading4"/>
        <w:widowControl w:val="0"/>
        <w:autoSpaceDE/>
        <w:autoSpaceDN/>
        <w:rPr>
          <w:i w:val="0"/>
          <w:color w:val="000000"/>
        </w:rPr>
      </w:pPr>
      <w:r w:rsidRPr="00C83045">
        <w:rPr>
          <w:i w:val="0"/>
          <w:color w:val="000000"/>
        </w:rPr>
        <w:t>Úprava dávky pre neutropéniu a trombocytopéniu:</w:t>
      </w:r>
    </w:p>
    <w:p w14:paraId="323681E4" w14:textId="77777777" w:rsidR="00557730" w:rsidRPr="00C83045" w:rsidRDefault="00557730" w:rsidP="00B62C3E">
      <w:pPr>
        <w:keepNext/>
        <w:widowControl w:val="0"/>
        <w:rPr>
          <w:color w:val="000000"/>
          <w:szCs w:val="22"/>
        </w:rPr>
      </w:pPr>
    </w:p>
    <w:tbl>
      <w:tblPr>
        <w:tblW w:w="0" w:type="auto"/>
        <w:tblInd w:w="30" w:type="dxa"/>
        <w:tblCellMar>
          <w:left w:w="30" w:type="dxa"/>
          <w:right w:w="30" w:type="dxa"/>
        </w:tblCellMar>
        <w:tblLook w:val="0000" w:firstRow="0" w:lastRow="0" w:firstColumn="0" w:lastColumn="0" w:noHBand="0" w:noVBand="0"/>
      </w:tblPr>
      <w:tblGrid>
        <w:gridCol w:w="2352"/>
        <w:gridCol w:w="1759"/>
        <w:gridCol w:w="4914"/>
      </w:tblGrid>
      <w:tr w:rsidR="00557730" w:rsidRPr="00C83045" w14:paraId="323681EB" w14:textId="77777777" w:rsidTr="008202CD">
        <w:trPr>
          <w:cantSplit/>
          <w:trHeight w:val="1124"/>
        </w:trPr>
        <w:tc>
          <w:tcPr>
            <w:tcW w:w="0" w:type="auto"/>
            <w:tcBorders>
              <w:top w:val="single" w:sz="6" w:space="0" w:color="auto"/>
              <w:left w:val="single" w:sz="6" w:space="0" w:color="auto"/>
              <w:bottom w:val="single" w:sz="6" w:space="0" w:color="auto"/>
              <w:right w:val="single" w:sz="6" w:space="0" w:color="auto"/>
            </w:tcBorders>
          </w:tcPr>
          <w:p w14:paraId="323681E5" w14:textId="77777777" w:rsidR="00557730" w:rsidRPr="00C83045" w:rsidRDefault="00557730" w:rsidP="00B62C3E">
            <w:pPr>
              <w:keepNext/>
              <w:widowControl w:val="0"/>
              <w:ind w:left="0" w:firstLine="0"/>
              <w:rPr>
                <w:color w:val="000000"/>
                <w:szCs w:val="22"/>
              </w:rPr>
            </w:pPr>
            <w:r w:rsidRPr="00C83045">
              <w:rPr>
                <w:color w:val="000000"/>
                <w:szCs w:val="22"/>
              </w:rPr>
              <w:t>HES/</w:t>
            </w:r>
            <w:smartTag w:uri="urn:schemas-microsoft-com:office:smarttags" w:element="stockticker">
              <w:r w:rsidRPr="00C83045">
                <w:rPr>
                  <w:color w:val="000000"/>
                  <w:szCs w:val="22"/>
                </w:rPr>
                <w:t>CEL</w:t>
              </w:r>
            </w:smartTag>
            <w:r w:rsidRPr="00C83045">
              <w:rPr>
                <w:color w:val="000000"/>
                <w:szCs w:val="22"/>
              </w:rPr>
              <w:t xml:space="preserve"> (začiatočná dávka 100 mg)</w:t>
            </w:r>
          </w:p>
        </w:tc>
        <w:tc>
          <w:tcPr>
            <w:tcW w:w="0" w:type="auto"/>
            <w:tcBorders>
              <w:top w:val="single" w:sz="6" w:space="0" w:color="auto"/>
              <w:left w:val="single" w:sz="6" w:space="0" w:color="auto"/>
              <w:bottom w:val="single" w:sz="6" w:space="0" w:color="auto"/>
              <w:right w:val="single" w:sz="6" w:space="0" w:color="auto"/>
            </w:tcBorders>
          </w:tcPr>
          <w:p w14:paraId="323681E6" w14:textId="77777777" w:rsidR="00557730" w:rsidRPr="00C83045" w:rsidRDefault="00557730" w:rsidP="00B62C3E">
            <w:pPr>
              <w:keepNext/>
              <w:widowControl w:val="0"/>
              <w:ind w:left="69" w:firstLine="0"/>
              <w:rPr>
                <w:color w:val="000000"/>
                <w:szCs w:val="22"/>
              </w:rPr>
            </w:pPr>
            <w:r w:rsidRPr="00C83045">
              <w:rPr>
                <w:color w:val="000000"/>
                <w:szCs w:val="22"/>
              </w:rPr>
              <w:t>ANC &lt; 1,0 x 10</w:t>
            </w:r>
            <w:r w:rsidRPr="00C83045">
              <w:rPr>
                <w:color w:val="000000"/>
                <w:szCs w:val="22"/>
                <w:vertAlign w:val="superscript"/>
              </w:rPr>
              <w:t>9</w:t>
            </w:r>
            <w:r w:rsidRPr="00C83045">
              <w:rPr>
                <w:color w:val="000000"/>
                <w:szCs w:val="22"/>
              </w:rPr>
              <w:t>/l</w:t>
            </w:r>
          </w:p>
          <w:p w14:paraId="323681E7" w14:textId="77777777" w:rsidR="00557730" w:rsidRPr="00C83045" w:rsidRDefault="00557730" w:rsidP="00B62C3E">
            <w:pPr>
              <w:keepNext/>
              <w:widowControl w:val="0"/>
              <w:ind w:left="69" w:firstLine="0"/>
              <w:rPr>
                <w:color w:val="000000"/>
                <w:szCs w:val="22"/>
              </w:rPr>
            </w:pPr>
            <w:r w:rsidRPr="00C83045">
              <w:rPr>
                <w:color w:val="000000"/>
                <w:szCs w:val="22"/>
              </w:rPr>
              <w:t>a/alebo</w:t>
            </w:r>
          </w:p>
          <w:p w14:paraId="323681E8" w14:textId="77777777" w:rsidR="00557730" w:rsidRPr="00C83045" w:rsidRDefault="00557730" w:rsidP="00B62C3E">
            <w:pPr>
              <w:keepNext/>
              <w:widowControl w:val="0"/>
              <w:ind w:left="69" w:firstLine="0"/>
              <w:rPr>
                <w:color w:val="000000"/>
                <w:szCs w:val="22"/>
              </w:rPr>
            </w:pPr>
            <w:r w:rsidRPr="00C83045">
              <w:rPr>
                <w:color w:val="000000"/>
                <w:szCs w:val="22"/>
              </w:rPr>
              <w:t>počet trombocytov &lt; 50 x 10</w:t>
            </w:r>
            <w:r w:rsidRPr="00C83045">
              <w:rPr>
                <w:color w:val="000000"/>
                <w:szCs w:val="22"/>
                <w:vertAlign w:val="superscript"/>
              </w:rPr>
              <w:t>9</w:t>
            </w:r>
            <w:r w:rsidRPr="00C83045">
              <w:rPr>
                <w:color w:val="000000"/>
                <w:szCs w:val="22"/>
              </w:rPr>
              <w:t>/l</w:t>
            </w:r>
          </w:p>
        </w:tc>
        <w:tc>
          <w:tcPr>
            <w:tcW w:w="0" w:type="auto"/>
            <w:tcBorders>
              <w:top w:val="single" w:sz="6" w:space="0" w:color="auto"/>
              <w:left w:val="single" w:sz="6" w:space="0" w:color="auto"/>
              <w:bottom w:val="single" w:sz="6" w:space="0" w:color="auto"/>
              <w:right w:val="single" w:sz="6" w:space="0" w:color="auto"/>
            </w:tcBorders>
          </w:tcPr>
          <w:p w14:paraId="323681E9" w14:textId="77777777" w:rsidR="00557730" w:rsidRPr="00C83045" w:rsidRDefault="00557730" w:rsidP="00B62C3E">
            <w:pPr>
              <w:pStyle w:val="Table"/>
              <w:keepLines w:val="0"/>
              <w:widowControl w:val="0"/>
              <w:tabs>
                <w:tab w:val="clear" w:pos="284"/>
              </w:tabs>
              <w:spacing w:before="0" w:after="0"/>
              <w:ind w:left="502" w:hanging="469"/>
              <w:rPr>
                <w:rFonts w:ascii="Times New Roman" w:hAnsi="Times New Roman"/>
                <w:color w:val="000000"/>
                <w:sz w:val="22"/>
                <w:szCs w:val="22"/>
                <w:lang w:val="sk-SK" w:eastAsia="sk-SK"/>
              </w:rPr>
            </w:pPr>
            <w:r w:rsidRPr="00C83045">
              <w:rPr>
                <w:rFonts w:ascii="Times New Roman" w:hAnsi="Times New Roman"/>
                <w:color w:val="000000"/>
                <w:sz w:val="22"/>
                <w:szCs w:val="22"/>
                <w:lang w:val="sk-SK" w:eastAsia="sk-SK"/>
              </w:rPr>
              <w:t>1.</w:t>
            </w:r>
            <w:r w:rsidRPr="00C83045">
              <w:rPr>
                <w:rFonts w:ascii="Times New Roman" w:hAnsi="Times New Roman"/>
                <w:color w:val="000000"/>
                <w:sz w:val="22"/>
                <w:szCs w:val="22"/>
                <w:lang w:val="sk-SK" w:eastAsia="sk-SK"/>
              </w:rPr>
              <w:tab/>
              <w:t xml:space="preserve">Prerušiť podávanie Glivecu, kým ANC </w:t>
            </w:r>
            <w:r w:rsidRPr="00C83045">
              <w:rPr>
                <w:rFonts w:ascii="Times New Roman" w:hAnsi="Times New Roman"/>
                <w:color w:val="000000"/>
                <w:sz w:val="22"/>
                <w:szCs w:val="22"/>
                <w:lang w:val="sk-SK" w:eastAsia="sk-SK"/>
              </w:rPr>
              <w:sym w:font="Symbol" w:char="F0B3"/>
            </w:r>
            <w:r w:rsidRPr="00C83045">
              <w:rPr>
                <w:rFonts w:ascii="Times New Roman" w:hAnsi="Times New Roman"/>
                <w:color w:val="000000"/>
                <w:sz w:val="22"/>
                <w:szCs w:val="22"/>
                <w:lang w:val="sk-SK" w:eastAsia="sk-SK"/>
              </w:rPr>
              <w:t> 1,5 x 10</w:t>
            </w:r>
            <w:r w:rsidRPr="00C83045">
              <w:rPr>
                <w:rFonts w:ascii="Times New Roman" w:hAnsi="Times New Roman"/>
                <w:color w:val="000000"/>
                <w:sz w:val="22"/>
                <w:szCs w:val="22"/>
                <w:vertAlign w:val="superscript"/>
                <w:lang w:val="sk-SK" w:eastAsia="sk-SK"/>
              </w:rPr>
              <w:t>9</w:t>
            </w:r>
            <w:r w:rsidRPr="00C83045">
              <w:rPr>
                <w:rFonts w:ascii="Times New Roman" w:hAnsi="Times New Roman"/>
                <w:color w:val="000000"/>
                <w:sz w:val="22"/>
                <w:szCs w:val="22"/>
                <w:lang w:val="sk-SK" w:eastAsia="sk-SK"/>
              </w:rPr>
              <w:t xml:space="preserve">/l a počet trombocytov </w:t>
            </w:r>
            <w:r w:rsidRPr="00C83045">
              <w:rPr>
                <w:rFonts w:ascii="Times New Roman" w:hAnsi="Times New Roman"/>
                <w:color w:val="000000"/>
                <w:sz w:val="22"/>
                <w:szCs w:val="22"/>
                <w:lang w:val="sk-SK" w:eastAsia="sk-SK"/>
              </w:rPr>
              <w:sym w:font="Symbol" w:char="F0B3"/>
            </w:r>
            <w:r w:rsidRPr="00C83045">
              <w:rPr>
                <w:rFonts w:ascii="Times New Roman" w:hAnsi="Times New Roman"/>
                <w:color w:val="000000"/>
                <w:sz w:val="22"/>
                <w:szCs w:val="22"/>
                <w:lang w:val="sk-SK" w:eastAsia="sk-SK"/>
              </w:rPr>
              <w:t> 75 x 10</w:t>
            </w:r>
            <w:r w:rsidRPr="00C83045">
              <w:rPr>
                <w:rFonts w:ascii="Times New Roman" w:hAnsi="Times New Roman"/>
                <w:color w:val="000000"/>
                <w:sz w:val="22"/>
                <w:szCs w:val="22"/>
                <w:vertAlign w:val="superscript"/>
                <w:lang w:val="sk-SK" w:eastAsia="sk-SK"/>
              </w:rPr>
              <w:t>9</w:t>
            </w:r>
            <w:r w:rsidRPr="00C83045">
              <w:rPr>
                <w:rFonts w:ascii="Times New Roman" w:hAnsi="Times New Roman"/>
                <w:color w:val="000000"/>
                <w:sz w:val="22"/>
                <w:szCs w:val="22"/>
                <w:lang w:val="sk-SK" w:eastAsia="sk-SK"/>
              </w:rPr>
              <w:t>/l.</w:t>
            </w:r>
          </w:p>
          <w:p w14:paraId="323681EA" w14:textId="77777777" w:rsidR="00557730" w:rsidRPr="00C83045" w:rsidRDefault="00557730" w:rsidP="00B62C3E">
            <w:pPr>
              <w:keepNext/>
              <w:widowControl w:val="0"/>
              <w:ind w:left="502" w:hanging="469"/>
              <w:rPr>
                <w:color w:val="000000"/>
                <w:szCs w:val="22"/>
              </w:rPr>
            </w:pPr>
            <w:r w:rsidRPr="00C83045">
              <w:rPr>
                <w:color w:val="000000"/>
                <w:szCs w:val="22"/>
              </w:rPr>
              <w:t>2.</w:t>
            </w:r>
            <w:r w:rsidRPr="00C83045">
              <w:rPr>
                <w:color w:val="000000"/>
                <w:szCs w:val="22"/>
              </w:rPr>
              <w:tab/>
              <w:t>Pokračovať v liečbe Glivecom predošlou dávkou (t.j. pred závažnou nežiaducou reakciou).</w:t>
            </w:r>
          </w:p>
        </w:tc>
      </w:tr>
      <w:tr w:rsidR="00557730" w:rsidRPr="00C83045" w14:paraId="323681F4" w14:textId="77777777" w:rsidTr="008202CD">
        <w:trPr>
          <w:cantSplit/>
          <w:trHeight w:val="1409"/>
        </w:trPr>
        <w:tc>
          <w:tcPr>
            <w:tcW w:w="0" w:type="auto"/>
            <w:tcBorders>
              <w:top w:val="single" w:sz="6" w:space="0" w:color="auto"/>
              <w:left w:val="single" w:sz="6" w:space="0" w:color="auto"/>
              <w:bottom w:val="single" w:sz="6" w:space="0" w:color="auto"/>
              <w:right w:val="single" w:sz="6" w:space="0" w:color="auto"/>
            </w:tcBorders>
          </w:tcPr>
          <w:p w14:paraId="323681EC" w14:textId="77777777" w:rsidR="00557730" w:rsidRPr="00C83045" w:rsidRDefault="00557730" w:rsidP="00D4304B">
            <w:pPr>
              <w:widowControl w:val="0"/>
              <w:ind w:left="0" w:firstLine="0"/>
              <w:rPr>
                <w:color w:val="000000"/>
                <w:szCs w:val="22"/>
              </w:rPr>
            </w:pPr>
            <w:r w:rsidRPr="00C83045">
              <w:rPr>
                <w:color w:val="000000"/>
                <w:szCs w:val="22"/>
              </w:rPr>
              <w:t xml:space="preserve">Chronická fáza CML, </w:t>
            </w:r>
            <w:smartTag w:uri="urn:schemas-microsoft-com:office:smarttags" w:element="stockticker">
              <w:r w:rsidRPr="00C83045">
                <w:rPr>
                  <w:color w:val="000000"/>
                  <w:szCs w:val="22"/>
                </w:rPr>
                <w:t>MDS</w:t>
              </w:r>
            </w:smartTag>
            <w:r w:rsidRPr="00C83045">
              <w:rPr>
                <w:color w:val="000000"/>
                <w:szCs w:val="22"/>
              </w:rPr>
              <w:t>/MPD a GIST (začiatočná dávka 400 mg)</w:t>
            </w:r>
          </w:p>
          <w:p w14:paraId="323681ED" w14:textId="77777777" w:rsidR="00557730" w:rsidRPr="00C83045" w:rsidRDefault="00557730" w:rsidP="00D4304B">
            <w:pPr>
              <w:widowControl w:val="0"/>
              <w:ind w:left="0" w:firstLine="0"/>
              <w:rPr>
                <w:color w:val="000000"/>
                <w:szCs w:val="22"/>
              </w:rPr>
            </w:pPr>
            <w:r w:rsidRPr="00C83045">
              <w:rPr>
                <w:color w:val="000000"/>
                <w:szCs w:val="22"/>
              </w:rPr>
              <w:t>HES/</w:t>
            </w:r>
            <w:smartTag w:uri="urn:schemas-microsoft-com:office:smarttags" w:element="stockticker">
              <w:r w:rsidRPr="00C83045">
                <w:rPr>
                  <w:color w:val="000000"/>
                  <w:szCs w:val="22"/>
                </w:rPr>
                <w:t>CEL</w:t>
              </w:r>
            </w:smartTag>
          </w:p>
          <w:p w14:paraId="323681EE" w14:textId="77777777" w:rsidR="00557730" w:rsidRPr="00C83045" w:rsidRDefault="00557730" w:rsidP="00D4304B">
            <w:pPr>
              <w:widowControl w:val="0"/>
              <w:ind w:left="0" w:firstLine="0"/>
              <w:rPr>
                <w:color w:val="000000"/>
                <w:szCs w:val="22"/>
              </w:rPr>
            </w:pPr>
            <w:r w:rsidRPr="00C83045">
              <w:rPr>
                <w:color w:val="000000"/>
                <w:szCs w:val="22"/>
              </w:rPr>
              <w:t>(pri dávke 400 mg)</w:t>
            </w:r>
          </w:p>
        </w:tc>
        <w:tc>
          <w:tcPr>
            <w:tcW w:w="0" w:type="auto"/>
            <w:tcBorders>
              <w:top w:val="single" w:sz="6" w:space="0" w:color="auto"/>
              <w:left w:val="single" w:sz="6" w:space="0" w:color="auto"/>
              <w:bottom w:val="single" w:sz="6" w:space="0" w:color="auto"/>
              <w:right w:val="single" w:sz="6" w:space="0" w:color="auto"/>
            </w:tcBorders>
          </w:tcPr>
          <w:p w14:paraId="323681EF" w14:textId="77777777" w:rsidR="00557730" w:rsidRPr="00C83045" w:rsidRDefault="00557730" w:rsidP="00D4304B">
            <w:pPr>
              <w:widowControl w:val="0"/>
              <w:ind w:left="69" w:firstLine="0"/>
              <w:rPr>
                <w:color w:val="000000"/>
                <w:szCs w:val="22"/>
              </w:rPr>
            </w:pPr>
            <w:r w:rsidRPr="00C83045">
              <w:rPr>
                <w:color w:val="000000"/>
                <w:szCs w:val="22"/>
              </w:rPr>
              <w:t>ANC &lt; 1,0 x 10</w:t>
            </w:r>
            <w:r w:rsidRPr="00C83045">
              <w:rPr>
                <w:color w:val="000000"/>
                <w:szCs w:val="22"/>
                <w:vertAlign w:val="superscript"/>
              </w:rPr>
              <w:t>9</w:t>
            </w:r>
            <w:r w:rsidRPr="00C83045">
              <w:rPr>
                <w:color w:val="000000"/>
                <w:szCs w:val="22"/>
              </w:rPr>
              <w:t>/l</w:t>
            </w:r>
          </w:p>
          <w:p w14:paraId="323681F0" w14:textId="77777777" w:rsidR="00557730" w:rsidRPr="00C83045" w:rsidRDefault="00557730" w:rsidP="00D4304B">
            <w:pPr>
              <w:widowControl w:val="0"/>
              <w:ind w:left="69" w:firstLine="0"/>
              <w:rPr>
                <w:color w:val="000000"/>
                <w:szCs w:val="22"/>
              </w:rPr>
            </w:pPr>
            <w:r w:rsidRPr="00C83045">
              <w:rPr>
                <w:color w:val="000000"/>
                <w:szCs w:val="22"/>
              </w:rPr>
              <w:t>a/alebo počet trombocytov &lt; 50 x 10</w:t>
            </w:r>
            <w:r w:rsidRPr="00C83045">
              <w:rPr>
                <w:color w:val="000000"/>
                <w:szCs w:val="22"/>
                <w:vertAlign w:val="superscript"/>
              </w:rPr>
              <w:t>9</w:t>
            </w:r>
            <w:r w:rsidRPr="00C83045">
              <w:rPr>
                <w:color w:val="000000"/>
                <w:szCs w:val="22"/>
              </w:rPr>
              <w:t>/l</w:t>
            </w:r>
          </w:p>
        </w:tc>
        <w:tc>
          <w:tcPr>
            <w:tcW w:w="0" w:type="auto"/>
            <w:tcBorders>
              <w:top w:val="single" w:sz="6" w:space="0" w:color="auto"/>
              <w:left w:val="single" w:sz="6" w:space="0" w:color="auto"/>
              <w:bottom w:val="single" w:sz="6" w:space="0" w:color="auto"/>
              <w:right w:val="single" w:sz="6" w:space="0" w:color="auto"/>
            </w:tcBorders>
          </w:tcPr>
          <w:p w14:paraId="323681F1" w14:textId="77777777" w:rsidR="00557730" w:rsidRPr="00C83045" w:rsidRDefault="00557730" w:rsidP="00D4304B">
            <w:pPr>
              <w:widowControl w:val="0"/>
              <w:ind w:left="502" w:hanging="469"/>
              <w:rPr>
                <w:color w:val="000000"/>
                <w:szCs w:val="22"/>
              </w:rPr>
            </w:pPr>
            <w:r w:rsidRPr="00C83045">
              <w:rPr>
                <w:color w:val="000000"/>
                <w:szCs w:val="22"/>
              </w:rPr>
              <w:t>1.</w:t>
            </w:r>
            <w:r w:rsidRPr="00C83045">
              <w:rPr>
                <w:color w:val="000000"/>
                <w:szCs w:val="22"/>
              </w:rPr>
              <w:tab/>
              <w:t xml:space="preserve">Prerušiť podávanie Glivecu, kým ANC </w:t>
            </w:r>
            <w:r w:rsidRPr="00C83045">
              <w:rPr>
                <w:color w:val="000000"/>
                <w:szCs w:val="22"/>
              </w:rPr>
              <w:sym w:font="Symbol" w:char="F0B3"/>
            </w:r>
            <w:r w:rsidRPr="00C83045">
              <w:rPr>
                <w:color w:val="000000"/>
                <w:szCs w:val="22"/>
              </w:rPr>
              <w:t> 1,5 x 10</w:t>
            </w:r>
            <w:r w:rsidRPr="00C83045">
              <w:rPr>
                <w:color w:val="000000"/>
                <w:szCs w:val="22"/>
                <w:vertAlign w:val="superscript"/>
              </w:rPr>
              <w:t>9</w:t>
            </w:r>
            <w:r w:rsidRPr="00C83045">
              <w:rPr>
                <w:color w:val="000000"/>
                <w:szCs w:val="22"/>
              </w:rPr>
              <w:t xml:space="preserve">/l a počet trombocytov </w:t>
            </w:r>
            <w:r w:rsidRPr="00C83045">
              <w:rPr>
                <w:color w:val="000000"/>
                <w:szCs w:val="22"/>
              </w:rPr>
              <w:sym w:font="Symbol" w:char="F0B3"/>
            </w:r>
            <w:r w:rsidRPr="00C83045">
              <w:rPr>
                <w:color w:val="000000"/>
                <w:szCs w:val="22"/>
              </w:rPr>
              <w:t> 75 x 10</w:t>
            </w:r>
            <w:r w:rsidRPr="00C83045">
              <w:rPr>
                <w:color w:val="000000"/>
                <w:szCs w:val="22"/>
                <w:vertAlign w:val="superscript"/>
              </w:rPr>
              <w:t>9</w:t>
            </w:r>
            <w:r w:rsidRPr="00C83045">
              <w:rPr>
                <w:color w:val="000000"/>
                <w:szCs w:val="22"/>
              </w:rPr>
              <w:t>/l.</w:t>
            </w:r>
          </w:p>
          <w:p w14:paraId="323681F2" w14:textId="77777777" w:rsidR="00557730" w:rsidRPr="00C83045" w:rsidRDefault="00557730" w:rsidP="00D4304B">
            <w:pPr>
              <w:widowControl w:val="0"/>
              <w:ind w:left="502" w:hanging="469"/>
              <w:rPr>
                <w:color w:val="000000"/>
                <w:szCs w:val="22"/>
              </w:rPr>
            </w:pPr>
            <w:r w:rsidRPr="00C83045">
              <w:rPr>
                <w:color w:val="000000"/>
                <w:szCs w:val="22"/>
              </w:rPr>
              <w:t>2.</w:t>
            </w:r>
            <w:r w:rsidRPr="00C83045">
              <w:rPr>
                <w:color w:val="000000"/>
                <w:szCs w:val="22"/>
              </w:rPr>
              <w:tab/>
              <w:t>Pokračovať v liečbe Glivecom predošlou dávkou (t.j. pred závažnou nežiaducou reakciou).</w:t>
            </w:r>
          </w:p>
          <w:p w14:paraId="323681F3" w14:textId="77777777" w:rsidR="00557730" w:rsidRPr="00C83045" w:rsidRDefault="00557730" w:rsidP="00D4304B">
            <w:pPr>
              <w:widowControl w:val="0"/>
              <w:ind w:left="502" w:hanging="469"/>
              <w:rPr>
                <w:color w:val="000000"/>
                <w:szCs w:val="22"/>
              </w:rPr>
            </w:pPr>
            <w:r w:rsidRPr="00C83045">
              <w:rPr>
                <w:color w:val="000000"/>
                <w:szCs w:val="22"/>
              </w:rPr>
              <w:t>3.</w:t>
            </w:r>
            <w:r w:rsidRPr="00C83045">
              <w:rPr>
                <w:color w:val="000000"/>
                <w:szCs w:val="22"/>
              </w:rPr>
              <w:tab/>
              <w:t>Pri opakovanom poklese ANC &lt; 1,0 x 10</w:t>
            </w:r>
            <w:r w:rsidRPr="00C83045">
              <w:rPr>
                <w:color w:val="000000"/>
                <w:szCs w:val="22"/>
                <w:vertAlign w:val="superscript"/>
              </w:rPr>
              <w:t>9</w:t>
            </w:r>
            <w:r w:rsidRPr="00C83045">
              <w:rPr>
                <w:color w:val="000000"/>
                <w:szCs w:val="22"/>
              </w:rPr>
              <w:t>/l a/alebo počtu trombocytov &lt; 50 x 10</w:t>
            </w:r>
            <w:r w:rsidRPr="00C83045">
              <w:rPr>
                <w:color w:val="000000"/>
                <w:szCs w:val="22"/>
                <w:vertAlign w:val="superscript"/>
              </w:rPr>
              <w:t>9</w:t>
            </w:r>
            <w:r w:rsidRPr="00C83045">
              <w:rPr>
                <w:color w:val="000000"/>
                <w:szCs w:val="22"/>
              </w:rPr>
              <w:t>/l zopakovať krok 1 a pokračovať v liečbe Glivecom zníženou dávkou 300 mg.</w:t>
            </w:r>
          </w:p>
        </w:tc>
      </w:tr>
      <w:tr w:rsidR="00557730" w:rsidRPr="00C83045" w14:paraId="323681FD" w14:textId="77777777" w:rsidTr="008202C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cantSplit/>
        </w:trPr>
        <w:tc>
          <w:tcPr>
            <w:tcW w:w="0" w:type="auto"/>
          </w:tcPr>
          <w:p w14:paraId="323681F5" w14:textId="77777777" w:rsidR="00557730" w:rsidRPr="00C83045" w:rsidRDefault="00557730" w:rsidP="00D4304B">
            <w:pPr>
              <w:pStyle w:val="EndnoteText"/>
              <w:widowControl w:val="0"/>
              <w:tabs>
                <w:tab w:val="clear" w:pos="567"/>
              </w:tabs>
              <w:rPr>
                <w:color w:val="000000"/>
                <w:szCs w:val="22"/>
                <w:lang w:val="sk-SK"/>
              </w:rPr>
            </w:pPr>
            <w:r w:rsidRPr="00C83045">
              <w:rPr>
                <w:color w:val="000000"/>
                <w:szCs w:val="22"/>
                <w:lang w:val="sk-SK"/>
              </w:rPr>
              <w:lastRenderedPageBreak/>
              <w:t>Chronická fáza CML u detí</w:t>
            </w:r>
          </w:p>
          <w:p w14:paraId="323681F6" w14:textId="77777777" w:rsidR="00557730" w:rsidRPr="00C83045" w:rsidRDefault="00557730" w:rsidP="00D4304B">
            <w:pPr>
              <w:pStyle w:val="EndnoteText"/>
              <w:widowControl w:val="0"/>
              <w:tabs>
                <w:tab w:val="clear" w:pos="567"/>
              </w:tabs>
              <w:rPr>
                <w:color w:val="000000"/>
                <w:szCs w:val="22"/>
                <w:lang w:val="sk-SK"/>
              </w:rPr>
            </w:pPr>
            <w:r w:rsidRPr="00C83045">
              <w:rPr>
                <w:color w:val="000000"/>
                <w:szCs w:val="22"/>
                <w:lang w:val="sk-SK"/>
              </w:rPr>
              <w:t>(pri dávke 340 mg/m</w:t>
            </w:r>
            <w:r w:rsidRPr="00C83045">
              <w:rPr>
                <w:color w:val="000000"/>
                <w:szCs w:val="22"/>
                <w:vertAlign w:val="superscript"/>
                <w:lang w:val="sk-SK"/>
              </w:rPr>
              <w:t>2</w:t>
            </w:r>
            <w:r w:rsidRPr="00C83045">
              <w:rPr>
                <w:color w:val="000000"/>
                <w:szCs w:val="22"/>
                <w:lang w:val="sk-SK"/>
              </w:rPr>
              <w:t>)</w:t>
            </w:r>
          </w:p>
        </w:tc>
        <w:tc>
          <w:tcPr>
            <w:tcW w:w="0" w:type="auto"/>
          </w:tcPr>
          <w:p w14:paraId="323681F7" w14:textId="77777777" w:rsidR="00557730" w:rsidRPr="00C83045" w:rsidRDefault="00557730" w:rsidP="00D4304B">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ANC &lt; 1,0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w:t>
            </w:r>
          </w:p>
          <w:p w14:paraId="323681F8" w14:textId="77777777" w:rsidR="00557730" w:rsidRPr="00C83045" w:rsidRDefault="00557730" w:rsidP="00D4304B">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a/alebo počet trombocytov &lt; 50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w:t>
            </w:r>
          </w:p>
          <w:p w14:paraId="323681F9" w14:textId="77777777" w:rsidR="00557730" w:rsidRPr="00C83045" w:rsidRDefault="00557730" w:rsidP="00D4304B">
            <w:pPr>
              <w:pStyle w:val="Table"/>
              <w:keepNext w:val="0"/>
              <w:keepLines w:val="0"/>
              <w:widowControl w:val="0"/>
              <w:spacing w:before="0" w:after="0"/>
              <w:rPr>
                <w:rFonts w:ascii="Times New Roman" w:hAnsi="Times New Roman"/>
                <w:color w:val="000000"/>
                <w:sz w:val="22"/>
                <w:szCs w:val="22"/>
                <w:lang w:val="sk-SK"/>
              </w:rPr>
            </w:pPr>
          </w:p>
        </w:tc>
        <w:tc>
          <w:tcPr>
            <w:tcW w:w="0" w:type="auto"/>
          </w:tcPr>
          <w:p w14:paraId="323681FA" w14:textId="77777777" w:rsidR="00557730" w:rsidRPr="00C83045" w:rsidRDefault="00557730" w:rsidP="00D4304B">
            <w:pPr>
              <w:pStyle w:val="Table"/>
              <w:keepNext w:val="0"/>
              <w:widowControl w:val="0"/>
              <w:tabs>
                <w:tab w:val="clear" w:pos="284"/>
              </w:tabs>
              <w:spacing w:before="0" w:after="0"/>
              <w:ind w:left="416" w:hanging="452"/>
              <w:rPr>
                <w:rFonts w:ascii="Times New Roman" w:hAnsi="Times New Roman"/>
                <w:color w:val="000000"/>
                <w:sz w:val="22"/>
                <w:szCs w:val="22"/>
                <w:lang w:val="sk-SK"/>
              </w:rPr>
            </w:pPr>
            <w:r w:rsidRPr="00C83045">
              <w:rPr>
                <w:rFonts w:ascii="Times New Roman" w:hAnsi="Times New Roman"/>
                <w:color w:val="000000"/>
                <w:sz w:val="22"/>
                <w:szCs w:val="22"/>
                <w:lang w:val="sk-SK"/>
              </w:rPr>
              <w:t>1.</w:t>
            </w:r>
            <w:r w:rsidRPr="00C83045">
              <w:rPr>
                <w:rFonts w:ascii="Times New Roman" w:hAnsi="Times New Roman"/>
                <w:color w:val="000000"/>
                <w:sz w:val="22"/>
                <w:szCs w:val="22"/>
                <w:lang w:val="sk-SK"/>
              </w:rPr>
              <w:tab/>
              <w:t xml:space="preserve">Prerušiť podávanie Glivecu, kým ANC </w:t>
            </w:r>
            <w:r w:rsidRPr="00C83045">
              <w:rPr>
                <w:rFonts w:ascii="Times New Roman" w:hAnsi="Times New Roman"/>
                <w:color w:val="000000"/>
                <w:sz w:val="22"/>
                <w:szCs w:val="22"/>
                <w:lang w:val="sk-SK"/>
              </w:rPr>
              <w:sym w:font="Symbol" w:char="F0B3"/>
            </w:r>
            <w:r w:rsidRPr="00C83045">
              <w:rPr>
                <w:rFonts w:ascii="Times New Roman" w:hAnsi="Times New Roman"/>
                <w:color w:val="000000"/>
                <w:sz w:val="22"/>
                <w:szCs w:val="22"/>
                <w:lang w:val="sk-SK"/>
              </w:rPr>
              <w:t> 1,5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 xml:space="preserve">/l a počet trombocytov </w:t>
            </w:r>
            <w:r w:rsidRPr="00C83045">
              <w:rPr>
                <w:rFonts w:ascii="Times New Roman" w:hAnsi="Times New Roman"/>
                <w:color w:val="000000"/>
                <w:sz w:val="22"/>
                <w:szCs w:val="22"/>
                <w:lang w:val="sk-SK"/>
              </w:rPr>
              <w:sym w:font="Symbol" w:char="F0B3"/>
            </w:r>
            <w:r w:rsidRPr="00C83045">
              <w:rPr>
                <w:rFonts w:ascii="Times New Roman" w:hAnsi="Times New Roman"/>
                <w:color w:val="000000"/>
                <w:sz w:val="22"/>
                <w:szCs w:val="22"/>
                <w:lang w:val="sk-SK"/>
              </w:rPr>
              <w:t> 75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w:t>
            </w:r>
          </w:p>
          <w:p w14:paraId="323681FB" w14:textId="77777777" w:rsidR="00557730" w:rsidRPr="00C83045" w:rsidRDefault="00557730" w:rsidP="00D4304B">
            <w:pPr>
              <w:widowControl w:val="0"/>
              <w:ind w:left="416" w:hanging="452"/>
              <w:rPr>
                <w:color w:val="000000"/>
                <w:szCs w:val="22"/>
              </w:rPr>
            </w:pPr>
            <w:r w:rsidRPr="00C83045">
              <w:rPr>
                <w:color w:val="000000"/>
                <w:szCs w:val="22"/>
              </w:rPr>
              <w:t>2.</w:t>
            </w:r>
            <w:r w:rsidRPr="00C83045">
              <w:rPr>
                <w:color w:val="000000"/>
                <w:szCs w:val="22"/>
              </w:rPr>
              <w:tab/>
              <w:t>Pokračovať v liečbe Glivecom predošlou dávkou (t.j. pred závažnou nežiaducou reakciou).</w:t>
            </w:r>
          </w:p>
          <w:p w14:paraId="323681FC" w14:textId="77777777" w:rsidR="00557730" w:rsidRPr="00C83045" w:rsidRDefault="00557730" w:rsidP="00D4304B">
            <w:pPr>
              <w:pStyle w:val="Table"/>
              <w:keepNext w:val="0"/>
              <w:widowControl w:val="0"/>
              <w:tabs>
                <w:tab w:val="clear" w:pos="284"/>
              </w:tabs>
              <w:spacing w:before="0" w:after="0"/>
              <w:ind w:left="416" w:hanging="452"/>
              <w:rPr>
                <w:rFonts w:ascii="Times New Roman" w:hAnsi="Times New Roman"/>
                <w:color w:val="000000"/>
                <w:sz w:val="22"/>
                <w:szCs w:val="22"/>
                <w:lang w:val="sk-SK"/>
              </w:rPr>
            </w:pPr>
            <w:r w:rsidRPr="00C83045">
              <w:rPr>
                <w:rFonts w:ascii="Times New Roman" w:hAnsi="Times New Roman"/>
                <w:color w:val="000000"/>
                <w:sz w:val="22"/>
                <w:szCs w:val="22"/>
                <w:lang w:val="sk-SK"/>
              </w:rPr>
              <w:t>3.</w:t>
            </w:r>
            <w:r w:rsidRPr="00C83045">
              <w:rPr>
                <w:rFonts w:ascii="Times New Roman" w:hAnsi="Times New Roman"/>
                <w:color w:val="000000"/>
                <w:sz w:val="22"/>
                <w:szCs w:val="22"/>
                <w:lang w:val="sk-SK"/>
              </w:rPr>
              <w:tab/>
              <w:t>Pri opakovanom poklese ANC &lt; 1,0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 a/alebo počtu trombocytov &lt; 50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 zopakovať krok 1 a pokračovať v liečbe Glivecom zníženou dávkou 260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w:t>
            </w:r>
          </w:p>
        </w:tc>
      </w:tr>
      <w:tr w:rsidR="00557730" w:rsidRPr="00C83045" w14:paraId="32368205" w14:textId="77777777" w:rsidTr="008202CD">
        <w:trPr>
          <w:cantSplit/>
          <w:trHeight w:val="2496"/>
        </w:trPr>
        <w:tc>
          <w:tcPr>
            <w:tcW w:w="0" w:type="auto"/>
            <w:tcBorders>
              <w:top w:val="single" w:sz="6" w:space="0" w:color="auto"/>
              <w:left w:val="single" w:sz="6" w:space="0" w:color="auto"/>
              <w:right w:val="single" w:sz="6" w:space="0" w:color="auto"/>
            </w:tcBorders>
          </w:tcPr>
          <w:p w14:paraId="323681FE" w14:textId="77777777" w:rsidR="00557730" w:rsidRPr="00C83045" w:rsidRDefault="00557730" w:rsidP="00D4304B">
            <w:pPr>
              <w:widowControl w:val="0"/>
              <w:ind w:left="0" w:firstLine="0"/>
              <w:rPr>
                <w:color w:val="000000"/>
                <w:szCs w:val="22"/>
              </w:rPr>
            </w:pPr>
            <w:r w:rsidRPr="00C83045">
              <w:rPr>
                <w:color w:val="000000"/>
                <w:szCs w:val="22"/>
              </w:rPr>
              <w:t>Akcelerovaná fáza CML a blastická kríza a Ph+ </w:t>
            </w:r>
            <w:smartTag w:uri="urn:schemas-microsoft-com:office:smarttags" w:element="stockticker">
              <w:r w:rsidRPr="00C83045">
                <w:rPr>
                  <w:color w:val="000000"/>
                  <w:szCs w:val="22"/>
                </w:rPr>
                <w:t>ALL</w:t>
              </w:r>
            </w:smartTag>
            <w:r w:rsidRPr="00C83045">
              <w:rPr>
                <w:color w:val="000000"/>
                <w:szCs w:val="22"/>
              </w:rPr>
              <w:t xml:space="preserve"> (začiatočná dávka 600 mg)</w:t>
            </w:r>
          </w:p>
        </w:tc>
        <w:tc>
          <w:tcPr>
            <w:tcW w:w="0" w:type="auto"/>
            <w:tcBorders>
              <w:top w:val="single" w:sz="6" w:space="0" w:color="auto"/>
              <w:left w:val="single" w:sz="6" w:space="0" w:color="auto"/>
              <w:right w:val="single" w:sz="6" w:space="0" w:color="auto"/>
            </w:tcBorders>
          </w:tcPr>
          <w:p w14:paraId="323681FF" w14:textId="77777777" w:rsidR="00557730" w:rsidRPr="00C83045" w:rsidRDefault="00557730" w:rsidP="00D4304B">
            <w:pPr>
              <w:widowControl w:val="0"/>
              <w:ind w:left="69" w:firstLine="0"/>
              <w:rPr>
                <w:color w:val="000000"/>
                <w:szCs w:val="22"/>
              </w:rPr>
            </w:pPr>
            <w:r w:rsidRPr="00C83045">
              <w:rPr>
                <w:color w:val="000000"/>
                <w:szCs w:val="22"/>
                <w:vertAlign w:val="superscript"/>
              </w:rPr>
              <w:t>a</w:t>
            </w:r>
            <w:r w:rsidRPr="00C83045">
              <w:rPr>
                <w:color w:val="000000"/>
                <w:szCs w:val="22"/>
              </w:rPr>
              <w:t>ANC &lt; 0,5 x 10</w:t>
            </w:r>
            <w:r w:rsidRPr="00C83045">
              <w:rPr>
                <w:color w:val="000000"/>
                <w:szCs w:val="22"/>
                <w:vertAlign w:val="superscript"/>
              </w:rPr>
              <w:t>9</w:t>
            </w:r>
            <w:r w:rsidRPr="00C83045">
              <w:rPr>
                <w:color w:val="000000"/>
                <w:szCs w:val="22"/>
              </w:rPr>
              <w:t>/l</w:t>
            </w:r>
          </w:p>
          <w:p w14:paraId="32368200" w14:textId="77777777" w:rsidR="00557730" w:rsidRPr="00C83045" w:rsidRDefault="00557730" w:rsidP="00D4304B">
            <w:pPr>
              <w:widowControl w:val="0"/>
              <w:ind w:left="69" w:firstLine="0"/>
              <w:rPr>
                <w:color w:val="000000"/>
                <w:szCs w:val="22"/>
              </w:rPr>
            </w:pPr>
            <w:r w:rsidRPr="00C83045">
              <w:rPr>
                <w:color w:val="000000"/>
                <w:szCs w:val="22"/>
              </w:rPr>
              <w:t>a/alebo počet trombocytov &lt; 10 x 10</w:t>
            </w:r>
            <w:r w:rsidRPr="00C83045">
              <w:rPr>
                <w:color w:val="000000"/>
                <w:szCs w:val="22"/>
                <w:vertAlign w:val="superscript"/>
              </w:rPr>
              <w:t>9</w:t>
            </w:r>
            <w:r w:rsidRPr="00C83045">
              <w:rPr>
                <w:color w:val="000000"/>
                <w:szCs w:val="22"/>
              </w:rPr>
              <w:t>/l</w:t>
            </w:r>
          </w:p>
        </w:tc>
        <w:tc>
          <w:tcPr>
            <w:tcW w:w="0" w:type="auto"/>
            <w:tcBorders>
              <w:top w:val="single" w:sz="6" w:space="0" w:color="auto"/>
              <w:left w:val="single" w:sz="6" w:space="0" w:color="auto"/>
              <w:right w:val="single" w:sz="6" w:space="0" w:color="auto"/>
            </w:tcBorders>
          </w:tcPr>
          <w:p w14:paraId="32368201" w14:textId="77777777" w:rsidR="00557730" w:rsidRPr="00C83045" w:rsidRDefault="00557730" w:rsidP="00D4304B">
            <w:pPr>
              <w:widowControl w:val="0"/>
              <w:ind w:left="526" w:hanging="478"/>
              <w:rPr>
                <w:color w:val="000000"/>
                <w:szCs w:val="22"/>
              </w:rPr>
            </w:pPr>
            <w:r w:rsidRPr="00C83045">
              <w:rPr>
                <w:color w:val="000000"/>
                <w:szCs w:val="22"/>
              </w:rPr>
              <w:t>1.</w:t>
            </w:r>
            <w:r w:rsidRPr="00C83045">
              <w:rPr>
                <w:color w:val="000000"/>
                <w:szCs w:val="22"/>
              </w:rPr>
              <w:tab/>
              <w:t>Overiť, či cytopénia súvisí s leukémiou (punkcia alebo biopsia kostnej drene).</w:t>
            </w:r>
          </w:p>
          <w:p w14:paraId="32368202" w14:textId="77777777" w:rsidR="00557730" w:rsidRPr="00C83045" w:rsidRDefault="00557730" w:rsidP="00D4304B">
            <w:pPr>
              <w:widowControl w:val="0"/>
              <w:ind w:left="526" w:hanging="478"/>
              <w:rPr>
                <w:color w:val="000000"/>
                <w:szCs w:val="22"/>
              </w:rPr>
            </w:pPr>
            <w:r w:rsidRPr="00C83045">
              <w:rPr>
                <w:color w:val="000000"/>
                <w:szCs w:val="22"/>
              </w:rPr>
              <w:t>2.</w:t>
            </w:r>
            <w:r w:rsidRPr="00C83045">
              <w:rPr>
                <w:color w:val="000000"/>
                <w:szCs w:val="22"/>
              </w:rPr>
              <w:tab/>
              <w:t>Ak cytopénia nesúvisí s leukémiou, znížiť dávku Glivecu na 400 mg.</w:t>
            </w:r>
          </w:p>
          <w:p w14:paraId="32368203" w14:textId="77777777" w:rsidR="00557730" w:rsidRPr="00C83045" w:rsidRDefault="00557730" w:rsidP="00D4304B">
            <w:pPr>
              <w:widowControl w:val="0"/>
              <w:ind w:left="526" w:hanging="478"/>
              <w:rPr>
                <w:color w:val="000000"/>
                <w:szCs w:val="22"/>
              </w:rPr>
            </w:pPr>
            <w:r w:rsidRPr="00C83045">
              <w:rPr>
                <w:color w:val="000000"/>
                <w:szCs w:val="22"/>
              </w:rPr>
              <w:t>3.</w:t>
            </w:r>
            <w:r w:rsidRPr="00C83045">
              <w:rPr>
                <w:color w:val="000000"/>
                <w:szCs w:val="22"/>
              </w:rPr>
              <w:tab/>
              <w:t>Ak cytopénia pretrváva počas 2 týždňov, znížiť dávku ďalej na 300 mg.</w:t>
            </w:r>
          </w:p>
          <w:p w14:paraId="32368204" w14:textId="77777777" w:rsidR="00557730" w:rsidRPr="00C83045" w:rsidRDefault="00557730" w:rsidP="00D4304B">
            <w:pPr>
              <w:widowControl w:val="0"/>
              <w:ind w:left="526" w:hanging="478"/>
              <w:rPr>
                <w:color w:val="000000"/>
                <w:szCs w:val="22"/>
              </w:rPr>
            </w:pPr>
            <w:r w:rsidRPr="00C83045">
              <w:rPr>
                <w:color w:val="000000"/>
                <w:szCs w:val="22"/>
              </w:rPr>
              <w:t>4.</w:t>
            </w:r>
            <w:r w:rsidRPr="00C83045">
              <w:rPr>
                <w:color w:val="000000"/>
                <w:szCs w:val="22"/>
              </w:rPr>
              <w:tab/>
              <w:t xml:space="preserve">Ak cytopénia pretrváva počas 4 týždňov a ešte stále nesúvisí s leukémiou, vysadiť Glivec, kým ANC </w:t>
            </w:r>
            <w:r w:rsidRPr="00C83045">
              <w:rPr>
                <w:color w:val="000000"/>
                <w:szCs w:val="22"/>
              </w:rPr>
              <w:sym w:font="Symbol" w:char="F0B3"/>
            </w:r>
            <w:r w:rsidRPr="00C83045">
              <w:rPr>
                <w:color w:val="000000"/>
                <w:szCs w:val="22"/>
              </w:rPr>
              <w:t> 1 x 10</w:t>
            </w:r>
            <w:r w:rsidRPr="00C83045">
              <w:rPr>
                <w:color w:val="000000"/>
                <w:szCs w:val="22"/>
                <w:vertAlign w:val="superscript"/>
              </w:rPr>
              <w:t>9</w:t>
            </w:r>
            <w:r w:rsidRPr="00C83045">
              <w:rPr>
                <w:color w:val="000000"/>
                <w:szCs w:val="22"/>
              </w:rPr>
              <w:t xml:space="preserve">/l a počet trombo-cytov </w:t>
            </w:r>
            <w:r w:rsidRPr="00C83045">
              <w:rPr>
                <w:color w:val="000000"/>
                <w:szCs w:val="22"/>
              </w:rPr>
              <w:sym w:font="Symbol" w:char="F0B3"/>
            </w:r>
            <w:r w:rsidRPr="00C83045">
              <w:rPr>
                <w:color w:val="000000"/>
                <w:szCs w:val="22"/>
              </w:rPr>
              <w:t> 20 x 10</w:t>
            </w:r>
            <w:r w:rsidRPr="00C83045">
              <w:rPr>
                <w:color w:val="000000"/>
                <w:szCs w:val="22"/>
                <w:vertAlign w:val="superscript"/>
              </w:rPr>
              <w:t>9</w:t>
            </w:r>
            <w:r w:rsidRPr="00C83045">
              <w:rPr>
                <w:color w:val="000000"/>
                <w:szCs w:val="22"/>
              </w:rPr>
              <w:t>/l, potom pokračovať v liečbe Glivecom dávkou 300 mg.</w:t>
            </w:r>
          </w:p>
        </w:tc>
      </w:tr>
      <w:tr w:rsidR="00557730" w:rsidRPr="00C83045" w14:paraId="3236820D" w14:textId="77777777" w:rsidTr="008202CD">
        <w:trPr>
          <w:cantSplit/>
          <w:trHeight w:val="2496"/>
        </w:trPr>
        <w:tc>
          <w:tcPr>
            <w:tcW w:w="0" w:type="auto"/>
            <w:tcBorders>
              <w:top w:val="single" w:sz="6" w:space="0" w:color="auto"/>
              <w:left w:val="single" w:sz="6" w:space="0" w:color="auto"/>
              <w:right w:val="single" w:sz="6" w:space="0" w:color="auto"/>
            </w:tcBorders>
          </w:tcPr>
          <w:p w14:paraId="32368206" w14:textId="77777777" w:rsidR="00557730" w:rsidRPr="00C83045" w:rsidRDefault="00557730" w:rsidP="00D4304B">
            <w:pPr>
              <w:widowControl w:val="0"/>
              <w:ind w:left="0" w:firstLine="0"/>
              <w:rPr>
                <w:color w:val="000000"/>
                <w:szCs w:val="22"/>
              </w:rPr>
            </w:pPr>
            <w:r w:rsidRPr="00C83045">
              <w:rPr>
                <w:color w:val="000000"/>
                <w:szCs w:val="22"/>
              </w:rPr>
              <w:t>Akcelerovaná fáza CML a blastická kríza u detí (začiatočná dávka 340 mg/m</w:t>
            </w:r>
            <w:r w:rsidRPr="00C83045">
              <w:rPr>
                <w:color w:val="000000"/>
                <w:szCs w:val="22"/>
                <w:vertAlign w:val="superscript"/>
              </w:rPr>
              <w:t>2</w:t>
            </w:r>
            <w:r w:rsidRPr="00C83045">
              <w:rPr>
                <w:color w:val="000000"/>
                <w:szCs w:val="22"/>
              </w:rPr>
              <w:t>)</w:t>
            </w:r>
          </w:p>
        </w:tc>
        <w:tc>
          <w:tcPr>
            <w:tcW w:w="0" w:type="auto"/>
            <w:tcBorders>
              <w:top w:val="single" w:sz="6" w:space="0" w:color="auto"/>
              <w:left w:val="single" w:sz="6" w:space="0" w:color="auto"/>
              <w:right w:val="single" w:sz="6" w:space="0" w:color="auto"/>
            </w:tcBorders>
          </w:tcPr>
          <w:p w14:paraId="32368207" w14:textId="77777777" w:rsidR="00557730" w:rsidRPr="00C83045" w:rsidRDefault="00557730" w:rsidP="00D4304B">
            <w:pPr>
              <w:pStyle w:val="Table"/>
              <w:keepNext w:val="0"/>
              <w:keepLines w:val="0"/>
              <w:widowControl w:val="0"/>
              <w:spacing w:before="0" w:after="0"/>
              <w:ind w:left="69"/>
              <w:rPr>
                <w:rFonts w:ascii="Times New Roman" w:hAnsi="Times New Roman"/>
                <w:color w:val="000000"/>
                <w:sz w:val="22"/>
                <w:szCs w:val="22"/>
                <w:lang w:val="sk-SK"/>
              </w:rPr>
            </w:pPr>
            <w:r w:rsidRPr="00C83045">
              <w:rPr>
                <w:rFonts w:ascii="Times New Roman" w:hAnsi="Times New Roman"/>
                <w:color w:val="000000"/>
                <w:sz w:val="22"/>
                <w:szCs w:val="22"/>
                <w:vertAlign w:val="superscript"/>
                <w:lang w:val="sk-SK"/>
              </w:rPr>
              <w:t>a</w:t>
            </w:r>
            <w:r w:rsidRPr="00C83045">
              <w:rPr>
                <w:rFonts w:ascii="Times New Roman" w:hAnsi="Times New Roman"/>
                <w:color w:val="000000"/>
                <w:sz w:val="22"/>
                <w:szCs w:val="22"/>
                <w:lang w:val="sk-SK"/>
              </w:rPr>
              <w:t>ANC &lt; 0,5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w:t>
            </w:r>
          </w:p>
          <w:p w14:paraId="32368208" w14:textId="77777777" w:rsidR="00557730" w:rsidRPr="00C83045" w:rsidRDefault="00557730" w:rsidP="00D4304B">
            <w:pPr>
              <w:widowControl w:val="0"/>
              <w:ind w:left="69" w:firstLine="0"/>
              <w:rPr>
                <w:color w:val="000000"/>
                <w:szCs w:val="22"/>
                <w:vertAlign w:val="superscript"/>
              </w:rPr>
            </w:pPr>
            <w:r w:rsidRPr="00C83045">
              <w:rPr>
                <w:color w:val="000000"/>
                <w:szCs w:val="22"/>
              </w:rPr>
              <w:t>a/alebo počet trombocytov &lt; 10 x 10</w:t>
            </w:r>
            <w:r w:rsidRPr="00C83045">
              <w:rPr>
                <w:color w:val="000000"/>
                <w:szCs w:val="22"/>
                <w:vertAlign w:val="superscript"/>
              </w:rPr>
              <w:t>9</w:t>
            </w:r>
            <w:r w:rsidRPr="00C83045">
              <w:rPr>
                <w:color w:val="000000"/>
                <w:szCs w:val="22"/>
              </w:rPr>
              <w:t>/l</w:t>
            </w:r>
          </w:p>
        </w:tc>
        <w:tc>
          <w:tcPr>
            <w:tcW w:w="0" w:type="auto"/>
            <w:tcBorders>
              <w:top w:val="single" w:sz="6" w:space="0" w:color="auto"/>
              <w:left w:val="single" w:sz="6" w:space="0" w:color="auto"/>
              <w:right w:val="single" w:sz="6" w:space="0" w:color="auto"/>
            </w:tcBorders>
          </w:tcPr>
          <w:p w14:paraId="32368209" w14:textId="77777777" w:rsidR="00557730" w:rsidRPr="00C83045" w:rsidRDefault="00557730" w:rsidP="00D4304B">
            <w:pPr>
              <w:pStyle w:val="Table"/>
              <w:keepNext w:val="0"/>
              <w:keepLines w:val="0"/>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1.</w:t>
            </w:r>
            <w:r w:rsidRPr="00C83045">
              <w:rPr>
                <w:rFonts w:ascii="Times New Roman" w:hAnsi="Times New Roman"/>
                <w:color w:val="000000"/>
                <w:sz w:val="22"/>
                <w:szCs w:val="22"/>
                <w:lang w:val="sk-SK"/>
              </w:rPr>
              <w:tab/>
              <w:t>Overiť, či cytopénia súvisí s leukémiou (punkcia alebo biopsia kostnej drene).</w:t>
            </w:r>
          </w:p>
          <w:p w14:paraId="3236820A" w14:textId="77777777" w:rsidR="00557730" w:rsidRPr="00C83045" w:rsidRDefault="00557730" w:rsidP="00D4304B">
            <w:pPr>
              <w:pStyle w:val="Table"/>
              <w:keepNext w:val="0"/>
              <w:keepLines w:val="0"/>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2.</w:t>
            </w:r>
            <w:r w:rsidRPr="00C83045">
              <w:rPr>
                <w:rFonts w:ascii="Times New Roman" w:hAnsi="Times New Roman"/>
                <w:color w:val="000000"/>
                <w:sz w:val="22"/>
                <w:szCs w:val="22"/>
                <w:lang w:val="sk-SK"/>
              </w:rPr>
              <w:tab/>
              <w:t>Ak cytopénia nesúvisí s leukémiou, znížiť dávku Glivecu na 260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w:t>
            </w:r>
          </w:p>
          <w:p w14:paraId="3236820B" w14:textId="77777777" w:rsidR="00557730" w:rsidRPr="00C83045" w:rsidRDefault="00557730" w:rsidP="00D4304B">
            <w:pPr>
              <w:pStyle w:val="Table"/>
              <w:keepNext w:val="0"/>
              <w:keepLines w:val="0"/>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3.</w:t>
            </w:r>
            <w:r w:rsidRPr="00C83045">
              <w:rPr>
                <w:rFonts w:ascii="Times New Roman" w:hAnsi="Times New Roman"/>
                <w:color w:val="000000"/>
                <w:sz w:val="22"/>
                <w:szCs w:val="22"/>
                <w:lang w:val="sk-SK"/>
              </w:rPr>
              <w:tab/>
              <w:t>Ak cytopénia pretrváva počas 2 týždňov, znížiť dávku ďalej na 200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w:t>
            </w:r>
          </w:p>
          <w:p w14:paraId="3236820C" w14:textId="77777777" w:rsidR="00557730" w:rsidRPr="00C83045" w:rsidRDefault="00557730" w:rsidP="00D4304B">
            <w:pPr>
              <w:pStyle w:val="Table"/>
              <w:keepNext w:val="0"/>
              <w:keepLines w:val="0"/>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4.</w:t>
            </w:r>
            <w:r w:rsidRPr="00C83045">
              <w:rPr>
                <w:rFonts w:ascii="Times New Roman" w:hAnsi="Times New Roman"/>
                <w:color w:val="000000"/>
                <w:sz w:val="22"/>
                <w:szCs w:val="22"/>
                <w:lang w:val="sk-SK"/>
              </w:rPr>
              <w:tab/>
              <w:t xml:space="preserve">Ak cytopénia pretrváva počas 4 týždňov a ešte stále </w:t>
            </w:r>
            <w:r w:rsidRPr="00C83045">
              <w:rPr>
                <w:rFonts w:ascii="Times New Roman" w:hAnsi="Times New Roman"/>
                <w:color w:val="000000"/>
                <w:sz w:val="22"/>
                <w:szCs w:val="22"/>
                <w:lang w:val="sk-SK" w:eastAsia="sk-SK"/>
              </w:rPr>
              <w:t xml:space="preserve">nesúvisí s leukémiou, vysadiť Glivec, kým ANC </w:t>
            </w:r>
            <w:r w:rsidRPr="00C83045">
              <w:rPr>
                <w:rFonts w:ascii="Times New Roman" w:hAnsi="Times New Roman"/>
                <w:color w:val="000000"/>
                <w:sz w:val="22"/>
                <w:szCs w:val="22"/>
                <w:lang w:val="sk-SK"/>
              </w:rPr>
              <w:sym w:font="Symbol" w:char="F0B3"/>
            </w:r>
            <w:r w:rsidRPr="00C83045">
              <w:rPr>
                <w:rFonts w:ascii="Times New Roman" w:hAnsi="Times New Roman"/>
                <w:color w:val="000000"/>
                <w:sz w:val="22"/>
                <w:szCs w:val="22"/>
                <w:lang w:val="sk-SK"/>
              </w:rPr>
              <w:t> 1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 xml:space="preserve">/l a počet trombocytov </w:t>
            </w:r>
            <w:r w:rsidRPr="00C83045">
              <w:rPr>
                <w:rFonts w:ascii="Times New Roman" w:hAnsi="Times New Roman"/>
                <w:color w:val="000000"/>
                <w:sz w:val="22"/>
                <w:szCs w:val="22"/>
                <w:lang w:val="sk-SK"/>
              </w:rPr>
              <w:sym w:font="Symbol" w:char="F0B3"/>
            </w:r>
            <w:r w:rsidRPr="00C83045">
              <w:rPr>
                <w:rFonts w:ascii="Times New Roman" w:hAnsi="Times New Roman"/>
                <w:color w:val="000000"/>
                <w:sz w:val="22"/>
                <w:szCs w:val="22"/>
                <w:lang w:val="sk-SK"/>
              </w:rPr>
              <w:t> 20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 potom pokračovať v liečbe dávkou 200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w:t>
            </w:r>
          </w:p>
        </w:tc>
      </w:tr>
      <w:tr w:rsidR="00557730" w:rsidRPr="00C83045" w14:paraId="32368216" w14:textId="77777777" w:rsidTr="008202CD">
        <w:trPr>
          <w:cantSplit/>
          <w:trHeight w:val="1869"/>
        </w:trPr>
        <w:tc>
          <w:tcPr>
            <w:tcW w:w="0" w:type="auto"/>
            <w:tcBorders>
              <w:top w:val="single" w:sz="6" w:space="0" w:color="auto"/>
              <w:left w:val="single" w:sz="6" w:space="0" w:color="auto"/>
              <w:right w:val="single" w:sz="6" w:space="0" w:color="auto"/>
            </w:tcBorders>
          </w:tcPr>
          <w:p w14:paraId="3236820E" w14:textId="77777777" w:rsidR="00557730" w:rsidRPr="00C83045" w:rsidRDefault="00557730" w:rsidP="00B62C3E">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DFSP</w:t>
            </w:r>
          </w:p>
          <w:p w14:paraId="3236820F" w14:textId="77777777" w:rsidR="00557730" w:rsidRPr="00C83045" w:rsidRDefault="00557730" w:rsidP="00B62C3E">
            <w:pPr>
              <w:keepNext/>
              <w:keepLines/>
              <w:widowControl w:val="0"/>
              <w:ind w:left="0" w:firstLine="0"/>
              <w:rPr>
                <w:color w:val="000000"/>
                <w:szCs w:val="22"/>
              </w:rPr>
            </w:pPr>
            <w:r w:rsidRPr="00C83045">
              <w:rPr>
                <w:color w:val="000000"/>
                <w:szCs w:val="22"/>
              </w:rPr>
              <w:t>(pri dávke 800 mg)</w:t>
            </w:r>
          </w:p>
        </w:tc>
        <w:tc>
          <w:tcPr>
            <w:tcW w:w="0" w:type="auto"/>
            <w:tcBorders>
              <w:top w:val="single" w:sz="6" w:space="0" w:color="auto"/>
              <w:left w:val="single" w:sz="6" w:space="0" w:color="auto"/>
              <w:right w:val="single" w:sz="6" w:space="0" w:color="auto"/>
            </w:tcBorders>
          </w:tcPr>
          <w:p w14:paraId="32368210" w14:textId="77777777" w:rsidR="00557730" w:rsidRPr="00C83045" w:rsidRDefault="00557730" w:rsidP="00B62C3E">
            <w:pPr>
              <w:pStyle w:val="Table"/>
              <w:widowControl w:val="0"/>
              <w:spacing w:before="0" w:after="0"/>
              <w:ind w:left="69"/>
              <w:rPr>
                <w:rFonts w:ascii="Times New Roman" w:hAnsi="Times New Roman"/>
                <w:color w:val="000000"/>
                <w:sz w:val="22"/>
                <w:szCs w:val="22"/>
                <w:lang w:val="sk-SK"/>
              </w:rPr>
            </w:pPr>
            <w:r w:rsidRPr="00C83045">
              <w:rPr>
                <w:rFonts w:ascii="Times New Roman" w:hAnsi="Times New Roman"/>
                <w:color w:val="000000"/>
                <w:sz w:val="22"/>
                <w:szCs w:val="22"/>
                <w:lang w:val="sk-SK"/>
              </w:rPr>
              <w:t>ANC &lt; 1,0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w:t>
            </w:r>
          </w:p>
          <w:p w14:paraId="32368211" w14:textId="77777777" w:rsidR="00557730" w:rsidRPr="00C83045" w:rsidRDefault="00557730" w:rsidP="00B62C3E">
            <w:pPr>
              <w:pStyle w:val="Table"/>
              <w:widowControl w:val="0"/>
              <w:spacing w:before="0" w:after="0"/>
              <w:ind w:left="69"/>
              <w:rPr>
                <w:rFonts w:ascii="Times New Roman" w:hAnsi="Times New Roman"/>
                <w:color w:val="000000"/>
                <w:sz w:val="22"/>
                <w:szCs w:val="22"/>
                <w:lang w:val="sk-SK"/>
              </w:rPr>
            </w:pPr>
            <w:r w:rsidRPr="00C83045">
              <w:rPr>
                <w:rFonts w:ascii="Times New Roman" w:hAnsi="Times New Roman"/>
                <w:color w:val="000000"/>
                <w:sz w:val="22"/>
                <w:szCs w:val="22"/>
                <w:lang w:val="sk-SK"/>
              </w:rPr>
              <w:t>a/alebo</w:t>
            </w:r>
          </w:p>
          <w:p w14:paraId="32368212" w14:textId="77777777" w:rsidR="00557730" w:rsidRPr="00C83045" w:rsidRDefault="00557730" w:rsidP="00B62C3E">
            <w:pPr>
              <w:pStyle w:val="Table"/>
              <w:widowControl w:val="0"/>
              <w:spacing w:before="0" w:after="0"/>
              <w:ind w:left="69"/>
              <w:rPr>
                <w:rFonts w:ascii="Times New Roman" w:hAnsi="Times New Roman"/>
                <w:color w:val="000000"/>
                <w:sz w:val="22"/>
                <w:szCs w:val="22"/>
                <w:vertAlign w:val="superscript"/>
                <w:lang w:val="sk-SK"/>
              </w:rPr>
            </w:pPr>
            <w:r w:rsidRPr="00C83045">
              <w:rPr>
                <w:rFonts w:ascii="Times New Roman" w:hAnsi="Times New Roman"/>
                <w:color w:val="000000"/>
                <w:sz w:val="22"/>
                <w:szCs w:val="22"/>
                <w:lang w:val="sk-SK"/>
              </w:rPr>
              <w:t>počet trombocytov &lt; 50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w:t>
            </w:r>
          </w:p>
        </w:tc>
        <w:tc>
          <w:tcPr>
            <w:tcW w:w="0" w:type="auto"/>
            <w:tcBorders>
              <w:top w:val="single" w:sz="6" w:space="0" w:color="auto"/>
              <w:left w:val="single" w:sz="6" w:space="0" w:color="auto"/>
              <w:right w:val="single" w:sz="6" w:space="0" w:color="auto"/>
            </w:tcBorders>
          </w:tcPr>
          <w:p w14:paraId="32368213" w14:textId="77777777" w:rsidR="00557730" w:rsidRPr="00C83045" w:rsidRDefault="00557730" w:rsidP="00B62C3E">
            <w:pPr>
              <w:pStyle w:val="Table"/>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1.</w:t>
            </w:r>
            <w:r w:rsidRPr="00C83045">
              <w:rPr>
                <w:rFonts w:ascii="Times New Roman" w:hAnsi="Times New Roman"/>
                <w:color w:val="000000"/>
                <w:sz w:val="22"/>
                <w:szCs w:val="22"/>
                <w:lang w:val="sk-SK"/>
              </w:rPr>
              <w:tab/>
              <w:t xml:space="preserve">Prerušiť podávanie Glivecu, kým ANC </w:t>
            </w:r>
            <w:r w:rsidRPr="00C83045">
              <w:rPr>
                <w:rFonts w:ascii="Times New Roman" w:hAnsi="Times New Roman"/>
                <w:color w:val="000000"/>
                <w:sz w:val="22"/>
                <w:szCs w:val="22"/>
                <w:lang w:val="sk-SK"/>
              </w:rPr>
              <w:sym w:font="Symbol" w:char="F0B3"/>
            </w:r>
            <w:r w:rsidRPr="00C83045">
              <w:rPr>
                <w:rFonts w:ascii="Times New Roman" w:hAnsi="Times New Roman"/>
                <w:color w:val="000000"/>
                <w:sz w:val="22"/>
                <w:szCs w:val="22"/>
                <w:lang w:val="sk-SK"/>
              </w:rPr>
              <w:t> 1,5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 xml:space="preserve">/l a počet trombocytov </w:t>
            </w:r>
            <w:r w:rsidRPr="00C83045">
              <w:rPr>
                <w:rFonts w:ascii="Times New Roman" w:hAnsi="Times New Roman"/>
                <w:color w:val="000000"/>
                <w:sz w:val="22"/>
                <w:szCs w:val="22"/>
                <w:lang w:val="sk-SK"/>
              </w:rPr>
              <w:sym w:font="Symbol" w:char="F0B3"/>
            </w:r>
            <w:r w:rsidRPr="00C83045">
              <w:rPr>
                <w:rFonts w:ascii="Times New Roman" w:hAnsi="Times New Roman"/>
                <w:color w:val="000000"/>
                <w:sz w:val="22"/>
                <w:szCs w:val="22"/>
                <w:lang w:val="sk-SK"/>
              </w:rPr>
              <w:t> 75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w:t>
            </w:r>
          </w:p>
          <w:p w14:paraId="32368214" w14:textId="77777777" w:rsidR="00557730" w:rsidRPr="00C83045" w:rsidRDefault="00557730" w:rsidP="00B62C3E">
            <w:pPr>
              <w:pStyle w:val="Table"/>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2.</w:t>
            </w:r>
            <w:r w:rsidRPr="00C83045">
              <w:rPr>
                <w:rFonts w:ascii="Times New Roman" w:hAnsi="Times New Roman"/>
                <w:color w:val="000000"/>
                <w:sz w:val="22"/>
                <w:szCs w:val="22"/>
                <w:lang w:val="sk-SK"/>
              </w:rPr>
              <w:tab/>
              <w:t>Pokračovať v liečbe Glivecom dávkou 600 mg.</w:t>
            </w:r>
          </w:p>
          <w:p w14:paraId="32368215" w14:textId="77777777" w:rsidR="00557730" w:rsidRPr="00C83045" w:rsidRDefault="00557730" w:rsidP="00B62C3E">
            <w:pPr>
              <w:pStyle w:val="Table"/>
              <w:widowControl w:val="0"/>
              <w:tabs>
                <w:tab w:val="clear" w:pos="284"/>
              </w:tabs>
              <w:spacing w:before="0" w:after="0"/>
              <w:ind w:left="522" w:hanging="460"/>
              <w:rPr>
                <w:rFonts w:ascii="Times New Roman" w:hAnsi="Times New Roman"/>
                <w:color w:val="000000"/>
                <w:sz w:val="22"/>
                <w:szCs w:val="22"/>
                <w:lang w:val="sk-SK"/>
              </w:rPr>
            </w:pPr>
            <w:r w:rsidRPr="00C83045">
              <w:rPr>
                <w:rFonts w:ascii="Times New Roman" w:hAnsi="Times New Roman"/>
                <w:color w:val="000000"/>
                <w:sz w:val="22"/>
                <w:szCs w:val="22"/>
                <w:lang w:val="sk-SK"/>
              </w:rPr>
              <w:t>3.</w:t>
            </w:r>
            <w:r w:rsidRPr="00C83045">
              <w:rPr>
                <w:rFonts w:ascii="Times New Roman" w:hAnsi="Times New Roman"/>
                <w:color w:val="000000"/>
                <w:sz w:val="22"/>
                <w:szCs w:val="22"/>
                <w:lang w:val="sk-SK"/>
              </w:rPr>
              <w:tab/>
              <w:t>Pri opakovanom poklese ANC &lt; 1,0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 a/alebo počtu trombocytov &lt; 50 x 10</w:t>
            </w:r>
            <w:r w:rsidRPr="00C83045">
              <w:rPr>
                <w:rFonts w:ascii="Times New Roman" w:hAnsi="Times New Roman"/>
                <w:color w:val="000000"/>
                <w:sz w:val="22"/>
                <w:szCs w:val="22"/>
                <w:vertAlign w:val="superscript"/>
                <w:lang w:val="sk-SK"/>
              </w:rPr>
              <w:t>9</w:t>
            </w:r>
            <w:r w:rsidRPr="00C83045">
              <w:rPr>
                <w:rFonts w:ascii="Times New Roman" w:hAnsi="Times New Roman"/>
                <w:color w:val="000000"/>
                <w:sz w:val="22"/>
                <w:szCs w:val="22"/>
                <w:lang w:val="sk-SK"/>
              </w:rPr>
              <w:t>/l zopakovať krok 1 a pokračovať v liečbe Glivecom zníženou dávkou 400 mg.</w:t>
            </w:r>
          </w:p>
        </w:tc>
      </w:tr>
      <w:tr w:rsidR="00557730" w:rsidRPr="00C83045" w14:paraId="32368219" w14:textId="77777777" w:rsidTr="008202CD">
        <w:trPr>
          <w:cantSplit/>
        </w:trPr>
        <w:tc>
          <w:tcPr>
            <w:tcW w:w="0" w:type="auto"/>
            <w:gridSpan w:val="3"/>
            <w:tcBorders>
              <w:top w:val="single" w:sz="6" w:space="0" w:color="auto"/>
              <w:left w:val="single" w:sz="6" w:space="0" w:color="auto"/>
              <w:bottom w:val="single" w:sz="6" w:space="0" w:color="auto"/>
              <w:right w:val="single" w:sz="6" w:space="0" w:color="auto"/>
            </w:tcBorders>
          </w:tcPr>
          <w:p w14:paraId="32368217" w14:textId="77777777" w:rsidR="00557730" w:rsidRPr="00C83045" w:rsidRDefault="00557730" w:rsidP="00B62C3E">
            <w:pPr>
              <w:pStyle w:val="BodyText"/>
              <w:keepNext/>
              <w:keepLines/>
              <w:widowControl w:val="0"/>
              <w:autoSpaceDE/>
              <w:autoSpaceDN/>
              <w:rPr>
                <w:color w:val="000000"/>
                <w:sz w:val="22"/>
                <w:szCs w:val="22"/>
              </w:rPr>
            </w:pPr>
            <w:r w:rsidRPr="00C83045">
              <w:rPr>
                <w:color w:val="000000"/>
                <w:sz w:val="22"/>
                <w:szCs w:val="22"/>
              </w:rPr>
              <w:t>ANC = absolútny počet neutrofilov</w:t>
            </w:r>
          </w:p>
          <w:p w14:paraId="32368218" w14:textId="77777777" w:rsidR="00557730" w:rsidRPr="00C83045" w:rsidRDefault="00557730" w:rsidP="00B62C3E">
            <w:pPr>
              <w:keepNext/>
              <w:keepLines/>
              <w:widowControl w:val="0"/>
              <w:ind w:left="0" w:firstLine="0"/>
              <w:rPr>
                <w:color w:val="000000"/>
                <w:szCs w:val="22"/>
              </w:rPr>
            </w:pPr>
            <w:r w:rsidRPr="00C83045">
              <w:rPr>
                <w:color w:val="000000"/>
                <w:szCs w:val="22"/>
                <w:vertAlign w:val="superscript"/>
              </w:rPr>
              <w:t>a</w:t>
            </w:r>
            <w:r w:rsidRPr="00C83045">
              <w:rPr>
                <w:color w:val="000000"/>
                <w:szCs w:val="22"/>
              </w:rPr>
              <w:t xml:space="preserve"> výskyt po najmenej 1 mesiaci liečby</w:t>
            </w:r>
          </w:p>
        </w:tc>
      </w:tr>
    </w:tbl>
    <w:p w14:paraId="3236821A" w14:textId="77777777" w:rsidR="000C3D88" w:rsidRPr="00C83045" w:rsidRDefault="000C3D88" w:rsidP="00D4304B">
      <w:pPr>
        <w:widowControl w:val="0"/>
        <w:ind w:left="0" w:firstLine="0"/>
        <w:rPr>
          <w:color w:val="000000"/>
          <w:szCs w:val="22"/>
        </w:rPr>
      </w:pPr>
    </w:p>
    <w:p w14:paraId="3236821B" w14:textId="77777777" w:rsidR="00615AEF" w:rsidRPr="00C83045" w:rsidRDefault="00615AEF" w:rsidP="00D4304B">
      <w:pPr>
        <w:keepNext/>
        <w:widowControl w:val="0"/>
        <w:ind w:left="0" w:firstLine="0"/>
        <w:rPr>
          <w:color w:val="000000"/>
          <w:szCs w:val="22"/>
          <w:u w:val="single"/>
        </w:rPr>
      </w:pPr>
      <w:r w:rsidRPr="00C83045">
        <w:rPr>
          <w:color w:val="000000"/>
          <w:szCs w:val="22"/>
          <w:u w:val="single"/>
        </w:rPr>
        <w:t>Osobitné skupiny pacientov</w:t>
      </w:r>
    </w:p>
    <w:p w14:paraId="3236821C" w14:textId="77777777" w:rsidR="00615AEF" w:rsidRPr="00C83045" w:rsidRDefault="00615AEF" w:rsidP="00D4304B">
      <w:pPr>
        <w:widowControl w:val="0"/>
        <w:ind w:left="0" w:firstLine="0"/>
        <w:rPr>
          <w:noProof/>
          <w:color w:val="000000"/>
          <w:szCs w:val="22"/>
        </w:rPr>
      </w:pPr>
      <w:r w:rsidRPr="00C83045">
        <w:rPr>
          <w:i/>
          <w:color w:val="000000"/>
          <w:szCs w:val="22"/>
        </w:rPr>
        <w:t>Použitie u detí:</w:t>
      </w:r>
      <w:r w:rsidRPr="00C83045">
        <w:rPr>
          <w:b/>
          <w:i/>
          <w:color w:val="000000"/>
          <w:szCs w:val="22"/>
        </w:rPr>
        <w:t xml:space="preserve"> </w:t>
      </w:r>
      <w:r w:rsidRPr="00C83045">
        <w:rPr>
          <w:noProof/>
          <w:color w:val="000000"/>
          <w:szCs w:val="22"/>
        </w:rPr>
        <w:t xml:space="preserve">Nie sú žiadne skúsenosti s použitím u detí s CML mladších ako 2-ročných </w:t>
      </w:r>
      <w:r w:rsidR="00962F25" w:rsidRPr="00C83045">
        <w:rPr>
          <w:color w:val="000000"/>
          <w:szCs w:val="22"/>
        </w:rPr>
        <w:t>a s Ph+ALL mladších ako 1</w:t>
      </w:r>
      <w:r w:rsidR="00BC1D87" w:rsidRPr="00C83045">
        <w:rPr>
          <w:noProof/>
          <w:color w:val="000000"/>
          <w:szCs w:val="22"/>
        </w:rPr>
        <w:t> </w:t>
      </w:r>
      <w:r w:rsidR="00962F25" w:rsidRPr="00C83045">
        <w:rPr>
          <w:noProof/>
          <w:color w:val="000000"/>
          <w:szCs w:val="22"/>
        </w:rPr>
        <w:t xml:space="preserve">rok </w:t>
      </w:r>
      <w:r w:rsidRPr="00C83045">
        <w:rPr>
          <w:noProof/>
          <w:color w:val="000000"/>
          <w:szCs w:val="22"/>
        </w:rPr>
        <w:t xml:space="preserve">(pozri časť 5.1). </w:t>
      </w:r>
      <w:r w:rsidRPr="00C83045">
        <w:rPr>
          <w:color w:val="000000"/>
          <w:szCs w:val="22"/>
        </w:rPr>
        <w:t xml:space="preserve">Skúsenosti s použitím u detí s </w:t>
      </w:r>
      <w:smartTag w:uri="urn:schemas-microsoft-com:office:smarttags" w:element="stockticker">
        <w:r w:rsidRPr="00C83045">
          <w:rPr>
            <w:color w:val="000000"/>
            <w:szCs w:val="22"/>
          </w:rPr>
          <w:t>MDS</w:t>
        </w:r>
      </w:smartTag>
      <w:r w:rsidRPr="00C83045">
        <w:rPr>
          <w:color w:val="000000"/>
          <w:szCs w:val="22"/>
        </w:rPr>
        <w:t>/MPD, DFSP, GIST a H</w:t>
      </w:r>
      <w:smartTag w:uri="urn:schemas-microsoft-com:office:smarttags" w:element="PersonName">
        <w:r w:rsidRPr="00C83045">
          <w:rPr>
            <w:color w:val="000000"/>
            <w:szCs w:val="22"/>
          </w:rPr>
          <w:t>ES</w:t>
        </w:r>
      </w:smartTag>
      <w:r w:rsidRPr="00C83045">
        <w:rPr>
          <w:color w:val="000000"/>
          <w:szCs w:val="22"/>
        </w:rPr>
        <w:t>/CEL sú veľmi obmedzené.</w:t>
      </w:r>
    </w:p>
    <w:p w14:paraId="3236821D" w14:textId="77777777" w:rsidR="00615AEF" w:rsidRPr="00C83045" w:rsidRDefault="00615AEF" w:rsidP="00D4304B">
      <w:pPr>
        <w:widowControl w:val="0"/>
        <w:ind w:left="0" w:firstLine="0"/>
        <w:rPr>
          <w:color w:val="000000"/>
          <w:szCs w:val="22"/>
        </w:rPr>
      </w:pPr>
    </w:p>
    <w:p w14:paraId="3236821E" w14:textId="77777777" w:rsidR="00615AEF" w:rsidRPr="00C83045" w:rsidRDefault="00615AEF" w:rsidP="00D4304B">
      <w:pPr>
        <w:widowControl w:val="0"/>
        <w:ind w:left="0" w:firstLine="0"/>
        <w:rPr>
          <w:color w:val="000000"/>
          <w:szCs w:val="22"/>
        </w:rPr>
      </w:pPr>
      <w:r w:rsidRPr="00C83045">
        <w:rPr>
          <w:color w:val="000000"/>
          <w:szCs w:val="22"/>
        </w:rPr>
        <w:t xml:space="preserve">Bezpečnosť a účinnosť imatinibu u detí s MDS/MPD, DFSP, GIST a HES/CEL vo veku menej ako 18 rokov neboli stanovené v klinických skúšaniach. V súčasnosti dostupné publikované údaje sú zhrnuté v časti 5.1, ale </w:t>
      </w:r>
      <w:r w:rsidRPr="00C83045">
        <w:rPr>
          <w:noProof/>
        </w:rPr>
        <w:t>neumožňujú uviesť odporúčania pre dávkovanie.</w:t>
      </w:r>
    </w:p>
    <w:p w14:paraId="3236821F" w14:textId="77777777" w:rsidR="000C3D88" w:rsidRPr="00C83045" w:rsidRDefault="000C3D88" w:rsidP="00D4304B">
      <w:pPr>
        <w:widowControl w:val="0"/>
        <w:ind w:left="0" w:firstLine="0"/>
        <w:rPr>
          <w:color w:val="000000"/>
          <w:szCs w:val="22"/>
        </w:rPr>
      </w:pPr>
    </w:p>
    <w:p w14:paraId="32368220" w14:textId="77777777" w:rsidR="000C3D88" w:rsidRPr="00C83045" w:rsidRDefault="000C3D88" w:rsidP="00D4304B">
      <w:pPr>
        <w:widowControl w:val="0"/>
        <w:ind w:left="0" w:firstLine="0"/>
        <w:rPr>
          <w:color w:val="000000"/>
          <w:szCs w:val="22"/>
        </w:rPr>
      </w:pPr>
      <w:r w:rsidRPr="00C83045">
        <w:rPr>
          <w:i/>
          <w:color w:val="000000"/>
          <w:szCs w:val="22"/>
        </w:rPr>
        <w:t>Insuficiencia pečene:</w:t>
      </w:r>
      <w:r w:rsidRPr="00C83045">
        <w:rPr>
          <w:b/>
          <w:i/>
          <w:color w:val="000000"/>
          <w:szCs w:val="22"/>
        </w:rPr>
        <w:t xml:space="preserve"> </w:t>
      </w:r>
      <w:r w:rsidRPr="00C83045">
        <w:rPr>
          <w:color w:val="000000"/>
          <w:szCs w:val="22"/>
        </w:rPr>
        <w:t>Imatinib sa metabolizuje hlavne v pečeni. Pacientom s ľahkou, stredne ťažkou alebo ťažkou poruchou funkcie pečene sa má podávať najnižšia odporúčaná dávka 400 mg denne. Dávku možno znížiť, ak nie je tolerovaná (pozri časti 4.4, 4.8 a 5.2).</w:t>
      </w:r>
    </w:p>
    <w:p w14:paraId="32368221" w14:textId="77777777" w:rsidR="000C3D88" w:rsidRPr="00C83045" w:rsidRDefault="000C3D88" w:rsidP="00D4304B">
      <w:pPr>
        <w:widowControl w:val="0"/>
        <w:ind w:left="0" w:firstLine="0"/>
        <w:rPr>
          <w:color w:val="000000"/>
          <w:szCs w:val="22"/>
        </w:rPr>
      </w:pPr>
    </w:p>
    <w:p w14:paraId="32368222" w14:textId="77777777" w:rsidR="000C3D88" w:rsidRPr="00C83045" w:rsidRDefault="000C3D88" w:rsidP="00D4304B">
      <w:pPr>
        <w:pStyle w:val="Text"/>
        <w:keepNext/>
        <w:keepLines/>
        <w:widowControl w:val="0"/>
        <w:spacing w:before="0"/>
        <w:jc w:val="left"/>
        <w:rPr>
          <w:color w:val="000000"/>
          <w:sz w:val="22"/>
          <w:szCs w:val="22"/>
          <w:lang w:val="sk-SK"/>
        </w:rPr>
      </w:pPr>
      <w:r w:rsidRPr="00C83045">
        <w:rPr>
          <w:color w:val="000000"/>
          <w:sz w:val="22"/>
          <w:szCs w:val="22"/>
          <w:lang w:val="sk-SK"/>
        </w:rPr>
        <w:lastRenderedPageBreak/>
        <w:t>Hodnotenie poruchy funkcie pečene:</w:t>
      </w:r>
    </w:p>
    <w:p w14:paraId="32368223" w14:textId="77777777" w:rsidR="000C3D88" w:rsidRPr="00C83045" w:rsidRDefault="000C3D88" w:rsidP="00D4304B">
      <w:pPr>
        <w:pStyle w:val="Text"/>
        <w:keepNext/>
        <w:keepLines/>
        <w:widowControl w:val="0"/>
        <w:spacing w:before="0"/>
        <w:jc w:val="left"/>
        <w:rPr>
          <w:color w:val="000000"/>
          <w:sz w:val="22"/>
          <w:szCs w:val="22"/>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8"/>
        <w:gridCol w:w="5773"/>
      </w:tblGrid>
      <w:tr w:rsidR="000C3D88" w:rsidRPr="00C83045" w14:paraId="32368226" w14:textId="77777777" w:rsidTr="00B62C3E">
        <w:trPr>
          <w:cantSplit/>
        </w:trPr>
        <w:tc>
          <w:tcPr>
            <w:tcW w:w="3369" w:type="dxa"/>
          </w:tcPr>
          <w:p w14:paraId="32368224" w14:textId="77777777" w:rsidR="000C3D88" w:rsidRPr="00C83045" w:rsidRDefault="000C3D88" w:rsidP="00D4304B">
            <w:pPr>
              <w:pStyle w:val="Text"/>
              <w:keepNext/>
              <w:keepLines/>
              <w:widowControl w:val="0"/>
              <w:tabs>
                <w:tab w:val="left" w:pos="567"/>
              </w:tabs>
              <w:spacing w:before="0"/>
              <w:jc w:val="left"/>
              <w:rPr>
                <w:color w:val="000000"/>
                <w:sz w:val="22"/>
                <w:szCs w:val="22"/>
                <w:lang w:val="sk-SK"/>
              </w:rPr>
            </w:pPr>
            <w:r w:rsidRPr="00C83045">
              <w:rPr>
                <w:color w:val="000000"/>
                <w:sz w:val="22"/>
                <w:szCs w:val="22"/>
                <w:lang w:val="sk-SK"/>
              </w:rPr>
              <w:t>Porucha funkcie pečene</w:t>
            </w:r>
          </w:p>
        </w:tc>
        <w:tc>
          <w:tcPr>
            <w:tcW w:w="5918" w:type="dxa"/>
          </w:tcPr>
          <w:p w14:paraId="32368225" w14:textId="77777777" w:rsidR="000C3D88" w:rsidRPr="00C83045" w:rsidRDefault="000C3D88" w:rsidP="00D4304B">
            <w:pPr>
              <w:pStyle w:val="Text"/>
              <w:keepNext/>
              <w:keepLines/>
              <w:widowControl w:val="0"/>
              <w:tabs>
                <w:tab w:val="left" w:pos="567"/>
              </w:tabs>
              <w:spacing w:before="0"/>
              <w:jc w:val="left"/>
              <w:rPr>
                <w:color w:val="000000"/>
                <w:sz w:val="22"/>
                <w:szCs w:val="22"/>
                <w:lang w:val="sk-SK"/>
              </w:rPr>
            </w:pPr>
            <w:r w:rsidRPr="00C83045">
              <w:rPr>
                <w:color w:val="000000"/>
                <w:sz w:val="22"/>
                <w:szCs w:val="22"/>
                <w:lang w:val="sk-SK"/>
              </w:rPr>
              <w:t>Testy funkcie pečene</w:t>
            </w:r>
          </w:p>
        </w:tc>
      </w:tr>
      <w:tr w:rsidR="000C3D88" w:rsidRPr="00C83045" w14:paraId="3236822A" w14:textId="77777777" w:rsidTr="00B62C3E">
        <w:trPr>
          <w:cantSplit/>
        </w:trPr>
        <w:tc>
          <w:tcPr>
            <w:tcW w:w="3369" w:type="dxa"/>
          </w:tcPr>
          <w:p w14:paraId="32368227" w14:textId="77777777" w:rsidR="000C3D88" w:rsidRPr="00C83045" w:rsidRDefault="000C3D88" w:rsidP="00D4304B">
            <w:pPr>
              <w:pStyle w:val="Text"/>
              <w:keepNext/>
              <w:keepLines/>
              <w:widowControl w:val="0"/>
              <w:tabs>
                <w:tab w:val="left" w:pos="567"/>
              </w:tabs>
              <w:spacing w:before="0"/>
              <w:jc w:val="left"/>
              <w:rPr>
                <w:color w:val="000000"/>
                <w:sz w:val="22"/>
                <w:szCs w:val="22"/>
                <w:lang w:val="sk-SK"/>
              </w:rPr>
            </w:pPr>
            <w:r w:rsidRPr="00C83045">
              <w:rPr>
                <w:color w:val="000000"/>
                <w:sz w:val="22"/>
                <w:szCs w:val="22"/>
                <w:lang w:val="sk-SK"/>
              </w:rPr>
              <w:t>Ľahká</w:t>
            </w:r>
          </w:p>
        </w:tc>
        <w:tc>
          <w:tcPr>
            <w:tcW w:w="5918" w:type="dxa"/>
          </w:tcPr>
          <w:p w14:paraId="32368228" w14:textId="77777777" w:rsidR="000C3D88" w:rsidRPr="00C83045" w:rsidRDefault="000C3D88" w:rsidP="00D4304B">
            <w:pPr>
              <w:keepNext/>
              <w:keepLines/>
              <w:widowControl w:val="0"/>
              <w:tabs>
                <w:tab w:val="left" w:pos="567"/>
              </w:tabs>
              <w:rPr>
                <w:snapToGrid w:val="0"/>
                <w:color w:val="000000"/>
                <w:szCs w:val="22"/>
              </w:rPr>
            </w:pPr>
            <w:r w:rsidRPr="00C83045">
              <w:rPr>
                <w:snapToGrid w:val="0"/>
                <w:color w:val="000000"/>
                <w:szCs w:val="22"/>
              </w:rPr>
              <w:t>Celkový bilirubín: = 1,5 ULN</w:t>
            </w:r>
          </w:p>
          <w:p w14:paraId="32368229" w14:textId="77777777" w:rsidR="000C3D88" w:rsidRPr="00C83045" w:rsidRDefault="000C3D88" w:rsidP="00D4304B">
            <w:pPr>
              <w:pStyle w:val="Text"/>
              <w:keepNext/>
              <w:keepLines/>
              <w:widowControl w:val="0"/>
              <w:tabs>
                <w:tab w:val="left" w:pos="567"/>
              </w:tabs>
              <w:spacing w:before="0"/>
              <w:jc w:val="left"/>
              <w:rPr>
                <w:color w:val="000000"/>
                <w:sz w:val="22"/>
                <w:szCs w:val="22"/>
                <w:lang w:val="sk-SK"/>
              </w:rPr>
            </w:pPr>
            <w:r w:rsidRPr="00C83045">
              <w:rPr>
                <w:snapToGrid w:val="0"/>
                <w:color w:val="000000"/>
                <w:sz w:val="22"/>
                <w:szCs w:val="22"/>
                <w:lang w:val="sk-SK"/>
              </w:rPr>
              <w:t>AST: &gt; ULN (hodnota môže byť normálna alebo &lt; ULN, ak celkový bilirubín je &gt; ULN)</w:t>
            </w:r>
          </w:p>
        </w:tc>
      </w:tr>
      <w:tr w:rsidR="000C3D88" w:rsidRPr="00C83045" w14:paraId="3236822E" w14:textId="77777777" w:rsidTr="00B62C3E">
        <w:trPr>
          <w:cantSplit/>
        </w:trPr>
        <w:tc>
          <w:tcPr>
            <w:tcW w:w="3369" w:type="dxa"/>
          </w:tcPr>
          <w:p w14:paraId="3236822B" w14:textId="77777777" w:rsidR="000C3D88" w:rsidRPr="00C83045" w:rsidRDefault="000C3D88" w:rsidP="00D4304B">
            <w:pPr>
              <w:pStyle w:val="Text"/>
              <w:keepNext/>
              <w:keepLines/>
              <w:widowControl w:val="0"/>
              <w:tabs>
                <w:tab w:val="left" w:pos="567"/>
              </w:tabs>
              <w:spacing w:before="0"/>
              <w:jc w:val="left"/>
              <w:rPr>
                <w:color w:val="000000"/>
                <w:sz w:val="22"/>
                <w:szCs w:val="22"/>
                <w:lang w:val="sk-SK"/>
              </w:rPr>
            </w:pPr>
            <w:r w:rsidRPr="00C83045">
              <w:rPr>
                <w:color w:val="000000"/>
                <w:sz w:val="22"/>
                <w:szCs w:val="22"/>
                <w:lang w:val="sk-SK"/>
              </w:rPr>
              <w:t>Stredne ťažká</w:t>
            </w:r>
          </w:p>
        </w:tc>
        <w:tc>
          <w:tcPr>
            <w:tcW w:w="5918" w:type="dxa"/>
          </w:tcPr>
          <w:p w14:paraId="3236822C" w14:textId="77777777" w:rsidR="000C3D88" w:rsidRPr="00C83045" w:rsidRDefault="000C3D88" w:rsidP="00D4304B">
            <w:pPr>
              <w:keepNext/>
              <w:keepLines/>
              <w:widowControl w:val="0"/>
              <w:tabs>
                <w:tab w:val="left" w:pos="567"/>
              </w:tabs>
              <w:rPr>
                <w:snapToGrid w:val="0"/>
                <w:color w:val="000000"/>
                <w:szCs w:val="22"/>
              </w:rPr>
            </w:pPr>
            <w:r w:rsidRPr="00C83045">
              <w:rPr>
                <w:snapToGrid w:val="0"/>
                <w:color w:val="000000"/>
                <w:szCs w:val="22"/>
              </w:rPr>
              <w:t>Celkový bilirubín: &gt; 1,5</w:t>
            </w:r>
            <w:r w:rsidRPr="00C83045">
              <w:rPr>
                <w:color w:val="000000"/>
                <w:szCs w:val="22"/>
              </w:rPr>
              <w:t>–</w:t>
            </w:r>
            <w:r w:rsidRPr="00C83045">
              <w:rPr>
                <w:snapToGrid w:val="0"/>
                <w:color w:val="000000"/>
                <w:szCs w:val="22"/>
              </w:rPr>
              <w:t>3,0 ULN</w:t>
            </w:r>
          </w:p>
          <w:p w14:paraId="3236822D" w14:textId="77777777" w:rsidR="000C3D88" w:rsidRPr="00C83045" w:rsidRDefault="000C3D88" w:rsidP="00D4304B">
            <w:pPr>
              <w:pStyle w:val="Text"/>
              <w:keepNext/>
              <w:keepLines/>
              <w:widowControl w:val="0"/>
              <w:tabs>
                <w:tab w:val="left" w:pos="567"/>
              </w:tabs>
              <w:spacing w:before="0"/>
              <w:jc w:val="left"/>
              <w:rPr>
                <w:color w:val="000000"/>
                <w:sz w:val="22"/>
                <w:szCs w:val="22"/>
                <w:lang w:val="sk-SK"/>
              </w:rPr>
            </w:pPr>
            <w:r w:rsidRPr="00C83045">
              <w:rPr>
                <w:snapToGrid w:val="0"/>
                <w:color w:val="000000"/>
                <w:sz w:val="22"/>
                <w:szCs w:val="22"/>
                <w:lang w:val="sk-SK"/>
              </w:rPr>
              <w:t>AST: akákoľvek hodnota</w:t>
            </w:r>
          </w:p>
        </w:tc>
      </w:tr>
      <w:tr w:rsidR="000C3D88" w:rsidRPr="00C83045" w14:paraId="32368232" w14:textId="77777777" w:rsidTr="00B62C3E">
        <w:trPr>
          <w:cantSplit/>
        </w:trPr>
        <w:tc>
          <w:tcPr>
            <w:tcW w:w="3369" w:type="dxa"/>
          </w:tcPr>
          <w:p w14:paraId="3236822F" w14:textId="77777777" w:rsidR="000C3D88" w:rsidRPr="00C83045" w:rsidRDefault="000C3D88" w:rsidP="00D4304B">
            <w:pPr>
              <w:pStyle w:val="Text"/>
              <w:keepNext/>
              <w:keepLines/>
              <w:widowControl w:val="0"/>
              <w:tabs>
                <w:tab w:val="left" w:pos="567"/>
              </w:tabs>
              <w:spacing w:before="0"/>
              <w:jc w:val="left"/>
              <w:rPr>
                <w:color w:val="000000"/>
                <w:sz w:val="22"/>
                <w:szCs w:val="22"/>
                <w:lang w:val="sk-SK"/>
              </w:rPr>
            </w:pPr>
            <w:r w:rsidRPr="00C83045">
              <w:rPr>
                <w:color w:val="000000"/>
                <w:sz w:val="22"/>
                <w:szCs w:val="22"/>
                <w:lang w:val="sk-SK"/>
              </w:rPr>
              <w:t>Ťažká</w:t>
            </w:r>
          </w:p>
        </w:tc>
        <w:tc>
          <w:tcPr>
            <w:tcW w:w="5918" w:type="dxa"/>
          </w:tcPr>
          <w:p w14:paraId="32368230" w14:textId="77777777" w:rsidR="000C3D88" w:rsidRPr="00C83045" w:rsidRDefault="000C3D88" w:rsidP="00D4304B">
            <w:pPr>
              <w:keepNext/>
              <w:keepLines/>
              <w:widowControl w:val="0"/>
              <w:tabs>
                <w:tab w:val="left" w:pos="567"/>
              </w:tabs>
              <w:rPr>
                <w:snapToGrid w:val="0"/>
                <w:color w:val="000000"/>
                <w:szCs w:val="22"/>
              </w:rPr>
            </w:pPr>
            <w:r w:rsidRPr="00C83045">
              <w:rPr>
                <w:snapToGrid w:val="0"/>
                <w:color w:val="000000"/>
                <w:szCs w:val="22"/>
              </w:rPr>
              <w:t>Celkový bilirubín: &gt; 3</w:t>
            </w:r>
            <w:r w:rsidRPr="00C83045">
              <w:rPr>
                <w:color w:val="000000"/>
                <w:szCs w:val="22"/>
              </w:rPr>
              <w:t>–</w:t>
            </w:r>
            <w:r w:rsidRPr="00C83045">
              <w:rPr>
                <w:snapToGrid w:val="0"/>
                <w:color w:val="000000"/>
                <w:szCs w:val="22"/>
              </w:rPr>
              <w:t>10 ULN</w:t>
            </w:r>
          </w:p>
          <w:p w14:paraId="32368231" w14:textId="77777777" w:rsidR="000C3D88" w:rsidRPr="00C83045" w:rsidRDefault="000C3D88" w:rsidP="00D4304B">
            <w:pPr>
              <w:pStyle w:val="Text"/>
              <w:keepNext/>
              <w:keepLines/>
              <w:widowControl w:val="0"/>
              <w:tabs>
                <w:tab w:val="left" w:pos="567"/>
              </w:tabs>
              <w:spacing w:before="0"/>
              <w:jc w:val="left"/>
              <w:rPr>
                <w:color w:val="000000"/>
                <w:sz w:val="22"/>
                <w:szCs w:val="22"/>
                <w:lang w:val="sk-SK"/>
              </w:rPr>
            </w:pPr>
            <w:r w:rsidRPr="00C83045">
              <w:rPr>
                <w:snapToGrid w:val="0"/>
                <w:color w:val="000000"/>
                <w:sz w:val="22"/>
                <w:szCs w:val="22"/>
                <w:lang w:val="sk-SK"/>
              </w:rPr>
              <w:t>AST: akákoľvek hodnota</w:t>
            </w:r>
          </w:p>
        </w:tc>
      </w:tr>
    </w:tbl>
    <w:p w14:paraId="32368233" w14:textId="77777777" w:rsidR="000C3D88" w:rsidRPr="00C83045" w:rsidRDefault="000C3D88" w:rsidP="00D4304B">
      <w:pPr>
        <w:pStyle w:val="Text"/>
        <w:keepNext/>
        <w:keepLines/>
        <w:widowControl w:val="0"/>
        <w:spacing w:before="0"/>
        <w:jc w:val="left"/>
        <w:rPr>
          <w:color w:val="000000"/>
          <w:sz w:val="22"/>
          <w:szCs w:val="22"/>
          <w:lang w:val="sk-SK"/>
        </w:rPr>
      </w:pPr>
      <w:r w:rsidRPr="00C83045">
        <w:rPr>
          <w:color w:val="000000"/>
          <w:sz w:val="22"/>
          <w:szCs w:val="22"/>
          <w:lang w:val="sk-SK"/>
        </w:rPr>
        <w:t>ULN = horná hranica normálneho rozmedzia zdravotníckeho zariadenia</w:t>
      </w:r>
    </w:p>
    <w:p w14:paraId="32368234" w14:textId="77777777" w:rsidR="000C3D88" w:rsidRPr="00C83045" w:rsidRDefault="000C3D88" w:rsidP="00D4304B">
      <w:pPr>
        <w:keepNext/>
        <w:keepLines/>
        <w:widowControl w:val="0"/>
        <w:autoSpaceDE w:val="0"/>
        <w:autoSpaceDN w:val="0"/>
        <w:adjustRightInd w:val="0"/>
        <w:ind w:left="993" w:hanging="993"/>
        <w:rPr>
          <w:rFonts w:eastAsia="MS Mincho"/>
          <w:bCs/>
          <w:color w:val="000000"/>
          <w:szCs w:val="22"/>
          <w:lang w:eastAsia="ja-JP"/>
        </w:rPr>
      </w:pPr>
      <w:r w:rsidRPr="00C83045">
        <w:rPr>
          <w:rFonts w:eastAsia="MS Mincho"/>
          <w:bCs/>
          <w:color w:val="000000"/>
          <w:szCs w:val="22"/>
          <w:lang w:eastAsia="ja-JP"/>
        </w:rPr>
        <w:t xml:space="preserve">AST = </w:t>
      </w:r>
      <w:r w:rsidRPr="00C83045">
        <w:rPr>
          <w:color w:val="000000"/>
          <w:szCs w:val="22"/>
        </w:rPr>
        <w:t>aspartátaminotransferáza</w:t>
      </w:r>
    </w:p>
    <w:p w14:paraId="32368235" w14:textId="77777777" w:rsidR="000C3D88" w:rsidRPr="00C83045" w:rsidRDefault="000C3D88" w:rsidP="00D4304B">
      <w:pPr>
        <w:widowControl w:val="0"/>
        <w:ind w:left="0" w:firstLine="0"/>
        <w:rPr>
          <w:color w:val="000000"/>
          <w:szCs w:val="22"/>
        </w:rPr>
      </w:pPr>
    </w:p>
    <w:p w14:paraId="32368236" w14:textId="77777777" w:rsidR="000C3D88" w:rsidRPr="00C83045" w:rsidRDefault="000C3D88" w:rsidP="00D4304B">
      <w:pPr>
        <w:widowControl w:val="0"/>
        <w:ind w:left="0" w:firstLine="0"/>
        <w:rPr>
          <w:color w:val="000000"/>
          <w:szCs w:val="22"/>
        </w:rPr>
      </w:pPr>
      <w:r w:rsidRPr="00C83045">
        <w:rPr>
          <w:i/>
          <w:color w:val="000000"/>
          <w:szCs w:val="22"/>
        </w:rPr>
        <w:t>Insuficiencia obličiek:</w:t>
      </w:r>
      <w:r w:rsidRPr="00C83045">
        <w:rPr>
          <w:color w:val="000000"/>
          <w:szCs w:val="22"/>
        </w:rPr>
        <w:t xml:space="preserve"> Pacientom s poruchou funkcie obličiek alebo dialyzovaným pacientom sa má ako začiatočná dávka podávať najnižšia odporúčaná dávka 400 mg denne. U týchto pacientov sa však odporúča opatrnosť. Dávku možno znížiť, ak nie je tolerovaná. Ak je dávka tolerovaná, možno ju zvýšiť pri nedostatočnej účinnosti (pozri časti 4.4 a 5.2).</w:t>
      </w:r>
    </w:p>
    <w:p w14:paraId="32368237" w14:textId="77777777" w:rsidR="000C3D88" w:rsidRPr="00C83045" w:rsidRDefault="000C3D88" w:rsidP="00D4304B">
      <w:pPr>
        <w:widowControl w:val="0"/>
        <w:ind w:left="0" w:firstLine="0"/>
        <w:rPr>
          <w:color w:val="000000"/>
          <w:szCs w:val="22"/>
        </w:rPr>
      </w:pPr>
    </w:p>
    <w:p w14:paraId="32368238" w14:textId="77777777" w:rsidR="00852EF5" w:rsidRPr="00C83045" w:rsidRDefault="00852EF5" w:rsidP="00D4304B">
      <w:pPr>
        <w:widowControl w:val="0"/>
        <w:ind w:left="0" w:firstLine="0"/>
        <w:rPr>
          <w:color w:val="000000"/>
          <w:szCs w:val="22"/>
        </w:rPr>
      </w:pPr>
      <w:r w:rsidRPr="00C83045">
        <w:rPr>
          <w:i/>
          <w:color w:val="000000"/>
          <w:szCs w:val="22"/>
        </w:rPr>
        <w:t xml:space="preserve">Starší ľudia: </w:t>
      </w:r>
      <w:r w:rsidRPr="00C83045">
        <w:rPr>
          <w:color w:val="000000"/>
          <w:szCs w:val="22"/>
        </w:rPr>
        <w:t>Farmakokinetika imatinibu sa nesledovala osobitne u starších ľudí. V klinických skúšaniach s dospelými pacientmi, z ktorých viac ako 20% bolo 65-ročných a starších, sa nepozorovali významné rozdiely vo farmakokinetike súvisiace s vekom. Nie je potrebné osobitné odporúčanie pre dávkovanie u starších ľudí.</w:t>
      </w:r>
    </w:p>
    <w:p w14:paraId="32368239" w14:textId="77777777" w:rsidR="000C3D88" w:rsidRPr="00C83045" w:rsidRDefault="000C3D88" w:rsidP="00D4304B">
      <w:pPr>
        <w:widowControl w:val="0"/>
        <w:rPr>
          <w:color w:val="000000"/>
          <w:szCs w:val="22"/>
        </w:rPr>
      </w:pPr>
    </w:p>
    <w:p w14:paraId="3236823A" w14:textId="77777777" w:rsidR="00591A69" w:rsidRPr="00C83045" w:rsidRDefault="00591A69" w:rsidP="00D4304B">
      <w:pPr>
        <w:keepNext/>
        <w:keepLines/>
        <w:widowControl w:val="0"/>
        <w:rPr>
          <w:b/>
          <w:bCs/>
          <w:color w:val="000000"/>
          <w:szCs w:val="22"/>
        </w:rPr>
      </w:pPr>
      <w:r w:rsidRPr="00C83045">
        <w:rPr>
          <w:b/>
          <w:bCs/>
          <w:color w:val="000000"/>
          <w:szCs w:val="22"/>
        </w:rPr>
        <w:t>4.3</w:t>
      </w:r>
      <w:r w:rsidRPr="00C83045">
        <w:rPr>
          <w:b/>
          <w:bCs/>
          <w:color w:val="000000"/>
          <w:szCs w:val="22"/>
        </w:rPr>
        <w:tab/>
        <w:t>Kontraindikácie</w:t>
      </w:r>
    </w:p>
    <w:p w14:paraId="3236823B" w14:textId="77777777" w:rsidR="00591A69" w:rsidRPr="00C83045" w:rsidRDefault="00591A69" w:rsidP="00D4304B">
      <w:pPr>
        <w:keepNext/>
        <w:keepLines/>
        <w:widowControl w:val="0"/>
        <w:rPr>
          <w:color w:val="000000"/>
          <w:szCs w:val="22"/>
        </w:rPr>
      </w:pPr>
    </w:p>
    <w:p w14:paraId="3236823C" w14:textId="77777777" w:rsidR="00591A69" w:rsidRPr="00C83045" w:rsidRDefault="00591A69" w:rsidP="00D4304B">
      <w:pPr>
        <w:widowControl w:val="0"/>
        <w:rPr>
          <w:color w:val="000000"/>
          <w:szCs w:val="22"/>
        </w:rPr>
      </w:pPr>
      <w:r w:rsidRPr="00C83045">
        <w:rPr>
          <w:color w:val="000000"/>
          <w:szCs w:val="22"/>
        </w:rPr>
        <w:t xml:space="preserve">Precitlivenosť na liečivo alebo na </w:t>
      </w:r>
      <w:r w:rsidRPr="00C83045">
        <w:rPr>
          <w:noProof/>
          <w:color w:val="000000"/>
          <w:szCs w:val="22"/>
        </w:rPr>
        <w:t>ktorúkoľvek</w:t>
      </w:r>
      <w:r w:rsidRPr="00C83045">
        <w:rPr>
          <w:color w:val="000000"/>
          <w:szCs w:val="22"/>
        </w:rPr>
        <w:t xml:space="preserve"> z pomocných látok </w:t>
      </w:r>
      <w:r w:rsidRPr="00C83045">
        <w:rPr>
          <w:noProof/>
        </w:rPr>
        <w:t>uvedených v časti 6.1</w:t>
      </w:r>
      <w:r w:rsidRPr="00C83045">
        <w:rPr>
          <w:color w:val="000000"/>
          <w:szCs w:val="22"/>
        </w:rPr>
        <w:t>.</w:t>
      </w:r>
    </w:p>
    <w:p w14:paraId="3236823D" w14:textId="77777777" w:rsidR="00591A69" w:rsidRPr="00C83045" w:rsidRDefault="00591A69" w:rsidP="00D4304B">
      <w:pPr>
        <w:widowControl w:val="0"/>
        <w:tabs>
          <w:tab w:val="left" w:pos="0"/>
        </w:tabs>
        <w:rPr>
          <w:bCs/>
          <w:color w:val="000000"/>
          <w:szCs w:val="22"/>
        </w:rPr>
      </w:pPr>
    </w:p>
    <w:p w14:paraId="3236823E" w14:textId="77777777" w:rsidR="00591A69" w:rsidRPr="00C83045" w:rsidRDefault="00591A69" w:rsidP="00D4304B">
      <w:pPr>
        <w:keepNext/>
        <w:widowControl w:val="0"/>
        <w:rPr>
          <w:b/>
          <w:color w:val="000000"/>
          <w:szCs w:val="22"/>
        </w:rPr>
      </w:pPr>
      <w:r w:rsidRPr="00C83045">
        <w:rPr>
          <w:b/>
          <w:color w:val="000000"/>
          <w:szCs w:val="22"/>
        </w:rPr>
        <w:t>4.4</w:t>
      </w:r>
      <w:r w:rsidRPr="00C83045">
        <w:rPr>
          <w:b/>
          <w:color w:val="000000"/>
          <w:szCs w:val="22"/>
        </w:rPr>
        <w:tab/>
        <w:t>Osobitné upozornenia a opatrenia pri používaní</w:t>
      </w:r>
    </w:p>
    <w:p w14:paraId="3236823F" w14:textId="77777777" w:rsidR="00591A69" w:rsidRPr="00C83045" w:rsidRDefault="00591A69" w:rsidP="00D4304B">
      <w:pPr>
        <w:keepNext/>
        <w:widowControl w:val="0"/>
        <w:tabs>
          <w:tab w:val="left" w:pos="360"/>
        </w:tabs>
        <w:rPr>
          <w:color w:val="000000"/>
          <w:szCs w:val="22"/>
        </w:rPr>
      </w:pPr>
    </w:p>
    <w:p w14:paraId="32368240" w14:textId="77777777" w:rsidR="00591A69" w:rsidRPr="00C83045" w:rsidRDefault="00591A69" w:rsidP="00D4304B">
      <w:pPr>
        <w:widowControl w:val="0"/>
        <w:ind w:left="0" w:firstLine="0"/>
        <w:rPr>
          <w:color w:val="000000"/>
          <w:szCs w:val="22"/>
        </w:rPr>
      </w:pPr>
      <w:r w:rsidRPr="00C83045">
        <w:rPr>
          <w:color w:val="000000"/>
          <w:szCs w:val="22"/>
        </w:rPr>
        <w:t xml:space="preserve">Ak sa Glivec podáva súčasne s inými liekmi, sú možné liekové interakcie. Opatrnosť je potrebná pri užívaní Glivecu s inhibítormi proteáz, azolovými antimykotikami, niektorými makrolidmi (pozri časť 4.5), </w:t>
      </w:r>
      <w:r w:rsidRPr="00C83045">
        <w:t xml:space="preserve">substrátmi </w:t>
      </w:r>
      <w:smartTag w:uri="urn:schemas-microsoft-com:office:smarttags" w:element="PersonName">
        <w:r w:rsidRPr="00C83045">
          <w:t>CY</w:t>
        </w:r>
      </w:smartTag>
      <w:r w:rsidRPr="00C83045">
        <w:t>P3A4 s úzkym terapeutickým oknom (napr. cyklosporínom, pimozidom, takrolimom, sirolimom, ergotamínom, diergotamínom, fentanylom, alfentanilom, terfenadínom, bortezomibom, docetaxelom, chinidínom) alebo warfarínom a inými kumarínovými derivátmi (pozri časť 4.5).</w:t>
      </w:r>
    </w:p>
    <w:p w14:paraId="32368241" w14:textId="77777777" w:rsidR="00591A69" w:rsidRPr="00C83045" w:rsidRDefault="00591A69" w:rsidP="00D4304B">
      <w:pPr>
        <w:widowControl w:val="0"/>
        <w:ind w:left="0" w:firstLine="0"/>
        <w:rPr>
          <w:color w:val="000000"/>
          <w:szCs w:val="22"/>
        </w:rPr>
      </w:pPr>
    </w:p>
    <w:p w14:paraId="32368242" w14:textId="77777777" w:rsidR="00591A69" w:rsidRPr="00C83045" w:rsidRDefault="00591A69" w:rsidP="00D4304B">
      <w:pPr>
        <w:widowControl w:val="0"/>
        <w:ind w:left="0" w:firstLine="0"/>
        <w:rPr>
          <w:color w:val="000000"/>
          <w:szCs w:val="22"/>
        </w:rPr>
      </w:pPr>
      <w:r w:rsidRPr="00C83045">
        <w:rPr>
          <w:color w:val="000000"/>
          <w:szCs w:val="22"/>
        </w:rPr>
        <w:t xml:space="preserve">Súčasné užívanie imatinibu a liekov, ktoré indukujú CYP3A4 (napr. dexametazón, fenytoín, karbamazepín, rifampicín, fenobarbital alebo </w:t>
      </w:r>
      <w:r w:rsidRPr="00C83045">
        <w:rPr>
          <w:i/>
          <w:color w:val="000000"/>
          <w:szCs w:val="22"/>
        </w:rPr>
        <w:t>Hypericum perforatum</w:t>
      </w:r>
      <w:r w:rsidRPr="00C83045">
        <w:rPr>
          <w:color w:val="000000"/>
          <w:szCs w:val="22"/>
        </w:rPr>
        <w:t xml:space="preserve"> – ľubovník bodkovaný) môže významne znížiť expozíciu Glivecu a tým prípadne zvýšiť riziko zlyhania liečby. Preto je potrebné vyhnúť sa súčasnému podávaniu silných induktorov CYP3A4 a imatinibu (pozri časť 4.5).</w:t>
      </w:r>
    </w:p>
    <w:p w14:paraId="32368243" w14:textId="77777777" w:rsidR="00591A69" w:rsidRPr="00C83045" w:rsidRDefault="00591A69" w:rsidP="00D4304B">
      <w:pPr>
        <w:widowControl w:val="0"/>
        <w:ind w:left="0" w:firstLine="0"/>
        <w:rPr>
          <w:color w:val="000000"/>
          <w:szCs w:val="22"/>
        </w:rPr>
      </w:pPr>
    </w:p>
    <w:p w14:paraId="32368244" w14:textId="77777777" w:rsidR="00591A69" w:rsidRPr="00C83045" w:rsidRDefault="00591A69" w:rsidP="00D4304B">
      <w:pPr>
        <w:keepNext/>
        <w:widowControl w:val="0"/>
        <w:ind w:left="0" w:firstLine="0"/>
        <w:rPr>
          <w:color w:val="000000"/>
          <w:szCs w:val="22"/>
          <w:u w:val="single"/>
        </w:rPr>
      </w:pPr>
      <w:r w:rsidRPr="00C83045">
        <w:rPr>
          <w:color w:val="000000"/>
          <w:szCs w:val="22"/>
          <w:u w:val="single"/>
        </w:rPr>
        <w:t>Hypotyreóza</w:t>
      </w:r>
    </w:p>
    <w:p w14:paraId="32368245" w14:textId="77777777" w:rsidR="00591A69" w:rsidRPr="00C83045" w:rsidRDefault="00591A69" w:rsidP="00D4304B">
      <w:pPr>
        <w:widowControl w:val="0"/>
        <w:ind w:left="0" w:firstLine="0"/>
        <w:rPr>
          <w:color w:val="000000"/>
          <w:szCs w:val="22"/>
        </w:rPr>
      </w:pPr>
      <w:r w:rsidRPr="00C83045">
        <w:rPr>
          <w:color w:val="000000"/>
          <w:szCs w:val="22"/>
        </w:rPr>
        <w:t>Klinické prípady hypotyreózy sa zaznamenali u pacientov po tyreoidektómii, ktorí počas liečby Glivecom dostávali ako substitúciu levotyroxín (pozri časť 4.5). U takýchto pacientov sa majú dôsledne monitorovať hladiny tyreotropínu (TSH).</w:t>
      </w:r>
    </w:p>
    <w:p w14:paraId="32368246" w14:textId="77777777" w:rsidR="00591A69" w:rsidRPr="00C83045" w:rsidRDefault="00591A69" w:rsidP="00D4304B">
      <w:pPr>
        <w:widowControl w:val="0"/>
        <w:ind w:left="0" w:firstLine="0"/>
        <w:rPr>
          <w:color w:val="000000"/>
          <w:szCs w:val="22"/>
        </w:rPr>
      </w:pPr>
    </w:p>
    <w:p w14:paraId="32368247" w14:textId="77777777" w:rsidR="00591A69" w:rsidRPr="00C83045" w:rsidRDefault="00591A69" w:rsidP="00D4304B">
      <w:pPr>
        <w:keepNext/>
        <w:widowControl w:val="0"/>
        <w:ind w:left="0" w:firstLine="0"/>
        <w:rPr>
          <w:color w:val="000000"/>
          <w:szCs w:val="22"/>
          <w:u w:val="single"/>
        </w:rPr>
      </w:pPr>
      <w:r w:rsidRPr="00C83045">
        <w:rPr>
          <w:color w:val="000000"/>
          <w:szCs w:val="22"/>
          <w:u w:val="single"/>
        </w:rPr>
        <w:t>Hepatotoxicita</w:t>
      </w:r>
    </w:p>
    <w:p w14:paraId="32368248" w14:textId="77777777" w:rsidR="00591A69" w:rsidRPr="00C83045" w:rsidRDefault="00591A69" w:rsidP="00D4304B">
      <w:pPr>
        <w:widowControl w:val="0"/>
        <w:ind w:left="0" w:firstLine="0"/>
        <w:rPr>
          <w:color w:val="000000"/>
          <w:szCs w:val="22"/>
        </w:rPr>
      </w:pPr>
      <w:r w:rsidRPr="00C83045">
        <w:rPr>
          <w:color w:val="000000"/>
          <w:szCs w:val="22"/>
        </w:rPr>
        <w:t>Glivec sa metabolizuje hlavne v pečeni a iba 13% sa vylučuje obličkami. U pacientov s poruchou funkcie pečene (ľahkou, stredne ťažkou a ťažkou) sa majú dôsledne monitorovať periférny krvný obraz a pečeňové enzýmy (pozri časti 4.2, 4.8 a 5.2). Musí sa vziať do úvahy, že pacienti s GIST môžu mať v pečeni metastázy, ktoré môžu spôsobiť zhoršenie funkcie pečene.</w:t>
      </w:r>
    </w:p>
    <w:p w14:paraId="32368249" w14:textId="77777777" w:rsidR="00591A69" w:rsidRPr="00C83045" w:rsidRDefault="00591A69" w:rsidP="00D4304B">
      <w:pPr>
        <w:widowControl w:val="0"/>
        <w:ind w:left="0" w:firstLine="0"/>
        <w:rPr>
          <w:color w:val="000000"/>
          <w:szCs w:val="22"/>
        </w:rPr>
      </w:pPr>
    </w:p>
    <w:p w14:paraId="3236824A" w14:textId="77777777" w:rsidR="00591A69" w:rsidRPr="00C83045" w:rsidRDefault="00591A69" w:rsidP="00D4304B">
      <w:pPr>
        <w:widowControl w:val="0"/>
        <w:ind w:left="0" w:firstLine="0"/>
        <w:rPr>
          <w:color w:val="000000"/>
          <w:szCs w:val="22"/>
        </w:rPr>
      </w:pPr>
      <w:r w:rsidRPr="00C83045">
        <w:rPr>
          <w:color w:val="000000"/>
          <w:szCs w:val="22"/>
        </w:rPr>
        <w:t xml:space="preserve">Pri imatinibe sa pozorovali prípady poškodenia pečene vrátane zlyhania pečene a nekrózy pečene. Pri kombinovaní imatinibu s režimami vysokých dávok chemoterapie sa pozorovalo zvýšenie závažných reakcií pečene. Funkcia pečene sa má starostlivo monitorovať v prípade, keď sa imatinib kombinuje s režimami chemoterapie, o ktorých je tiež známe, že sa spájajú s poruchou funkcie pečene (pozri časti </w:t>
      </w:r>
      <w:smartTag w:uri="urn:schemas-microsoft-com:office:smarttags" w:element="metricconverter">
        <w:smartTagPr>
          <w:attr w:name="ProductID" w:val="4.5 a"/>
        </w:smartTagPr>
        <w:r w:rsidRPr="00C83045">
          <w:rPr>
            <w:color w:val="000000"/>
            <w:szCs w:val="22"/>
          </w:rPr>
          <w:t>4.5 a</w:t>
        </w:r>
      </w:smartTag>
      <w:r w:rsidRPr="00C83045">
        <w:rPr>
          <w:color w:val="000000"/>
          <w:szCs w:val="22"/>
        </w:rPr>
        <w:t xml:space="preserve"> 4.8).</w:t>
      </w:r>
    </w:p>
    <w:p w14:paraId="3236824B" w14:textId="77777777" w:rsidR="00591A69" w:rsidRPr="00C83045" w:rsidRDefault="00591A69" w:rsidP="00D4304B">
      <w:pPr>
        <w:widowControl w:val="0"/>
        <w:ind w:left="0" w:firstLine="0"/>
        <w:rPr>
          <w:color w:val="000000"/>
          <w:szCs w:val="22"/>
        </w:rPr>
      </w:pPr>
    </w:p>
    <w:p w14:paraId="3236824C" w14:textId="77777777" w:rsidR="00591A69" w:rsidRPr="00C83045" w:rsidRDefault="00591A69" w:rsidP="00D4304B">
      <w:pPr>
        <w:keepNext/>
        <w:widowControl w:val="0"/>
        <w:ind w:left="0" w:firstLine="0"/>
        <w:rPr>
          <w:color w:val="000000"/>
          <w:szCs w:val="22"/>
          <w:u w:val="single"/>
        </w:rPr>
      </w:pPr>
      <w:r w:rsidRPr="00C83045">
        <w:rPr>
          <w:color w:val="000000"/>
          <w:szCs w:val="22"/>
          <w:u w:val="single"/>
        </w:rPr>
        <w:t>Zadržiavanie tekutiny</w:t>
      </w:r>
    </w:p>
    <w:p w14:paraId="3236824D" w14:textId="77777777" w:rsidR="00591A69" w:rsidRPr="00C83045" w:rsidRDefault="00591A69" w:rsidP="00D4304B">
      <w:pPr>
        <w:widowControl w:val="0"/>
        <w:ind w:left="0" w:firstLine="0"/>
        <w:rPr>
          <w:color w:val="000000"/>
          <w:szCs w:val="22"/>
        </w:rPr>
      </w:pPr>
      <w:r w:rsidRPr="00C83045">
        <w:rPr>
          <w:color w:val="000000"/>
          <w:szCs w:val="22"/>
        </w:rPr>
        <w:t>Závažné zadržiavanie tekutiny (pleurálny výpotok, edém, pľúcny edém, ascites, povrchový edém) sa zaznamenalo u približne 2,5% pacientov s novodiagnostikovanou CML užívajúcich Glivec. Preto sa naliehavo odporúča pravidelne kontrolovať hmotnosť pacientov. Neočakávané rýchle zvýšenie hmotnosti sa má dôsledne vyšetriť a ak je to potrebné, má sa začať s primeranou podpornou starostlivosťou a liečebnými opatreniami. V klinických skúšaniach bol zvýšený výskyt týchto udalostí u starších ľudí a pacientov s ochorením srdca v anamnéze. Preto sa má postupovať opatrne u pacientov s poruchou funkcie srdca.</w:t>
      </w:r>
    </w:p>
    <w:p w14:paraId="3236824E" w14:textId="77777777" w:rsidR="00591A69" w:rsidRPr="00C83045" w:rsidRDefault="00591A69" w:rsidP="00D4304B">
      <w:pPr>
        <w:widowControl w:val="0"/>
        <w:ind w:left="0" w:firstLine="0"/>
        <w:rPr>
          <w:color w:val="000000"/>
          <w:szCs w:val="22"/>
        </w:rPr>
      </w:pPr>
    </w:p>
    <w:p w14:paraId="3236824F" w14:textId="77777777" w:rsidR="00591A69" w:rsidRPr="00C83045" w:rsidRDefault="00591A69" w:rsidP="00D4304B">
      <w:pPr>
        <w:keepNext/>
        <w:widowControl w:val="0"/>
        <w:ind w:left="0" w:firstLine="0"/>
        <w:rPr>
          <w:color w:val="000000"/>
          <w:szCs w:val="22"/>
          <w:u w:val="single"/>
        </w:rPr>
      </w:pPr>
      <w:r w:rsidRPr="00C83045">
        <w:rPr>
          <w:color w:val="000000"/>
          <w:szCs w:val="22"/>
          <w:u w:val="single"/>
        </w:rPr>
        <w:t>Pacienti s ochorením srdca</w:t>
      </w:r>
    </w:p>
    <w:p w14:paraId="32368250" w14:textId="77777777" w:rsidR="00591A69" w:rsidRPr="00C83045" w:rsidRDefault="00591A69" w:rsidP="00D4304B">
      <w:pPr>
        <w:widowControl w:val="0"/>
        <w:ind w:left="0" w:firstLine="0"/>
        <w:rPr>
          <w:color w:val="000000"/>
          <w:szCs w:val="22"/>
        </w:rPr>
      </w:pPr>
      <w:r w:rsidRPr="00C83045">
        <w:rPr>
          <w:color w:val="000000"/>
          <w:szCs w:val="22"/>
        </w:rPr>
        <w:t>Pacientov s ochorením srdca, rizikovými faktormi pre zlyhanie srdca alebo zlyhaním obličiek v anamnéze je potrebné starostlivo sledovať a každého pacienta s príznakmi alebo prejavmi poukazujúcimi na zlyhanie srdca alebo obličiek je potrebné vyšetriť a liečiť.</w:t>
      </w:r>
    </w:p>
    <w:p w14:paraId="32368251" w14:textId="77777777" w:rsidR="00591A69" w:rsidRPr="00C83045" w:rsidRDefault="00591A69" w:rsidP="00D4304B">
      <w:pPr>
        <w:widowControl w:val="0"/>
        <w:ind w:left="0" w:firstLine="0"/>
        <w:rPr>
          <w:color w:val="000000"/>
          <w:szCs w:val="22"/>
        </w:rPr>
      </w:pPr>
    </w:p>
    <w:p w14:paraId="32368252" w14:textId="77777777" w:rsidR="00591A69" w:rsidRPr="00C83045" w:rsidRDefault="00591A69" w:rsidP="00D4304B">
      <w:pPr>
        <w:widowControl w:val="0"/>
        <w:ind w:left="0" w:firstLine="0"/>
        <w:rPr>
          <w:color w:val="000000"/>
          <w:szCs w:val="22"/>
        </w:rPr>
      </w:pPr>
      <w:r w:rsidRPr="00C83045">
        <w:rPr>
          <w:color w:val="000000"/>
          <w:szCs w:val="22"/>
        </w:rPr>
        <w:t>U pacientov s hypereozinofilným syndrómom (HES) s okultnou infiltráciou myokardu bunkami HES sa pri začatí liečby imatinibom spájali ojedinelé prípady kardiogénneho šoku/poruchy funkcie ľavej komory s degranuláciou buniek HES. Po podaní systémových steroidov, opatreniach na podporu cirkulácie a dočasnom vysadení imatinibu bolo ochorenie podľa hlásení reverzibilné. Pretože pri imatinibe boli menej často hlásené nežiaduce účinky na srdce, má sa u pacientov s HES/</w:t>
      </w:r>
      <w:smartTag w:uri="urn:schemas-microsoft-com:office:smarttags" w:element="stockticker">
        <w:r w:rsidRPr="00C83045">
          <w:rPr>
            <w:color w:val="000000"/>
            <w:szCs w:val="22"/>
          </w:rPr>
          <w:t>CEL</w:t>
        </w:r>
      </w:smartTag>
      <w:r w:rsidRPr="00C83045">
        <w:rPr>
          <w:color w:val="000000"/>
          <w:szCs w:val="22"/>
        </w:rPr>
        <w:t xml:space="preserve"> pred začatím liečby zvážiť dôkladné vyhodnotenie pomeru jej prínosu a rizika.</w:t>
      </w:r>
    </w:p>
    <w:p w14:paraId="32368253" w14:textId="77777777" w:rsidR="00591A69" w:rsidRPr="00C83045" w:rsidRDefault="00591A69" w:rsidP="00D4304B">
      <w:pPr>
        <w:widowControl w:val="0"/>
        <w:ind w:left="0" w:firstLine="0"/>
        <w:rPr>
          <w:color w:val="000000"/>
          <w:szCs w:val="22"/>
        </w:rPr>
      </w:pPr>
    </w:p>
    <w:p w14:paraId="32368254" w14:textId="77777777" w:rsidR="00591A69" w:rsidRPr="00C83045" w:rsidRDefault="00591A69" w:rsidP="00D4304B">
      <w:pPr>
        <w:widowControl w:val="0"/>
        <w:ind w:left="0" w:firstLine="0"/>
        <w:rPr>
          <w:color w:val="000000"/>
          <w:szCs w:val="22"/>
        </w:rPr>
      </w:pPr>
      <w:r w:rsidRPr="00C83045">
        <w:rPr>
          <w:color w:val="000000"/>
          <w:szCs w:val="22"/>
        </w:rPr>
        <w:t>Myelodysplastické/myeloproliferatívne ochorenia s preskupeniami génu PDFR by sa mohli spájať s vysokými hladinami eozinofilov. Pred podaním imatinibu sa má preto zvážiť vyhodnotenie stavu kardiológom, echokardiografické vyšetrenie a stanovenie sérového troponínu u pacientov s HES/</w:t>
      </w:r>
      <w:smartTag w:uri="urn:schemas-microsoft-com:office:smarttags" w:element="stockticker">
        <w:r w:rsidRPr="00C83045">
          <w:rPr>
            <w:color w:val="000000"/>
            <w:szCs w:val="22"/>
          </w:rPr>
          <w:t>CEL</w:t>
        </w:r>
      </w:smartTag>
      <w:r w:rsidRPr="00C83045">
        <w:rPr>
          <w:color w:val="000000"/>
          <w:szCs w:val="22"/>
        </w:rPr>
        <w:t xml:space="preserve"> a u pacientov s </w:t>
      </w:r>
      <w:smartTag w:uri="urn:schemas-microsoft-com:office:smarttags" w:element="stockticker">
        <w:r w:rsidRPr="00C83045">
          <w:rPr>
            <w:color w:val="000000"/>
            <w:szCs w:val="22"/>
          </w:rPr>
          <w:t>MDS</w:t>
        </w:r>
      </w:smartTag>
      <w:r w:rsidRPr="00C83045">
        <w:rPr>
          <w:color w:val="000000"/>
          <w:szCs w:val="22"/>
        </w:rPr>
        <w:t>/MPD spojenými s vysokými hladinami eozinofilov. Ak je niektorý nález abnormálny, má sa na začiatku liečby uvážiť sledovanie kardiológom a profylaktické použitie systémových steroidov (1</w:t>
      </w:r>
      <w:r w:rsidRPr="00C83045">
        <w:rPr>
          <w:color w:val="000000"/>
          <w:szCs w:val="22"/>
        </w:rPr>
        <w:noBreakHyphen/>
        <w:t>2 mg/kg) počas jedného až dvoch týždňov súčasne s imatinibom.</w:t>
      </w:r>
    </w:p>
    <w:p w14:paraId="32368255" w14:textId="77777777" w:rsidR="00591A69" w:rsidRPr="00C83045" w:rsidRDefault="00591A69" w:rsidP="00D4304B">
      <w:pPr>
        <w:widowControl w:val="0"/>
        <w:ind w:left="0" w:firstLine="0"/>
        <w:rPr>
          <w:color w:val="000000"/>
          <w:szCs w:val="22"/>
        </w:rPr>
      </w:pPr>
    </w:p>
    <w:p w14:paraId="32368256" w14:textId="77777777" w:rsidR="00591A69" w:rsidRPr="00C83045" w:rsidRDefault="00591A69" w:rsidP="00D4304B">
      <w:pPr>
        <w:keepNext/>
        <w:widowControl w:val="0"/>
        <w:ind w:left="0" w:firstLine="0"/>
        <w:rPr>
          <w:color w:val="000000"/>
          <w:szCs w:val="22"/>
          <w:u w:val="single"/>
        </w:rPr>
      </w:pPr>
      <w:r w:rsidRPr="00C83045">
        <w:rPr>
          <w:color w:val="000000"/>
          <w:szCs w:val="22"/>
          <w:u w:val="single"/>
        </w:rPr>
        <w:t>Gastrointestinálne krvácanie</w:t>
      </w:r>
    </w:p>
    <w:p w14:paraId="32368257" w14:textId="77777777" w:rsidR="00C6161D" w:rsidRPr="000F36E0" w:rsidRDefault="00591A69" w:rsidP="00D4304B">
      <w:pPr>
        <w:pStyle w:val="EndnoteText"/>
        <w:widowControl w:val="0"/>
        <w:tabs>
          <w:tab w:val="clear" w:pos="567"/>
        </w:tabs>
        <w:rPr>
          <w:snapToGrid w:val="0"/>
          <w:szCs w:val="22"/>
          <w:lang w:val="sk-SK"/>
        </w:rPr>
      </w:pPr>
      <w:r w:rsidRPr="000F36E0">
        <w:rPr>
          <w:color w:val="000000"/>
          <w:szCs w:val="22"/>
          <w:lang w:val="sk-SK"/>
        </w:rPr>
        <w:t>V klinickom skúšaní s pacientmi s neresekovateľným a/alebo metastazujúcim GIST sa zaznamenalo gastrointestinálne krvácanie aj krvácanie vo vnútri nádoru (pozri časť 4.8). Na základe dostupných údajov sa nezistili predisponujúce faktory (napr. veľkosť nádoru, lokalizácia nádoru, poruchy zrážania krvi), ktoré by u pacientov s GIST zvyšovali riziko niektorého z uvedených typov krvácania. Pretože zvýšená vaskularita a náchylnosť na krvácanie sú charakteristickou črtou a súčasťou klinického priebehu GIST, majú sa u všetkých pacientov používať štandardné postupy monitorovania a liečby krvácania.</w:t>
      </w:r>
    </w:p>
    <w:p w14:paraId="32368258" w14:textId="77777777" w:rsidR="00C6161D" w:rsidRPr="000F36E0" w:rsidRDefault="00C6161D" w:rsidP="00D4304B">
      <w:pPr>
        <w:pStyle w:val="EndnoteText"/>
        <w:widowControl w:val="0"/>
        <w:tabs>
          <w:tab w:val="clear" w:pos="567"/>
        </w:tabs>
        <w:rPr>
          <w:snapToGrid w:val="0"/>
          <w:szCs w:val="22"/>
          <w:lang w:val="sk-SK"/>
        </w:rPr>
      </w:pPr>
    </w:p>
    <w:p w14:paraId="32368259" w14:textId="77777777" w:rsidR="00591A69" w:rsidRPr="00C83045" w:rsidRDefault="00C6161D" w:rsidP="00D4304B">
      <w:pPr>
        <w:widowControl w:val="0"/>
        <w:ind w:left="0" w:firstLine="0"/>
        <w:rPr>
          <w:color w:val="000000"/>
          <w:szCs w:val="22"/>
        </w:rPr>
      </w:pPr>
      <w:r w:rsidRPr="00C83045">
        <w:t>Okrem toho bola po uvedení lieku na trh u pacientov s CML, ALL a inými ochoreniami (pozri časť 4.8) zaznamenaná gastrická antrálna vaskulárna ektázia (GAVE), zriedkavá príčina gastrointestinálneho krvácania. V prípade potreby sa má zvážiť ukončenie liečby Glivecom.</w:t>
      </w:r>
    </w:p>
    <w:p w14:paraId="3236825A" w14:textId="77777777" w:rsidR="00591A69" w:rsidRPr="00C83045" w:rsidRDefault="00591A69" w:rsidP="00D4304B">
      <w:pPr>
        <w:widowControl w:val="0"/>
        <w:ind w:left="0" w:firstLine="0"/>
        <w:rPr>
          <w:color w:val="000000"/>
          <w:szCs w:val="22"/>
        </w:rPr>
      </w:pPr>
    </w:p>
    <w:p w14:paraId="3236825B" w14:textId="77777777" w:rsidR="00591A69" w:rsidRPr="00C83045" w:rsidRDefault="00591A69" w:rsidP="00D4304B">
      <w:pPr>
        <w:keepNext/>
        <w:widowControl w:val="0"/>
        <w:ind w:left="0" w:firstLine="0"/>
        <w:rPr>
          <w:color w:val="000000"/>
          <w:szCs w:val="22"/>
          <w:u w:val="single"/>
        </w:rPr>
      </w:pPr>
      <w:r w:rsidRPr="00C83045">
        <w:rPr>
          <w:color w:val="000000"/>
          <w:szCs w:val="22"/>
          <w:u w:val="single"/>
        </w:rPr>
        <w:t>Syndróm z rozpadu nádoru</w:t>
      </w:r>
    </w:p>
    <w:p w14:paraId="3236825C" w14:textId="77777777" w:rsidR="00591A69" w:rsidRPr="00C83045" w:rsidRDefault="00591A69" w:rsidP="00D4304B">
      <w:pPr>
        <w:widowControl w:val="0"/>
        <w:ind w:left="0" w:firstLine="0"/>
        <w:rPr>
          <w:color w:val="000000"/>
          <w:szCs w:val="22"/>
        </w:rPr>
      </w:pPr>
      <w:r w:rsidRPr="00C83045">
        <w:rPr>
          <w:color w:val="000000"/>
          <w:szCs w:val="22"/>
        </w:rPr>
        <w:t>Vzhľadom na možný výskyt syndrómu z rozpadu nádoru (TLS) sa pred začatím liečby Glivecom odporúča úprava klinicky významnej dehydratácie a liečba vysokých hladín kyseliny močovej (pozri časť 4.8).</w:t>
      </w:r>
    </w:p>
    <w:p w14:paraId="3236825D" w14:textId="77777777" w:rsidR="00500432" w:rsidRDefault="00500432" w:rsidP="00D4304B">
      <w:pPr>
        <w:widowControl w:val="0"/>
        <w:ind w:left="0" w:firstLine="0"/>
        <w:rPr>
          <w:color w:val="000000"/>
          <w:szCs w:val="22"/>
          <w:u w:val="single"/>
        </w:rPr>
      </w:pPr>
    </w:p>
    <w:p w14:paraId="3236825E" w14:textId="77777777" w:rsidR="00500432" w:rsidRPr="00060B0E" w:rsidRDefault="00500432" w:rsidP="00D4304B">
      <w:pPr>
        <w:keepNext/>
        <w:widowControl w:val="0"/>
        <w:ind w:left="0" w:firstLine="0"/>
        <w:rPr>
          <w:color w:val="000000"/>
          <w:szCs w:val="22"/>
          <w:u w:val="single"/>
        </w:rPr>
      </w:pPr>
      <w:r w:rsidRPr="00060B0E">
        <w:rPr>
          <w:color w:val="000000"/>
          <w:szCs w:val="22"/>
          <w:u w:val="single"/>
        </w:rPr>
        <w:t>Reaktivácia hepatitídy</w:t>
      </w:r>
      <w:r w:rsidR="00F1077D">
        <w:rPr>
          <w:color w:val="000000"/>
          <w:szCs w:val="22"/>
          <w:u w:val="single"/>
        </w:rPr>
        <w:t> </w:t>
      </w:r>
      <w:r w:rsidRPr="00060B0E">
        <w:rPr>
          <w:color w:val="000000"/>
          <w:szCs w:val="22"/>
          <w:u w:val="single"/>
        </w:rPr>
        <w:t>B</w:t>
      </w:r>
    </w:p>
    <w:p w14:paraId="3236825F" w14:textId="77777777" w:rsidR="00500432" w:rsidRPr="00060B0E" w:rsidRDefault="00500432" w:rsidP="00D4304B">
      <w:pPr>
        <w:widowControl w:val="0"/>
        <w:ind w:left="0" w:firstLine="0"/>
        <w:rPr>
          <w:color w:val="000000"/>
          <w:szCs w:val="22"/>
        </w:rPr>
      </w:pPr>
      <w:r w:rsidRPr="00060B0E">
        <w:rPr>
          <w:color w:val="000000"/>
          <w:szCs w:val="22"/>
        </w:rPr>
        <w:t>Reaktivácia hepatitídy</w:t>
      </w:r>
      <w:r w:rsidR="00F1077D">
        <w:rPr>
          <w:color w:val="000000"/>
          <w:szCs w:val="22"/>
        </w:rPr>
        <w:t> </w:t>
      </w:r>
      <w:r w:rsidRPr="00060B0E">
        <w:rPr>
          <w:color w:val="000000"/>
          <w:szCs w:val="22"/>
        </w:rPr>
        <w:t>B u pacientov, ktorí sú chronickými prenášačmi tohto vírusu, sa vyskytla v prípade, že títo pacienti užívali inhibítory BCR-ABL-tyrozínkinázy. Niektoré prípady viedli k akútnemu zlyhaniu pečene alebo k fulminantnej hepatitíde, ktorých výsledkom bola transplantácia pečene alebo úmrtie.</w:t>
      </w:r>
    </w:p>
    <w:p w14:paraId="32368260" w14:textId="77777777" w:rsidR="00500432" w:rsidRPr="00060B0E" w:rsidRDefault="00500432" w:rsidP="00D4304B">
      <w:pPr>
        <w:widowControl w:val="0"/>
        <w:ind w:left="0" w:firstLine="0"/>
        <w:rPr>
          <w:color w:val="000000"/>
          <w:szCs w:val="22"/>
        </w:rPr>
      </w:pPr>
    </w:p>
    <w:p w14:paraId="32368261" w14:textId="77777777" w:rsidR="00500432" w:rsidRDefault="00500432" w:rsidP="00D4304B">
      <w:pPr>
        <w:widowControl w:val="0"/>
        <w:ind w:left="0" w:firstLine="0"/>
        <w:rPr>
          <w:color w:val="000000"/>
          <w:szCs w:val="22"/>
        </w:rPr>
      </w:pPr>
      <w:r w:rsidRPr="00060B0E">
        <w:rPr>
          <w:color w:val="000000"/>
          <w:szCs w:val="22"/>
        </w:rPr>
        <w:t xml:space="preserve">Pacienti majú byť vyšetrení na HBV infekciu pred začatím liečby liekom </w:t>
      </w:r>
      <w:r>
        <w:rPr>
          <w:color w:val="000000"/>
          <w:szCs w:val="22"/>
        </w:rPr>
        <w:t>Glivec</w:t>
      </w:r>
      <w:r w:rsidRPr="00060B0E">
        <w:rPr>
          <w:color w:val="000000"/>
          <w:szCs w:val="22"/>
        </w:rPr>
        <w:t>. Pred začatím liečby u pacientov s pozitívnym sérologickým testom na hepatitídu</w:t>
      </w:r>
      <w:r w:rsidR="00F1077D">
        <w:rPr>
          <w:color w:val="000000"/>
          <w:szCs w:val="22"/>
        </w:rPr>
        <w:t> </w:t>
      </w:r>
      <w:r w:rsidRPr="00060B0E">
        <w:rPr>
          <w:color w:val="000000"/>
          <w:szCs w:val="22"/>
        </w:rPr>
        <w:t>B (vrátane pacientov s aktívnym ochorením) a u pacientov s pozitívnym testom na HBV infekciu počas liečby je potrebné konzultovať s odborníkmi na ochorenia pečene a liečbu hepatitídy</w:t>
      </w:r>
      <w:r w:rsidR="00F1077D">
        <w:rPr>
          <w:color w:val="000000"/>
          <w:szCs w:val="22"/>
        </w:rPr>
        <w:t> </w:t>
      </w:r>
      <w:r w:rsidRPr="00060B0E">
        <w:rPr>
          <w:color w:val="000000"/>
          <w:szCs w:val="22"/>
        </w:rPr>
        <w:t xml:space="preserve">B. Prenášači vírusu HBV, ktorí potrebujú liečbu </w:t>
      </w:r>
      <w:r w:rsidRPr="00060B0E">
        <w:rPr>
          <w:color w:val="000000"/>
          <w:szCs w:val="22"/>
        </w:rPr>
        <w:lastRenderedPageBreak/>
        <w:t xml:space="preserve">liekom </w:t>
      </w:r>
      <w:r>
        <w:rPr>
          <w:color w:val="000000"/>
          <w:szCs w:val="22"/>
        </w:rPr>
        <w:t>Glivec</w:t>
      </w:r>
      <w:r w:rsidRPr="00060B0E">
        <w:rPr>
          <w:color w:val="000000"/>
          <w:szCs w:val="22"/>
        </w:rPr>
        <w:t>, majú byť pozorne sledovaní na prejavy a symptómy aktívnej HBV infekcie počas celej liečby a niekoľko mesiacov po ukončení liečby (pozri časť</w:t>
      </w:r>
      <w:r w:rsidR="009528EE">
        <w:rPr>
          <w:color w:val="000000"/>
          <w:szCs w:val="22"/>
        </w:rPr>
        <w:t> </w:t>
      </w:r>
      <w:r w:rsidRPr="00060B0E">
        <w:rPr>
          <w:color w:val="000000"/>
          <w:szCs w:val="22"/>
        </w:rPr>
        <w:t>4.8).</w:t>
      </w:r>
    </w:p>
    <w:p w14:paraId="32368262" w14:textId="77777777" w:rsidR="004A10D4" w:rsidRPr="00060B0E" w:rsidRDefault="004A10D4" w:rsidP="00D4304B">
      <w:pPr>
        <w:widowControl w:val="0"/>
        <w:ind w:left="0" w:firstLine="0"/>
        <w:rPr>
          <w:color w:val="000000"/>
          <w:szCs w:val="22"/>
        </w:rPr>
      </w:pPr>
    </w:p>
    <w:p w14:paraId="32368263" w14:textId="77777777" w:rsidR="004A10D4" w:rsidRPr="00514B7B" w:rsidRDefault="004A10D4" w:rsidP="00D4304B">
      <w:pPr>
        <w:keepNext/>
        <w:widowControl w:val="0"/>
        <w:ind w:left="0" w:firstLine="0"/>
        <w:rPr>
          <w:snapToGrid w:val="0"/>
          <w:color w:val="000000"/>
          <w:szCs w:val="22"/>
          <w:u w:val="single"/>
          <w:lang w:eastAsia="en-US"/>
        </w:rPr>
      </w:pPr>
      <w:r w:rsidRPr="006A4594">
        <w:rPr>
          <w:color w:val="000000"/>
          <w:szCs w:val="22"/>
          <w:u w:val="single"/>
        </w:rPr>
        <w:t>Fototoxicita</w:t>
      </w:r>
    </w:p>
    <w:p w14:paraId="32368264" w14:textId="77777777" w:rsidR="004A10D4" w:rsidRDefault="004A10D4" w:rsidP="00D4304B">
      <w:pPr>
        <w:widowControl w:val="0"/>
        <w:ind w:left="0" w:firstLine="0"/>
        <w:rPr>
          <w:color w:val="000000"/>
          <w:szCs w:val="22"/>
        </w:rPr>
      </w:pPr>
      <w:r>
        <w:rPr>
          <w:color w:val="000000"/>
          <w:szCs w:val="22"/>
        </w:rPr>
        <w:t xml:space="preserve">V dôsledku rizika fototoxicity spojenej s liečbou imatinibom sa má vyhnúť alebo minimalizovať vystavenie slnečnému žiareniu. Pacienti majú byť poučení použiť opatrenia ako ochranný odev a opaľovací krém s vysokým ochranným faktorom pred slnečným žiarením (SPF, </w:t>
      </w:r>
      <w:r w:rsidRPr="00D333C9">
        <w:rPr>
          <w:color w:val="000000"/>
          <w:szCs w:val="22"/>
        </w:rPr>
        <w:t>sun protection factor</w:t>
      </w:r>
      <w:r>
        <w:rPr>
          <w:color w:val="000000"/>
          <w:szCs w:val="22"/>
        </w:rPr>
        <w:t>).</w:t>
      </w:r>
    </w:p>
    <w:p w14:paraId="32368265" w14:textId="77777777" w:rsidR="00591A69" w:rsidRDefault="00591A69" w:rsidP="00D4304B">
      <w:pPr>
        <w:widowControl w:val="0"/>
        <w:ind w:left="0" w:firstLine="0"/>
        <w:rPr>
          <w:color w:val="000000"/>
          <w:szCs w:val="22"/>
        </w:rPr>
      </w:pPr>
    </w:p>
    <w:p w14:paraId="32368266" w14:textId="77777777" w:rsidR="00152CF0" w:rsidRPr="00514B7B" w:rsidRDefault="00152CF0" w:rsidP="00D4304B">
      <w:pPr>
        <w:pStyle w:val="EndnoteText"/>
        <w:keepNext/>
        <w:widowControl w:val="0"/>
        <w:tabs>
          <w:tab w:val="clear" w:pos="567"/>
        </w:tabs>
        <w:rPr>
          <w:rFonts w:ascii="TimesNewRomanPSMT" w:hAnsi="TimesNewRomanPSMT" w:cs="TimesNewRomanPSMT"/>
          <w:szCs w:val="22"/>
          <w:u w:val="single"/>
          <w:lang w:val="sk-SK"/>
        </w:rPr>
      </w:pPr>
      <w:r w:rsidRPr="00514B7B">
        <w:rPr>
          <w:rFonts w:ascii="TimesNewRomanPSMT" w:hAnsi="TimesNewRomanPSMT" w:cs="TimesNewRomanPSMT"/>
          <w:szCs w:val="22"/>
          <w:u w:val="single"/>
          <w:lang w:val="sk-SK"/>
        </w:rPr>
        <w:t>Trombotická mikroangiopatia</w:t>
      </w:r>
    </w:p>
    <w:p w14:paraId="32368267" w14:textId="77777777" w:rsidR="00152CF0" w:rsidRPr="00514B7B" w:rsidRDefault="00152CF0" w:rsidP="00D4304B">
      <w:pPr>
        <w:pStyle w:val="EndnoteText"/>
        <w:widowControl w:val="0"/>
        <w:tabs>
          <w:tab w:val="clear" w:pos="567"/>
        </w:tabs>
        <w:rPr>
          <w:color w:val="000000"/>
          <w:szCs w:val="22"/>
          <w:lang w:val="sk-SK"/>
        </w:rPr>
      </w:pPr>
      <w:r>
        <w:rPr>
          <w:color w:val="000000"/>
          <w:szCs w:val="22"/>
          <w:lang w:val="sk-SK"/>
        </w:rPr>
        <w:t>I</w:t>
      </w:r>
      <w:r w:rsidRPr="00514B7B">
        <w:rPr>
          <w:color w:val="000000"/>
          <w:szCs w:val="22"/>
          <w:lang w:val="sk-SK"/>
        </w:rPr>
        <w:t xml:space="preserve">nhibítory BCR-ABL tyrozínkinázy (TKIs, tyrosine kinase inhibitors) boli asociované s trombotickou mikroangiopatiou (TMA, thrombotic microangiopathy) vrátane individuálnych hlásení pre Glivec (pozri časť 4.8). Ak sa u pacienta užívajúceho Glivec vyskytnú laboratórne alebo klinické príznaky </w:t>
      </w:r>
      <w:r w:rsidR="004933D0" w:rsidRPr="00514B7B">
        <w:rPr>
          <w:color w:val="000000"/>
          <w:szCs w:val="22"/>
          <w:lang w:val="sk-SK"/>
        </w:rPr>
        <w:t>súvisiace</w:t>
      </w:r>
      <w:r w:rsidRPr="00514B7B">
        <w:rPr>
          <w:color w:val="000000"/>
          <w:szCs w:val="22"/>
          <w:lang w:val="sk-SK"/>
        </w:rPr>
        <w:t xml:space="preserve"> s TMA, liečba sa má prerušiť a má sa uskutočniť dôkladné hodnotenie TMA, vrátane aktivity ADAMTS13 a stanovenia anti</w:t>
      </w:r>
      <w:r w:rsidR="004933D0" w:rsidRPr="00514B7B">
        <w:rPr>
          <w:color w:val="000000"/>
          <w:szCs w:val="22"/>
          <w:lang w:val="sk-SK"/>
        </w:rPr>
        <w:t>-</w:t>
      </w:r>
      <w:r w:rsidRPr="00514B7B">
        <w:rPr>
          <w:color w:val="000000"/>
          <w:szCs w:val="22"/>
          <w:lang w:val="sk-SK"/>
        </w:rPr>
        <w:t>ADAMTS13 protilátok. Ak sú protilátky anti</w:t>
      </w:r>
      <w:r w:rsidR="004933D0" w:rsidRPr="00514B7B">
        <w:rPr>
          <w:color w:val="000000"/>
          <w:szCs w:val="22"/>
          <w:lang w:val="sk-SK"/>
        </w:rPr>
        <w:t>-</w:t>
      </w:r>
      <w:r w:rsidRPr="00514B7B">
        <w:rPr>
          <w:color w:val="000000"/>
          <w:szCs w:val="22"/>
          <w:lang w:val="sk-SK"/>
        </w:rPr>
        <w:t>ADAMTS13 zvýšené v spojení s nízkou aktivitou ADAMTS13, liečba Glivecom</w:t>
      </w:r>
      <w:r w:rsidR="004933D0" w:rsidRPr="00514B7B">
        <w:rPr>
          <w:color w:val="000000"/>
          <w:szCs w:val="22"/>
          <w:lang w:val="sk-SK"/>
        </w:rPr>
        <w:t xml:space="preserve"> sa nemá obnoviť</w:t>
      </w:r>
      <w:r w:rsidRPr="00514B7B">
        <w:rPr>
          <w:color w:val="000000"/>
          <w:szCs w:val="22"/>
          <w:lang w:val="sk-SK"/>
        </w:rPr>
        <w:t>.</w:t>
      </w:r>
    </w:p>
    <w:p w14:paraId="32368268" w14:textId="77777777" w:rsidR="00152CF0" w:rsidRPr="00C83045" w:rsidRDefault="00152CF0" w:rsidP="00D4304B">
      <w:pPr>
        <w:widowControl w:val="0"/>
        <w:ind w:left="0" w:firstLine="0"/>
        <w:rPr>
          <w:color w:val="000000"/>
          <w:szCs w:val="22"/>
        </w:rPr>
      </w:pPr>
    </w:p>
    <w:p w14:paraId="32368269" w14:textId="77777777" w:rsidR="00591A69" w:rsidRPr="00C83045" w:rsidRDefault="00591A69" w:rsidP="00D4304B">
      <w:pPr>
        <w:pStyle w:val="Heading1"/>
        <w:widowControl w:val="0"/>
        <w:autoSpaceDE/>
        <w:autoSpaceDN/>
        <w:rPr>
          <w:i w:val="0"/>
          <w:color w:val="000000"/>
          <w:sz w:val="22"/>
          <w:szCs w:val="22"/>
          <w:u w:val="single"/>
        </w:rPr>
      </w:pPr>
      <w:r w:rsidRPr="00C83045">
        <w:rPr>
          <w:i w:val="0"/>
          <w:color w:val="000000"/>
          <w:sz w:val="22"/>
          <w:szCs w:val="22"/>
          <w:u w:val="single"/>
        </w:rPr>
        <w:t>Laboratórne vyšetrenia</w:t>
      </w:r>
    </w:p>
    <w:p w14:paraId="3236826A" w14:textId="77777777" w:rsidR="00591A69" w:rsidRPr="00C83045" w:rsidRDefault="00591A69" w:rsidP="00D4304B">
      <w:pPr>
        <w:widowControl w:val="0"/>
        <w:ind w:left="0" w:firstLine="0"/>
        <w:rPr>
          <w:color w:val="000000"/>
          <w:szCs w:val="22"/>
        </w:rPr>
      </w:pPr>
      <w:r w:rsidRPr="00C83045">
        <w:rPr>
          <w:color w:val="000000"/>
          <w:szCs w:val="22"/>
        </w:rPr>
        <w:t>Počas liečby Glivecom sa musia pravidelne vykonávať kontroly kompletného krvného obrazu. Liečba Glivecom sa u pacientov s CML spájala s neutropéniou alebo trombocytopéniou. Výskyt týchto cytopénií však pravdepodobne súvisí s fázou liečeného ochorenia a je častejší u pacientov v akcelerovanej fáze CML alebo blastickej kríze ako u pacientov v chronickej fáze CML. Liečbu Glivecom možno prerušiť alebo možno znížiť dávku, ako sa odporúča v časti 4.2.</w:t>
      </w:r>
    </w:p>
    <w:p w14:paraId="3236826B" w14:textId="77777777" w:rsidR="00591A69" w:rsidRPr="00C83045" w:rsidRDefault="00591A69" w:rsidP="00D4304B">
      <w:pPr>
        <w:widowControl w:val="0"/>
        <w:ind w:left="0" w:firstLine="0"/>
        <w:rPr>
          <w:color w:val="000000"/>
          <w:szCs w:val="22"/>
        </w:rPr>
      </w:pPr>
    </w:p>
    <w:p w14:paraId="3236826C" w14:textId="77777777" w:rsidR="00591A69" w:rsidRPr="00C83045" w:rsidRDefault="00591A69" w:rsidP="00D4304B">
      <w:pPr>
        <w:widowControl w:val="0"/>
        <w:ind w:left="0" w:firstLine="0"/>
        <w:rPr>
          <w:color w:val="000000"/>
          <w:szCs w:val="22"/>
        </w:rPr>
      </w:pPr>
      <w:r w:rsidRPr="00C83045">
        <w:rPr>
          <w:color w:val="000000"/>
          <w:szCs w:val="22"/>
        </w:rPr>
        <w:t>U pacientov, ktorí dostávajú Glivec, sa majú pravidelne vykonávať testy funkcie pečene (aminotransferázy, bilirubín, alkalická fosfatáza).</w:t>
      </w:r>
    </w:p>
    <w:p w14:paraId="3236826D" w14:textId="77777777" w:rsidR="00591A69" w:rsidRPr="00C83045" w:rsidRDefault="00591A69" w:rsidP="00D4304B">
      <w:pPr>
        <w:widowControl w:val="0"/>
        <w:ind w:left="0" w:firstLine="0"/>
        <w:rPr>
          <w:color w:val="000000"/>
          <w:szCs w:val="22"/>
        </w:rPr>
      </w:pPr>
    </w:p>
    <w:p w14:paraId="3236826E" w14:textId="77777777" w:rsidR="00591A69" w:rsidRPr="00C83045" w:rsidRDefault="00591A69" w:rsidP="00D4304B">
      <w:pPr>
        <w:widowControl w:val="0"/>
        <w:ind w:left="0" w:firstLine="0"/>
        <w:rPr>
          <w:color w:val="000000"/>
          <w:szCs w:val="22"/>
        </w:rPr>
      </w:pPr>
      <w:r w:rsidRPr="00C83045">
        <w:rPr>
          <w:color w:val="000000"/>
          <w:szCs w:val="22"/>
        </w:rPr>
        <w:t>U pacientov so zhoršenou funkciou obličiek sa expozícia imatinibu v plazme zdá byť vyššia ako u pacientov s normálnou funkciou obličiek, pravdepodobne ako následok zvýšenej plazmatickej hladiny alfa-kyslého glykoproteínu (AGP), bielkoviny viažucej imatinib u týchto pacientov. Pacientom so zhoršenou funkciou obličiek sa má podať najnižšia začiatočná dávka. Pri liečbe pacientov s ťažkým poškodením funkcie obličiek je potrebná opatrnosť. Dávku možno znížiť, ak nie je tolerovaná (pozri časti 4.5 a 5.2).</w:t>
      </w:r>
    </w:p>
    <w:p w14:paraId="3236826F" w14:textId="77777777" w:rsidR="00741F90" w:rsidRPr="00C83045" w:rsidRDefault="00741F90" w:rsidP="00D4304B">
      <w:pPr>
        <w:widowControl w:val="0"/>
        <w:ind w:left="0" w:firstLine="0"/>
        <w:rPr>
          <w:color w:val="000000"/>
          <w:szCs w:val="22"/>
        </w:rPr>
      </w:pPr>
    </w:p>
    <w:p w14:paraId="32368270" w14:textId="77777777" w:rsidR="00741F90" w:rsidRDefault="00741F90" w:rsidP="00D4304B">
      <w:pPr>
        <w:widowControl w:val="0"/>
        <w:ind w:left="0" w:firstLine="0"/>
        <w:rPr>
          <w:color w:val="000000"/>
          <w:szCs w:val="22"/>
        </w:rPr>
      </w:pPr>
      <w:r>
        <w:rPr>
          <w:color w:val="000000"/>
          <w:szCs w:val="22"/>
        </w:rPr>
        <w:t>Dlhodobá liečba imatinibom môže byť spojená s klinicky významným poklesom funkcie obličiek</w:t>
      </w:r>
      <w:r w:rsidRPr="00633EAB">
        <w:rPr>
          <w:color w:val="000000"/>
          <w:szCs w:val="22"/>
        </w:rPr>
        <w:t>.</w:t>
      </w:r>
      <w:r>
        <w:rPr>
          <w:color w:val="000000"/>
          <w:szCs w:val="22"/>
        </w:rPr>
        <w:t xml:space="preserve"> Pred začatím liečby imatinibom je preto potrebné vyšetriť funkciu obličiek a dôkladne ju kontrolovať počas liečby</w:t>
      </w:r>
      <w:r w:rsidRPr="00633EAB">
        <w:rPr>
          <w:color w:val="000000"/>
          <w:szCs w:val="22"/>
        </w:rPr>
        <w:t xml:space="preserve">, </w:t>
      </w:r>
      <w:r>
        <w:rPr>
          <w:color w:val="000000"/>
          <w:szCs w:val="22"/>
        </w:rPr>
        <w:t>osobitnú pozornosť treba venovať pacientom vykazujúcim rizikové faktory pre renálnu dysfunkciu</w:t>
      </w:r>
      <w:r w:rsidRPr="00633EAB">
        <w:rPr>
          <w:color w:val="000000"/>
          <w:szCs w:val="22"/>
        </w:rPr>
        <w:t xml:space="preserve">. </w:t>
      </w:r>
      <w:r>
        <w:rPr>
          <w:color w:val="000000"/>
          <w:szCs w:val="22"/>
        </w:rPr>
        <w:t>Ak sa zistí renálna dysfunkcia</w:t>
      </w:r>
      <w:r w:rsidRPr="00633EAB">
        <w:rPr>
          <w:color w:val="000000"/>
          <w:szCs w:val="22"/>
        </w:rPr>
        <w:t xml:space="preserve">, </w:t>
      </w:r>
      <w:r>
        <w:rPr>
          <w:color w:val="000000"/>
          <w:szCs w:val="22"/>
        </w:rPr>
        <w:t>je potrebné predpísať adekvátnu liečbu a starostlivosť v súlade so štadardnýmí klinickými postupmi.</w:t>
      </w:r>
    </w:p>
    <w:p w14:paraId="32368271" w14:textId="77777777" w:rsidR="00591A69" w:rsidRPr="00C83045" w:rsidRDefault="00591A69" w:rsidP="00D4304B">
      <w:pPr>
        <w:widowControl w:val="0"/>
        <w:ind w:left="0" w:firstLine="0"/>
        <w:rPr>
          <w:color w:val="000000"/>
          <w:szCs w:val="22"/>
        </w:rPr>
      </w:pPr>
    </w:p>
    <w:p w14:paraId="32368272" w14:textId="77777777" w:rsidR="00591A69" w:rsidRPr="00C83045" w:rsidRDefault="00591A69" w:rsidP="00D4304B">
      <w:pPr>
        <w:keepNext/>
        <w:widowControl w:val="0"/>
        <w:ind w:left="0" w:firstLine="0"/>
        <w:rPr>
          <w:color w:val="000000"/>
          <w:szCs w:val="22"/>
          <w:u w:val="single"/>
        </w:rPr>
      </w:pPr>
      <w:r w:rsidRPr="00C83045">
        <w:rPr>
          <w:noProof/>
          <w:szCs w:val="22"/>
          <w:u w:val="single"/>
        </w:rPr>
        <w:t>Pediatrická populácia</w:t>
      </w:r>
    </w:p>
    <w:p w14:paraId="32368273" w14:textId="77777777" w:rsidR="00591A69" w:rsidRPr="00C83045" w:rsidRDefault="00591A69" w:rsidP="00D4304B">
      <w:pPr>
        <w:widowControl w:val="0"/>
        <w:ind w:left="0" w:firstLine="0"/>
        <w:rPr>
          <w:color w:val="000000"/>
          <w:szCs w:val="22"/>
        </w:rPr>
      </w:pPr>
      <w:r w:rsidRPr="00C83045">
        <w:rPr>
          <w:color w:val="000000"/>
          <w:szCs w:val="22"/>
        </w:rPr>
        <w:t xml:space="preserve">Zaznamenali sa hlásenia o prípadoch spomalenia rastu u detí a prepubertálnych detí, ktoré dostávali imatinib. </w:t>
      </w:r>
      <w:r w:rsidR="005503A7">
        <w:rPr>
          <w:color w:val="000000"/>
          <w:szCs w:val="22"/>
        </w:rPr>
        <w:t>V pozorovacej štúdii v pediatrickej populácii s CML</w:t>
      </w:r>
      <w:r w:rsidR="005503A7">
        <w:rPr>
          <w:szCs w:val="22"/>
          <w:lang w:bidi="kn-IN"/>
        </w:rPr>
        <w:t xml:space="preserve"> sa po 12 a 24</w:t>
      </w:r>
      <w:r w:rsidR="00AD1906">
        <w:rPr>
          <w:szCs w:val="22"/>
          <w:lang w:bidi="kn-IN"/>
        </w:rPr>
        <w:t> </w:t>
      </w:r>
      <w:r w:rsidR="005503A7">
        <w:rPr>
          <w:szCs w:val="22"/>
          <w:lang w:bidi="kn-IN"/>
        </w:rPr>
        <w:t xml:space="preserve">mesiacoch liečby zaznamenal nezávisle na stave dospievania alebo pohlavia v dvoch menších podskupinách </w:t>
      </w:r>
      <w:r w:rsidR="003F18F0">
        <w:rPr>
          <w:szCs w:val="22"/>
          <w:lang w:bidi="kn-IN"/>
        </w:rPr>
        <w:t xml:space="preserve">štatisticky významný pokles (avšak s nejasným klinickým významom) </w:t>
      </w:r>
      <w:r w:rsidR="005503A7">
        <w:rPr>
          <w:szCs w:val="22"/>
          <w:lang w:bidi="kn-IN"/>
        </w:rPr>
        <w:t xml:space="preserve">v </w:t>
      </w:r>
      <w:r w:rsidR="005503A7" w:rsidRPr="009F4A93">
        <w:rPr>
          <w:szCs w:val="22"/>
          <w:lang w:bidi="kn-IN"/>
        </w:rPr>
        <w:t xml:space="preserve">skóre štandardnej odchýlky pre </w:t>
      </w:r>
      <w:r w:rsidR="005503A7">
        <w:rPr>
          <w:szCs w:val="22"/>
          <w:lang w:bidi="kn-IN"/>
        </w:rPr>
        <w:t xml:space="preserve">priemernú </w:t>
      </w:r>
      <w:r w:rsidR="005503A7" w:rsidRPr="009F4A93">
        <w:rPr>
          <w:szCs w:val="22"/>
          <w:lang w:bidi="kn-IN"/>
        </w:rPr>
        <w:t>výšku</w:t>
      </w:r>
      <w:r w:rsidR="005503A7">
        <w:rPr>
          <w:szCs w:val="22"/>
          <w:lang w:bidi="kn-IN"/>
        </w:rPr>
        <w:t>.</w:t>
      </w:r>
      <w:r w:rsidR="005503A7" w:rsidRPr="00C83045">
        <w:rPr>
          <w:color w:val="000000"/>
          <w:szCs w:val="22"/>
        </w:rPr>
        <w:t xml:space="preserve"> </w:t>
      </w:r>
      <w:r w:rsidR="005503A7">
        <w:rPr>
          <w:color w:val="000000"/>
          <w:szCs w:val="22"/>
        </w:rPr>
        <w:t>P</w:t>
      </w:r>
      <w:r w:rsidRPr="00C83045">
        <w:rPr>
          <w:color w:val="000000"/>
          <w:szCs w:val="22"/>
        </w:rPr>
        <w:t xml:space="preserve">očas liečby imatinibom </w:t>
      </w:r>
      <w:r w:rsidR="005503A7">
        <w:rPr>
          <w:color w:val="000000"/>
          <w:szCs w:val="22"/>
        </w:rPr>
        <w:t xml:space="preserve">sa </w:t>
      </w:r>
      <w:r w:rsidRPr="00C83045">
        <w:rPr>
          <w:color w:val="000000"/>
          <w:szCs w:val="22"/>
        </w:rPr>
        <w:t>odporúča dôsledné monitorovanie rastu u detí (pozri časť 4.8).</w:t>
      </w:r>
    </w:p>
    <w:p w14:paraId="32368274" w14:textId="77777777" w:rsidR="00591A69" w:rsidRPr="00C83045" w:rsidRDefault="00591A69" w:rsidP="00D4304B">
      <w:pPr>
        <w:widowControl w:val="0"/>
        <w:rPr>
          <w:color w:val="000000"/>
          <w:szCs w:val="22"/>
        </w:rPr>
      </w:pPr>
    </w:p>
    <w:p w14:paraId="32368275" w14:textId="77777777" w:rsidR="00591A69" w:rsidRPr="00C83045" w:rsidRDefault="00591A69" w:rsidP="00D4304B">
      <w:pPr>
        <w:keepNext/>
        <w:widowControl w:val="0"/>
        <w:rPr>
          <w:b/>
          <w:bCs/>
          <w:color w:val="000000"/>
          <w:szCs w:val="22"/>
        </w:rPr>
      </w:pPr>
      <w:r w:rsidRPr="00C83045">
        <w:rPr>
          <w:b/>
          <w:bCs/>
          <w:color w:val="000000"/>
          <w:szCs w:val="22"/>
        </w:rPr>
        <w:t>4.5</w:t>
      </w:r>
      <w:r w:rsidRPr="00C83045">
        <w:rPr>
          <w:b/>
          <w:bCs/>
          <w:color w:val="000000"/>
          <w:szCs w:val="22"/>
        </w:rPr>
        <w:tab/>
        <w:t>Liekové a iné interakcie</w:t>
      </w:r>
    </w:p>
    <w:p w14:paraId="32368276" w14:textId="77777777" w:rsidR="00591A69" w:rsidRPr="00C83045" w:rsidRDefault="00591A69" w:rsidP="00D4304B">
      <w:pPr>
        <w:keepNext/>
        <w:widowControl w:val="0"/>
        <w:rPr>
          <w:bCs/>
          <w:color w:val="000000"/>
          <w:szCs w:val="22"/>
        </w:rPr>
      </w:pPr>
    </w:p>
    <w:p w14:paraId="32368277" w14:textId="77777777" w:rsidR="00591A69" w:rsidRPr="00C83045" w:rsidRDefault="00591A69" w:rsidP="00D4304B">
      <w:pPr>
        <w:pStyle w:val="Heading2"/>
        <w:widowControl w:val="0"/>
        <w:autoSpaceDE/>
        <w:autoSpaceDN/>
        <w:rPr>
          <w:b w:val="0"/>
          <w:i w:val="0"/>
          <w:color w:val="000000"/>
          <w:sz w:val="22"/>
          <w:szCs w:val="22"/>
          <w:u w:val="single"/>
        </w:rPr>
      </w:pPr>
      <w:r w:rsidRPr="00C83045">
        <w:rPr>
          <w:b w:val="0"/>
          <w:i w:val="0"/>
          <w:color w:val="000000"/>
          <w:sz w:val="22"/>
          <w:szCs w:val="22"/>
          <w:u w:val="single"/>
        </w:rPr>
        <w:t xml:space="preserve">Liečivá, ktoré môžu </w:t>
      </w:r>
      <w:r w:rsidRPr="00C83045">
        <w:rPr>
          <w:i w:val="0"/>
          <w:color w:val="000000"/>
          <w:sz w:val="22"/>
          <w:szCs w:val="22"/>
          <w:u w:val="single"/>
        </w:rPr>
        <w:t>zvýšiť</w:t>
      </w:r>
      <w:r w:rsidRPr="00C83045">
        <w:rPr>
          <w:b w:val="0"/>
          <w:i w:val="0"/>
          <w:color w:val="000000"/>
          <w:sz w:val="22"/>
          <w:szCs w:val="22"/>
          <w:u w:val="single"/>
        </w:rPr>
        <w:t xml:space="preserve"> plazmatické koncentrácie imatinibu:</w:t>
      </w:r>
    </w:p>
    <w:p w14:paraId="32368278" w14:textId="77777777" w:rsidR="00591A69" w:rsidRPr="00C83045" w:rsidRDefault="00591A69" w:rsidP="00D4304B">
      <w:pPr>
        <w:widowControl w:val="0"/>
        <w:ind w:left="0" w:firstLine="0"/>
        <w:rPr>
          <w:color w:val="000000"/>
          <w:szCs w:val="22"/>
        </w:rPr>
      </w:pPr>
      <w:r w:rsidRPr="00C83045">
        <w:rPr>
          <w:color w:val="000000"/>
          <w:szCs w:val="22"/>
        </w:rPr>
        <w:t>Látky, ktoré inhibujú aktivitu izoenzýmu CYP3A4 cytochrómu P450 (napr. inhibítory proteáz ako indinavir, lopinavir/ritonavir, ritonavir, sachinavir, telaprevir, nelfinavir, boceprevir; azolové antimykotiká vrátane ketokonazolu, itrakonazolu, posakonazolu, vorikonazolu; niektoré makrolidy ako erytromycín, klaritromycín a telitromycín), môžu spomaliť metabolizmus a zvýšiť koncentrácie imatinibu. Expozícia imatinibu sa významne zvýšila (priemerná hodnota C</w:t>
      </w:r>
      <w:r w:rsidRPr="00C83045">
        <w:rPr>
          <w:color w:val="000000"/>
          <w:szCs w:val="22"/>
          <w:vertAlign w:val="subscript"/>
        </w:rPr>
        <w:t>max</w:t>
      </w:r>
      <w:r w:rsidRPr="00C83045">
        <w:rPr>
          <w:color w:val="000000"/>
          <w:szCs w:val="22"/>
        </w:rPr>
        <w:t xml:space="preserve"> imatinibu vzrástla o 26% a AUC o 40%) u zdravých osôb, keď sa imatinib podal súčasne s jednorazovou dávkou ketokonazolu (inhibítor CYP3A4). Opatrnosť je potrebná pri podávaní Glivecu s inhibítormi triedy </w:t>
      </w:r>
      <w:r w:rsidRPr="00C83045">
        <w:rPr>
          <w:color w:val="000000"/>
          <w:szCs w:val="22"/>
        </w:rPr>
        <w:lastRenderedPageBreak/>
        <w:t>CYP3A4.</w:t>
      </w:r>
    </w:p>
    <w:p w14:paraId="32368279" w14:textId="77777777" w:rsidR="00591A69" w:rsidRPr="00C83045" w:rsidRDefault="00591A69" w:rsidP="00D4304B">
      <w:pPr>
        <w:widowControl w:val="0"/>
        <w:ind w:left="0" w:firstLine="0"/>
        <w:rPr>
          <w:color w:val="000000"/>
          <w:szCs w:val="22"/>
        </w:rPr>
      </w:pPr>
    </w:p>
    <w:p w14:paraId="3236827A" w14:textId="77777777" w:rsidR="00591A69" w:rsidRPr="00C83045" w:rsidRDefault="00591A69" w:rsidP="00D4304B">
      <w:pPr>
        <w:pStyle w:val="Heading2"/>
        <w:widowControl w:val="0"/>
        <w:autoSpaceDE/>
        <w:autoSpaceDN/>
        <w:rPr>
          <w:b w:val="0"/>
          <w:i w:val="0"/>
          <w:color w:val="000000"/>
          <w:sz w:val="22"/>
          <w:szCs w:val="22"/>
          <w:u w:val="single"/>
        </w:rPr>
      </w:pPr>
      <w:r w:rsidRPr="00C83045">
        <w:rPr>
          <w:b w:val="0"/>
          <w:i w:val="0"/>
          <w:color w:val="000000"/>
          <w:sz w:val="22"/>
          <w:szCs w:val="22"/>
          <w:u w:val="single"/>
        </w:rPr>
        <w:t xml:space="preserve">Liečivá, ktoré môžu </w:t>
      </w:r>
      <w:r w:rsidRPr="00C83045">
        <w:rPr>
          <w:i w:val="0"/>
          <w:color w:val="000000"/>
          <w:sz w:val="22"/>
          <w:szCs w:val="22"/>
          <w:u w:val="single"/>
        </w:rPr>
        <w:t>znížiť</w:t>
      </w:r>
      <w:r w:rsidRPr="00C83045">
        <w:rPr>
          <w:b w:val="0"/>
          <w:i w:val="0"/>
          <w:color w:val="000000"/>
          <w:sz w:val="22"/>
          <w:szCs w:val="22"/>
          <w:u w:val="single"/>
        </w:rPr>
        <w:t xml:space="preserve"> plazmatické koncentrácie imatinibu:</w:t>
      </w:r>
    </w:p>
    <w:p w14:paraId="3236827B" w14:textId="77777777" w:rsidR="00591A69" w:rsidRPr="00C83045" w:rsidRDefault="00591A69" w:rsidP="00D4304B">
      <w:pPr>
        <w:widowControl w:val="0"/>
        <w:ind w:left="0" w:firstLine="0"/>
        <w:rPr>
          <w:color w:val="000000"/>
          <w:szCs w:val="22"/>
        </w:rPr>
      </w:pPr>
      <w:r w:rsidRPr="00C83045">
        <w:rPr>
          <w:color w:val="000000"/>
          <w:szCs w:val="22"/>
        </w:rPr>
        <w:t xml:space="preserve">Látky, ktoré indukujú aktivitu </w:t>
      </w:r>
      <w:smartTag w:uri="urn:schemas-microsoft-com:office:smarttags" w:element="PersonName">
        <w:r w:rsidRPr="00C83045">
          <w:rPr>
            <w:color w:val="000000"/>
            <w:szCs w:val="22"/>
          </w:rPr>
          <w:t>CY</w:t>
        </w:r>
      </w:smartTag>
      <w:r w:rsidRPr="00C83045">
        <w:rPr>
          <w:color w:val="000000"/>
          <w:szCs w:val="22"/>
        </w:rPr>
        <w:t xml:space="preserve">P3A4 (napr. dexametazón, fenytoín, karbamazepín, rifampicín, fenobarbital, fosfenytoín, primidon alebo </w:t>
      </w:r>
      <w:r w:rsidRPr="00C83045">
        <w:rPr>
          <w:i/>
          <w:color w:val="000000"/>
          <w:szCs w:val="22"/>
        </w:rPr>
        <w:t xml:space="preserve">Hypericum perforatum </w:t>
      </w:r>
      <w:r w:rsidRPr="00C83045">
        <w:rPr>
          <w:color w:val="000000"/>
          <w:szCs w:val="22"/>
        </w:rPr>
        <w:t>– ľubovník bodkovaný), môžu významne znížiť expozíciu Glivecu a tým prípadne zvýšiť riziko zlyhania liečby. Predchádzajúca liečba opakovaným podávaním 600 mg rifampicínu, po ktorej nasledovala jednorazová dávka 400 mg Glivecu, spôsobila pokles C</w:t>
      </w:r>
      <w:r w:rsidRPr="00C83045">
        <w:rPr>
          <w:color w:val="000000"/>
          <w:szCs w:val="22"/>
          <w:vertAlign w:val="subscript"/>
        </w:rPr>
        <w:t>max</w:t>
      </w:r>
      <w:r w:rsidRPr="00C83045">
        <w:rPr>
          <w:color w:val="000000"/>
          <w:szCs w:val="22"/>
        </w:rPr>
        <w:t xml:space="preserve"> o najmenej 54% a AUC</w:t>
      </w:r>
      <w:r w:rsidRPr="00C83045">
        <w:rPr>
          <w:color w:val="000000"/>
          <w:szCs w:val="22"/>
          <w:vertAlign w:val="subscript"/>
        </w:rPr>
        <w:t>(0-</w:t>
      </w:r>
      <w:r w:rsidRPr="00C83045">
        <w:rPr>
          <w:color w:val="000000"/>
          <w:szCs w:val="22"/>
          <w:vertAlign w:val="subscript"/>
        </w:rPr>
        <w:sym w:font="Symbol" w:char="F0A5"/>
      </w:r>
      <w:r w:rsidRPr="00C83045">
        <w:rPr>
          <w:color w:val="000000"/>
          <w:szCs w:val="22"/>
          <w:vertAlign w:val="subscript"/>
        </w:rPr>
        <w:t>)</w:t>
      </w:r>
      <w:r w:rsidRPr="00C83045">
        <w:rPr>
          <w:color w:val="000000"/>
          <w:szCs w:val="22"/>
        </w:rPr>
        <w:t xml:space="preserve"> o najmenej 74% oproti zodpovedajúcim hodnotám bez liečby rifampicínom. Podobné výsledky sa pozorovali u pacientov s malígnymi gliómami liečených Glivecom počas užívania antiepileptík indukujúcich enzýmy </w:t>
      </w:r>
      <w:r w:rsidRPr="00C83045">
        <w:rPr>
          <w:snapToGrid w:val="0"/>
          <w:color w:val="000000"/>
          <w:szCs w:val="22"/>
        </w:rPr>
        <w:t xml:space="preserve">(EIAED), napr. karbamazepínu, oxkarbazepínu a fenytoínu. Hodnota AUC imatinibu v plazme sa znížila o 73% v porovnaní s pacientmi, ktorí neužívali EIAED. </w:t>
      </w:r>
      <w:r w:rsidRPr="00C83045">
        <w:rPr>
          <w:color w:val="000000"/>
          <w:szCs w:val="22"/>
        </w:rPr>
        <w:t xml:space="preserve">Je potrebné vyhnúť sa súčasnému podávaniu silných induktorov </w:t>
      </w:r>
      <w:smartTag w:uri="urn:schemas-microsoft-com:office:smarttags" w:element="PersonName">
        <w:r w:rsidRPr="00C83045">
          <w:rPr>
            <w:color w:val="000000"/>
            <w:szCs w:val="22"/>
          </w:rPr>
          <w:t>CY</w:t>
        </w:r>
      </w:smartTag>
      <w:r w:rsidRPr="00C83045">
        <w:rPr>
          <w:color w:val="000000"/>
          <w:szCs w:val="22"/>
        </w:rPr>
        <w:t>P3A4 a imatinibu.</w:t>
      </w:r>
    </w:p>
    <w:p w14:paraId="3236827C" w14:textId="77777777" w:rsidR="00591A69" w:rsidRPr="00C83045" w:rsidRDefault="00591A69" w:rsidP="00D4304B">
      <w:pPr>
        <w:widowControl w:val="0"/>
        <w:ind w:left="0" w:firstLine="0"/>
        <w:rPr>
          <w:color w:val="000000"/>
          <w:szCs w:val="22"/>
        </w:rPr>
      </w:pPr>
    </w:p>
    <w:p w14:paraId="3236827D" w14:textId="77777777" w:rsidR="00591A69" w:rsidRPr="00C83045" w:rsidRDefault="00591A69" w:rsidP="00D4304B">
      <w:pPr>
        <w:pStyle w:val="Heading2"/>
        <w:widowControl w:val="0"/>
        <w:autoSpaceDE/>
        <w:autoSpaceDN/>
        <w:rPr>
          <w:i w:val="0"/>
          <w:color w:val="000000"/>
          <w:sz w:val="22"/>
          <w:szCs w:val="22"/>
        </w:rPr>
      </w:pPr>
      <w:r w:rsidRPr="00C83045">
        <w:rPr>
          <w:i w:val="0"/>
          <w:color w:val="000000"/>
          <w:sz w:val="22"/>
          <w:szCs w:val="22"/>
        </w:rPr>
        <w:t>Liečivá, ktorých plazmatické koncentrácie môže zmeniť Glivec</w:t>
      </w:r>
    </w:p>
    <w:p w14:paraId="3236827E" w14:textId="77777777" w:rsidR="00591A69" w:rsidRPr="00C83045" w:rsidRDefault="00591A69" w:rsidP="00D4304B">
      <w:pPr>
        <w:pStyle w:val="Footer"/>
        <w:widowControl w:val="0"/>
        <w:ind w:left="0" w:firstLine="0"/>
        <w:rPr>
          <w:color w:val="000000"/>
          <w:szCs w:val="22"/>
        </w:rPr>
      </w:pPr>
      <w:r w:rsidRPr="00C83045">
        <w:rPr>
          <w:color w:val="000000"/>
          <w:szCs w:val="22"/>
        </w:rPr>
        <w:t>Imatinib zvyšuje priemernú hodnotu C</w:t>
      </w:r>
      <w:r w:rsidRPr="00C83045">
        <w:rPr>
          <w:color w:val="000000"/>
          <w:szCs w:val="22"/>
          <w:vertAlign w:val="subscript"/>
        </w:rPr>
        <w:t>max</w:t>
      </w:r>
      <w:r w:rsidRPr="00C83045">
        <w:rPr>
          <w:color w:val="000000"/>
          <w:szCs w:val="22"/>
        </w:rPr>
        <w:t xml:space="preserve"> simvastatínu (substrát CYP3A4) na 2-násobok a AUC na 3,5-násobok, čo poukazuje na inhibíciu CYP3A4 imatinibom. Preto sa odporúča opatrnosť pri podávaní Glivecu so substrátmi CYP3A4 s úzkym terapeutickým oknom (napr. cyklosporínom, pimozidom, takrolimom, sirolimom, ergotamínom, diergotamínom, fentanylom, alfentanilom, terfenadínom, bortezomibom, docetaxelom a chinidínom). Glivec môže zvyšovať plazmatickú koncentráciu iných liečiv metabolizovaných CYP3A4 (napr. triazolobenzodiazepíny, blokátory kalciových kanálov dihydropyridínového typu, niektoré inhibítory </w:t>
      </w:r>
      <w:smartTag w:uri="urn:schemas-microsoft-com:office:smarttags" w:element="stockticker">
        <w:r w:rsidRPr="00C83045">
          <w:rPr>
            <w:color w:val="000000"/>
            <w:szCs w:val="22"/>
          </w:rPr>
          <w:t>HMG</w:t>
        </w:r>
      </w:smartTag>
      <w:r w:rsidRPr="00C83045">
        <w:rPr>
          <w:color w:val="000000"/>
          <w:szCs w:val="22"/>
        </w:rPr>
        <w:t>-CoA-reduktázy, t.j. statíny atď.).</w:t>
      </w:r>
    </w:p>
    <w:p w14:paraId="3236827F" w14:textId="77777777" w:rsidR="00591A69" w:rsidRPr="00C83045" w:rsidRDefault="00591A69" w:rsidP="00D4304B">
      <w:pPr>
        <w:pStyle w:val="Footer"/>
        <w:widowControl w:val="0"/>
        <w:ind w:left="0" w:firstLine="0"/>
        <w:rPr>
          <w:color w:val="000000"/>
          <w:szCs w:val="22"/>
        </w:rPr>
      </w:pPr>
    </w:p>
    <w:p w14:paraId="32368280" w14:textId="77777777" w:rsidR="00591A69" w:rsidRPr="00C83045" w:rsidRDefault="00591A69" w:rsidP="00D4304B">
      <w:pPr>
        <w:pStyle w:val="Footer"/>
        <w:widowControl w:val="0"/>
        <w:ind w:left="0" w:firstLine="0"/>
        <w:rPr>
          <w:color w:val="000000"/>
          <w:szCs w:val="22"/>
        </w:rPr>
      </w:pPr>
      <w:r w:rsidRPr="00C83045">
        <w:rPr>
          <w:color w:val="000000"/>
          <w:szCs w:val="22"/>
        </w:rPr>
        <w:t>Pre známe zvýšené riziko krvácania spojené s použitím imatinibu (napr. hemorágie) majú pacienti, ktorí potrebujú antikoagulanciá, dostávať nízkomolekulový alebo štandardný heparín namiesto kumarínových derivátov, napr. warfarínu.</w:t>
      </w:r>
    </w:p>
    <w:p w14:paraId="32368281" w14:textId="77777777" w:rsidR="00591A69" w:rsidRPr="00C83045" w:rsidRDefault="00591A69" w:rsidP="00D4304B">
      <w:pPr>
        <w:pStyle w:val="Footer"/>
        <w:widowControl w:val="0"/>
        <w:ind w:left="0" w:firstLine="0"/>
        <w:rPr>
          <w:color w:val="000000"/>
          <w:szCs w:val="22"/>
        </w:rPr>
      </w:pPr>
    </w:p>
    <w:p w14:paraId="32368282" w14:textId="77777777" w:rsidR="00591A69" w:rsidRPr="00C83045" w:rsidRDefault="00591A69" w:rsidP="00D4304B">
      <w:pPr>
        <w:widowControl w:val="0"/>
        <w:ind w:left="0" w:firstLine="0"/>
        <w:rPr>
          <w:color w:val="000000"/>
          <w:szCs w:val="22"/>
        </w:rPr>
      </w:pPr>
      <w:r w:rsidRPr="00C83045">
        <w:rPr>
          <w:color w:val="000000"/>
          <w:szCs w:val="22"/>
        </w:rPr>
        <w:t xml:space="preserve">Glivec </w:t>
      </w:r>
      <w:r w:rsidRPr="00C83045">
        <w:rPr>
          <w:i/>
          <w:color w:val="000000"/>
          <w:szCs w:val="22"/>
        </w:rPr>
        <w:t>in vitro</w:t>
      </w:r>
      <w:r w:rsidRPr="00C83045">
        <w:rPr>
          <w:color w:val="000000"/>
          <w:szCs w:val="22"/>
        </w:rPr>
        <w:t xml:space="preserve"> inhibuje aktivitu izoenzýmu CYP2D6 cytochrómu P450 v podobných koncentráciách, aké ovplyvňujú aktivitu CYP3A4. Imatinib v dávke 400 mg dvakrát denne mal inhibičný účinok na metabolizmus metoprololu sprostredkovaný CYP2D6, so zvýšením C</w:t>
      </w:r>
      <w:r w:rsidRPr="00C83045">
        <w:rPr>
          <w:color w:val="000000"/>
          <w:szCs w:val="22"/>
          <w:vertAlign w:val="subscript"/>
        </w:rPr>
        <w:t>max</w:t>
      </w:r>
      <w:r w:rsidRPr="00C83045">
        <w:rPr>
          <w:color w:val="000000"/>
          <w:szCs w:val="22"/>
        </w:rPr>
        <w:t xml:space="preserve"> a AUC metoprololu približne o 23% (90% CI [1,16</w:t>
      </w:r>
      <w:r w:rsidRPr="00C83045">
        <w:rPr>
          <w:color w:val="000000"/>
          <w:szCs w:val="22"/>
        </w:rPr>
        <w:noBreakHyphen/>
        <w:t>1,30]). Úprava dávky sa nezdá byť potrebná, keď sa imatinib podáva súčasne so substrátmi CYP2D6, pri substrátoch CYP2D6 s úzkym terapeutickým oknom, ako je metoprolol, sa však odporúča opatrnosť. U pacientov liečených metoprololom sa má zvážiť klinické monitorovanie.</w:t>
      </w:r>
    </w:p>
    <w:p w14:paraId="32368283" w14:textId="77777777" w:rsidR="00591A69" w:rsidRPr="00C83045" w:rsidRDefault="00591A69" w:rsidP="00D4304B">
      <w:pPr>
        <w:widowControl w:val="0"/>
        <w:ind w:left="0" w:firstLine="0"/>
        <w:rPr>
          <w:color w:val="000000"/>
          <w:szCs w:val="22"/>
        </w:rPr>
      </w:pPr>
    </w:p>
    <w:p w14:paraId="32368284" w14:textId="77777777" w:rsidR="00591A69" w:rsidRPr="00C83045" w:rsidRDefault="00591A69" w:rsidP="00D4304B">
      <w:pPr>
        <w:widowControl w:val="0"/>
        <w:ind w:left="0" w:firstLine="0"/>
        <w:rPr>
          <w:color w:val="000000"/>
          <w:szCs w:val="22"/>
        </w:rPr>
      </w:pPr>
      <w:r w:rsidRPr="00C83045">
        <w:rPr>
          <w:color w:val="000000"/>
          <w:szCs w:val="22"/>
        </w:rPr>
        <w:t xml:space="preserve">Glivec </w:t>
      </w:r>
      <w:r w:rsidRPr="00C83045">
        <w:rPr>
          <w:i/>
          <w:color w:val="000000"/>
          <w:szCs w:val="22"/>
        </w:rPr>
        <w:t>in vitro</w:t>
      </w:r>
      <w:r w:rsidRPr="00C83045">
        <w:rPr>
          <w:color w:val="000000"/>
          <w:szCs w:val="22"/>
        </w:rPr>
        <w:t xml:space="preserve"> inhibuje O-glukuronidáciu paracetamolu s hodnotou Ki 58,5 mikromol/l. Táto inhibícia sa nepozorovala </w:t>
      </w:r>
      <w:r w:rsidRPr="00C83045">
        <w:rPr>
          <w:i/>
          <w:color w:val="000000"/>
          <w:szCs w:val="22"/>
        </w:rPr>
        <w:t>in vivo</w:t>
      </w:r>
      <w:r w:rsidRPr="00C83045">
        <w:rPr>
          <w:color w:val="000000"/>
          <w:szCs w:val="22"/>
        </w:rPr>
        <w:t xml:space="preserve"> po podaní Glivecu 400 mg a 1000 mg paracetamolu. Vyššie dávky Glivecu a paracetamolu sa nesledovali.</w:t>
      </w:r>
    </w:p>
    <w:p w14:paraId="32368285" w14:textId="77777777" w:rsidR="00591A69" w:rsidRPr="00C83045" w:rsidRDefault="00591A69" w:rsidP="00D4304B">
      <w:pPr>
        <w:widowControl w:val="0"/>
        <w:ind w:left="0" w:firstLine="0"/>
        <w:rPr>
          <w:color w:val="000000"/>
          <w:szCs w:val="22"/>
        </w:rPr>
      </w:pPr>
    </w:p>
    <w:p w14:paraId="32368286" w14:textId="77777777" w:rsidR="00591A69" w:rsidRPr="00C83045" w:rsidRDefault="00591A69" w:rsidP="00D4304B">
      <w:pPr>
        <w:widowControl w:val="0"/>
        <w:ind w:left="0" w:firstLine="0"/>
        <w:rPr>
          <w:color w:val="000000"/>
          <w:szCs w:val="22"/>
        </w:rPr>
      </w:pPr>
      <w:r w:rsidRPr="00C83045">
        <w:rPr>
          <w:color w:val="000000"/>
          <w:szCs w:val="22"/>
        </w:rPr>
        <w:t>Preto je potrebná opatrnosť pri súčasnom používaní vysokých dávok Glivecu a paracetamolu.</w:t>
      </w:r>
    </w:p>
    <w:p w14:paraId="32368287" w14:textId="77777777" w:rsidR="00591A69" w:rsidRPr="00C83045" w:rsidRDefault="00591A69" w:rsidP="00D4304B">
      <w:pPr>
        <w:widowControl w:val="0"/>
        <w:ind w:left="0" w:firstLine="0"/>
        <w:rPr>
          <w:color w:val="000000"/>
          <w:szCs w:val="22"/>
        </w:rPr>
      </w:pPr>
    </w:p>
    <w:p w14:paraId="32368288" w14:textId="77777777" w:rsidR="00591A69" w:rsidRPr="00C83045" w:rsidRDefault="00591A69" w:rsidP="00D4304B">
      <w:pPr>
        <w:widowControl w:val="0"/>
        <w:ind w:left="0" w:firstLine="0"/>
        <w:rPr>
          <w:color w:val="000000"/>
          <w:szCs w:val="22"/>
        </w:rPr>
      </w:pPr>
      <w:r w:rsidRPr="00C83045">
        <w:rPr>
          <w:color w:val="000000"/>
          <w:szCs w:val="22"/>
        </w:rPr>
        <w:t>U pacientov po tyreoidektómii, ktorí dostávajú levotyroxín, sa pri súčasnom podávaní Glivecu môže znížiť expozícia levotyroxínu v plazme (pozri časť 4.4). Preto sa odporúča opatrnosť. Mechanizmus pozorovanej interakcie však v súčasnosti nie je známy.</w:t>
      </w:r>
    </w:p>
    <w:p w14:paraId="32368289" w14:textId="77777777" w:rsidR="00591A69" w:rsidRPr="00C83045" w:rsidRDefault="00591A69" w:rsidP="00D4304B">
      <w:pPr>
        <w:widowControl w:val="0"/>
        <w:ind w:left="0" w:firstLine="0"/>
        <w:rPr>
          <w:color w:val="000000"/>
          <w:szCs w:val="22"/>
        </w:rPr>
      </w:pPr>
    </w:p>
    <w:p w14:paraId="3236828A" w14:textId="77777777" w:rsidR="00591A69" w:rsidRPr="00C83045" w:rsidRDefault="00591A69" w:rsidP="00D4304B">
      <w:pPr>
        <w:widowControl w:val="0"/>
        <w:ind w:left="0" w:firstLine="0"/>
        <w:rPr>
          <w:color w:val="000000"/>
          <w:szCs w:val="22"/>
        </w:rPr>
      </w:pPr>
      <w:r w:rsidRPr="00C83045">
        <w:rPr>
          <w:color w:val="000000"/>
          <w:szCs w:val="22"/>
        </w:rPr>
        <w:t>Klinické skúsenosti so súčasným podávaním Glivecu a chemoterapie sú u pacientov s Ph+ </w:t>
      </w:r>
      <w:smartTag w:uri="urn:schemas-microsoft-com:office:smarttags" w:element="stockticker">
        <w:r w:rsidRPr="00C83045">
          <w:rPr>
            <w:color w:val="000000"/>
            <w:szCs w:val="22"/>
          </w:rPr>
          <w:t>ALL</w:t>
        </w:r>
      </w:smartTag>
      <w:r w:rsidRPr="00C83045">
        <w:rPr>
          <w:color w:val="000000"/>
          <w:szCs w:val="22"/>
        </w:rPr>
        <w:t xml:space="preserve"> (pozri časť 5.1), ale liekové interakcie medzi imatinibom a režimami chemoterapie nie sú uspokojivo opísané. Nežiaduce udalosti pri imatinibe, napr. hepatotoxicita, myelosupresia alebo iné, sa môžu zhoršiť a vyskytli sa správy o tom, že súčasné použitie s L-asparaginázou sa môže spájať so zvýšenou hepatotoxicitou (pozri časť 4.8). Preto použitie Glivecu v kombinácii vyžaduje mimoriadnu opatrnosť.</w:t>
      </w:r>
    </w:p>
    <w:p w14:paraId="3236828B" w14:textId="77777777" w:rsidR="00591A69" w:rsidRPr="00C83045" w:rsidRDefault="00591A69" w:rsidP="00D4304B">
      <w:pPr>
        <w:widowControl w:val="0"/>
        <w:ind w:left="0" w:firstLine="0"/>
        <w:rPr>
          <w:color w:val="000000"/>
          <w:szCs w:val="22"/>
        </w:rPr>
      </w:pPr>
    </w:p>
    <w:p w14:paraId="3236828C" w14:textId="77777777" w:rsidR="00591A69" w:rsidRPr="00C83045" w:rsidRDefault="00591A69" w:rsidP="00D4304B">
      <w:pPr>
        <w:keepNext/>
        <w:widowControl w:val="0"/>
        <w:rPr>
          <w:b/>
          <w:color w:val="000000"/>
          <w:szCs w:val="22"/>
        </w:rPr>
      </w:pPr>
      <w:r w:rsidRPr="00C83045">
        <w:rPr>
          <w:b/>
          <w:color w:val="000000"/>
          <w:szCs w:val="22"/>
        </w:rPr>
        <w:t>4.6</w:t>
      </w:r>
      <w:r w:rsidRPr="00C83045">
        <w:rPr>
          <w:b/>
          <w:color w:val="000000"/>
          <w:szCs w:val="22"/>
        </w:rPr>
        <w:tab/>
      </w:r>
      <w:r w:rsidRPr="00C83045">
        <w:rPr>
          <w:b/>
          <w:noProof/>
          <w:color w:val="000000"/>
          <w:szCs w:val="22"/>
        </w:rPr>
        <w:t>Fertilita, g</w:t>
      </w:r>
      <w:r w:rsidRPr="00C83045">
        <w:rPr>
          <w:b/>
          <w:color w:val="000000"/>
          <w:szCs w:val="22"/>
        </w:rPr>
        <w:t>ravidita a laktácia</w:t>
      </w:r>
    </w:p>
    <w:p w14:paraId="3236828D" w14:textId="77777777" w:rsidR="00591A69" w:rsidRPr="00C83045" w:rsidRDefault="00591A69" w:rsidP="00D4304B">
      <w:pPr>
        <w:keepNext/>
        <w:widowControl w:val="0"/>
        <w:rPr>
          <w:color w:val="000000"/>
          <w:szCs w:val="22"/>
        </w:rPr>
      </w:pPr>
    </w:p>
    <w:p w14:paraId="3236828E" w14:textId="77777777" w:rsidR="00591A69" w:rsidRPr="00C83045" w:rsidRDefault="00591A69" w:rsidP="00D4304B">
      <w:pPr>
        <w:pStyle w:val="EndnoteText"/>
        <w:keepNext/>
        <w:widowControl w:val="0"/>
        <w:rPr>
          <w:color w:val="000000"/>
          <w:szCs w:val="22"/>
          <w:u w:val="single"/>
          <w:lang w:val="sk-SK"/>
        </w:rPr>
      </w:pPr>
      <w:r w:rsidRPr="00C83045">
        <w:rPr>
          <w:color w:val="000000"/>
          <w:szCs w:val="22"/>
          <w:u w:val="single"/>
          <w:lang w:val="sk-SK"/>
        </w:rPr>
        <w:t>Ženy vo fertilnom veku</w:t>
      </w:r>
    </w:p>
    <w:p w14:paraId="3236828F" w14:textId="77777777" w:rsidR="00591A69" w:rsidRPr="00C83045" w:rsidRDefault="00591A69" w:rsidP="00D4304B">
      <w:pPr>
        <w:widowControl w:val="0"/>
        <w:ind w:left="0" w:firstLine="0"/>
        <w:rPr>
          <w:color w:val="000000"/>
          <w:szCs w:val="22"/>
        </w:rPr>
      </w:pPr>
      <w:r w:rsidRPr="00C83045">
        <w:rPr>
          <w:color w:val="000000"/>
          <w:szCs w:val="22"/>
        </w:rPr>
        <w:t xml:space="preserve">Ženy vo fertilnom veku je nutné poučiť, aby počas liečby </w:t>
      </w:r>
      <w:r w:rsidR="009E03A7">
        <w:rPr>
          <w:color w:val="000000"/>
          <w:szCs w:val="22"/>
        </w:rPr>
        <w:t>a najmenej 15</w:t>
      </w:r>
      <w:r w:rsidR="004A2C12">
        <w:rPr>
          <w:color w:val="000000"/>
          <w:szCs w:val="22"/>
        </w:rPr>
        <w:t> </w:t>
      </w:r>
      <w:r w:rsidR="009E03A7">
        <w:rPr>
          <w:color w:val="000000"/>
          <w:szCs w:val="22"/>
        </w:rPr>
        <w:t>dní po ukončení liečby Glivecom</w:t>
      </w:r>
      <w:r w:rsidR="009E03A7" w:rsidRPr="00C83045">
        <w:rPr>
          <w:color w:val="000000"/>
          <w:szCs w:val="22"/>
        </w:rPr>
        <w:t xml:space="preserve"> </w:t>
      </w:r>
      <w:r w:rsidRPr="00C83045">
        <w:rPr>
          <w:color w:val="000000"/>
          <w:szCs w:val="22"/>
        </w:rPr>
        <w:t>používali účinnú antikoncepciu.</w:t>
      </w:r>
    </w:p>
    <w:p w14:paraId="32368290" w14:textId="77777777" w:rsidR="00591A69" w:rsidRPr="00C83045" w:rsidRDefault="00591A69" w:rsidP="00D4304B">
      <w:pPr>
        <w:pStyle w:val="Heading2"/>
        <w:keepNext w:val="0"/>
        <w:widowControl w:val="0"/>
        <w:autoSpaceDE/>
        <w:autoSpaceDN/>
        <w:rPr>
          <w:b w:val="0"/>
          <w:i w:val="0"/>
          <w:color w:val="000000"/>
          <w:sz w:val="22"/>
          <w:szCs w:val="22"/>
          <w:u w:val="single"/>
        </w:rPr>
      </w:pPr>
    </w:p>
    <w:p w14:paraId="32368291" w14:textId="77777777" w:rsidR="00591A69" w:rsidRPr="00C83045" w:rsidRDefault="00591A69" w:rsidP="00D4304B">
      <w:pPr>
        <w:pStyle w:val="Heading2"/>
        <w:widowControl w:val="0"/>
        <w:autoSpaceDE/>
        <w:autoSpaceDN/>
        <w:rPr>
          <w:b w:val="0"/>
          <w:i w:val="0"/>
          <w:color w:val="000000"/>
          <w:sz w:val="22"/>
          <w:szCs w:val="22"/>
          <w:u w:val="single"/>
        </w:rPr>
      </w:pPr>
      <w:r w:rsidRPr="00C83045">
        <w:rPr>
          <w:b w:val="0"/>
          <w:i w:val="0"/>
          <w:color w:val="000000"/>
          <w:sz w:val="22"/>
          <w:szCs w:val="22"/>
          <w:u w:val="single"/>
        </w:rPr>
        <w:lastRenderedPageBreak/>
        <w:t>Gravidita</w:t>
      </w:r>
    </w:p>
    <w:p w14:paraId="32368292" w14:textId="77777777" w:rsidR="00591A69" w:rsidRPr="00C83045" w:rsidRDefault="00591A69" w:rsidP="00D4304B">
      <w:pPr>
        <w:widowControl w:val="0"/>
        <w:ind w:left="0" w:firstLine="0"/>
        <w:rPr>
          <w:color w:val="000000"/>
          <w:szCs w:val="22"/>
        </w:rPr>
      </w:pPr>
      <w:r w:rsidRPr="00C83045">
        <w:rPr>
          <w:color w:val="000000"/>
          <w:szCs w:val="22"/>
        </w:rPr>
        <w:t xml:space="preserve">Údaje o použití imatinibu u gravidných žien sú obmedzené. </w:t>
      </w:r>
      <w:r w:rsidR="00F3532A">
        <w:rPr>
          <w:color w:val="000000"/>
          <w:szCs w:val="22"/>
        </w:rPr>
        <w:t>Po uvedení lieku na trh boli u žien užívajúcich Glivec zaznamenané spontánne potraty a vrodené anomálie detí</w:t>
      </w:r>
      <w:r w:rsidR="00F3532A">
        <w:t>.</w:t>
      </w:r>
      <w:r w:rsidR="00F3532A">
        <w:rPr>
          <w:color w:val="FF0000"/>
        </w:rPr>
        <w:t xml:space="preserve"> </w:t>
      </w:r>
      <w:r w:rsidRPr="00C83045">
        <w:rPr>
          <w:color w:val="000000"/>
          <w:szCs w:val="22"/>
        </w:rPr>
        <w:t>Štúdie na zvieratách však preukázali reprodukčnú toxicitu (pozri časť 5.3) a nie jen známe potenciálne riziko pre plod. Glivec sa nemá užívať počas gravidity, pokiaľ to nie je jednoznačne potrebné. Ak sa použije počas gravidity, pacientka sa musí oboznámiť s prípadným rizikom pre plod.</w:t>
      </w:r>
    </w:p>
    <w:p w14:paraId="32368293" w14:textId="77777777" w:rsidR="00591A69" w:rsidRPr="00C83045" w:rsidRDefault="00591A69" w:rsidP="00D4304B">
      <w:pPr>
        <w:widowControl w:val="0"/>
        <w:ind w:left="0" w:firstLine="0"/>
        <w:rPr>
          <w:color w:val="000000"/>
          <w:szCs w:val="22"/>
        </w:rPr>
      </w:pPr>
    </w:p>
    <w:p w14:paraId="32368294" w14:textId="77777777" w:rsidR="00591A69" w:rsidRPr="00C83045" w:rsidRDefault="003219F2" w:rsidP="00D4304B">
      <w:pPr>
        <w:pStyle w:val="Heading2"/>
        <w:widowControl w:val="0"/>
        <w:autoSpaceDE/>
        <w:autoSpaceDN/>
        <w:rPr>
          <w:b w:val="0"/>
          <w:i w:val="0"/>
          <w:color w:val="000000"/>
          <w:sz w:val="22"/>
          <w:szCs w:val="22"/>
          <w:u w:val="single"/>
        </w:rPr>
      </w:pPr>
      <w:r>
        <w:rPr>
          <w:b w:val="0"/>
          <w:i w:val="0"/>
          <w:color w:val="000000"/>
          <w:sz w:val="22"/>
          <w:szCs w:val="22"/>
          <w:u w:val="single"/>
        </w:rPr>
        <w:t>Dojčenie</w:t>
      </w:r>
    </w:p>
    <w:p w14:paraId="32368295" w14:textId="772FEFD8" w:rsidR="00591A69" w:rsidRPr="00583DD0" w:rsidRDefault="00591A69" w:rsidP="00D4304B">
      <w:pPr>
        <w:widowControl w:val="0"/>
        <w:ind w:left="0" w:firstLine="0"/>
        <w:rPr>
          <w:color w:val="000000"/>
          <w:szCs w:val="22"/>
        </w:rPr>
      </w:pPr>
      <w:r w:rsidRPr="00C83045">
        <w:rPr>
          <w:color w:val="000000"/>
          <w:szCs w:val="22"/>
        </w:rPr>
        <w:t xml:space="preserve">Údaje o distribúcii imatinibu do ľudského mlieka sú obmedzené. Štúdie u dvoch dojčiacich žien ukázali, že imatinib aj jeho aktívny metabolit sa môžu distribuovať do ľudského mlieka. Stanovená hodnota pomeru v mlieku a plazme skúmaná u jednej pacientky bola 0,5 pre imatinib a 0,9 pre metabolit, čo naznačuje väčšiu distribúciu metabolitu do mlieka. Ak sa zváži kombinovaná koncentrácia imatinibu a metabolitu a maximálny denný príjem mlieka dojčatami, celková očakávaná expozícia by bola nízka (~10% terapeutickej dávky). Pretože účinky expozície dojčaťa nízkym dávkam imatinibu nie sú </w:t>
      </w:r>
      <w:r w:rsidRPr="00583DD0">
        <w:rPr>
          <w:color w:val="000000"/>
          <w:szCs w:val="22"/>
        </w:rPr>
        <w:t>známe, ženy</w:t>
      </w:r>
      <w:r w:rsidR="009E03A7" w:rsidRPr="00583DD0">
        <w:rPr>
          <w:color w:val="000000"/>
          <w:szCs w:val="22"/>
        </w:rPr>
        <w:t xml:space="preserve"> </w:t>
      </w:r>
      <w:r w:rsidR="009E03A7" w:rsidRPr="00CD056A">
        <w:rPr>
          <w:color w:val="000000"/>
          <w:szCs w:val="22"/>
        </w:rPr>
        <w:t>počas</w:t>
      </w:r>
      <w:r w:rsidR="009E03A7" w:rsidRPr="00583DD0">
        <w:rPr>
          <w:color w:val="000000"/>
          <w:szCs w:val="22"/>
        </w:rPr>
        <w:t xml:space="preserve"> lieč</w:t>
      </w:r>
      <w:r w:rsidR="002E2ACF" w:rsidRPr="00583DD0">
        <w:rPr>
          <w:color w:val="000000"/>
          <w:szCs w:val="22"/>
        </w:rPr>
        <w:t>by a najmenej 15</w:t>
      </w:r>
      <w:r w:rsidR="004A2C12" w:rsidRPr="00583DD0">
        <w:rPr>
          <w:color w:val="000000"/>
          <w:szCs w:val="22"/>
        </w:rPr>
        <w:t> </w:t>
      </w:r>
      <w:r w:rsidR="002E2ACF" w:rsidRPr="00583DD0">
        <w:rPr>
          <w:color w:val="000000"/>
          <w:szCs w:val="22"/>
        </w:rPr>
        <w:t>dní po ukončení</w:t>
      </w:r>
      <w:r w:rsidR="009E03A7" w:rsidRPr="00583DD0">
        <w:rPr>
          <w:color w:val="000000"/>
          <w:szCs w:val="22"/>
        </w:rPr>
        <w:t xml:space="preserve"> liečby Glivecom</w:t>
      </w:r>
      <w:r w:rsidRPr="00583DD0">
        <w:rPr>
          <w:color w:val="000000"/>
          <w:szCs w:val="22"/>
        </w:rPr>
        <w:t xml:space="preserve"> nemajú dojčiť.</w:t>
      </w:r>
    </w:p>
    <w:p w14:paraId="32368296" w14:textId="77777777" w:rsidR="00591A69" w:rsidRPr="00583DD0" w:rsidRDefault="00591A69" w:rsidP="00D4304B">
      <w:pPr>
        <w:pStyle w:val="EndnoteText"/>
        <w:widowControl w:val="0"/>
        <w:rPr>
          <w:color w:val="000000"/>
          <w:u w:val="single"/>
          <w:lang w:val="sk-SK"/>
        </w:rPr>
      </w:pPr>
    </w:p>
    <w:p w14:paraId="32368297" w14:textId="77777777" w:rsidR="00591A69" w:rsidRPr="00583DD0" w:rsidRDefault="00591A69" w:rsidP="00D4304B">
      <w:pPr>
        <w:pStyle w:val="EndnoteText"/>
        <w:keepNext/>
        <w:keepLines/>
        <w:widowControl w:val="0"/>
        <w:rPr>
          <w:color w:val="000000"/>
          <w:u w:val="single"/>
          <w:lang w:val="sk-SK"/>
        </w:rPr>
      </w:pPr>
      <w:r w:rsidRPr="00583DD0">
        <w:rPr>
          <w:color w:val="000000"/>
          <w:u w:val="single"/>
          <w:lang w:val="sk-SK"/>
        </w:rPr>
        <w:t>Fertilita</w:t>
      </w:r>
    </w:p>
    <w:p w14:paraId="32368298" w14:textId="77777777" w:rsidR="00591A69" w:rsidRPr="00C83045" w:rsidRDefault="00591A69" w:rsidP="00D4304B">
      <w:pPr>
        <w:widowControl w:val="0"/>
        <w:ind w:left="0" w:firstLine="0"/>
        <w:rPr>
          <w:color w:val="000000"/>
          <w:szCs w:val="22"/>
        </w:rPr>
      </w:pPr>
      <w:r w:rsidRPr="00583DD0">
        <w:t>V predklinických štúdiách nebola ovplyvnená fertilita samcov a samíc potkana</w:t>
      </w:r>
      <w:r w:rsidR="009E03A7" w:rsidRPr="00583DD0">
        <w:t>, hoci boli pozorované účinky na reprodukčné parametre</w:t>
      </w:r>
      <w:r w:rsidRPr="00583DD0">
        <w:t xml:space="preserve"> (pozri časť 5.3). Štúdie o pacientoch užívajúcich Glivec a jeho účinku na fertilitu a gametogenézu sa nevykonali. Pacienti, ktorých znepokojuje ich fertilita počas liečby Glivecom, sa majú poradiť so</w:t>
      </w:r>
      <w:r w:rsidRPr="00C83045">
        <w:t xml:space="preserve"> svojím lekárom.</w:t>
      </w:r>
    </w:p>
    <w:p w14:paraId="32368299" w14:textId="77777777" w:rsidR="00591A69" w:rsidRPr="006F7F96" w:rsidRDefault="00591A69" w:rsidP="00D4304B">
      <w:pPr>
        <w:widowControl w:val="0"/>
        <w:rPr>
          <w:bCs/>
          <w:color w:val="000000"/>
          <w:szCs w:val="22"/>
        </w:rPr>
      </w:pPr>
    </w:p>
    <w:p w14:paraId="3236829A" w14:textId="77777777" w:rsidR="00591A69" w:rsidRPr="00C83045" w:rsidRDefault="00591A69" w:rsidP="00D4304B">
      <w:pPr>
        <w:keepNext/>
        <w:widowControl w:val="0"/>
        <w:rPr>
          <w:b/>
          <w:bCs/>
          <w:color w:val="000000"/>
          <w:szCs w:val="22"/>
        </w:rPr>
      </w:pPr>
      <w:r w:rsidRPr="00C83045">
        <w:rPr>
          <w:b/>
          <w:bCs/>
          <w:color w:val="000000"/>
          <w:szCs w:val="22"/>
        </w:rPr>
        <w:t>4.7</w:t>
      </w:r>
      <w:r w:rsidRPr="00C83045">
        <w:rPr>
          <w:b/>
          <w:bCs/>
          <w:color w:val="000000"/>
          <w:szCs w:val="22"/>
        </w:rPr>
        <w:tab/>
        <w:t>Ovplyvnenie schopnosti viesť vozidlá a obsluhovať stroje</w:t>
      </w:r>
    </w:p>
    <w:p w14:paraId="3236829B" w14:textId="77777777" w:rsidR="00591A69" w:rsidRPr="00C83045" w:rsidRDefault="00591A69" w:rsidP="00D4304B">
      <w:pPr>
        <w:keepNext/>
        <w:widowControl w:val="0"/>
        <w:tabs>
          <w:tab w:val="left" w:pos="360"/>
        </w:tabs>
        <w:rPr>
          <w:bCs/>
          <w:color w:val="000000"/>
          <w:szCs w:val="22"/>
        </w:rPr>
      </w:pPr>
    </w:p>
    <w:p w14:paraId="3236829C" w14:textId="77777777" w:rsidR="00591A69" w:rsidRPr="00C83045" w:rsidRDefault="00591A69" w:rsidP="00D4304B">
      <w:pPr>
        <w:widowControl w:val="0"/>
        <w:ind w:left="0" w:firstLine="0"/>
        <w:rPr>
          <w:color w:val="000000"/>
          <w:szCs w:val="22"/>
        </w:rPr>
      </w:pPr>
      <w:r w:rsidRPr="00C83045">
        <w:rPr>
          <w:color w:val="000000"/>
          <w:szCs w:val="22"/>
        </w:rPr>
        <w:t>Pacienti sa majú upozorniť na možný výskyt nežiaducich účinkov počas liečby imatinibom, ako sú závraty, neostré videnie alebo somnolencia. Preto sa odporúča opatrnosť pri vedení vozidla alebo obsluhe strojov.</w:t>
      </w:r>
    </w:p>
    <w:p w14:paraId="3236829D" w14:textId="77777777" w:rsidR="00591A69" w:rsidRPr="00C83045" w:rsidRDefault="00591A69" w:rsidP="00D4304B">
      <w:pPr>
        <w:widowControl w:val="0"/>
        <w:rPr>
          <w:bCs/>
          <w:color w:val="000000"/>
          <w:szCs w:val="22"/>
        </w:rPr>
      </w:pPr>
    </w:p>
    <w:p w14:paraId="3236829E" w14:textId="77777777" w:rsidR="00591A69" w:rsidRPr="00C83045" w:rsidRDefault="00591A69" w:rsidP="00D4304B">
      <w:pPr>
        <w:keepNext/>
        <w:widowControl w:val="0"/>
        <w:rPr>
          <w:b/>
          <w:bCs/>
          <w:color w:val="000000"/>
          <w:szCs w:val="22"/>
        </w:rPr>
      </w:pPr>
      <w:r w:rsidRPr="00C83045">
        <w:rPr>
          <w:b/>
          <w:bCs/>
          <w:color w:val="000000"/>
          <w:szCs w:val="22"/>
        </w:rPr>
        <w:t>4.8</w:t>
      </w:r>
      <w:r w:rsidRPr="00C83045">
        <w:rPr>
          <w:b/>
          <w:bCs/>
          <w:color w:val="000000"/>
          <w:szCs w:val="22"/>
        </w:rPr>
        <w:tab/>
        <w:t>Nežiaduce účinky</w:t>
      </w:r>
    </w:p>
    <w:p w14:paraId="3236829F" w14:textId="77777777" w:rsidR="00591A69" w:rsidRPr="00C83045" w:rsidRDefault="00591A69" w:rsidP="00D4304B">
      <w:pPr>
        <w:keepNext/>
        <w:widowControl w:val="0"/>
        <w:rPr>
          <w:bCs/>
          <w:color w:val="000000"/>
          <w:szCs w:val="22"/>
        </w:rPr>
      </w:pPr>
    </w:p>
    <w:p w14:paraId="323682A0" w14:textId="77777777" w:rsidR="00591A69" w:rsidRPr="00C83045" w:rsidRDefault="00591A69" w:rsidP="00D4304B">
      <w:pPr>
        <w:widowControl w:val="0"/>
        <w:ind w:left="0" w:firstLine="0"/>
        <w:rPr>
          <w:color w:val="000000"/>
          <w:szCs w:val="22"/>
        </w:rPr>
      </w:pPr>
      <w:r w:rsidRPr="00C83045">
        <w:rPr>
          <w:color w:val="000000"/>
          <w:szCs w:val="22"/>
        </w:rPr>
        <w:t>U pacientov v pokročilých štádiách malignít sa môže vyskytovať mnoho komplikovaných stavov, ktoré sťažujú stanovenie kauzality nežiaducich reakcií pre rôznorodosť príznakov súvisiacich so základným ochorením, progresiu základného ochorenia a súčasné podávanie početných liekov.</w:t>
      </w:r>
    </w:p>
    <w:p w14:paraId="323682A1" w14:textId="77777777" w:rsidR="00591A69" w:rsidRPr="00C83045" w:rsidRDefault="00591A69" w:rsidP="00D4304B">
      <w:pPr>
        <w:widowControl w:val="0"/>
        <w:ind w:left="0" w:firstLine="0"/>
        <w:rPr>
          <w:color w:val="000000"/>
          <w:szCs w:val="22"/>
        </w:rPr>
      </w:pPr>
    </w:p>
    <w:p w14:paraId="323682A2" w14:textId="77777777" w:rsidR="00591A69" w:rsidRPr="00C83045" w:rsidRDefault="00591A69" w:rsidP="00D4304B">
      <w:pPr>
        <w:widowControl w:val="0"/>
        <w:ind w:left="0" w:firstLine="0"/>
        <w:rPr>
          <w:color w:val="000000"/>
          <w:szCs w:val="22"/>
        </w:rPr>
      </w:pPr>
      <w:r w:rsidRPr="00C83045">
        <w:rPr>
          <w:color w:val="000000"/>
          <w:szCs w:val="22"/>
        </w:rPr>
        <w:t>V klinických skúšaniach pri CML sa predčasné ukončenie liečby pre nežiaduce reakcie súvisiace s liekom pozorovalo u 2,4% novodiagnostikovaných pacientov, 4% pacientov v neskorej chronickej fáze po zlyhaní liečby interferónom, 4% pacientov v akcelerovanej fáze po zlyhaní liečby interferónom a 5% pacientov v blastickej kríze po zlyhaní liečby interferónom. Pri GIST sa skúšaný liek vysadil pre nežiaduce reakcie súvisiace s liekom u 4% pacientov.</w:t>
      </w:r>
    </w:p>
    <w:p w14:paraId="323682A3" w14:textId="77777777" w:rsidR="00591A69" w:rsidRPr="00C83045" w:rsidRDefault="00591A69" w:rsidP="00D4304B">
      <w:pPr>
        <w:widowControl w:val="0"/>
        <w:ind w:left="0" w:firstLine="0"/>
        <w:rPr>
          <w:color w:val="000000"/>
          <w:szCs w:val="22"/>
        </w:rPr>
      </w:pPr>
    </w:p>
    <w:p w14:paraId="323682A4" w14:textId="77777777" w:rsidR="00591A69" w:rsidRPr="00C83045" w:rsidRDefault="00591A69" w:rsidP="00D4304B">
      <w:pPr>
        <w:widowControl w:val="0"/>
        <w:ind w:left="0" w:firstLine="0"/>
        <w:rPr>
          <w:color w:val="000000"/>
          <w:szCs w:val="22"/>
        </w:rPr>
      </w:pPr>
      <w:r w:rsidRPr="00C83045">
        <w:rPr>
          <w:color w:val="000000"/>
          <w:szCs w:val="22"/>
        </w:rPr>
        <w:t>Nežiaduce reakcie boli okrem dvoch výnimiek podobné pri všetkých indikáciách. Myelosupresia sa pozorovala vo väčšom rozsahu u pacientov s CML ako u pacientov s GIST, čo je pravdepodobne dôsledkom základného ochorenia. V klinickom skúšaní s pacientmi s neresekovateľným a/alebo metastazujúcim GIST sa vyskytlo u 7 (5%) pacientov krvácanie 3./4. stupňa podľa všeobecných kritérií toxicity (</w:t>
      </w:r>
      <w:smartTag w:uri="urn:schemas-microsoft-com:office:smarttags" w:element="stockticker">
        <w:r w:rsidRPr="00C83045">
          <w:rPr>
            <w:color w:val="000000"/>
            <w:szCs w:val="22"/>
          </w:rPr>
          <w:t>CTC</w:t>
        </w:r>
      </w:smartTag>
      <w:r w:rsidRPr="00C83045">
        <w:rPr>
          <w:color w:val="000000"/>
          <w:szCs w:val="22"/>
        </w:rPr>
        <w:t>), a to gastrointestinálne krvácanie (3 pacienti), krvácanie vo vnútri nádoru (3 pacienti), alebo oboje (1 pacient). Lokalizácia nádorov v gastrointestinálnom systéme mohla byť príčinou gastrointestinálneho krvácania (pozri časť 4.4). Gastrointestinálne krvácanie alebo krvácanie vo vnútri nádoru môže byť vážne a niekedy smrteľné. Najčastejšie zaznamenané (</w:t>
      </w:r>
      <w:r w:rsidRPr="00C83045">
        <w:rPr>
          <w:color w:val="000000"/>
          <w:szCs w:val="22"/>
        </w:rPr>
        <w:sym w:font="Symbol" w:char="F0B3"/>
      </w:r>
      <w:r w:rsidRPr="00C83045">
        <w:rPr>
          <w:color w:val="000000"/>
          <w:szCs w:val="22"/>
        </w:rPr>
        <w:t> 10%) nežiaduce reakcie súvisiace s liekom u oboch ochorení boli slabá nauzea, vracanie, hnačka, bolesť brucha, únava, bolesť svalov, svalové kŕče a exantém. Povrchové edémy boli častým nálezom vo všetkých klinických skúšaniach a popísali sa prevažne ako periorbitálne edémy alebo edémy dolných končatín. Tieto edémy však boli len zriedka závažné a možno ich zvládnuť diuretikami, inými podpornými opatreniami alebo znížením dávky Glivecu.</w:t>
      </w:r>
    </w:p>
    <w:p w14:paraId="323682A5" w14:textId="77777777" w:rsidR="00591A69" w:rsidRPr="00C83045" w:rsidRDefault="00591A69" w:rsidP="00D4304B">
      <w:pPr>
        <w:widowControl w:val="0"/>
        <w:ind w:left="0" w:firstLine="0"/>
        <w:rPr>
          <w:color w:val="000000"/>
          <w:szCs w:val="22"/>
        </w:rPr>
      </w:pPr>
    </w:p>
    <w:p w14:paraId="323682A6" w14:textId="77777777" w:rsidR="00591A69" w:rsidRPr="00C83045" w:rsidRDefault="00591A69" w:rsidP="00D4304B">
      <w:pPr>
        <w:pStyle w:val="Text"/>
        <w:widowControl w:val="0"/>
        <w:spacing w:before="0"/>
        <w:jc w:val="left"/>
        <w:rPr>
          <w:color w:val="000000"/>
          <w:szCs w:val="22"/>
          <w:lang w:val="sk-SK"/>
        </w:rPr>
      </w:pPr>
      <w:r w:rsidRPr="00C83045">
        <w:rPr>
          <w:color w:val="000000"/>
          <w:sz w:val="22"/>
          <w:szCs w:val="22"/>
          <w:lang w:val="sk-SK"/>
        </w:rPr>
        <w:t xml:space="preserve">Keď sa imatinib kombinoval s vysokými dávkami chemoterapie u pacientov s Ph+ </w:t>
      </w:r>
      <w:smartTag w:uri="urn:schemas-microsoft-com:office:smarttags" w:element="stockticker">
        <w:r w:rsidRPr="00C83045">
          <w:rPr>
            <w:color w:val="000000"/>
            <w:sz w:val="22"/>
            <w:szCs w:val="22"/>
            <w:lang w:val="sk-SK"/>
          </w:rPr>
          <w:t>ALL</w:t>
        </w:r>
      </w:smartTag>
      <w:r w:rsidRPr="00C83045">
        <w:rPr>
          <w:color w:val="000000"/>
          <w:sz w:val="22"/>
          <w:szCs w:val="22"/>
          <w:lang w:val="sk-SK"/>
        </w:rPr>
        <w:t xml:space="preserve">, pozorovali sa prechodné toxické účinky na pečeň vo forme zvýšenia aminotransferáz a hyperbilirubinémie. S </w:t>
      </w:r>
      <w:r w:rsidRPr="00C83045">
        <w:rPr>
          <w:color w:val="000000"/>
          <w:sz w:val="22"/>
          <w:szCs w:val="22"/>
          <w:lang w:val="sk-SK"/>
        </w:rPr>
        <w:lastRenderedPageBreak/>
        <w:t>ohľadom na obmedzený súbor údajov o bezpečnosti boli doteraz hlásené nežiaduce účinky u detí zhodné so známym bezpečnostným profilom u dospelých s Ph+ ALL. Hoci je bezpečnostná databáza detí s Ph+ALL limitovaná, neboli zaznamenané žiadne nové nežiaduce účinky.</w:t>
      </w:r>
    </w:p>
    <w:p w14:paraId="323682A7" w14:textId="77777777" w:rsidR="00591A69" w:rsidRPr="00C83045" w:rsidRDefault="00591A69" w:rsidP="00D4304B">
      <w:pPr>
        <w:widowControl w:val="0"/>
        <w:ind w:left="0" w:firstLine="0"/>
        <w:rPr>
          <w:color w:val="000000"/>
          <w:szCs w:val="22"/>
        </w:rPr>
      </w:pPr>
    </w:p>
    <w:p w14:paraId="323682A8" w14:textId="77777777" w:rsidR="00591A69" w:rsidRPr="00C83045" w:rsidRDefault="00591A69" w:rsidP="00D4304B">
      <w:pPr>
        <w:widowControl w:val="0"/>
        <w:ind w:left="0" w:firstLine="0"/>
        <w:rPr>
          <w:color w:val="000000"/>
          <w:szCs w:val="22"/>
        </w:rPr>
      </w:pPr>
      <w:r w:rsidRPr="00C83045">
        <w:rPr>
          <w:color w:val="000000"/>
          <w:szCs w:val="22"/>
        </w:rPr>
        <w:t>Rôzne nežiaduce reakcie, ako je pleurálny výpotok, ascites, pľúcny edém a rýchle zvýšenie hmotnosti s povrchovým edémom alebo bez neho, možno súhrnne opísať ako „zadržiavanie tekutiny“. Tieto reakcie sa zvyčajne dajú zvládnuť dočasným vysadením Glivecu a podávaním diuretík a inými vhodnými podpornými opatreniami. Niektoré z týchto reakcií však môžu byť závažné alebo ohrozujúce život a niekoľko pacientov v blastickej kríze zomrelo po komplikovanom klinickom obraze pleurálneho výpotku, kongestívneho zlyhania srdca a zlyhania obličiek. V pediatrických klinických skúšaniach sa nezistili žiadne osobitné údaje týkajúce sa bezpečnosti.</w:t>
      </w:r>
    </w:p>
    <w:p w14:paraId="323682A9" w14:textId="77777777" w:rsidR="00591A69" w:rsidRPr="00C83045" w:rsidRDefault="00591A69" w:rsidP="00D4304B">
      <w:pPr>
        <w:pStyle w:val="Heading3"/>
        <w:keepNext w:val="0"/>
        <w:widowControl w:val="0"/>
        <w:autoSpaceDE/>
        <w:autoSpaceDN/>
        <w:rPr>
          <w:color w:val="000000"/>
          <w:sz w:val="22"/>
          <w:szCs w:val="22"/>
        </w:rPr>
      </w:pPr>
    </w:p>
    <w:p w14:paraId="323682AA" w14:textId="77777777" w:rsidR="00591A69" w:rsidRPr="00C83045" w:rsidRDefault="00591A69" w:rsidP="00D4304B">
      <w:pPr>
        <w:pStyle w:val="Heading3"/>
        <w:widowControl w:val="0"/>
        <w:autoSpaceDE/>
        <w:autoSpaceDN/>
        <w:rPr>
          <w:b/>
          <w:color w:val="000000"/>
          <w:sz w:val="22"/>
          <w:szCs w:val="22"/>
        </w:rPr>
      </w:pPr>
      <w:r w:rsidRPr="00C83045">
        <w:rPr>
          <w:b/>
          <w:color w:val="000000"/>
          <w:sz w:val="22"/>
          <w:szCs w:val="22"/>
        </w:rPr>
        <w:t>Nežiaduce reakcie</w:t>
      </w:r>
    </w:p>
    <w:p w14:paraId="323682AB" w14:textId="77777777" w:rsidR="00591A69" w:rsidRPr="00C83045" w:rsidRDefault="00591A69" w:rsidP="00D4304B">
      <w:pPr>
        <w:widowControl w:val="0"/>
        <w:tabs>
          <w:tab w:val="left" w:pos="1680"/>
        </w:tabs>
        <w:ind w:left="0" w:firstLine="0"/>
        <w:rPr>
          <w:color w:val="000000"/>
          <w:szCs w:val="22"/>
        </w:rPr>
      </w:pPr>
      <w:r w:rsidRPr="00C83045">
        <w:rPr>
          <w:color w:val="000000"/>
          <w:szCs w:val="22"/>
        </w:rPr>
        <w:t>Nežiaduce reakcie, ktoré sa zaznamenali častejšie ako len v ojedinelých prípadoch, sa uvádzajú ďalej podľa orgánových systémov a frekvencie výskytu. Kategórie frekvencií sú definované pomocou nasledujúcej konvencie: veľmi časté (≥1/10), časté (≥1/100 až &lt;1/10), menej časté (≥1/1 000 až &lt;1/100), zriedkavé (≥1/10 000 až &lt;1/1 000), veľmi zriedkavé (&lt;1/10 000), neznáme (z dostupných údajov).</w:t>
      </w:r>
    </w:p>
    <w:p w14:paraId="323682AC" w14:textId="77777777" w:rsidR="00591A69" w:rsidRPr="00C83045" w:rsidRDefault="00591A69" w:rsidP="00D4304B">
      <w:pPr>
        <w:widowControl w:val="0"/>
        <w:rPr>
          <w:color w:val="000000"/>
          <w:szCs w:val="22"/>
        </w:rPr>
      </w:pPr>
    </w:p>
    <w:p w14:paraId="323682AD" w14:textId="77777777" w:rsidR="00591A69" w:rsidRPr="00C83045" w:rsidRDefault="00591A69" w:rsidP="00D4304B">
      <w:pPr>
        <w:widowControl w:val="0"/>
        <w:ind w:left="0" w:firstLine="0"/>
        <w:rPr>
          <w:noProof/>
          <w:color w:val="000000"/>
          <w:szCs w:val="22"/>
        </w:rPr>
      </w:pPr>
      <w:r w:rsidRPr="00C83045">
        <w:rPr>
          <w:noProof/>
          <w:color w:val="000000"/>
          <w:szCs w:val="22"/>
        </w:rPr>
        <w:t>V rámci jednotlivých skupín frekvencií sú nežiaduce účinky usporiadané v poradí frekvencie, najčastejšie ako prvé.</w:t>
      </w:r>
    </w:p>
    <w:p w14:paraId="323682AE" w14:textId="77777777" w:rsidR="00591A69" w:rsidRPr="00C83045" w:rsidRDefault="00591A69" w:rsidP="00D4304B">
      <w:pPr>
        <w:widowControl w:val="0"/>
        <w:ind w:left="0" w:firstLine="0"/>
        <w:rPr>
          <w:noProof/>
          <w:color w:val="000000"/>
          <w:szCs w:val="22"/>
        </w:rPr>
      </w:pPr>
    </w:p>
    <w:p w14:paraId="323682AF" w14:textId="77777777" w:rsidR="00591A69" w:rsidRPr="00C83045" w:rsidRDefault="00591A69" w:rsidP="00D4304B">
      <w:pPr>
        <w:widowControl w:val="0"/>
        <w:ind w:left="0" w:firstLine="0"/>
        <w:rPr>
          <w:noProof/>
          <w:color w:val="000000"/>
          <w:szCs w:val="22"/>
        </w:rPr>
      </w:pPr>
      <w:r w:rsidRPr="00C83045">
        <w:rPr>
          <w:noProof/>
          <w:color w:val="000000"/>
          <w:szCs w:val="22"/>
        </w:rPr>
        <w:t xml:space="preserve">Nežiaduce reakcie a ich frekvencie </w:t>
      </w:r>
      <w:r w:rsidR="001146AD" w:rsidRPr="00C83045">
        <w:rPr>
          <w:noProof/>
          <w:color w:val="000000"/>
          <w:szCs w:val="22"/>
        </w:rPr>
        <w:t xml:space="preserve">sú </w:t>
      </w:r>
      <w:r w:rsidRPr="00C83045">
        <w:rPr>
          <w:noProof/>
          <w:color w:val="000000"/>
          <w:szCs w:val="22"/>
        </w:rPr>
        <w:t>uvedené v Tabuľke 1.</w:t>
      </w:r>
    </w:p>
    <w:p w14:paraId="323682B0" w14:textId="77777777" w:rsidR="00591A69" w:rsidRPr="00C83045" w:rsidRDefault="00591A69" w:rsidP="00D4304B">
      <w:pPr>
        <w:widowControl w:val="0"/>
        <w:ind w:left="0" w:firstLine="0"/>
        <w:rPr>
          <w:noProof/>
          <w:color w:val="000000"/>
          <w:szCs w:val="22"/>
        </w:rPr>
      </w:pPr>
    </w:p>
    <w:p w14:paraId="323682B1" w14:textId="77777777" w:rsidR="00591A69" w:rsidRPr="00C83045" w:rsidRDefault="00591A69" w:rsidP="00D4304B">
      <w:pPr>
        <w:keepNext/>
        <w:widowControl w:val="0"/>
        <w:tabs>
          <w:tab w:val="left" w:pos="1440"/>
        </w:tabs>
        <w:ind w:left="0" w:firstLine="0"/>
        <w:rPr>
          <w:b/>
          <w:color w:val="000000"/>
          <w:szCs w:val="22"/>
        </w:rPr>
      </w:pPr>
      <w:r w:rsidRPr="00C83045">
        <w:rPr>
          <w:b/>
          <w:color w:val="000000"/>
          <w:szCs w:val="22"/>
        </w:rPr>
        <w:t>Tabuľka 1</w:t>
      </w:r>
      <w:r w:rsidRPr="00C83045">
        <w:rPr>
          <w:b/>
          <w:color w:val="000000"/>
          <w:szCs w:val="22"/>
        </w:rPr>
        <w:tab/>
      </w:r>
      <w:r w:rsidR="001146AD" w:rsidRPr="00C83045">
        <w:rPr>
          <w:b/>
          <w:color w:val="000000"/>
          <w:szCs w:val="22"/>
        </w:rPr>
        <w:t>Tabuľkový súhrn n</w:t>
      </w:r>
      <w:r w:rsidRPr="00C83045">
        <w:rPr>
          <w:b/>
          <w:color w:val="000000"/>
          <w:szCs w:val="22"/>
        </w:rPr>
        <w:t>ežiaduc</w:t>
      </w:r>
      <w:r w:rsidR="001146AD" w:rsidRPr="00C83045">
        <w:rPr>
          <w:b/>
          <w:color w:val="000000"/>
          <w:szCs w:val="22"/>
        </w:rPr>
        <w:t>ich</w:t>
      </w:r>
      <w:r w:rsidRPr="00C83045">
        <w:rPr>
          <w:b/>
          <w:color w:val="000000"/>
          <w:szCs w:val="22"/>
        </w:rPr>
        <w:t xml:space="preserve"> reakci</w:t>
      </w:r>
      <w:r w:rsidR="001146AD" w:rsidRPr="00C83045">
        <w:rPr>
          <w:b/>
          <w:color w:val="000000"/>
          <w:szCs w:val="22"/>
        </w:rPr>
        <w:t>í</w:t>
      </w:r>
    </w:p>
    <w:p w14:paraId="323682B2" w14:textId="77777777" w:rsidR="00591A69" w:rsidRPr="00C83045" w:rsidRDefault="00591A69" w:rsidP="00D4304B">
      <w:pPr>
        <w:keepNext/>
        <w:widowControl w:val="0"/>
        <w:ind w:left="0" w:firstLine="0"/>
        <w:rPr>
          <w:color w:val="000000"/>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591A69" w:rsidRPr="00C83045" w14:paraId="323682B4" w14:textId="77777777" w:rsidTr="00B62C3E">
        <w:trPr>
          <w:cantSplit/>
        </w:trPr>
        <w:tc>
          <w:tcPr>
            <w:tcW w:w="9322" w:type="dxa"/>
            <w:gridSpan w:val="2"/>
          </w:tcPr>
          <w:p w14:paraId="323682B3" w14:textId="77777777" w:rsidR="00591A69" w:rsidRPr="00C83045" w:rsidRDefault="00591A69" w:rsidP="00D4304B">
            <w:pPr>
              <w:keepNext/>
              <w:widowControl w:val="0"/>
              <w:tabs>
                <w:tab w:val="left" w:pos="567"/>
              </w:tabs>
              <w:ind w:left="0" w:firstLine="0"/>
              <w:rPr>
                <w:b/>
                <w:color w:val="000000"/>
                <w:szCs w:val="22"/>
              </w:rPr>
            </w:pPr>
            <w:r w:rsidRPr="00C83045">
              <w:rPr>
                <w:b/>
                <w:color w:val="000000"/>
                <w:szCs w:val="22"/>
              </w:rPr>
              <w:t>Infekcie a</w:t>
            </w:r>
            <w:r w:rsidR="00E74085">
              <w:rPr>
                <w:b/>
                <w:color w:val="000000"/>
                <w:szCs w:val="22"/>
              </w:rPr>
              <w:t> </w:t>
            </w:r>
            <w:r w:rsidRPr="00C83045">
              <w:rPr>
                <w:b/>
                <w:color w:val="000000"/>
                <w:szCs w:val="22"/>
              </w:rPr>
              <w:t>nákazy</w:t>
            </w:r>
          </w:p>
        </w:tc>
      </w:tr>
      <w:tr w:rsidR="00591A69" w:rsidRPr="00C83045" w14:paraId="323682B7" w14:textId="77777777" w:rsidTr="00B62C3E">
        <w:trPr>
          <w:cantSplit/>
        </w:trPr>
        <w:tc>
          <w:tcPr>
            <w:tcW w:w="2235" w:type="dxa"/>
          </w:tcPr>
          <w:p w14:paraId="323682B5" w14:textId="77777777" w:rsidR="00591A69" w:rsidRPr="00C83045" w:rsidRDefault="00591A69" w:rsidP="00D4304B">
            <w:pPr>
              <w:keepNext/>
              <w:widowControl w:val="0"/>
              <w:tabs>
                <w:tab w:val="left" w:pos="567"/>
              </w:tabs>
              <w:ind w:left="0" w:firstLine="0"/>
              <w:rPr>
                <w:i/>
                <w:color w:val="000000"/>
                <w:szCs w:val="22"/>
              </w:rPr>
            </w:pPr>
            <w:r w:rsidRPr="00C83045">
              <w:rPr>
                <w:i/>
                <w:color w:val="000000"/>
                <w:szCs w:val="22"/>
              </w:rPr>
              <w:t>Menej časté:</w:t>
            </w:r>
          </w:p>
        </w:tc>
        <w:tc>
          <w:tcPr>
            <w:tcW w:w="7087" w:type="dxa"/>
          </w:tcPr>
          <w:p w14:paraId="323682B6" w14:textId="77777777" w:rsidR="00591A69" w:rsidRPr="00C83045" w:rsidRDefault="00591A69" w:rsidP="00D4304B">
            <w:pPr>
              <w:keepNext/>
              <w:widowControl w:val="0"/>
              <w:tabs>
                <w:tab w:val="left" w:pos="567"/>
              </w:tabs>
              <w:ind w:left="0" w:firstLine="0"/>
              <w:rPr>
                <w:color w:val="000000"/>
                <w:szCs w:val="22"/>
              </w:rPr>
            </w:pPr>
            <w:r w:rsidRPr="00C83045">
              <w:rPr>
                <w:color w:val="000000"/>
                <w:szCs w:val="22"/>
              </w:rPr>
              <w:t>Herpes zoster, herpes simplex, nazofaryngitída, pneumónia</w:t>
            </w:r>
            <w:r w:rsidRPr="00C83045">
              <w:rPr>
                <w:color w:val="000000"/>
                <w:szCs w:val="22"/>
                <w:vertAlign w:val="superscript"/>
              </w:rPr>
              <w:t>1</w:t>
            </w:r>
            <w:r w:rsidRPr="00C83045">
              <w:rPr>
                <w:color w:val="000000"/>
                <w:szCs w:val="22"/>
              </w:rPr>
              <w:t>, sinusitída, celulitída, infekcia horných dýchacích ciest, chrípka, infekcia močových ciest, gastroenteritída, sepsa</w:t>
            </w:r>
          </w:p>
        </w:tc>
      </w:tr>
      <w:tr w:rsidR="00591A69" w:rsidRPr="00C83045" w14:paraId="323682BA" w14:textId="77777777" w:rsidTr="00B62C3E">
        <w:trPr>
          <w:cantSplit/>
        </w:trPr>
        <w:tc>
          <w:tcPr>
            <w:tcW w:w="2235" w:type="dxa"/>
          </w:tcPr>
          <w:p w14:paraId="323682B8" w14:textId="77777777" w:rsidR="00591A69" w:rsidRPr="00C83045" w:rsidRDefault="00591A69" w:rsidP="00D4304B">
            <w:pPr>
              <w:keepNext/>
              <w:widowControl w:val="0"/>
              <w:tabs>
                <w:tab w:val="left" w:pos="567"/>
              </w:tabs>
              <w:ind w:left="0" w:firstLine="0"/>
              <w:rPr>
                <w:i/>
                <w:color w:val="000000"/>
                <w:szCs w:val="22"/>
              </w:rPr>
            </w:pPr>
            <w:r w:rsidRPr="00C83045">
              <w:rPr>
                <w:i/>
                <w:color w:val="000000"/>
                <w:szCs w:val="22"/>
              </w:rPr>
              <w:t>Zriedkavé:</w:t>
            </w:r>
          </w:p>
        </w:tc>
        <w:tc>
          <w:tcPr>
            <w:tcW w:w="7087" w:type="dxa"/>
          </w:tcPr>
          <w:p w14:paraId="323682B9" w14:textId="77777777" w:rsidR="00591A69" w:rsidRPr="00C83045" w:rsidRDefault="00591A69" w:rsidP="00D4304B">
            <w:pPr>
              <w:keepNext/>
              <w:widowControl w:val="0"/>
              <w:tabs>
                <w:tab w:val="left" w:pos="567"/>
              </w:tabs>
              <w:ind w:left="0" w:firstLine="0"/>
              <w:rPr>
                <w:color w:val="000000"/>
                <w:szCs w:val="22"/>
              </w:rPr>
            </w:pPr>
            <w:r w:rsidRPr="00C83045">
              <w:rPr>
                <w:color w:val="000000"/>
                <w:szCs w:val="22"/>
              </w:rPr>
              <w:t>Hubová infekcia</w:t>
            </w:r>
          </w:p>
        </w:tc>
      </w:tr>
      <w:tr w:rsidR="00417E90" w:rsidRPr="00C83045" w14:paraId="323682BD" w14:textId="77777777" w:rsidTr="00B62C3E">
        <w:trPr>
          <w:cantSplit/>
        </w:trPr>
        <w:tc>
          <w:tcPr>
            <w:tcW w:w="2235" w:type="dxa"/>
          </w:tcPr>
          <w:p w14:paraId="323682BB" w14:textId="77777777" w:rsidR="00417E90" w:rsidRPr="00C83045" w:rsidRDefault="00417E90" w:rsidP="00D4304B">
            <w:pPr>
              <w:keepNext/>
              <w:widowControl w:val="0"/>
              <w:tabs>
                <w:tab w:val="left" w:pos="567"/>
              </w:tabs>
              <w:ind w:left="0" w:firstLine="0"/>
              <w:rPr>
                <w:i/>
                <w:color w:val="000000"/>
                <w:szCs w:val="22"/>
              </w:rPr>
            </w:pPr>
            <w:r w:rsidRPr="00C83045">
              <w:rPr>
                <w:i/>
                <w:color w:val="000000"/>
                <w:szCs w:val="22"/>
              </w:rPr>
              <w:t>Neznáme:</w:t>
            </w:r>
          </w:p>
        </w:tc>
        <w:tc>
          <w:tcPr>
            <w:tcW w:w="7087" w:type="dxa"/>
          </w:tcPr>
          <w:p w14:paraId="323682BC" w14:textId="77777777" w:rsidR="00417E90" w:rsidRPr="00C83045" w:rsidRDefault="00417E90" w:rsidP="00D4304B">
            <w:pPr>
              <w:keepNext/>
              <w:widowControl w:val="0"/>
              <w:tabs>
                <w:tab w:val="left" w:pos="567"/>
              </w:tabs>
              <w:ind w:left="0" w:firstLine="0"/>
              <w:rPr>
                <w:color w:val="000000"/>
                <w:szCs w:val="22"/>
              </w:rPr>
            </w:pPr>
            <w:r>
              <w:rPr>
                <w:color w:val="000000"/>
              </w:rPr>
              <w:t>Reaktivácia h</w:t>
            </w:r>
            <w:r w:rsidRPr="007505E1">
              <w:rPr>
                <w:color w:val="000000"/>
              </w:rPr>
              <w:t>epatit</w:t>
            </w:r>
            <w:r>
              <w:rPr>
                <w:color w:val="000000"/>
              </w:rPr>
              <w:t>ídy</w:t>
            </w:r>
            <w:r w:rsidR="00F1077D">
              <w:rPr>
                <w:color w:val="000000"/>
              </w:rPr>
              <w:t> </w:t>
            </w:r>
            <w:r w:rsidRPr="007505E1">
              <w:rPr>
                <w:color w:val="000000"/>
              </w:rPr>
              <w:t>B</w:t>
            </w:r>
            <w:r w:rsidRPr="007505E1">
              <w:rPr>
                <w:color w:val="000000"/>
                <w:szCs w:val="22"/>
              </w:rPr>
              <w:t>*</w:t>
            </w:r>
          </w:p>
        </w:tc>
      </w:tr>
      <w:tr w:rsidR="00591A69" w:rsidRPr="00C83045" w14:paraId="323682BF" w14:textId="77777777" w:rsidTr="00B62C3E">
        <w:trPr>
          <w:cantSplit/>
        </w:trPr>
        <w:tc>
          <w:tcPr>
            <w:tcW w:w="9322" w:type="dxa"/>
            <w:gridSpan w:val="2"/>
          </w:tcPr>
          <w:p w14:paraId="323682BE" w14:textId="77777777" w:rsidR="00591A69" w:rsidRPr="00C83045" w:rsidRDefault="00591A69" w:rsidP="00D4304B">
            <w:pPr>
              <w:keepNext/>
              <w:widowControl w:val="0"/>
              <w:tabs>
                <w:tab w:val="left" w:pos="567"/>
              </w:tabs>
              <w:ind w:left="0" w:firstLine="0"/>
              <w:rPr>
                <w:b/>
                <w:color w:val="000000"/>
                <w:szCs w:val="22"/>
              </w:rPr>
            </w:pPr>
            <w:r w:rsidRPr="00C83045">
              <w:rPr>
                <w:b/>
              </w:rPr>
              <w:t>Benígne a malígne nádory, vrátane nešpecifikovaných novotvarov (cysty a polypy)</w:t>
            </w:r>
          </w:p>
        </w:tc>
      </w:tr>
      <w:tr w:rsidR="00591A69" w:rsidRPr="00C83045" w14:paraId="323682C2" w14:textId="77777777" w:rsidTr="00B62C3E">
        <w:trPr>
          <w:cantSplit/>
        </w:trPr>
        <w:tc>
          <w:tcPr>
            <w:tcW w:w="2235" w:type="dxa"/>
          </w:tcPr>
          <w:p w14:paraId="323682C0" w14:textId="77777777" w:rsidR="00591A69" w:rsidRPr="00C83045" w:rsidRDefault="00591A69" w:rsidP="00D4304B">
            <w:pPr>
              <w:keepNext/>
              <w:widowControl w:val="0"/>
              <w:tabs>
                <w:tab w:val="left" w:pos="567"/>
              </w:tabs>
              <w:ind w:left="0" w:firstLine="0"/>
              <w:rPr>
                <w:i/>
                <w:color w:val="000000"/>
                <w:szCs w:val="22"/>
              </w:rPr>
            </w:pPr>
            <w:r w:rsidRPr="00C83045">
              <w:rPr>
                <w:i/>
                <w:color w:val="000000"/>
                <w:szCs w:val="22"/>
              </w:rPr>
              <w:t>Zriedkavé:</w:t>
            </w:r>
          </w:p>
        </w:tc>
        <w:tc>
          <w:tcPr>
            <w:tcW w:w="7087" w:type="dxa"/>
          </w:tcPr>
          <w:p w14:paraId="323682C1" w14:textId="77777777" w:rsidR="00591A69" w:rsidRPr="00C83045" w:rsidRDefault="00591A69" w:rsidP="00D4304B">
            <w:pPr>
              <w:keepNext/>
              <w:widowControl w:val="0"/>
              <w:tabs>
                <w:tab w:val="left" w:pos="567"/>
              </w:tabs>
              <w:ind w:left="0" w:firstLine="0"/>
              <w:rPr>
                <w:color w:val="000000"/>
                <w:szCs w:val="22"/>
              </w:rPr>
            </w:pPr>
            <w:r w:rsidRPr="00C83045">
              <w:rPr>
                <w:color w:val="000000"/>
                <w:szCs w:val="22"/>
              </w:rPr>
              <w:t>Syndróm z rozpadu nádoru</w:t>
            </w:r>
          </w:p>
        </w:tc>
      </w:tr>
      <w:tr w:rsidR="002979BC" w:rsidRPr="00C83045" w14:paraId="323682C5" w14:textId="77777777" w:rsidTr="00B62C3E">
        <w:trPr>
          <w:cantSplit/>
        </w:trPr>
        <w:tc>
          <w:tcPr>
            <w:tcW w:w="2235" w:type="dxa"/>
          </w:tcPr>
          <w:p w14:paraId="323682C3" w14:textId="77777777" w:rsidR="002979BC" w:rsidRPr="00C83045" w:rsidRDefault="002979BC"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82C4" w14:textId="77777777" w:rsidR="002979BC" w:rsidRPr="00C83045" w:rsidRDefault="002979BC" w:rsidP="00D4304B">
            <w:pPr>
              <w:widowControl w:val="0"/>
              <w:tabs>
                <w:tab w:val="left" w:pos="567"/>
              </w:tabs>
              <w:ind w:left="0" w:firstLine="0"/>
              <w:rPr>
                <w:color w:val="000000"/>
                <w:szCs w:val="22"/>
              </w:rPr>
            </w:pPr>
            <w:r w:rsidRPr="00C83045">
              <w:rPr>
                <w:color w:val="000000"/>
                <w:szCs w:val="22"/>
              </w:rPr>
              <w:t>Krvácanie nádoru/nekróza nádoru*</w:t>
            </w:r>
          </w:p>
        </w:tc>
      </w:tr>
      <w:tr w:rsidR="002979BC" w:rsidRPr="00C83045" w14:paraId="323682C7" w14:textId="77777777" w:rsidTr="00B62C3E">
        <w:trPr>
          <w:cantSplit/>
        </w:trPr>
        <w:tc>
          <w:tcPr>
            <w:tcW w:w="9322" w:type="dxa"/>
            <w:gridSpan w:val="2"/>
          </w:tcPr>
          <w:p w14:paraId="323682C6" w14:textId="77777777" w:rsidR="002979BC" w:rsidRPr="00C83045" w:rsidRDefault="002979BC" w:rsidP="00D4304B">
            <w:pPr>
              <w:keepNext/>
              <w:widowControl w:val="0"/>
              <w:tabs>
                <w:tab w:val="left" w:pos="567"/>
              </w:tabs>
              <w:ind w:left="0" w:firstLine="0"/>
              <w:rPr>
                <w:color w:val="000000"/>
                <w:szCs w:val="22"/>
              </w:rPr>
            </w:pPr>
            <w:r w:rsidRPr="00C83045">
              <w:rPr>
                <w:b/>
                <w:bCs/>
                <w:color w:val="000000"/>
                <w:szCs w:val="22"/>
              </w:rPr>
              <w:t>Poruchy imunitného systému</w:t>
            </w:r>
          </w:p>
        </w:tc>
      </w:tr>
      <w:tr w:rsidR="002979BC" w:rsidRPr="00C83045" w14:paraId="323682CA" w14:textId="77777777" w:rsidTr="00B62C3E">
        <w:trPr>
          <w:cantSplit/>
        </w:trPr>
        <w:tc>
          <w:tcPr>
            <w:tcW w:w="2235" w:type="dxa"/>
          </w:tcPr>
          <w:p w14:paraId="323682C8" w14:textId="77777777" w:rsidR="002979BC" w:rsidRPr="00C83045" w:rsidRDefault="002979BC"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82C9" w14:textId="77777777" w:rsidR="002979BC" w:rsidRPr="00C83045" w:rsidRDefault="002979BC" w:rsidP="00D4304B">
            <w:pPr>
              <w:widowControl w:val="0"/>
              <w:tabs>
                <w:tab w:val="left" w:pos="567"/>
              </w:tabs>
              <w:ind w:left="0" w:firstLine="0"/>
              <w:rPr>
                <w:color w:val="000000"/>
                <w:szCs w:val="22"/>
              </w:rPr>
            </w:pPr>
            <w:r w:rsidRPr="00C83045">
              <w:rPr>
                <w:color w:val="000000"/>
                <w:szCs w:val="22"/>
              </w:rPr>
              <w:t>Anafylaktický šok*</w:t>
            </w:r>
          </w:p>
        </w:tc>
      </w:tr>
      <w:tr w:rsidR="002979BC" w:rsidRPr="00C83045" w14:paraId="323682CC" w14:textId="77777777" w:rsidTr="00B62C3E">
        <w:trPr>
          <w:cantSplit/>
        </w:trPr>
        <w:tc>
          <w:tcPr>
            <w:tcW w:w="9322" w:type="dxa"/>
            <w:gridSpan w:val="2"/>
          </w:tcPr>
          <w:p w14:paraId="323682CB" w14:textId="77777777" w:rsidR="002979BC" w:rsidRPr="00C83045" w:rsidRDefault="002979BC" w:rsidP="00D4304B">
            <w:pPr>
              <w:keepNext/>
              <w:widowControl w:val="0"/>
              <w:tabs>
                <w:tab w:val="left" w:pos="567"/>
              </w:tabs>
              <w:ind w:left="0" w:firstLine="0"/>
              <w:rPr>
                <w:b/>
                <w:color w:val="000000"/>
                <w:szCs w:val="22"/>
              </w:rPr>
            </w:pPr>
            <w:r w:rsidRPr="00C83045">
              <w:rPr>
                <w:b/>
                <w:bCs/>
                <w:color w:val="000000"/>
                <w:szCs w:val="22"/>
              </w:rPr>
              <w:t>Poruchy krvi a lymfatického systému</w:t>
            </w:r>
          </w:p>
        </w:tc>
      </w:tr>
      <w:tr w:rsidR="002979BC" w:rsidRPr="00C83045" w14:paraId="323682CF" w14:textId="77777777" w:rsidTr="00B62C3E">
        <w:trPr>
          <w:cantSplit/>
        </w:trPr>
        <w:tc>
          <w:tcPr>
            <w:tcW w:w="2235" w:type="dxa"/>
          </w:tcPr>
          <w:p w14:paraId="323682CD"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Veľmi časté:</w:t>
            </w:r>
          </w:p>
        </w:tc>
        <w:tc>
          <w:tcPr>
            <w:tcW w:w="7087" w:type="dxa"/>
          </w:tcPr>
          <w:p w14:paraId="323682CE"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Neutropénia, trombocytopénia, anémia</w:t>
            </w:r>
          </w:p>
        </w:tc>
      </w:tr>
      <w:tr w:rsidR="002979BC" w:rsidRPr="00C83045" w14:paraId="323682D2" w14:textId="77777777" w:rsidTr="00B62C3E">
        <w:trPr>
          <w:cantSplit/>
        </w:trPr>
        <w:tc>
          <w:tcPr>
            <w:tcW w:w="2235" w:type="dxa"/>
          </w:tcPr>
          <w:p w14:paraId="323682D0"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Časté:</w:t>
            </w:r>
          </w:p>
        </w:tc>
        <w:tc>
          <w:tcPr>
            <w:tcW w:w="7087" w:type="dxa"/>
          </w:tcPr>
          <w:p w14:paraId="323682D1"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Pancytopénia, febrilná neutropénia</w:t>
            </w:r>
          </w:p>
        </w:tc>
      </w:tr>
      <w:tr w:rsidR="002979BC" w:rsidRPr="00C83045" w14:paraId="323682D5" w14:textId="77777777" w:rsidTr="00B62C3E">
        <w:trPr>
          <w:cantSplit/>
        </w:trPr>
        <w:tc>
          <w:tcPr>
            <w:tcW w:w="2235" w:type="dxa"/>
          </w:tcPr>
          <w:p w14:paraId="323682D3"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Menej časté:</w:t>
            </w:r>
          </w:p>
        </w:tc>
        <w:tc>
          <w:tcPr>
            <w:tcW w:w="7087" w:type="dxa"/>
          </w:tcPr>
          <w:p w14:paraId="323682D4"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Trombocytémia, lymfopénia, útlm kostnej drene, eozinofília, lymfadenopatia</w:t>
            </w:r>
          </w:p>
        </w:tc>
      </w:tr>
      <w:tr w:rsidR="002979BC" w:rsidRPr="00C83045" w14:paraId="323682D8" w14:textId="77777777" w:rsidTr="00B62C3E">
        <w:trPr>
          <w:cantSplit/>
        </w:trPr>
        <w:tc>
          <w:tcPr>
            <w:tcW w:w="2235" w:type="dxa"/>
          </w:tcPr>
          <w:p w14:paraId="323682D6" w14:textId="77777777" w:rsidR="002979BC" w:rsidRPr="00C83045" w:rsidRDefault="002979BC" w:rsidP="00D4304B">
            <w:pPr>
              <w:widowControl w:val="0"/>
              <w:tabs>
                <w:tab w:val="left" w:pos="567"/>
              </w:tabs>
              <w:ind w:left="0" w:firstLine="0"/>
              <w:rPr>
                <w:i/>
                <w:color w:val="000000"/>
                <w:szCs w:val="22"/>
              </w:rPr>
            </w:pPr>
            <w:r w:rsidRPr="00C83045">
              <w:rPr>
                <w:i/>
                <w:color w:val="000000"/>
                <w:szCs w:val="22"/>
              </w:rPr>
              <w:t>Zriedkavé:</w:t>
            </w:r>
          </w:p>
        </w:tc>
        <w:tc>
          <w:tcPr>
            <w:tcW w:w="7087" w:type="dxa"/>
          </w:tcPr>
          <w:p w14:paraId="323682D7" w14:textId="77777777" w:rsidR="002979BC" w:rsidRPr="00C83045" w:rsidRDefault="002979BC" w:rsidP="00D4304B">
            <w:pPr>
              <w:widowControl w:val="0"/>
              <w:tabs>
                <w:tab w:val="left" w:pos="567"/>
              </w:tabs>
              <w:ind w:left="0" w:firstLine="0"/>
              <w:rPr>
                <w:color w:val="000000"/>
                <w:szCs w:val="22"/>
              </w:rPr>
            </w:pPr>
            <w:r w:rsidRPr="00C83045">
              <w:rPr>
                <w:color w:val="000000"/>
                <w:szCs w:val="22"/>
              </w:rPr>
              <w:t>Hemolytická anémia</w:t>
            </w:r>
            <w:r w:rsidR="00152CF0">
              <w:rPr>
                <w:color w:val="000000"/>
                <w:szCs w:val="22"/>
              </w:rPr>
              <w:t>, trombotická mikroangiopatia</w:t>
            </w:r>
          </w:p>
        </w:tc>
      </w:tr>
      <w:tr w:rsidR="002979BC" w:rsidRPr="00C83045" w14:paraId="323682DA" w14:textId="77777777" w:rsidTr="00B62C3E">
        <w:trPr>
          <w:cantSplit/>
        </w:trPr>
        <w:tc>
          <w:tcPr>
            <w:tcW w:w="9322" w:type="dxa"/>
            <w:gridSpan w:val="2"/>
          </w:tcPr>
          <w:p w14:paraId="323682D9" w14:textId="77777777" w:rsidR="002979BC" w:rsidRPr="00C83045" w:rsidRDefault="002979BC" w:rsidP="00D4304B">
            <w:pPr>
              <w:keepNext/>
              <w:widowControl w:val="0"/>
              <w:tabs>
                <w:tab w:val="left" w:pos="567"/>
              </w:tabs>
              <w:ind w:left="0" w:firstLine="0"/>
              <w:rPr>
                <w:b/>
                <w:color w:val="000000"/>
                <w:szCs w:val="22"/>
              </w:rPr>
            </w:pPr>
            <w:r w:rsidRPr="00C83045">
              <w:rPr>
                <w:b/>
                <w:color w:val="000000"/>
                <w:szCs w:val="22"/>
              </w:rPr>
              <w:t>Poruchy metabolizmu a výživy</w:t>
            </w:r>
          </w:p>
        </w:tc>
      </w:tr>
      <w:tr w:rsidR="002979BC" w:rsidRPr="00C83045" w14:paraId="323682DD" w14:textId="77777777" w:rsidTr="00B62C3E">
        <w:trPr>
          <w:cantSplit/>
        </w:trPr>
        <w:tc>
          <w:tcPr>
            <w:tcW w:w="2235" w:type="dxa"/>
          </w:tcPr>
          <w:p w14:paraId="323682DB" w14:textId="77777777" w:rsidR="002979BC" w:rsidRPr="00C83045" w:rsidRDefault="002979BC" w:rsidP="00D4304B">
            <w:pPr>
              <w:keepNext/>
              <w:widowControl w:val="0"/>
              <w:tabs>
                <w:tab w:val="left" w:pos="567"/>
              </w:tabs>
              <w:ind w:left="0" w:firstLine="0"/>
              <w:rPr>
                <w:i/>
                <w:color w:val="000000"/>
                <w:szCs w:val="22"/>
              </w:rPr>
            </w:pPr>
            <w:r w:rsidRPr="00C83045">
              <w:rPr>
                <w:i/>
                <w:color w:val="000000"/>
                <w:szCs w:val="22"/>
              </w:rPr>
              <w:t>Časté:</w:t>
            </w:r>
          </w:p>
        </w:tc>
        <w:tc>
          <w:tcPr>
            <w:tcW w:w="7087" w:type="dxa"/>
          </w:tcPr>
          <w:p w14:paraId="323682DC"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Anorexia</w:t>
            </w:r>
          </w:p>
        </w:tc>
      </w:tr>
      <w:tr w:rsidR="002979BC" w:rsidRPr="00C83045" w14:paraId="323682E0" w14:textId="77777777" w:rsidTr="00B62C3E">
        <w:trPr>
          <w:cantSplit/>
        </w:trPr>
        <w:tc>
          <w:tcPr>
            <w:tcW w:w="2235" w:type="dxa"/>
          </w:tcPr>
          <w:p w14:paraId="323682DE" w14:textId="77777777" w:rsidR="002979BC" w:rsidRPr="00C83045" w:rsidRDefault="002979BC" w:rsidP="00D4304B">
            <w:pPr>
              <w:keepNext/>
              <w:widowControl w:val="0"/>
              <w:tabs>
                <w:tab w:val="left" w:pos="567"/>
              </w:tabs>
              <w:ind w:left="0" w:firstLine="0"/>
              <w:rPr>
                <w:i/>
                <w:color w:val="000000"/>
                <w:szCs w:val="22"/>
              </w:rPr>
            </w:pPr>
            <w:r w:rsidRPr="00C83045">
              <w:rPr>
                <w:i/>
                <w:color w:val="000000"/>
                <w:szCs w:val="22"/>
              </w:rPr>
              <w:t>Menej časté:</w:t>
            </w:r>
          </w:p>
        </w:tc>
        <w:tc>
          <w:tcPr>
            <w:tcW w:w="7087" w:type="dxa"/>
          </w:tcPr>
          <w:p w14:paraId="323682DF"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Hypokaliémia, zvýšenie chuti do jedenia, hypofosfatémia, zníženie chuti do jedenia, dehydratácia, dna, hyperurikémia, hyperkalciémia, hyperglykémia, hyponatriémia</w:t>
            </w:r>
          </w:p>
        </w:tc>
      </w:tr>
      <w:tr w:rsidR="002979BC" w:rsidRPr="00C83045" w14:paraId="323682E3" w14:textId="77777777" w:rsidTr="00B62C3E">
        <w:trPr>
          <w:cantSplit/>
        </w:trPr>
        <w:tc>
          <w:tcPr>
            <w:tcW w:w="2235" w:type="dxa"/>
          </w:tcPr>
          <w:p w14:paraId="323682E1" w14:textId="77777777" w:rsidR="002979BC" w:rsidRPr="00C83045" w:rsidRDefault="002979BC" w:rsidP="00D4304B">
            <w:pPr>
              <w:widowControl w:val="0"/>
              <w:tabs>
                <w:tab w:val="left" w:pos="567"/>
              </w:tabs>
              <w:ind w:left="0" w:firstLine="0"/>
              <w:rPr>
                <w:i/>
                <w:color w:val="000000"/>
                <w:szCs w:val="22"/>
              </w:rPr>
            </w:pPr>
            <w:r w:rsidRPr="00C83045">
              <w:rPr>
                <w:i/>
                <w:color w:val="000000"/>
                <w:szCs w:val="22"/>
              </w:rPr>
              <w:t>Zriedkavé:</w:t>
            </w:r>
          </w:p>
        </w:tc>
        <w:tc>
          <w:tcPr>
            <w:tcW w:w="7087" w:type="dxa"/>
          </w:tcPr>
          <w:p w14:paraId="323682E2" w14:textId="77777777" w:rsidR="002979BC" w:rsidRPr="00C83045" w:rsidRDefault="002979BC" w:rsidP="00D4304B">
            <w:pPr>
              <w:widowControl w:val="0"/>
              <w:tabs>
                <w:tab w:val="left" w:pos="567"/>
              </w:tabs>
              <w:ind w:left="0" w:firstLine="0"/>
              <w:rPr>
                <w:color w:val="000000"/>
                <w:szCs w:val="22"/>
              </w:rPr>
            </w:pPr>
            <w:r w:rsidRPr="00C83045">
              <w:rPr>
                <w:color w:val="000000"/>
                <w:szCs w:val="22"/>
              </w:rPr>
              <w:t>Hyperkaliémia, hypomagneziémia</w:t>
            </w:r>
          </w:p>
        </w:tc>
      </w:tr>
      <w:tr w:rsidR="002979BC" w:rsidRPr="00C83045" w14:paraId="323682E5" w14:textId="77777777" w:rsidTr="00B62C3E">
        <w:trPr>
          <w:cantSplit/>
        </w:trPr>
        <w:tc>
          <w:tcPr>
            <w:tcW w:w="9322" w:type="dxa"/>
            <w:gridSpan w:val="2"/>
          </w:tcPr>
          <w:p w14:paraId="323682E4" w14:textId="77777777" w:rsidR="002979BC" w:rsidRPr="00C83045" w:rsidRDefault="002979BC" w:rsidP="00D4304B">
            <w:pPr>
              <w:keepNext/>
              <w:widowControl w:val="0"/>
              <w:tabs>
                <w:tab w:val="left" w:pos="567"/>
              </w:tabs>
              <w:ind w:left="0" w:firstLine="0"/>
              <w:rPr>
                <w:b/>
                <w:color w:val="000000"/>
                <w:szCs w:val="22"/>
              </w:rPr>
            </w:pPr>
            <w:r w:rsidRPr="00C83045">
              <w:rPr>
                <w:b/>
                <w:bCs/>
                <w:color w:val="000000"/>
                <w:szCs w:val="22"/>
              </w:rPr>
              <w:t>Psychické poruchy</w:t>
            </w:r>
          </w:p>
        </w:tc>
      </w:tr>
      <w:tr w:rsidR="002979BC" w:rsidRPr="00C83045" w14:paraId="323682E8" w14:textId="77777777" w:rsidTr="00B62C3E">
        <w:trPr>
          <w:cantSplit/>
        </w:trPr>
        <w:tc>
          <w:tcPr>
            <w:tcW w:w="2235" w:type="dxa"/>
          </w:tcPr>
          <w:p w14:paraId="323682E6" w14:textId="77777777" w:rsidR="002979BC" w:rsidRPr="00C83045" w:rsidRDefault="002979BC" w:rsidP="00D4304B">
            <w:pPr>
              <w:keepNext/>
              <w:widowControl w:val="0"/>
              <w:tabs>
                <w:tab w:val="left" w:pos="567"/>
              </w:tabs>
              <w:ind w:left="0" w:firstLine="0"/>
              <w:rPr>
                <w:i/>
                <w:color w:val="000000"/>
                <w:szCs w:val="22"/>
              </w:rPr>
            </w:pPr>
            <w:r w:rsidRPr="00C83045">
              <w:rPr>
                <w:i/>
                <w:color w:val="000000"/>
                <w:szCs w:val="22"/>
              </w:rPr>
              <w:t>Časté:</w:t>
            </w:r>
          </w:p>
        </w:tc>
        <w:tc>
          <w:tcPr>
            <w:tcW w:w="7087" w:type="dxa"/>
          </w:tcPr>
          <w:p w14:paraId="323682E7"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Nespavosť</w:t>
            </w:r>
          </w:p>
        </w:tc>
      </w:tr>
      <w:tr w:rsidR="002979BC" w:rsidRPr="00C83045" w14:paraId="323682EB" w14:textId="77777777" w:rsidTr="00B62C3E">
        <w:trPr>
          <w:cantSplit/>
        </w:trPr>
        <w:tc>
          <w:tcPr>
            <w:tcW w:w="2235" w:type="dxa"/>
          </w:tcPr>
          <w:p w14:paraId="323682E9" w14:textId="77777777" w:rsidR="002979BC" w:rsidRPr="00C83045" w:rsidRDefault="002979BC" w:rsidP="00D4304B">
            <w:pPr>
              <w:keepNext/>
              <w:widowControl w:val="0"/>
              <w:tabs>
                <w:tab w:val="left" w:pos="567"/>
              </w:tabs>
              <w:ind w:left="0" w:firstLine="0"/>
              <w:rPr>
                <w:i/>
                <w:color w:val="000000"/>
                <w:szCs w:val="22"/>
              </w:rPr>
            </w:pPr>
            <w:r w:rsidRPr="00C83045">
              <w:rPr>
                <w:i/>
                <w:color w:val="000000"/>
                <w:szCs w:val="22"/>
              </w:rPr>
              <w:t>Menej časté:</w:t>
            </w:r>
          </w:p>
        </w:tc>
        <w:tc>
          <w:tcPr>
            <w:tcW w:w="7087" w:type="dxa"/>
          </w:tcPr>
          <w:p w14:paraId="323682EA"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Depresia, zníženie libida, úzkosť</w:t>
            </w:r>
          </w:p>
        </w:tc>
      </w:tr>
      <w:tr w:rsidR="002979BC" w:rsidRPr="00C83045" w14:paraId="323682EE" w14:textId="77777777" w:rsidTr="00B62C3E">
        <w:trPr>
          <w:cantSplit/>
        </w:trPr>
        <w:tc>
          <w:tcPr>
            <w:tcW w:w="2235" w:type="dxa"/>
          </w:tcPr>
          <w:p w14:paraId="323682EC" w14:textId="77777777" w:rsidR="002979BC" w:rsidRPr="00C83045" w:rsidRDefault="002979BC" w:rsidP="00D4304B">
            <w:pPr>
              <w:widowControl w:val="0"/>
              <w:tabs>
                <w:tab w:val="left" w:pos="567"/>
              </w:tabs>
              <w:ind w:left="0" w:firstLine="0"/>
              <w:rPr>
                <w:i/>
                <w:color w:val="000000"/>
                <w:szCs w:val="22"/>
              </w:rPr>
            </w:pPr>
            <w:r w:rsidRPr="00C83045">
              <w:rPr>
                <w:i/>
                <w:color w:val="000000"/>
                <w:szCs w:val="22"/>
              </w:rPr>
              <w:t>Zriedkavé:</w:t>
            </w:r>
          </w:p>
        </w:tc>
        <w:tc>
          <w:tcPr>
            <w:tcW w:w="7087" w:type="dxa"/>
          </w:tcPr>
          <w:p w14:paraId="323682ED" w14:textId="77777777" w:rsidR="002979BC" w:rsidRPr="00C83045" w:rsidRDefault="002979BC" w:rsidP="00D4304B">
            <w:pPr>
              <w:widowControl w:val="0"/>
              <w:tabs>
                <w:tab w:val="left" w:pos="567"/>
              </w:tabs>
              <w:ind w:left="0" w:firstLine="0"/>
              <w:rPr>
                <w:color w:val="000000"/>
                <w:szCs w:val="22"/>
              </w:rPr>
            </w:pPr>
            <w:r w:rsidRPr="00C83045">
              <w:rPr>
                <w:color w:val="000000"/>
                <w:szCs w:val="22"/>
              </w:rPr>
              <w:t>Zmätenosť</w:t>
            </w:r>
          </w:p>
        </w:tc>
      </w:tr>
      <w:tr w:rsidR="002979BC" w:rsidRPr="00C83045" w14:paraId="323682F0" w14:textId="77777777" w:rsidTr="00B62C3E">
        <w:trPr>
          <w:cantSplit/>
        </w:trPr>
        <w:tc>
          <w:tcPr>
            <w:tcW w:w="9322" w:type="dxa"/>
            <w:gridSpan w:val="2"/>
          </w:tcPr>
          <w:p w14:paraId="323682EF" w14:textId="77777777" w:rsidR="002979BC" w:rsidRPr="00C83045" w:rsidRDefault="002979BC" w:rsidP="00D4304B">
            <w:pPr>
              <w:keepNext/>
              <w:widowControl w:val="0"/>
              <w:tabs>
                <w:tab w:val="left" w:pos="567"/>
              </w:tabs>
              <w:ind w:left="0" w:firstLine="0"/>
              <w:rPr>
                <w:color w:val="000000"/>
                <w:szCs w:val="22"/>
              </w:rPr>
            </w:pPr>
            <w:r w:rsidRPr="00C83045">
              <w:rPr>
                <w:b/>
                <w:color w:val="000000"/>
                <w:szCs w:val="22"/>
              </w:rPr>
              <w:lastRenderedPageBreak/>
              <w:t>Poruchy nervového systému</w:t>
            </w:r>
          </w:p>
        </w:tc>
      </w:tr>
      <w:tr w:rsidR="002979BC" w:rsidRPr="00C83045" w14:paraId="323682F3" w14:textId="77777777" w:rsidTr="00B62C3E">
        <w:trPr>
          <w:cantSplit/>
        </w:trPr>
        <w:tc>
          <w:tcPr>
            <w:tcW w:w="2235" w:type="dxa"/>
          </w:tcPr>
          <w:p w14:paraId="323682F1"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Veľmi časté:</w:t>
            </w:r>
          </w:p>
        </w:tc>
        <w:tc>
          <w:tcPr>
            <w:tcW w:w="7087" w:type="dxa"/>
          </w:tcPr>
          <w:p w14:paraId="323682F2"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Bolesť hlavy</w:t>
            </w:r>
            <w:r w:rsidRPr="00C83045">
              <w:rPr>
                <w:color w:val="000000"/>
                <w:szCs w:val="22"/>
                <w:vertAlign w:val="superscript"/>
              </w:rPr>
              <w:t>2</w:t>
            </w:r>
          </w:p>
        </w:tc>
      </w:tr>
      <w:tr w:rsidR="002979BC" w:rsidRPr="00C83045" w14:paraId="323682F6" w14:textId="77777777" w:rsidTr="00B62C3E">
        <w:trPr>
          <w:cantSplit/>
        </w:trPr>
        <w:tc>
          <w:tcPr>
            <w:tcW w:w="2235" w:type="dxa"/>
          </w:tcPr>
          <w:p w14:paraId="323682F4"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Časté:</w:t>
            </w:r>
          </w:p>
        </w:tc>
        <w:tc>
          <w:tcPr>
            <w:tcW w:w="7087" w:type="dxa"/>
          </w:tcPr>
          <w:p w14:paraId="323682F5"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Závraty, parestézia, poruchy vnímania chuti, hypoestézia</w:t>
            </w:r>
          </w:p>
        </w:tc>
      </w:tr>
      <w:tr w:rsidR="002979BC" w:rsidRPr="00C83045" w14:paraId="323682F9" w14:textId="77777777" w:rsidTr="00B62C3E">
        <w:trPr>
          <w:cantSplit/>
        </w:trPr>
        <w:tc>
          <w:tcPr>
            <w:tcW w:w="2235" w:type="dxa"/>
          </w:tcPr>
          <w:p w14:paraId="323682F7"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Menej časté:</w:t>
            </w:r>
          </w:p>
        </w:tc>
        <w:tc>
          <w:tcPr>
            <w:tcW w:w="7087" w:type="dxa"/>
          </w:tcPr>
          <w:p w14:paraId="323682F8"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Migréna, somnolencia, synkopa, periférna neuropatia, zhoršenie pamäti, zápal sedacieho nervu, syndróm nepokojných nôh, tremor, krvácanie do mozgu</w:t>
            </w:r>
          </w:p>
        </w:tc>
      </w:tr>
      <w:tr w:rsidR="002979BC" w:rsidRPr="00C83045" w14:paraId="323682FC" w14:textId="77777777" w:rsidTr="00B62C3E">
        <w:trPr>
          <w:cantSplit/>
        </w:trPr>
        <w:tc>
          <w:tcPr>
            <w:tcW w:w="2235" w:type="dxa"/>
          </w:tcPr>
          <w:p w14:paraId="323682FA"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Zriedkavé:</w:t>
            </w:r>
          </w:p>
        </w:tc>
        <w:tc>
          <w:tcPr>
            <w:tcW w:w="7087" w:type="dxa"/>
          </w:tcPr>
          <w:p w14:paraId="323682FB"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Zvýšenie vnútrolebkového tlaku, kŕče, neuritída zrakového nervu</w:t>
            </w:r>
          </w:p>
        </w:tc>
      </w:tr>
      <w:tr w:rsidR="002979BC" w:rsidRPr="00C83045" w14:paraId="323682FF" w14:textId="77777777" w:rsidTr="00B62C3E">
        <w:trPr>
          <w:cantSplit/>
        </w:trPr>
        <w:tc>
          <w:tcPr>
            <w:tcW w:w="2235" w:type="dxa"/>
          </w:tcPr>
          <w:p w14:paraId="323682FD" w14:textId="77777777" w:rsidR="002979BC" w:rsidRPr="00C83045" w:rsidRDefault="002979BC"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82FE" w14:textId="77777777" w:rsidR="002979BC" w:rsidRPr="00C83045" w:rsidRDefault="002979BC" w:rsidP="00D4304B">
            <w:pPr>
              <w:widowControl w:val="0"/>
              <w:tabs>
                <w:tab w:val="left" w:pos="567"/>
              </w:tabs>
              <w:ind w:left="0" w:firstLine="0"/>
              <w:rPr>
                <w:color w:val="000000"/>
                <w:szCs w:val="22"/>
              </w:rPr>
            </w:pPr>
            <w:r w:rsidRPr="00C83045">
              <w:rPr>
                <w:color w:val="000000"/>
                <w:szCs w:val="22"/>
              </w:rPr>
              <w:t>Cerebrálny edém*</w:t>
            </w:r>
          </w:p>
        </w:tc>
      </w:tr>
      <w:tr w:rsidR="002979BC" w:rsidRPr="00C83045" w14:paraId="32368301" w14:textId="77777777" w:rsidTr="00B62C3E">
        <w:trPr>
          <w:cantSplit/>
        </w:trPr>
        <w:tc>
          <w:tcPr>
            <w:tcW w:w="9322" w:type="dxa"/>
            <w:gridSpan w:val="2"/>
          </w:tcPr>
          <w:p w14:paraId="32368300" w14:textId="77777777" w:rsidR="002979BC" w:rsidRPr="00C83045" w:rsidRDefault="002979BC" w:rsidP="00D4304B">
            <w:pPr>
              <w:keepNext/>
              <w:widowControl w:val="0"/>
              <w:tabs>
                <w:tab w:val="left" w:pos="567"/>
              </w:tabs>
              <w:ind w:left="0" w:firstLine="0"/>
              <w:rPr>
                <w:color w:val="000000"/>
                <w:szCs w:val="22"/>
              </w:rPr>
            </w:pPr>
            <w:r w:rsidRPr="00C83045">
              <w:rPr>
                <w:b/>
                <w:bCs/>
                <w:color w:val="000000"/>
                <w:szCs w:val="22"/>
              </w:rPr>
              <w:t>Poruchy</w:t>
            </w:r>
            <w:r w:rsidRPr="00C83045">
              <w:rPr>
                <w:b/>
                <w:color w:val="000000"/>
                <w:szCs w:val="22"/>
              </w:rPr>
              <w:t xml:space="preserve"> oka</w:t>
            </w:r>
          </w:p>
        </w:tc>
      </w:tr>
      <w:tr w:rsidR="002979BC" w:rsidRPr="00C83045" w14:paraId="32368304" w14:textId="77777777" w:rsidTr="00B62C3E">
        <w:trPr>
          <w:cantSplit/>
        </w:trPr>
        <w:tc>
          <w:tcPr>
            <w:tcW w:w="2235" w:type="dxa"/>
          </w:tcPr>
          <w:p w14:paraId="32368302"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Časté:</w:t>
            </w:r>
          </w:p>
        </w:tc>
        <w:tc>
          <w:tcPr>
            <w:tcW w:w="7087" w:type="dxa"/>
          </w:tcPr>
          <w:p w14:paraId="32368303"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Edém mihalnice, zvýšená lakrimácia, krvácanie do spojoviek, konjunktivitída, suchosť očí, neostré videnie</w:t>
            </w:r>
          </w:p>
        </w:tc>
      </w:tr>
      <w:tr w:rsidR="002979BC" w:rsidRPr="00C83045" w14:paraId="32368307" w14:textId="77777777" w:rsidTr="00B62C3E">
        <w:trPr>
          <w:cantSplit/>
        </w:trPr>
        <w:tc>
          <w:tcPr>
            <w:tcW w:w="2235" w:type="dxa"/>
          </w:tcPr>
          <w:p w14:paraId="32368305"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Menej časté:</w:t>
            </w:r>
          </w:p>
        </w:tc>
        <w:tc>
          <w:tcPr>
            <w:tcW w:w="7087" w:type="dxa"/>
          </w:tcPr>
          <w:p w14:paraId="32368306"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Podráždenie očí, bolesť očí, orbitálny edém, krvácanie do skléry, krvácanie do sietnice, blefaritída, makulárny edém</w:t>
            </w:r>
          </w:p>
        </w:tc>
      </w:tr>
      <w:tr w:rsidR="002979BC" w:rsidRPr="00C83045" w14:paraId="3236830A" w14:textId="77777777" w:rsidTr="00B62C3E">
        <w:trPr>
          <w:cantSplit/>
        </w:trPr>
        <w:tc>
          <w:tcPr>
            <w:tcW w:w="2235" w:type="dxa"/>
          </w:tcPr>
          <w:p w14:paraId="32368308"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Zriedkavé:</w:t>
            </w:r>
          </w:p>
        </w:tc>
        <w:tc>
          <w:tcPr>
            <w:tcW w:w="7087" w:type="dxa"/>
          </w:tcPr>
          <w:p w14:paraId="32368309"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Katarakta, glaukóm, edém zrakovej papily</w:t>
            </w:r>
          </w:p>
        </w:tc>
      </w:tr>
      <w:tr w:rsidR="002979BC" w:rsidRPr="00C83045" w14:paraId="3236830D" w14:textId="77777777" w:rsidTr="00B62C3E">
        <w:trPr>
          <w:cantSplit/>
        </w:trPr>
        <w:tc>
          <w:tcPr>
            <w:tcW w:w="2235" w:type="dxa"/>
          </w:tcPr>
          <w:p w14:paraId="3236830B" w14:textId="77777777" w:rsidR="002979BC" w:rsidRPr="00C83045" w:rsidRDefault="002979BC"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830C" w14:textId="77777777" w:rsidR="002979BC" w:rsidRPr="00C83045" w:rsidRDefault="002979BC" w:rsidP="00D4304B">
            <w:pPr>
              <w:widowControl w:val="0"/>
              <w:tabs>
                <w:tab w:val="left" w:pos="567"/>
              </w:tabs>
              <w:ind w:left="0" w:firstLine="0"/>
              <w:rPr>
                <w:color w:val="000000"/>
                <w:szCs w:val="22"/>
              </w:rPr>
            </w:pPr>
            <w:r w:rsidRPr="00C83045">
              <w:rPr>
                <w:color w:val="000000"/>
                <w:szCs w:val="22"/>
              </w:rPr>
              <w:t>Krvácanie do sklovca*</w:t>
            </w:r>
          </w:p>
        </w:tc>
      </w:tr>
      <w:tr w:rsidR="002979BC" w:rsidRPr="00C83045" w14:paraId="3236830F" w14:textId="77777777" w:rsidTr="00B62C3E">
        <w:trPr>
          <w:cantSplit/>
        </w:trPr>
        <w:tc>
          <w:tcPr>
            <w:tcW w:w="9322" w:type="dxa"/>
            <w:gridSpan w:val="2"/>
          </w:tcPr>
          <w:p w14:paraId="3236830E" w14:textId="77777777" w:rsidR="002979BC" w:rsidRPr="00C83045" w:rsidRDefault="002979BC" w:rsidP="00D4304B">
            <w:pPr>
              <w:keepNext/>
              <w:widowControl w:val="0"/>
              <w:tabs>
                <w:tab w:val="left" w:pos="567"/>
              </w:tabs>
              <w:ind w:left="0" w:firstLine="0"/>
              <w:rPr>
                <w:color w:val="000000"/>
                <w:szCs w:val="22"/>
              </w:rPr>
            </w:pPr>
            <w:r w:rsidRPr="00C83045">
              <w:rPr>
                <w:b/>
                <w:bCs/>
                <w:color w:val="000000"/>
                <w:szCs w:val="22"/>
              </w:rPr>
              <w:t>Poruchy</w:t>
            </w:r>
            <w:r w:rsidRPr="00C83045" w:rsidDel="00D7285B">
              <w:rPr>
                <w:b/>
                <w:bCs/>
                <w:color w:val="000000"/>
                <w:szCs w:val="22"/>
              </w:rPr>
              <w:t xml:space="preserve"> </w:t>
            </w:r>
            <w:r w:rsidRPr="00C83045">
              <w:rPr>
                <w:b/>
                <w:bCs/>
                <w:color w:val="000000"/>
                <w:szCs w:val="22"/>
              </w:rPr>
              <w:t>ucha a labyrintu</w:t>
            </w:r>
          </w:p>
        </w:tc>
      </w:tr>
      <w:tr w:rsidR="002979BC" w:rsidRPr="00C83045" w14:paraId="32368312" w14:textId="77777777" w:rsidTr="00B62C3E">
        <w:trPr>
          <w:cantSplit/>
        </w:trPr>
        <w:tc>
          <w:tcPr>
            <w:tcW w:w="2235" w:type="dxa"/>
          </w:tcPr>
          <w:p w14:paraId="32368310" w14:textId="77777777" w:rsidR="002979BC" w:rsidRPr="00C83045" w:rsidRDefault="002979BC" w:rsidP="00D4304B">
            <w:pPr>
              <w:widowControl w:val="0"/>
              <w:tabs>
                <w:tab w:val="left" w:pos="567"/>
              </w:tabs>
              <w:ind w:left="0" w:firstLine="0"/>
              <w:rPr>
                <w:color w:val="000000"/>
                <w:szCs w:val="22"/>
              </w:rPr>
            </w:pPr>
            <w:r w:rsidRPr="00C83045">
              <w:rPr>
                <w:i/>
                <w:color w:val="000000"/>
                <w:szCs w:val="22"/>
              </w:rPr>
              <w:t>Menej časté:</w:t>
            </w:r>
          </w:p>
        </w:tc>
        <w:tc>
          <w:tcPr>
            <w:tcW w:w="7087" w:type="dxa"/>
          </w:tcPr>
          <w:p w14:paraId="32368311" w14:textId="77777777" w:rsidR="002979BC" w:rsidRPr="00C83045" w:rsidRDefault="002979BC" w:rsidP="00D4304B">
            <w:pPr>
              <w:widowControl w:val="0"/>
              <w:tabs>
                <w:tab w:val="left" w:pos="567"/>
              </w:tabs>
              <w:ind w:left="0" w:firstLine="0"/>
              <w:rPr>
                <w:color w:val="000000"/>
                <w:szCs w:val="22"/>
              </w:rPr>
            </w:pPr>
            <w:r w:rsidRPr="00C83045">
              <w:rPr>
                <w:color w:val="000000"/>
                <w:szCs w:val="22"/>
              </w:rPr>
              <w:t>Vertigo, tinitus, strata sluchu</w:t>
            </w:r>
          </w:p>
        </w:tc>
      </w:tr>
      <w:tr w:rsidR="002979BC" w:rsidRPr="00C83045" w14:paraId="32368314" w14:textId="77777777" w:rsidTr="00B62C3E">
        <w:trPr>
          <w:cantSplit/>
        </w:trPr>
        <w:tc>
          <w:tcPr>
            <w:tcW w:w="9322" w:type="dxa"/>
            <w:gridSpan w:val="2"/>
          </w:tcPr>
          <w:p w14:paraId="32368313" w14:textId="77777777" w:rsidR="002979BC" w:rsidRPr="00C83045" w:rsidRDefault="002979BC" w:rsidP="00D4304B">
            <w:pPr>
              <w:keepNext/>
              <w:widowControl w:val="0"/>
              <w:tabs>
                <w:tab w:val="left" w:pos="567"/>
              </w:tabs>
              <w:ind w:left="0" w:firstLine="0"/>
              <w:rPr>
                <w:color w:val="000000"/>
                <w:szCs w:val="22"/>
              </w:rPr>
            </w:pPr>
            <w:r w:rsidRPr="00C83045">
              <w:rPr>
                <w:b/>
                <w:bCs/>
                <w:color w:val="000000"/>
                <w:szCs w:val="22"/>
              </w:rPr>
              <w:t>Poruchy srdca a srdcovej činnosti</w:t>
            </w:r>
          </w:p>
        </w:tc>
      </w:tr>
      <w:tr w:rsidR="002979BC" w:rsidRPr="00C83045" w14:paraId="32368317" w14:textId="77777777" w:rsidTr="00B62C3E">
        <w:trPr>
          <w:cantSplit/>
        </w:trPr>
        <w:tc>
          <w:tcPr>
            <w:tcW w:w="2235" w:type="dxa"/>
          </w:tcPr>
          <w:p w14:paraId="32368315"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Menej časté:</w:t>
            </w:r>
          </w:p>
        </w:tc>
        <w:tc>
          <w:tcPr>
            <w:tcW w:w="7087" w:type="dxa"/>
          </w:tcPr>
          <w:p w14:paraId="32368316"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Palpitácie, tachykardia, kongestívne zlyhanie srdca</w:t>
            </w:r>
            <w:r w:rsidRPr="00C83045">
              <w:rPr>
                <w:color w:val="000000"/>
                <w:szCs w:val="22"/>
                <w:vertAlign w:val="superscript"/>
              </w:rPr>
              <w:t>3</w:t>
            </w:r>
            <w:r w:rsidRPr="00C83045">
              <w:rPr>
                <w:color w:val="000000"/>
                <w:szCs w:val="22"/>
              </w:rPr>
              <w:t>, pľúcny edém</w:t>
            </w:r>
          </w:p>
        </w:tc>
      </w:tr>
      <w:tr w:rsidR="002979BC" w:rsidRPr="00C83045" w14:paraId="3236831A" w14:textId="77777777" w:rsidTr="00B62C3E">
        <w:trPr>
          <w:cantSplit/>
        </w:trPr>
        <w:tc>
          <w:tcPr>
            <w:tcW w:w="2235" w:type="dxa"/>
          </w:tcPr>
          <w:p w14:paraId="32368318"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Zriedkavé:</w:t>
            </w:r>
          </w:p>
        </w:tc>
        <w:tc>
          <w:tcPr>
            <w:tcW w:w="7087" w:type="dxa"/>
          </w:tcPr>
          <w:p w14:paraId="32368319"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Arytmia, fibrilácia predsiení, zastavenie srdca, infarkt myokardu, angina pectoris, perikardový výpotok</w:t>
            </w:r>
          </w:p>
        </w:tc>
      </w:tr>
      <w:tr w:rsidR="002979BC" w:rsidRPr="00C83045" w14:paraId="3236831D" w14:textId="77777777" w:rsidTr="00B62C3E">
        <w:trPr>
          <w:cantSplit/>
        </w:trPr>
        <w:tc>
          <w:tcPr>
            <w:tcW w:w="2235" w:type="dxa"/>
          </w:tcPr>
          <w:p w14:paraId="3236831B" w14:textId="77777777" w:rsidR="002979BC" w:rsidRPr="00C83045" w:rsidRDefault="002979BC"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831C" w14:textId="77777777" w:rsidR="002979BC" w:rsidRPr="00C83045" w:rsidRDefault="002979BC" w:rsidP="00D4304B">
            <w:pPr>
              <w:widowControl w:val="0"/>
              <w:tabs>
                <w:tab w:val="left" w:pos="567"/>
              </w:tabs>
              <w:ind w:left="0" w:firstLine="0"/>
              <w:rPr>
                <w:color w:val="000000"/>
                <w:szCs w:val="22"/>
              </w:rPr>
            </w:pPr>
            <w:r w:rsidRPr="00C83045">
              <w:rPr>
                <w:color w:val="000000"/>
                <w:szCs w:val="22"/>
              </w:rPr>
              <w:t>Perikarditída*, tamponáda srdca*</w:t>
            </w:r>
          </w:p>
        </w:tc>
      </w:tr>
      <w:tr w:rsidR="002979BC" w:rsidRPr="00C83045" w14:paraId="3236831F" w14:textId="77777777" w:rsidTr="00B62C3E">
        <w:trPr>
          <w:cantSplit/>
        </w:trPr>
        <w:tc>
          <w:tcPr>
            <w:tcW w:w="9322" w:type="dxa"/>
            <w:gridSpan w:val="2"/>
          </w:tcPr>
          <w:p w14:paraId="3236831E" w14:textId="77777777" w:rsidR="002979BC" w:rsidRPr="00C83045" w:rsidRDefault="002979BC" w:rsidP="00D4304B">
            <w:pPr>
              <w:keepNext/>
              <w:widowControl w:val="0"/>
              <w:tabs>
                <w:tab w:val="left" w:pos="567"/>
                <w:tab w:val="left" w:pos="6048"/>
              </w:tabs>
              <w:ind w:left="0" w:firstLine="0"/>
              <w:rPr>
                <w:color w:val="000000"/>
                <w:szCs w:val="22"/>
              </w:rPr>
            </w:pPr>
            <w:r w:rsidRPr="00C83045">
              <w:rPr>
                <w:b/>
                <w:color w:val="000000"/>
                <w:szCs w:val="22"/>
              </w:rPr>
              <w:t>Poruchy ciev</w:t>
            </w:r>
            <w:r w:rsidRPr="00C83045">
              <w:rPr>
                <w:b/>
                <w:color w:val="000000"/>
                <w:szCs w:val="22"/>
                <w:vertAlign w:val="superscript"/>
              </w:rPr>
              <w:t>4</w:t>
            </w:r>
          </w:p>
        </w:tc>
      </w:tr>
      <w:tr w:rsidR="002979BC" w:rsidRPr="00C83045" w14:paraId="32368322" w14:textId="77777777" w:rsidTr="00B62C3E">
        <w:trPr>
          <w:cantSplit/>
        </w:trPr>
        <w:tc>
          <w:tcPr>
            <w:tcW w:w="2235" w:type="dxa"/>
          </w:tcPr>
          <w:p w14:paraId="32368320" w14:textId="77777777" w:rsidR="002979BC" w:rsidRPr="00C83045" w:rsidRDefault="002979BC" w:rsidP="00D4304B">
            <w:pPr>
              <w:keepNext/>
              <w:widowControl w:val="0"/>
              <w:tabs>
                <w:tab w:val="left" w:pos="567"/>
              </w:tabs>
              <w:ind w:left="0" w:firstLine="0"/>
              <w:rPr>
                <w:i/>
                <w:color w:val="000000"/>
                <w:szCs w:val="22"/>
              </w:rPr>
            </w:pPr>
            <w:r w:rsidRPr="00C83045">
              <w:rPr>
                <w:i/>
                <w:color w:val="000000"/>
                <w:szCs w:val="22"/>
              </w:rPr>
              <w:t>Časté:</w:t>
            </w:r>
          </w:p>
        </w:tc>
        <w:tc>
          <w:tcPr>
            <w:tcW w:w="7087" w:type="dxa"/>
          </w:tcPr>
          <w:p w14:paraId="32368321"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Návaly tepla, krvácanie</w:t>
            </w:r>
          </w:p>
        </w:tc>
      </w:tr>
      <w:tr w:rsidR="002979BC" w:rsidRPr="00C83045" w14:paraId="32368325" w14:textId="77777777" w:rsidTr="00B62C3E">
        <w:trPr>
          <w:cantSplit/>
        </w:trPr>
        <w:tc>
          <w:tcPr>
            <w:tcW w:w="2235" w:type="dxa"/>
          </w:tcPr>
          <w:p w14:paraId="32368323" w14:textId="77777777" w:rsidR="002979BC" w:rsidRPr="00C83045" w:rsidDel="00655175" w:rsidRDefault="002979BC" w:rsidP="00D4304B">
            <w:pPr>
              <w:keepNext/>
              <w:widowControl w:val="0"/>
              <w:tabs>
                <w:tab w:val="left" w:pos="567"/>
              </w:tabs>
              <w:ind w:left="0" w:firstLine="0"/>
              <w:rPr>
                <w:i/>
                <w:color w:val="000000"/>
                <w:szCs w:val="22"/>
              </w:rPr>
            </w:pPr>
            <w:r w:rsidRPr="00C83045">
              <w:rPr>
                <w:i/>
                <w:color w:val="000000"/>
                <w:szCs w:val="22"/>
              </w:rPr>
              <w:t>Menej časté:</w:t>
            </w:r>
          </w:p>
        </w:tc>
        <w:tc>
          <w:tcPr>
            <w:tcW w:w="7087" w:type="dxa"/>
          </w:tcPr>
          <w:p w14:paraId="32368324" w14:textId="77777777" w:rsidR="002979BC" w:rsidRPr="00C83045" w:rsidDel="00655175" w:rsidRDefault="002979BC" w:rsidP="00D4304B">
            <w:pPr>
              <w:keepNext/>
              <w:widowControl w:val="0"/>
              <w:tabs>
                <w:tab w:val="left" w:pos="567"/>
              </w:tabs>
              <w:ind w:left="0" w:firstLine="0"/>
              <w:rPr>
                <w:color w:val="000000"/>
                <w:szCs w:val="22"/>
              </w:rPr>
            </w:pPr>
            <w:r w:rsidRPr="00C83045">
              <w:rPr>
                <w:color w:val="000000"/>
                <w:szCs w:val="22"/>
              </w:rPr>
              <w:t>Hypertenzia, hematóm, subdurálny hematóm, periférny pocit chladu, hypotenzia, Raynaudov fenomén</w:t>
            </w:r>
          </w:p>
        </w:tc>
      </w:tr>
      <w:tr w:rsidR="002979BC" w:rsidRPr="00C83045" w14:paraId="32368328" w14:textId="77777777" w:rsidTr="00B62C3E">
        <w:trPr>
          <w:cantSplit/>
        </w:trPr>
        <w:tc>
          <w:tcPr>
            <w:tcW w:w="2235" w:type="dxa"/>
          </w:tcPr>
          <w:p w14:paraId="32368326" w14:textId="77777777" w:rsidR="002979BC" w:rsidRPr="00C83045" w:rsidRDefault="002979BC"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8327" w14:textId="77777777" w:rsidR="002979BC" w:rsidRPr="00C83045" w:rsidRDefault="002979BC" w:rsidP="00D4304B">
            <w:pPr>
              <w:widowControl w:val="0"/>
              <w:tabs>
                <w:tab w:val="left" w:pos="567"/>
              </w:tabs>
              <w:ind w:left="0" w:firstLine="0"/>
              <w:rPr>
                <w:color w:val="000000"/>
                <w:szCs w:val="22"/>
              </w:rPr>
            </w:pPr>
            <w:r w:rsidRPr="00C83045">
              <w:rPr>
                <w:color w:val="000000"/>
                <w:szCs w:val="22"/>
              </w:rPr>
              <w:t>Trombóza, embolus*</w:t>
            </w:r>
          </w:p>
        </w:tc>
      </w:tr>
      <w:tr w:rsidR="002979BC" w:rsidRPr="00C83045" w14:paraId="3236832A" w14:textId="77777777" w:rsidTr="00B62C3E">
        <w:trPr>
          <w:cantSplit/>
        </w:trPr>
        <w:tc>
          <w:tcPr>
            <w:tcW w:w="9322" w:type="dxa"/>
            <w:gridSpan w:val="2"/>
          </w:tcPr>
          <w:p w14:paraId="32368329" w14:textId="77777777" w:rsidR="002979BC" w:rsidRPr="00C83045" w:rsidRDefault="002979BC" w:rsidP="00D4304B">
            <w:pPr>
              <w:keepNext/>
              <w:widowControl w:val="0"/>
              <w:tabs>
                <w:tab w:val="left" w:pos="567"/>
              </w:tabs>
              <w:ind w:left="0" w:firstLine="0"/>
              <w:rPr>
                <w:color w:val="000000"/>
                <w:szCs w:val="22"/>
              </w:rPr>
            </w:pPr>
            <w:r w:rsidRPr="00C83045">
              <w:rPr>
                <w:b/>
                <w:bCs/>
                <w:color w:val="000000"/>
                <w:szCs w:val="22"/>
              </w:rPr>
              <w:t>Poruchy</w:t>
            </w:r>
            <w:r w:rsidRPr="00C83045">
              <w:rPr>
                <w:b/>
                <w:color w:val="000000"/>
                <w:szCs w:val="22"/>
              </w:rPr>
              <w:t xml:space="preserve"> dýchacej sústavy, hrudníka a mediastína</w:t>
            </w:r>
          </w:p>
        </w:tc>
      </w:tr>
      <w:tr w:rsidR="002979BC" w:rsidRPr="00C83045" w14:paraId="3236832D" w14:textId="77777777" w:rsidTr="00B62C3E">
        <w:trPr>
          <w:cantSplit/>
        </w:trPr>
        <w:tc>
          <w:tcPr>
            <w:tcW w:w="2235" w:type="dxa"/>
          </w:tcPr>
          <w:p w14:paraId="3236832B"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Časté:</w:t>
            </w:r>
          </w:p>
        </w:tc>
        <w:tc>
          <w:tcPr>
            <w:tcW w:w="7087" w:type="dxa"/>
          </w:tcPr>
          <w:p w14:paraId="3236832C"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Dyspnoe, epistaxa, kašeľ</w:t>
            </w:r>
          </w:p>
        </w:tc>
      </w:tr>
      <w:tr w:rsidR="002979BC" w:rsidRPr="00C83045" w14:paraId="32368330" w14:textId="77777777" w:rsidTr="00B62C3E">
        <w:trPr>
          <w:cantSplit/>
        </w:trPr>
        <w:tc>
          <w:tcPr>
            <w:tcW w:w="2235" w:type="dxa"/>
          </w:tcPr>
          <w:p w14:paraId="3236832E"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Menej časté:</w:t>
            </w:r>
          </w:p>
        </w:tc>
        <w:tc>
          <w:tcPr>
            <w:tcW w:w="7087" w:type="dxa"/>
          </w:tcPr>
          <w:p w14:paraId="3236832F"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Pleurálny výpotok</w:t>
            </w:r>
            <w:r w:rsidRPr="00C83045">
              <w:rPr>
                <w:color w:val="000000"/>
                <w:szCs w:val="22"/>
                <w:vertAlign w:val="superscript"/>
              </w:rPr>
              <w:t>5</w:t>
            </w:r>
            <w:r w:rsidRPr="00C83045">
              <w:rPr>
                <w:color w:val="000000"/>
                <w:szCs w:val="22"/>
              </w:rPr>
              <w:t>, bolesť hltana a hrtana, faryngitída</w:t>
            </w:r>
          </w:p>
        </w:tc>
      </w:tr>
      <w:tr w:rsidR="002979BC" w:rsidRPr="00C83045" w14:paraId="32368333" w14:textId="77777777" w:rsidTr="00B62C3E">
        <w:trPr>
          <w:cantSplit/>
        </w:trPr>
        <w:tc>
          <w:tcPr>
            <w:tcW w:w="2235" w:type="dxa"/>
          </w:tcPr>
          <w:p w14:paraId="32368331"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Zriedkavé:</w:t>
            </w:r>
          </w:p>
        </w:tc>
        <w:tc>
          <w:tcPr>
            <w:tcW w:w="7087" w:type="dxa"/>
          </w:tcPr>
          <w:p w14:paraId="32368332"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Bolesť pohrudnice, pľúcna fibróza, pľúcna hypertenzia, krvácanie do pľúc</w:t>
            </w:r>
          </w:p>
        </w:tc>
      </w:tr>
      <w:tr w:rsidR="002979BC" w:rsidRPr="00C83045" w14:paraId="32368336" w14:textId="77777777" w:rsidTr="00B62C3E">
        <w:trPr>
          <w:cantSplit/>
        </w:trPr>
        <w:tc>
          <w:tcPr>
            <w:tcW w:w="2235" w:type="dxa"/>
          </w:tcPr>
          <w:p w14:paraId="32368334" w14:textId="77777777" w:rsidR="002979BC" w:rsidRPr="00C83045" w:rsidRDefault="002979BC"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8335" w14:textId="77777777" w:rsidR="002979BC" w:rsidRPr="00C83045" w:rsidRDefault="002979BC" w:rsidP="00D4304B">
            <w:pPr>
              <w:widowControl w:val="0"/>
              <w:tabs>
                <w:tab w:val="left" w:pos="567"/>
              </w:tabs>
              <w:ind w:left="0" w:firstLine="0"/>
              <w:rPr>
                <w:color w:val="000000"/>
                <w:szCs w:val="22"/>
              </w:rPr>
            </w:pPr>
            <w:r w:rsidRPr="00C83045">
              <w:rPr>
                <w:color w:val="000000"/>
                <w:szCs w:val="22"/>
              </w:rPr>
              <w:t>Akútne respiračné zlyhávanie</w:t>
            </w:r>
            <w:r w:rsidR="00BF36F0">
              <w:rPr>
                <w:color w:val="000000"/>
                <w:szCs w:val="22"/>
                <w:vertAlign w:val="superscript"/>
              </w:rPr>
              <w:t>11</w:t>
            </w:r>
            <w:r w:rsidRPr="00C83045">
              <w:rPr>
                <w:color w:val="000000"/>
                <w:szCs w:val="22"/>
              </w:rPr>
              <w:t>*, intersticiálna choroba pľúc*</w:t>
            </w:r>
          </w:p>
        </w:tc>
      </w:tr>
      <w:tr w:rsidR="002979BC" w:rsidRPr="00C83045" w14:paraId="32368338" w14:textId="77777777" w:rsidTr="00B62C3E">
        <w:trPr>
          <w:cantSplit/>
        </w:trPr>
        <w:tc>
          <w:tcPr>
            <w:tcW w:w="9322" w:type="dxa"/>
            <w:gridSpan w:val="2"/>
          </w:tcPr>
          <w:p w14:paraId="32368337" w14:textId="77777777" w:rsidR="002979BC" w:rsidRPr="00C83045" w:rsidRDefault="002979BC" w:rsidP="00D4304B">
            <w:pPr>
              <w:keepNext/>
              <w:widowControl w:val="0"/>
              <w:tabs>
                <w:tab w:val="left" w:pos="567"/>
              </w:tabs>
              <w:ind w:left="0" w:firstLine="0"/>
              <w:rPr>
                <w:color w:val="000000"/>
                <w:szCs w:val="22"/>
              </w:rPr>
            </w:pPr>
            <w:r w:rsidRPr="00C83045">
              <w:rPr>
                <w:b/>
                <w:bCs/>
                <w:color w:val="000000"/>
                <w:szCs w:val="22"/>
              </w:rPr>
              <w:t>Poruchy gastrointestinálneho traktu</w:t>
            </w:r>
          </w:p>
        </w:tc>
      </w:tr>
      <w:tr w:rsidR="002979BC" w:rsidRPr="00C83045" w14:paraId="3236833B" w14:textId="77777777" w:rsidTr="00B62C3E">
        <w:trPr>
          <w:cantSplit/>
        </w:trPr>
        <w:tc>
          <w:tcPr>
            <w:tcW w:w="2235" w:type="dxa"/>
          </w:tcPr>
          <w:p w14:paraId="32368339"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Veľmi časté:</w:t>
            </w:r>
          </w:p>
        </w:tc>
        <w:tc>
          <w:tcPr>
            <w:tcW w:w="7087" w:type="dxa"/>
          </w:tcPr>
          <w:p w14:paraId="3236833A"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Nauzea, hnačka, vracanie, dyspepsia, bolesť brucha</w:t>
            </w:r>
            <w:r w:rsidRPr="00C83045">
              <w:rPr>
                <w:color w:val="000000"/>
                <w:szCs w:val="22"/>
                <w:vertAlign w:val="superscript"/>
              </w:rPr>
              <w:t>6</w:t>
            </w:r>
          </w:p>
        </w:tc>
      </w:tr>
      <w:tr w:rsidR="002979BC" w:rsidRPr="00C83045" w14:paraId="3236833E" w14:textId="77777777" w:rsidTr="00B62C3E">
        <w:trPr>
          <w:cantSplit/>
        </w:trPr>
        <w:tc>
          <w:tcPr>
            <w:tcW w:w="2235" w:type="dxa"/>
          </w:tcPr>
          <w:p w14:paraId="3236833C"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Časté:</w:t>
            </w:r>
          </w:p>
        </w:tc>
        <w:tc>
          <w:tcPr>
            <w:tcW w:w="7087" w:type="dxa"/>
          </w:tcPr>
          <w:p w14:paraId="3236833D"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Flatulencia, distenzia brucha, gastroezofagálny reflux, zápcha, suchosť v ústach, gastritída</w:t>
            </w:r>
          </w:p>
        </w:tc>
      </w:tr>
      <w:tr w:rsidR="002979BC" w:rsidRPr="00C83045" w14:paraId="32368341" w14:textId="77777777" w:rsidTr="00B62C3E">
        <w:trPr>
          <w:cantSplit/>
        </w:trPr>
        <w:tc>
          <w:tcPr>
            <w:tcW w:w="2235" w:type="dxa"/>
          </w:tcPr>
          <w:p w14:paraId="3236833F"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Menej časté:</w:t>
            </w:r>
          </w:p>
        </w:tc>
        <w:tc>
          <w:tcPr>
            <w:tcW w:w="7087" w:type="dxa"/>
          </w:tcPr>
          <w:p w14:paraId="32368340"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Stomatitída, ulcerácia v ústach, gastrointestinálne krvácanie</w:t>
            </w:r>
            <w:r w:rsidRPr="00C83045">
              <w:rPr>
                <w:color w:val="000000"/>
                <w:szCs w:val="22"/>
                <w:vertAlign w:val="superscript"/>
              </w:rPr>
              <w:t>7</w:t>
            </w:r>
            <w:r w:rsidRPr="00C83045">
              <w:rPr>
                <w:color w:val="000000"/>
                <w:szCs w:val="22"/>
              </w:rPr>
              <w:t>, eruktácia, meléna, ezofagitída, ascites, vred žalúdka, hemateméza, cheilitída, dysfágia, pankreatitída</w:t>
            </w:r>
          </w:p>
        </w:tc>
      </w:tr>
      <w:tr w:rsidR="002979BC" w:rsidRPr="00C83045" w14:paraId="32368344" w14:textId="77777777" w:rsidTr="00B62C3E">
        <w:trPr>
          <w:cantSplit/>
        </w:trPr>
        <w:tc>
          <w:tcPr>
            <w:tcW w:w="2235" w:type="dxa"/>
          </w:tcPr>
          <w:p w14:paraId="32368342"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Zriedkavé:</w:t>
            </w:r>
          </w:p>
        </w:tc>
        <w:tc>
          <w:tcPr>
            <w:tcW w:w="7087" w:type="dxa"/>
          </w:tcPr>
          <w:p w14:paraId="32368343" w14:textId="77777777" w:rsidR="002979BC" w:rsidRPr="00C83045" w:rsidRDefault="002979BC" w:rsidP="00D4304B">
            <w:pPr>
              <w:keepNext/>
              <w:widowControl w:val="0"/>
              <w:tabs>
                <w:tab w:val="left" w:pos="567"/>
              </w:tabs>
              <w:ind w:left="0" w:firstLine="0"/>
              <w:rPr>
                <w:snapToGrid w:val="0"/>
                <w:color w:val="000000"/>
                <w:szCs w:val="22"/>
              </w:rPr>
            </w:pPr>
            <w:r w:rsidRPr="00C83045">
              <w:rPr>
                <w:color w:val="000000"/>
                <w:szCs w:val="22"/>
              </w:rPr>
              <w:t>Kolitída, ileus, zápalové ochorenie čriev</w:t>
            </w:r>
          </w:p>
        </w:tc>
      </w:tr>
      <w:tr w:rsidR="002979BC" w:rsidRPr="00C83045" w14:paraId="32368347" w14:textId="77777777" w:rsidTr="00B62C3E">
        <w:trPr>
          <w:cantSplit/>
        </w:trPr>
        <w:tc>
          <w:tcPr>
            <w:tcW w:w="2235" w:type="dxa"/>
          </w:tcPr>
          <w:p w14:paraId="32368345" w14:textId="77777777" w:rsidR="002979BC" w:rsidRPr="00C83045" w:rsidRDefault="002979BC"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8346" w14:textId="77777777" w:rsidR="002979BC" w:rsidRPr="00C83045" w:rsidRDefault="002979BC" w:rsidP="00D4304B">
            <w:pPr>
              <w:widowControl w:val="0"/>
              <w:tabs>
                <w:tab w:val="left" w:pos="567"/>
              </w:tabs>
              <w:ind w:left="0" w:firstLine="0"/>
              <w:rPr>
                <w:color w:val="000000"/>
                <w:szCs w:val="22"/>
              </w:rPr>
            </w:pPr>
            <w:r w:rsidRPr="00C83045">
              <w:rPr>
                <w:color w:val="000000"/>
                <w:szCs w:val="22"/>
              </w:rPr>
              <w:t>Ileus/obštrukcia čriev*, gastrointestinálna perforácia*</w:t>
            </w:r>
            <w:r w:rsidRPr="00C83045">
              <w:rPr>
                <w:snapToGrid w:val="0"/>
                <w:color w:val="000000"/>
                <w:szCs w:val="22"/>
              </w:rPr>
              <w:t>, divertikulitída*, gastrická antrálna vaskulárna ektázia (GAVE)*</w:t>
            </w:r>
          </w:p>
        </w:tc>
      </w:tr>
      <w:tr w:rsidR="002979BC" w:rsidRPr="00C83045" w14:paraId="32368349" w14:textId="77777777" w:rsidTr="00B62C3E">
        <w:trPr>
          <w:cantSplit/>
        </w:trPr>
        <w:tc>
          <w:tcPr>
            <w:tcW w:w="9322" w:type="dxa"/>
            <w:gridSpan w:val="2"/>
          </w:tcPr>
          <w:p w14:paraId="32368348" w14:textId="77777777" w:rsidR="002979BC" w:rsidRPr="00C83045" w:rsidRDefault="002979BC" w:rsidP="00D4304B">
            <w:pPr>
              <w:keepNext/>
              <w:widowControl w:val="0"/>
              <w:tabs>
                <w:tab w:val="left" w:pos="567"/>
              </w:tabs>
              <w:ind w:left="0" w:firstLine="0"/>
              <w:rPr>
                <w:snapToGrid w:val="0"/>
                <w:color w:val="000000"/>
                <w:szCs w:val="22"/>
              </w:rPr>
            </w:pPr>
            <w:r w:rsidRPr="00C83045">
              <w:rPr>
                <w:b/>
                <w:bCs/>
                <w:color w:val="000000"/>
                <w:szCs w:val="22"/>
              </w:rPr>
              <w:t>Poruchy pečene a žlčových ciest</w:t>
            </w:r>
          </w:p>
        </w:tc>
      </w:tr>
      <w:tr w:rsidR="002979BC" w:rsidRPr="00C83045" w14:paraId="3236834C" w14:textId="77777777" w:rsidTr="00B62C3E">
        <w:trPr>
          <w:cantSplit/>
        </w:trPr>
        <w:tc>
          <w:tcPr>
            <w:tcW w:w="2235" w:type="dxa"/>
          </w:tcPr>
          <w:p w14:paraId="3236834A" w14:textId="77777777" w:rsidR="002979BC" w:rsidRPr="00C83045" w:rsidRDefault="002979BC" w:rsidP="00D4304B">
            <w:pPr>
              <w:keepNext/>
              <w:widowControl w:val="0"/>
              <w:tabs>
                <w:tab w:val="left" w:pos="567"/>
              </w:tabs>
              <w:ind w:left="0" w:firstLine="0"/>
              <w:rPr>
                <w:i/>
                <w:color w:val="000000"/>
                <w:szCs w:val="22"/>
              </w:rPr>
            </w:pPr>
            <w:r w:rsidRPr="00C83045">
              <w:rPr>
                <w:i/>
                <w:color w:val="000000"/>
                <w:szCs w:val="22"/>
              </w:rPr>
              <w:t>Časté:</w:t>
            </w:r>
          </w:p>
        </w:tc>
        <w:tc>
          <w:tcPr>
            <w:tcW w:w="7087" w:type="dxa"/>
          </w:tcPr>
          <w:p w14:paraId="3236834B"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Zvýšenie pečeňových enzýmov</w:t>
            </w:r>
          </w:p>
        </w:tc>
      </w:tr>
      <w:tr w:rsidR="002979BC" w:rsidRPr="00C83045" w14:paraId="3236834F" w14:textId="77777777" w:rsidTr="00B62C3E">
        <w:trPr>
          <w:cantSplit/>
        </w:trPr>
        <w:tc>
          <w:tcPr>
            <w:tcW w:w="2235" w:type="dxa"/>
          </w:tcPr>
          <w:p w14:paraId="3236834D" w14:textId="77777777" w:rsidR="002979BC" w:rsidRPr="00C83045" w:rsidRDefault="002979BC" w:rsidP="00D4304B">
            <w:pPr>
              <w:keepNext/>
              <w:widowControl w:val="0"/>
              <w:tabs>
                <w:tab w:val="left" w:pos="567"/>
              </w:tabs>
              <w:ind w:left="0" w:firstLine="0"/>
              <w:rPr>
                <w:i/>
                <w:color w:val="000000"/>
                <w:szCs w:val="22"/>
              </w:rPr>
            </w:pPr>
            <w:r w:rsidRPr="00C83045">
              <w:rPr>
                <w:i/>
                <w:color w:val="000000"/>
                <w:szCs w:val="22"/>
              </w:rPr>
              <w:t>Menej časté:</w:t>
            </w:r>
          </w:p>
        </w:tc>
        <w:tc>
          <w:tcPr>
            <w:tcW w:w="7087" w:type="dxa"/>
          </w:tcPr>
          <w:p w14:paraId="3236834E"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Hyperbilirubinémia, hepatitída, žltačka</w:t>
            </w:r>
          </w:p>
        </w:tc>
      </w:tr>
      <w:tr w:rsidR="002979BC" w:rsidRPr="00C83045" w14:paraId="32368352" w14:textId="77777777" w:rsidTr="00B62C3E">
        <w:trPr>
          <w:cantSplit/>
        </w:trPr>
        <w:tc>
          <w:tcPr>
            <w:tcW w:w="2235" w:type="dxa"/>
          </w:tcPr>
          <w:p w14:paraId="32368350" w14:textId="77777777" w:rsidR="002979BC" w:rsidRPr="00C83045" w:rsidRDefault="002979BC" w:rsidP="00D4304B">
            <w:pPr>
              <w:widowControl w:val="0"/>
              <w:tabs>
                <w:tab w:val="left" w:pos="567"/>
              </w:tabs>
              <w:ind w:left="0" w:firstLine="0"/>
              <w:rPr>
                <w:i/>
                <w:color w:val="000000"/>
                <w:szCs w:val="22"/>
              </w:rPr>
            </w:pPr>
            <w:r w:rsidRPr="00C83045">
              <w:rPr>
                <w:i/>
                <w:color w:val="000000"/>
                <w:szCs w:val="22"/>
              </w:rPr>
              <w:t>Zriedkavé:</w:t>
            </w:r>
          </w:p>
        </w:tc>
        <w:tc>
          <w:tcPr>
            <w:tcW w:w="7087" w:type="dxa"/>
          </w:tcPr>
          <w:p w14:paraId="32368351" w14:textId="77777777" w:rsidR="002979BC" w:rsidRPr="00C83045" w:rsidRDefault="002979BC" w:rsidP="00D4304B">
            <w:pPr>
              <w:widowControl w:val="0"/>
              <w:tabs>
                <w:tab w:val="left" w:pos="567"/>
              </w:tabs>
              <w:ind w:left="0" w:firstLine="0"/>
              <w:rPr>
                <w:color w:val="000000"/>
                <w:szCs w:val="22"/>
              </w:rPr>
            </w:pPr>
            <w:r w:rsidRPr="00C83045">
              <w:rPr>
                <w:color w:val="000000"/>
                <w:szCs w:val="22"/>
              </w:rPr>
              <w:t>Zlyhanie pečene</w:t>
            </w:r>
            <w:r w:rsidRPr="00C83045">
              <w:rPr>
                <w:color w:val="000000"/>
                <w:szCs w:val="22"/>
                <w:vertAlign w:val="superscript"/>
              </w:rPr>
              <w:t>8</w:t>
            </w:r>
            <w:r w:rsidRPr="00C83045">
              <w:rPr>
                <w:color w:val="000000"/>
                <w:szCs w:val="22"/>
              </w:rPr>
              <w:t>, nekróza pečene</w:t>
            </w:r>
          </w:p>
        </w:tc>
      </w:tr>
      <w:tr w:rsidR="002979BC" w:rsidRPr="00C83045" w14:paraId="32368354" w14:textId="77777777" w:rsidTr="00B62C3E">
        <w:trPr>
          <w:cantSplit/>
        </w:trPr>
        <w:tc>
          <w:tcPr>
            <w:tcW w:w="9322" w:type="dxa"/>
            <w:gridSpan w:val="2"/>
          </w:tcPr>
          <w:p w14:paraId="32368353" w14:textId="77777777" w:rsidR="002979BC" w:rsidRPr="00C83045" w:rsidRDefault="002979BC" w:rsidP="00D4304B">
            <w:pPr>
              <w:keepNext/>
              <w:widowControl w:val="0"/>
              <w:tabs>
                <w:tab w:val="left" w:pos="567"/>
              </w:tabs>
              <w:ind w:left="0" w:firstLine="0"/>
              <w:rPr>
                <w:color w:val="000000"/>
                <w:szCs w:val="22"/>
              </w:rPr>
            </w:pPr>
            <w:r w:rsidRPr="00C83045">
              <w:rPr>
                <w:b/>
                <w:color w:val="000000"/>
                <w:szCs w:val="22"/>
              </w:rPr>
              <w:lastRenderedPageBreak/>
              <w:t>Poruchy kože a podkožného tkaniva</w:t>
            </w:r>
          </w:p>
        </w:tc>
      </w:tr>
      <w:tr w:rsidR="002979BC" w:rsidRPr="00C83045" w14:paraId="32368357" w14:textId="77777777" w:rsidTr="00B62C3E">
        <w:trPr>
          <w:cantSplit/>
        </w:trPr>
        <w:tc>
          <w:tcPr>
            <w:tcW w:w="2235" w:type="dxa"/>
          </w:tcPr>
          <w:p w14:paraId="32368355"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Veľmi časté:</w:t>
            </w:r>
          </w:p>
        </w:tc>
        <w:tc>
          <w:tcPr>
            <w:tcW w:w="7087" w:type="dxa"/>
          </w:tcPr>
          <w:p w14:paraId="32368356"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Periorbitálny edém, dermatitída/ekzém/exantém</w:t>
            </w:r>
          </w:p>
        </w:tc>
      </w:tr>
      <w:tr w:rsidR="002979BC" w:rsidRPr="00C83045" w14:paraId="3236835A" w14:textId="77777777" w:rsidTr="00B62C3E">
        <w:trPr>
          <w:cantSplit/>
        </w:trPr>
        <w:tc>
          <w:tcPr>
            <w:tcW w:w="2235" w:type="dxa"/>
          </w:tcPr>
          <w:p w14:paraId="32368358"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Časté:</w:t>
            </w:r>
          </w:p>
        </w:tc>
        <w:tc>
          <w:tcPr>
            <w:tcW w:w="7087" w:type="dxa"/>
          </w:tcPr>
          <w:p w14:paraId="32368359"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Pruritus, edém tváre, suchosť kože, erytém, alopécia, nočné potenie, reakcie z fotosenzitivity</w:t>
            </w:r>
          </w:p>
        </w:tc>
      </w:tr>
      <w:tr w:rsidR="002979BC" w:rsidRPr="00C83045" w14:paraId="3236835D" w14:textId="77777777" w:rsidTr="00B62C3E">
        <w:trPr>
          <w:cantSplit/>
        </w:trPr>
        <w:tc>
          <w:tcPr>
            <w:tcW w:w="2235" w:type="dxa"/>
          </w:tcPr>
          <w:p w14:paraId="3236835B"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Menej časté:</w:t>
            </w:r>
          </w:p>
        </w:tc>
        <w:tc>
          <w:tcPr>
            <w:tcW w:w="7087" w:type="dxa"/>
          </w:tcPr>
          <w:p w14:paraId="3236835C"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Pľuzgierovitý exantém, zmliaždeniny, zvýšené potenie, urtikária, ekchymóza, zvýšená náchylnosť k tvorbe pomliaždenín, hypotrichóza, znížená pigmentácia kože, exfoliatívna dermatitída, lámavosť nechtov, folikulitída, petechie, psoriáza, purpura, zvýšená pigmentácia kože, bulózne erupcie</w:t>
            </w:r>
          </w:p>
        </w:tc>
      </w:tr>
      <w:tr w:rsidR="002979BC" w:rsidRPr="00C83045" w14:paraId="32368360" w14:textId="77777777" w:rsidTr="00B62C3E">
        <w:trPr>
          <w:cantSplit/>
        </w:trPr>
        <w:tc>
          <w:tcPr>
            <w:tcW w:w="2235" w:type="dxa"/>
          </w:tcPr>
          <w:p w14:paraId="3236835E" w14:textId="77777777" w:rsidR="002979BC" w:rsidRPr="00C83045" w:rsidRDefault="002979BC" w:rsidP="00D4304B">
            <w:pPr>
              <w:keepNext/>
              <w:widowControl w:val="0"/>
              <w:tabs>
                <w:tab w:val="left" w:pos="567"/>
              </w:tabs>
              <w:ind w:left="0" w:firstLine="0"/>
              <w:rPr>
                <w:color w:val="000000"/>
                <w:szCs w:val="22"/>
              </w:rPr>
            </w:pPr>
            <w:r w:rsidRPr="00C83045">
              <w:rPr>
                <w:i/>
                <w:color w:val="000000"/>
                <w:szCs w:val="22"/>
              </w:rPr>
              <w:t>Zriedkavé:</w:t>
            </w:r>
          </w:p>
        </w:tc>
        <w:tc>
          <w:tcPr>
            <w:tcW w:w="7087" w:type="dxa"/>
          </w:tcPr>
          <w:p w14:paraId="3236835F" w14:textId="77777777" w:rsidR="002979BC" w:rsidRPr="00C83045" w:rsidRDefault="002979BC" w:rsidP="00D4304B">
            <w:pPr>
              <w:keepNext/>
              <w:widowControl w:val="0"/>
              <w:tabs>
                <w:tab w:val="left" w:pos="567"/>
              </w:tabs>
              <w:ind w:left="0" w:firstLine="0"/>
              <w:rPr>
                <w:color w:val="000000"/>
                <w:szCs w:val="22"/>
              </w:rPr>
            </w:pPr>
            <w:r w:rsidRPr="00C83045">
              <w:rPr>
                <w:color w:val="000000"/>
                <w:szCs w:val="22"/>
              </w:rPr>
              <w:t>Akútna febrilná neutrofilná dermatóza (Sweetov syndróm), zmena sfarbenia nechtov, angioneurotický edém, vezikulárny exantém, erythema multiforme, leukocytoklastická vaskulitída, Stevensov-Johnsonov syndróm, akútna generalizovaná exantematózna pustulóza (AGEP)</w:t>
            </w:r>
          </w:p>
        </w:tc>
      </w:tr>
      <w:tr w:rsidR="00681522" w:rsidRPr="00C83045" w14:paraId="32368363" w14:textId="77777777" w:rsidTr="00B62C3E">
        <w:trPr>
          <w:cantSplit/>
        </w:trPr>
        <w:tc>
          <w:tcPr>
            <w:tcW w:w="2235" w:type="dxa"/>
          </w:tcPr>
          <w:p w14:paraId="32368361" w14:textId="77777777" w:rsidR="00681522" w:rsidRPr="00C83045" w:rsidRDefault="00681522"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8362" w14:textId="77777777" w:rsidR="00681522" w:rsidRPr="00C83045" w:rsidRDefault="00681522" w:rsidP="00D4304B">
            <w:pPr>
              <w:widowControl w:val="0"/>
              <w:tabs>
                <w:tab w:val="left" w:pos="567"/>
              </w:tabs>
              <w:ind w:left="0" w:firstLine="0"/>
              <w:rPr>
                <w:color w:val="000000"/>
                <w:szCs w:val="22"/>
              </w:rPr>
            </w:pPr>
            <w:r w:rsidRPr="00C83045">
              <w:rPr>
                <w:color w:val="000000"/>
                <w:szCs w:val="22"/>
              </w:rPr>
              <w:t>Syndróm palmoplantárnej erytro dyzestézie*, lichenoidná keratóza*, lichen planus*, toxická epidermálna nekrolýza*, liekový exantém s eozinofíliou a systémovými príznakmi (DRESS)*</w:t>
            </w:r>
            <w:r w:rsidR="00FB1F96">
              <w:rPr>
                <w:color w:val="000000"/>
                <w:szCs w:val="22"/>
              </w:rPr>
              <w:t>, pseudoporfýria*</w:t>
            </w:r>
          </w:p>
        </w:tc>
      </w:tr>
      <w:tr w:rsidR="00681522" w:rsidRPr="00C83045" w14:paraId="32368365" w14:textId="77777777" w:rsidTr="00B62C3E">
        <w:trPr>
          <w:cantSplit/>
        </w:trPr>
        <w:tc>
          <w:tcPr>
            <w:tcW w:w="9322" w:type="dxa"/>
            <w:gridSpan w:val="2"/>
          </w:tcPr>
          <w:p w14:paraId="32368364" w14:textId="77777777" w:rsidR="00681522" w:rsidRPr="00C83045" w:rsidRDefault="00681522" w:rsidP="00D4304B">
            <w:pPr>
              <w:keepNext/>
              <w:widowControl w:val="0"/>
              <w:tabs>
                <w:tab w:val="left" w:pos="567"/>
              </w:tabs>
              <w:ind w:left="0" w:firstLine="0"/>
              <w:rPr>
                <w:color w:val="000000"/>
                <w:szCs w:val="22"/>
              </w:rPr>
            </w:pPr>
            <w:r w:rsidRPr="00C83045">
              <w:rPr>
                <w:b/>
                <w:bCs/>
                <w:color w:val="000000"/>
                <w:szCs w:val="22"/>
              </w:rPr>
              <w:t>Poruchy kostrovej a svalovej sústavy a spojivového tkaniva</w:t>
            </w:r>
          </w:p>
        </w:tc>
      </w:tr>
      <w:tr w:rsidR="00681522" w:rsidRPr="00C83045" w14:paraId="32368368" w14:textId="77777777" w:rsidTr="00B62C3E">
        <w:trPr>
          <w:cantSplit/>
        </w:trPr>
        <w:tc>
          <w:tcPr>
            <w:tcW w:w="2235" w:type="dxa"/>
          </w:tcPr>
          <w:p w14:paraId="32368366" w14:textId="77777777" w:rsidR="00681522" w:rsidRPr="00C83045" w:rsidRDefault="00681522" w:rsidP="00D4304B">
            <w:pPr>
              <w:keepNext/>
              <w:widowControl w:val="0"/>
              <w:tabs>
                <w:tab w:val="left" w:pos="567"/>
              </w:tabs>
              <w:ind w:left="0" w:firstLine="0"/>
              <w:rPr>
                <w:i/>
                <w:color w:val="000000"/>
                <w:szCs w:val="22"/>
              </w:rPr>
            </w:pPr>
            <w:r w:rsidRPr="00C83045">
              <w:rPr>
                <w:i/>
                <w:color w:val="000000"/>
                <w:szCs w:val="22"/>
              </w:rPr>
              <w:t>Veľmi časté:</w:t>
            </w:r>
          </w:p>
        </w:tc>
        <w:tc>
          <w:tcPr>
            <w:tcW w:w="7087" w:type="dxa"/>
          </w:tcPr>
          <w:p w14:paraId="32368367" w14:textId="77777777" w:rsidR="00681522" w:rsidRPr="00C83045" w:rsidRDefault="00681522" w:rsidP="00D4304B">
            <w:pPr>
              <w:keepNext/>
              <w:widowControl w:val="0"/>
              <w:tabs>
                <w:tab w:val="left" w:pos="567"/>
              </w:tabs>
              <w:ind w:left="0" w:firstLine="0"/>
              <w:rPr>
                <w:color w:val="000000"/>
                <w:szCs w:val="22"/>
              </w:rPr>
            </w:pPr>
            <w:r w:rsidRPr="00C83045">
              <w:rPr>
                <w:color w:val="000000"/>
                <w:szCs w:val="22"/>
              </w:rPr>
              <w:t>Svalové kŕče, bolesti kostry a svalstva vrátane myalgie</w:t>
            </w:r>
            <w:r w:rsidR="00BF36F0" w:rsidRPr="00C83045">
              <w:rPr>
                <w:color w:val="000000"/>
                <w:szCs w:val="22"/>
                <w:vertAlign w:val="superscript"/>
              </w:rPr>
              <w:t>9</w:t>
            </w:r>
            <w:r w:rsidRPr="00C83045">
              <w:rPr>
                <w:color w:val="000000"/>
                <w:szCs w:val="22"/>
              </w:rPr>
              <w:t>, artralgie a bolesti kostí</w:t>
            </w:r>
            <w:r w:rsidR="00BF36F0">
              <w:rPr>
                <w:color w:val="000000"/>
                <w:szCs w:val="22"/>
                <w:vertAlign w:val="superscript"/>
              </w:rPr>
              <w:t>10</w:t>
            </w:r>
          </w:p>
        </w:tc>
      </w:tr>
      <w:tr w:rsidR="00681522" w:rsidRPr="00C83045" w14:paraId="3236836B" w14:textId="77777777" w:rsidTr="00B62C3E">
        <w:trPr>
          <w:cantSplit/>
        </w:trPr>
        <w:tc>
          <w:tcPr>
            <w:tcW w:w="2235" w:type="dxa"/>
          </w:tcPr>
          <w:p w14:paraId="32368369" w14:textId="77777777" w:rsidR="00681522" w:rsidRPr="00C83045" w:rsidRDefault="00681522" w:rsidP="00D4304B">
            <w:pPr>
              <w:keepNext/>
              <w:widowControl w:val="0"/>
              <w:tabs>
                <w:tab w:val="left" w:pos="567"/>
              </w:tabs>
              <w:ind w:left="0" w:firstLine="0"/>
              <w:rPr>
                <w:i/>
                <w:color w:val="000000"/>
                <w:szCs w:val="22"/>
              </w:rPr>
            </w:pPr>
            <w:r w:rsidRPr="00C83045">
              <w:rPr>
                <w:i/>
                <w:color w:val="000000"/>
                <w:szCs w:val="22"/>
              </w:rPr>
              <w:t>Časté:</w:t>
            </w:r>
          </w:p>
        </w:tc>
        <w:tc>
          <w:tcPr>
            <w:tcW w:w="7087" w:type="dxa"/>
          </w:tcPr>
          <w:p w14:paraId="3236836A" w14:textId="77777777" w:rsidR="00681522" w:rsidRPr="00C83045" w:rsidRDefault="00681522" w:rsidP="00D4304B">
            <w:pPr>
              <w:keepNext/>
              <w:widowControl w:val="0"/>
              <w:tabs>
                <w:tab w:val="left" w:pos="567"/>
              </w:tabs>
              <w:ind w:left="0" w:firstLine="0"/>
              <w:rPr>
                <w:color w:val="000000"/>
                <w:szCs w:val="22"/>
              </w:rPr>
            </w:pPr>
            <w:r w:rsidRPr="00C83045">
              <w:rPr>
                <w:color w:val="000000"/>
                <w:szCs w:val="22"/>
              </w:rPr>
              <w:t>Opuch kĺbov</w:t>
            </w:r>
          </w:p>
        </w:tc>
      </w:tr>
      <w:tr w:rsidR="00681522" w:rsidRPr="00C83045" w14:paraId="3236836E" w14:textId="77777777" w:rsidTr="00B62C3E">
        <w:trPr>
          <w:cantSplit/>
        </w:trPr>
        <w:tc>
          <w:tcPr>
            <w:tcW w:w="2235" w:type="dxa"/>
          </w:tcPr>
          <w:p w14:paraId="3236836C" w14:textId="77777777" w:rsidR="00681522" w:rsidRPr="00C83045" w:rsidRDefault="00681522" w:rsidP="00D4304B">
            <w:pPr>
              <w:keepNext/>
              <w:widowControl w:val="0"/>
              <w:tabs>
                <w:tab w:val="left" w:pos="567"/>
              </w:tabs>
              <w:ind w:left="0" w:firstLine="0"/>
              <w:rPr>
                <w:i/>
                <w:color w:val="000000"/>
                <w:szCs w:val="22"/>
              </w:rPr>
            </w:pPr>
            <w:r w:rsidRPr="00C83045">
              <w:rPr>
                <w:i/>
                <w:color w:val="000000"/>
                <w:szCs w:val="22"/>
              </w:rPr>
              <w:t>Menej časté:</w:t>
            </w:r>
          </w:p>
        </w:tc>
        <w:tc>
          <w:tcPr>
            <w:tcW w:w="7087" w:type="dxa"/>
          </w:tcPr>
          <w:p w14:paraId="3236836D" w14:textId="77777777" w:rsidR="00681522" w:rsidRPr="00C83045" w:rsidRDefault="00681522" w:rsidP="00D4304B">
            <w:pPr>
              <w:keepNext/>
              <w:widowControl w:val="0"/>
              <w:tabs>
                <w:tab w:val="left" w:pos="567"/>
              </w:tabs>
              <w:ind w:left="0" w:firstLine="0"/>
              <w:rPr>
                <w:color w:val="000000"/>
                <w:szCs w:val="22"/>
              </w:rPr>
            </w:pPr>
            <w:r w:rsidRPr="00C83045">
              <w:rPr>
                <w:color w:val="000000"/>
                <w:szCs w:val="22"/>
              </w:rPr>
              <w:t>Stuhnutosť kĺbov a svalov</w:t>
            </w:r>
          </w:p>
        </w:tc>
      </w:tr>
      <w:tr w:rsidR="00681522" w:rsidRPr="00C83045" w14:paraId="32368371" w14:textId="77777777" w:rsidTr="00B62C3E">
        <w:trPr>
          <w:cantSplit/>
        </w:trPr>
        <w:tc>
          <w:tcPr>
            <w:tcW w:w="2235" w:type="dxa"/>
          </w:tcPr>
          <w:p w14:paraId="3236836F" w14:textId="77777777" w:rsidR="00681522" w:rsidRPr="00C83045" w:rsidRDefault="00681522" w:rsidP="00D4304B">
            <w:pPr>
              <w:keepNext/>
              <w:widowControl w:val="0"/>
              <w:tabs>
                <w:tab w:val="left" w:pos="567"/>
              </w:tabs>
              <w:ind w:left="0" w:firstLine="0"/>
              <w:rPr>
                <w:i/>
                <w:color w:val="000000"/>
                <w:szCs w:val="22"/>
              </w:rPr>
            </w:pPr>
            <w:r w:rsidRPr="00C83045">
              <w:rPr>
                <w:i/>
                <w:color w:val="000000"/>
                <w:szCs w:val="22"/>
              </w:rPr>
              <w:t>Zriedkavé:</w:t>
            </w:r>
          </w:p>
        </w:tc>
        <w:tc>
          <w:tcPr>
            <w:tcW w:w="7087" w:type="dxa"/>
          </w:tcPr>
          <w:p w14:paraId="32368370" w14:textId="77777777" w:rsidR="00681522" w:rsidRPr="00C83045" w:rsidRDefault="00681522" w:rsidP="00D4304B">
            <w:pPr>
              <w:keepNext/>
              <w:widowControl w:val="0"/>
              <w:tabs>
                <w:tab w:val="left" w:pos="567"/>
              </w:tabs>
              <w:ind w:left="0" w:firstLine="0"/>
              <w:rPr>
                <w:color w:val="000000"/>
                <w:szCs w:val="22"/>
              </w:rPr>
            </w:pPr>
            <w:r w:rsidRPr="00C83045">
              <w:rPr>
                <w:bCs/>
                <w:color w:val="000000"/>
                <w:szCs w:val="22"/>
              </w:rPr>
              <w:t>Svalová slabosť, artritída, rabdomyolýza/myopatia</w:t>
            </w:r>
          </w:p>
        </w:tc>
      </w:tr>
      <w:tr w:rsidR="00681522" w:rsidRPr="00C83045" w14:paraId="32368374" w14:textId="77777777" w:rsidTr="00B62C3E">
        <w:trPr>
          <w:cantSplit/>
        </w:trPr>
        <w:tc>
          <w:tcPr>
            <w:tcW w:w="2235" w:type="dxa"/>
          </w:tcPr>
          <w:p w14:paraId="32368372" w14:textId="77777777" w:rsidR="00681522" w:rsidRPr="00C83045" w:rsidRDefault="00681522" w:rsidP="00D4304B">
            <w:pPr>
              <w:widowControl w:val="0"/>
              <w:tabs>
                <w:tab w:val="left" w:pos="567"/>
              </w:tabs>
              <w:ind w:left="0" w:firstLine="0"/>
              <w:rPr>
                <w:i/>
                <w:color w:val="000000"/>
                <w:szCs w:val="22"/>
              </w:rPr>
            </w:pPr>
            <w:r w:rsidRPr="00C83045">
              <w:rPr>
                <w:i/>
                <w:color w:val="000000"/>
                <w:szCs w:val="22"/>
              </w:rPr>
              <w:t>Neznáme:</w:t>
            </w:r>
          </w:p>
        </w:tc>
        <w:tc>
          <w:tcPr>
            <w:tcW w:w="7087" w:type="dxa"/>
          </w:tcPr>
          <w:p w14:paraId="32368373" w14:textId="77777777" w:rsidR="00681522" w:rsidRPr="00C83045" w:rsidRDefault="00681522" w:rsidP="00D4304B">
            <w:pPr>
              <w:widowControl w:val="0"/>
              <w:tabs>
                <w:tab w:val="left" w:pos="567"/>
              </w:tabs>
              <w:ind w:left="0" w:firstLine="0"/>
              <w:rPr>
                <w:bCs/>
                <w:color w:val="000000"/>
                <w:szCs w:val="22"/>
              </w:rPr>
            </w:pPr>
            <w:r w:rsidRPr="00C83045">
              <w:rPr>
                <w:color w:val="000000"/>
                <w:szCs w:val="22"/>
              </w:rPr>
              <w:t>Avaskulárna nekróza/nekróza bedra*, spomalenie rastu u detí*</w:t>
            </w:r>
          </w:p>
        </w:tc>
      </w:tr>
      <w:tr w:rsidR="00681522" w:rsidRPr="00C83045" w14:paraId="32368376" w14:textId="77777777" w:rsidTr="00B62C3E">
        <w:trPr>
          <w:cantSplit/>
        </w:trPr>
        <w:tc>
          <w:tcPr>
            <w:tcW w:w="9322" w:type="dxa"/>
            <w:gridSpan w:val="2"/>
          </w:tcPr>
          <w:p w14:paraId="32368375" w14:textId="77777777" w:rsidR="00681522" w:rsidRPr="00C83045" w:rsidRDefault="00681522" w:rsidP="00D4304B">
            <w:pPr>
              <w:keepNext/>
              <w:widowControl w:val="0"/>
              <w:tabs>
                <w:tab w:val="left" w:pos="567"/>
              </w:tabs>
              <w:ind w:left="0" w:firstLine="0"/>
              <w:rPr>
                <w:b/>
                <w:color w:val="000000"/>
                <w:szCs w:val="22"/>
              </w:rPr>
            </w:pPr>
            <w:r w:rsidRPr="00C83045">
              <w:rPr>
                <w:b/>
                <w:bCs/>
                <w:color w:val="000000"/>
                <w:szCs w:val="22"/>
              </w:rPr>
              <w:t>Poruchy obličiek a močových ciest</w:t>
            </w:r>
          </w:p>
        </w:tc>
      </w:tr>
      <w:tr w:rsidR="00681522" w:rsidRPr="00C83045" w14:paraId="32368379" w14:textId="77777777" w:rsidTr="00B62C3E">
        <w:trPr>
          <w:cantSplit/>
        </w:trPr>
        <w:tc>
          <w:tcPr>
            <w:tcW w:w="2235" w:type="dxa"/>
          </w:tcPr>
          <w:p w14:paraId="32368377" w14:textId="77777777" w:rsidR="00681522" w:rsidRPr="00C83045" w:rsidRDefault="00681522" w:rsidP="00D4304B">
            <w:pPr>
              <w:keepNext/>
              <w:widowControl w:val="0"/>
              <w:tabs>
                <w:tab w:val="left" w:pos="567"/>
              </w:tabs>
              <w:ind w:left="0" w:firstLine="0"/>
              <w:rPr>
                <w:color w:val="000000"/>
                <w:szCs w:val="22"/>
              </w:rPr>
            </w:pPr>
            <w:r w:rsidRPr="00C83045">
              <w:rPr>
                <w:i/>
                <w:color w:val="000000"/>
                <w:szCs w:val="22"/>
              </w:rPr>
              <w:t>Menej časté:</w:t>
            </w:r>
          </w:p>
        </w:tc>
        <w:tc>
          <w:tcPr>
            <w:tcW w:w="7087" w:type="dxa"/>
          </w:tcPr>
          <w:p w14:paraId="32368378" w14:textId="77777777" w:rsidR="00681522" w:rsidRPr="00C83045" w:rsidRDefault="00681522" w:rsidP="00D4304B">
            <w:pPr>
              <w:keepNext/>
              <w:widowControl w:val="0"/>
              <w:tabs>
                <w:tab w:val="left" w:pos="567"/>
              </w:tabs>
              <w:ind w:left="0" w:firstLine="0"/>
              <w:rPr>
                <w:color w:val="000000"/>
                <w:szCs w:val="22"/>
              </w:rPr>
            </w:pPr>
            <w:r w:rsidRPr="00C83045">
              <w:rPr>
                <w:color w:val="000000"/>
                <w:szCs w:val="22"/>
              </w:rPr>
              <w:t>Bolesť obličiek, hematúria, akútne zlyhanie obličiek, častejšie močenie</w:t>
            </w:r>
          </w:p>
        </w:tc>
      </w:tr>
      <w:tr w:rsidR="000161D1" w:rsidRPr="00C83045" w14:paraId="3236837C" w14:textId="77777777" w:rsidTr="00B62C3E">
        <w:trPr>
          <w:cantSplit/>
        </w:trPr>
        <w:tc>
          <w:tcPr>
            <w:tcW w:w="2235" w:type="dxa"/>
          </w:tcPr>
          <w:p w14:paraId="3236837A" w14:textId="77777777" w:rsidR="000161D1" w:rsidRPr="00C83045" w:rsidRDefault="000161D1" w:rsidP="00D4304B">
            <w:pPr>
              <w:widowControl w:val="0"/>
              <w:tabs>
                <w:tab w:val="left" w:pos="567"/>
              </w:tabs>
              <w:ind w:left="0" w:firstLine="0"/>
              <w:rPr>
                <w:i/>
                <w:color w:val="000000"/>
                <w:szCs w:val="22"/>
              </w:rPr>
            </w:pPr>
            <w:r>
              <w:rPr>
                <w:i/>
                <w:color w:val="000000"/>
                <w:szCs w:val="22"/>
              </w:rPr>
              <w:t>Neznáme:</w:t>
            </w:r>
          </w:p>
        </w:tc>
        <w:tc>
          <w:tcPr>
            <w:tcW w:w="7087" w:type="dxa"/>
          </w:tcPr>
          <w:p w14:paraId="3236837B" w14:textId="77777777" w:rsidR="000161D1" w:rsidRPr="00C83045" w:rsidRDefault="000161D1" w:rsidP="00D4304B">
            <w:pPr>
              <w:widowControl w:val="0"/>
              <w:tabs>
                <w:tab w:val="left" w:pos="567"/>
              </w:tabs>
              <w:ind w:left="0" w:firstLine="0"/>
              <w:rPr>
                <w:color w:val="000000"/>
                <w:szCs w:val="22"/>
              </w:rPr>
            </w:pPr>
            <w:r>
              <w:rPr>
                <w:color w:val="000000"/>
                <w:szCs w:val="22"/>
              </w:rPr>
              <w:t>Chronické zlyhávanie obličiek</w:t>
            </w:r>
          </w:p>
        </w:tc>
      </w:tr>
      <w:tr w:rsidR="00681522" w:rsidRPr="00C83045" w14:paraId="3236837E" w14:textId="77777777" w:rsidTr="00B62C3E">
        <w:trPr>
          <w:cantSplit/>
        </w:trPr>
        <w:tc>
          <w:tcPr>
            <w:tcW w:w="9322" w:type="dxa"/>
            <w:gridSpan w:val="2"/>
          </w:tcPr>
          <w:p w14:paraId="3236837D" w14:textId="77777777" w:rsidR="00681522" w:rsidRPr="00C83045" w:rsidRDefault="00681522" w:rsidP="00D4304B">
            <w:pPr>
              <w:keepNext/>
              <w:widowControl w:val="0"/>
              <w:tabs>
                <w:tab w:val="left" w:pos="567"/>
              </w:tabs>
              <w:ind w:left="0" w:firstLine="0"/>
              <w:rPr>
                <w:color w:val="000000"/>
                <w:szCs w:val="22"/>
              </w:rPr>
            </w:pPr>
            <w:r w:rsidRPr="00C83045">
              <w:rPr>
                <w:b/>
                <w:bCs/>
                <w:color w:val="000000"/>
                <w:szCs w:val="22"/>
              </w:rPr>
              <w:t>Poruchy reprodukčného systému a prsníkov</w:t>
            </w:r>
          </w:p>
        </w:tc>
      </w:tr>
      <w:tr w:rsidR="00681522" w:rsidRPr="00C83045" w14:paraId="32368381" w14:textId="77777777" w:rsidTr="00B62C3E">
        <w:trPr>
          <w:cantSplit/>
        </w:trPr>
        <w:tc>
          <w:tcPr>
            <w:tcW w:w="2235" w:type="dxa"/>
          </w:tcPr>
          <w:p w14:paraId="3236837F" w14:textId="77777777" w:rsidR="00681522" w:rsidRPr="00C83045" w:rsidRDefault="00681522" w:rsidP="00D4304B">
            <w:pPr>
              <w:keepNext/>
              <w:widowControl w:val="0"/>
              <w:tabs>
                <w:tab w:val="left" w:pos="567"/>
              </w:tabs>
              <w:ind w:left="0" w:firstLine="0"/>
              <w:rPr>
                <w:i/>
                <w:color w:val="000000"/>
                <w:szCs w:val="22"/>
              </w:rPr>
            </w:pPr>
            <w:r w:rsidRPr="00C83045">
              <w:rPr>
                <w:i/>
                <w:color w:val="000000"/>
                <w:szCs w:val="22"/>
              </w:rPr>
              <w:t>Menej časté:</w:t>
            </w:r>
          </w:p>
        </w:tc>
        <w:tc>
          <w:tcPr>
            <w:tcW w:w="7087" w:type="dxa"/>
          </w:tcPr>
          <w:p w14:paraId="32368380" w14:textId="77777777" w:rsidR="00681522" w:rsidRPr="00C83045" w:rsidRDefault="00681522" w:rsidP="00D4304B">
            <w:pPr>
              <w:keepNext/>
              <w:widowControl w:val="0"/>
              <w:tabs>
                <w:tab w:val="left" w:pos="567"/>
              </w:tabs>
              <w:ind w:left="0" w:firstLine="0"/>
              <w:rPr>
                <w:color w:val="000000"/>
                <w:szCs w:val="22"/>
              </w:rPr>
            </w:pPr>
            <w:r w:rsidRPr="00C83045">
              <w:rPr>
                <w:color w:val="000000"/>
                <w:szCs w:val="22"/>
              </w:rPr>
              <w:t>Gynekomastia, erektilná dysfunkcia, menorágia, nepravidelná menštruácia, porucha sexuálnej funkcie, bolesť bradaviek, zväčšenie prsníkov, skrotálny edém</w:t>
            </w:r>
          </w:p>
        </w:tc>
      </w:tr>
      <w:tr w:rsidR="00681522" w:rsidRPr="00C83045" w14:paraId="32368384" w14:textId="77777777" w:rsidTr="00B62C3E">
        <w:trPr>
          <w:cantSplit/>
        </w:trPr>
        <w:tc>
          <w:tcPr>
            <w:tcW w:w="2235" w:type="dxa"/>
          </w:tcPr>
          <w:p w14:paraId="32368382" w14:textId="77777777" w:rsidR="00681522" w:rsidRPr="00C83045" w:rsidRDefault="00681522" w:rsidP="00D4304B">
            <w:pPr>
              <w:widowControl w:val="0"/>
              <w:tabs>
                <w:tab w:val="left" w:pos="567"/>
              </w:tabs>
              <w:ind w:left="0" w:firstLine="0"/>
              <w:rPr>
                <w:i/>
                <w:color w:val="000000"/>
                <w:szCs w:val="22"/>
              </w:rPr>
            </w:pPr>
            <w:r w:rsidRPr="00C83045">
              <w:rPr>
                <w:i/>
                <w:color w:val="000000"/>
                <w:szCs w:val="22"/>
              </w:rPr>
              <w:t>Zriedkavé:</w:t>
            </w:r>
          </w:p>
        </w:tc>
        <w:tc>
          <w:tcPr>
            <w:tcW w:w="7087" w:type="dxa"/>
          </w:tcPr>
          <w:p w14:paraId="32368383" w14:textId="77777777" w:rsidR="00681522" w:rsidRPr="00C83045" w:rsidRDefault="00681522" w:rsidP="00D4304B">
            <w:pPr>
              <w:widowControl w:val="0"/>
              <w:tabs>
                <w:tab w:val="left" w:pos="567"/>
              </w:tabs>
              <w:ind w:left="0" w:firstLine="0"/>
              <w:rPr>
                <w:color w:val="000000"/>
                <w:szCs w:val="22"/>
              </w:rPr>
            </w:pPr>
            <w:r w:rsidRPr="00C83045">
              <w:rPr>
                <w:color w:val="000000"/>
                <w:szCs w:val="22"/>
              </w:rPr>
              <w:t>Hemoragické corpus luteum/hemoragická ovariálna cysta</w:t>
            </w:r>
          </w:p>
        </w:tc>
      </w:tr>
      <w:tr w:rsidR="00681522" w:rsidRPr="00C83045" w14:paraId="32368386" w14:textId="77777777" w:rsidTr="00B62C3E">
        <w:trPr>
          <w:cantSplit/>
        </w:trPr>
        <w:tc>
          <w:tcPr>
            <w:tcW w:w="9322" w:type="dxa"/>
            <w:gridSpan w:val="2"/>
          </w:tcPr>
          <w:p w14:paraId="32368385" w14:textId="77777777" w:rsidR="00681522" w:rsidRPr="00C83045" w:rsidRDefault="00681522" w:rsidP="00D4304B">
            <w:pPr>
              <w:keepNext/>
              <w:widowControl w:val="0"/>
              <w:tabs>
                <w:tab w:val="left" w:pos="567"/>
              </w:tabs>
              <w:ind w:left="0" w:firstLine="0"/>
              <w:rPr>
                <w:color w:val="000000"/>
                <w:szCs w:val="22"/>
              </w:rPr>
            </w:pPr>
            <w:r w:rsidRPr="00C83045">
              <w:rPr>
                <w:b/>
                <w:bCs/>
                <w:color w:val="000000"/>
                <w:szCs w:val="22"/>
              </w:rPr>
              <w:t>Celkové poruchy a reakcie v mieste podania</w:t>
            </w:r>
          </w:p>
        </w:tc>
      </w:tr>
      <w:tr w:rsidR="00681522" w:rsidRPr="00C83045" w14:paraId="32368389" w14:textId="77777777" w:rsidTr="00B62C3E">
        <w:trPr>
          <w:cantSplit/>
        </w:trPr>
        <w:tc>
          <w:tcPr>
            <w:tcW w:w="2235" w:type="dxa"/>
          </w:tcPr>
          <w:p w14:paraId="32368387" w14:textId="77777777" w:rsidR="00681522" w:rsidRPr="00C83045" w:rsidRDefault="00681522" w:rsidP="00D4304B">
            <w:pPr>
              <w:keepNext/>
              <w:widowControl w:val="0"/>
              <w:tabs>
                <w:tab w:val="left" w:pos="567"/>
              </w:tabs>
              <w:ind w:left="0" w:firstLine="0"/>
              <w:rPr>
                <w:i/>
                <w:color w:val="000000"/>
                <w:szCs w:val="22"/>
              </w:rPr>
            </w:pPr>
            <w:r w:rsidRPr="00C83045">
              <w:rPr>
                <w:i/>
                <w:color w:val="000000"/>
                <w:szCs w:val="22"/>
              </w:rPr>
              <w:t>Veľmi časté:</w:t>
            </w:r>
          </w:p>
        </w:tc>
        <w:tc>
          <w:tcPr>
            <w:tcW w:w="7087" w:type="dxa"/>
          </w:tcPr>
          <w:p w14:paraId="32368388" w14:textId="77777777" w:rsidR="00681522" w:rsidRPr="00C83045" w:rsidRDefault="00681522" w:rsidP="00D4304B">
            <w:pPr>
              <w:keepNext/>
              <w:widowControl w:val="0"/>
              <w:tabs>
                <w:tab w:val="left" w:pos="567"/>
              </w:tabs>
              <w:ind w:left="0" w:firstLine="0"/>
              <w:rPr>
                <w:color w:val="000000"/>
                <w:szCs w:val="22"/>
              </w:rPr>
            </w:pPr>
            <w:r w:rsidRPr="00C83045">
              <w:rPr>
                <w:color w:val="000000"/>
                <w:szCs w:val="22"/>
              </w:rPr>
              <w:t>Retencia tekutiny a edém, únava</w:t>
            </w:r>
          </w:p>
        </w:tc>
      </w:tr>
      <w:tr w:rsidR="00681522" w:rsidRPr="00C83045" w14:paraId="3236838C" w14:textId="77777777" w:rsidTr="00B62C3E">
        <w:trPr>
          <w:cantSplit/>
        </w:trPr>
        <w:tc>
          <w:tcPr>
            <w:tcW w:w="2235" w:type="dxa"/>
          </w:tcPr>
          <w:p w14:paraId="3236838A" w14:textId="77777777" w:rsidR="00681522" w:rsidRPr="00C83045" w:rsidRDefault="00681522" w:rsidP="00D4304B">
            <w:pPr>
              <w:keepNext/>
              <w:widowControl w:val="0"/>
              <w:tabs>
                <w:tab w:val="left" w:pos="567"/>
              </w:tabs>
              <w:ind w:left="0" w:firstLine="0"/>
              <w:rPr>
                <w:i/>
                <w:color w:val="000000"/>
                <w:szCs w:val="22"/>
              </w:rPr>
            </w:pPr>
            <w:r w:rsidRPr="00C83045">
              <w:rPr>
                <w:i/>
                <w:color w:val="000000"/>
                <w:szCs w:val="22"/>
              </w:rPr>
              <w:t>Časté:</w:t>
            </w:r>
          </w:p>
        </w:tc>
        <w:tc>
          <w:tcPr>
            <w:tcW w:w="7087" w:type="dxa"/>
          </w:tcPr>
          <w:p w14:paraId="3236838B" w14:textId="77777777" w:rsidR="00681522" w:rsidRPr="00C83045" w:rsidRDefault="00681522" w:rsidP="00D4304B">
            <w:pPr>
              <w:keepNext/>
              <w:widowControl w:val="0"/>
              <w:tabs>
                <w:tab w:val="left" w:pos="567"/>
              </w:tabs>
              <w:ind w:left="0" w:firstLine="0"/>
              <w:rPr>
                <w:color w:val="000000"/>
                <w:szCs w:val="22"/>
              </w:rPr>
            </w:pPr>
            <w:r w:rsidRPr="00C83045">
              <w:rPr>
                <w:color w:val="000000"/>
                <w:szCs w:val="22"/>
              </w:rPr>
              <w:t>Slabosť, pyrexia, anasarka, zimnica, triaška</w:t>
            </w:r>
          </w:p>
        </w:tc>
      </w:tr>
      <w:tr w:rsidR="00681522" w:rsidRPr="00C83045" w14:paraId="3236838F" w14:textId="77777777" w:rsidTr="00B62C3E">
        <w:trPr>
          <w:cantSplit/>
        </w:trPr>
        <w:tc>
          <w:tcPr>
            <w:tcW w:w="2235" w:type="dxa"/>
          </w:tcPr>
          <w:p w14:paraId="3236838D" w14:textId="77777777" w:rsidR="00681522" w:rsidRPr="00C83045" w:rsidRDefault="00681522" w:rsidP="00D4304B">
            <w:pPr>
              <w:widowControl w:val="0"/>
              <w:tabs>
                <w:tab w:val="left" w:pos="567"/>
              </w:tabs>
              <w:ind w:left="0" w:firstLine="0"/>
              <w:rPr>
                <w:i/>
                <w:color w:val="000000"/>
                <w:szCs w:val="22"/>
              </w:rPr>
            </w:pPr>
            <w:r w:rsidRPr="00C83045">
              <w:rPr>
                <w:i/>
                <w:color w:val="000000"/>
                <w:szCs w:val="22"/>
              </w:rPr>
              <w:t>Menej časté:</w:t>
            </w:r>
          </w:p>
        </w:tc>
        <w:tc>
          <w:tcPr>
            <w:tcW w:w="7087" w:type="dxa"/>
          </w:tcPr>
          <w:p w14:paraId="3236838E" w14:textId="77777777" w:rsidR="00681522" w:rsidRPr="00C83045" w:rsidRDefault="00681522" w:rsidP="00D4304B">
            <w:pPr>
              <w:widowControl w:val="0"/>
              <w:tabs>
                <w:tab w:val="left" w:pos="567"/>
              </w:tabs>
              <w:ind w:left="0" w:firstLine="0"/>
              <w:rPr>
                <w:color w:val="000000"/>
                <w:szCs w:val="22"/>
              </w:rPr>
            </w:pPr>
            <w:r w:rsidRPr="00C83045">
              <w:rPr>
                <w:color w:val="000000"/>
                <w:szCs w:val="22"/>
              </w:rPr>
              <w:t>Bolesť na hrudi, celková nevoľnosť</w:t>
            </w:r>
          </w:p>
        </w:tc>
      </w:tr>
      <w:tr w:rsidR="00681522" w:rsidRPr="00C83045" w14:paraId="32368391" w14:textId="77777777" w:rsidTr="00B62C3E">
        <w:trPr>
          <w:cantSplit/>
        </w:trPr>
        <w:tc>
          <w:tcPr>
            <w:tcW w:w="9322" w:type="dxa"/>
            <w:gridSpan w:val="2"/>
          </w:tcPr>
          <w:p w14:paraId="32368390" w14:textId="77777777" w:rsidR="00681522" w:rsidRPr="00C83045" w:rsidRDefault="00681522" w:rsidP="00D4304B">
            <w:pPr>
              <w:keepNext/>
              <w:widowControl w:val="0"/>
              <w:tabs>
                <w:tab w:val="left" w:pos="567"/>
              </w:tabs>
              <w:ind w:left="0" w:firstLine="0"/>
              <w:rPr>
                <w:color w:val="000000"/>
                <w:szCs w:val="22"/>
              </w:rPr>
            </w:pPr>
            <w:r w:rsidRPr="00C83045">
              <w:rPr>
                <w:b/>
                <w:bCs/>
                <w:color w:val="000000"/>
                <w:szCs w:val="22"/>
              </w:rPr>
              <w:lastRenderedPageBreak/>
              <w:t>Laboratórne a funkčné vyšetrenia</w:t>
            </w:r>
          </w:p>
        </w:tc>
      </w:tr>
      <w:tr w:rsidR="00681522" w:rsidRPr="00C83045" w14:paraId="32368394" w14:textId="77777777" w:rsidTr="00B62C3E">
        <w:trPr>
          <w:cantSplit/>
        </w:trPr>
        <w:tc>
          <w:tcPr>
            <w:tcW w:w="2235" w:type="dxa"/>
          </w:tcPr>
          <w:p w14:paraId="32368392" w14:textId="77777777" w:rsidR="00681522" w:rsidRPr="00C83045" w:rsidRDefault="00681522" w:rsidP="00D4304B">
            <w:pPr>
              <w:keepNext/>
              <w:widowControl w:val="0"/>
              <w:tabs>
                <w:tab w:val="left" w:pos="567"/>
              </w:tabs>
              <w:ind w:left="0" w:firstLine="0"/>
              <w:rPr>
                <w:color w:val="000000"/>
                <w:szCs w:val="22"/>
              </w:rPr>
            </w:pPr>
            <w:r w:rsidRPr="00C83045">
              <w:rPr>
                <w:i/>
                <w:color w:val="000000"/>
                <w:szCs w:val="22"/>
              </w:rPr>
              <w:t>Veľmi časté:</w:t>
            </w:r>
          </w:p>
        </w:tc>
        <w:tc>
          <w:tcPr>
            <w:tcW w:w="7087" w:type="dxa"/>
          </w:tcPr>
          <w:p w14:paraId="32368393" w14:textId="77777777" w:rsidR="00681522" w:rsidRPr="00C83045" w:rsidRDefault="00681522" w:rsidP="00D4304B">
            <w:pPr>
              <w:keepNext/>
              <w:widowControl w:val="0"/>
              <w:tabs>
                <w:tab w:val="left" w:pos="567"/>
              </w:tabs>
              <w:ind w:left="0" w:firstLine="0"/>
              <w:rPr>
                <w:color w:val="000000"/>
                <w:szCs w:val="22"/>
              </w:rPr>
            </w:pPr>
            <w:r w:rsidRPr="00C83045">
              <w:rPr>
                <w:color w:val="000000"/>
                <w:szCs w:val="22"/>
              </w:rPr>
              <w:t>Zvýšenie hmotnosti</w:t>
            </w:r>
          </w:p>
        </w:tc>
      </w:tr>
      <w:tr w:rsidR="00681522" w:rsidRPr="00C83045" w14:paraId="32368397" w14:textId="77777777" w:rsidTr="00B62C3E">
        <w:trPr>
          <w:cantSplit/>
        </w:trPr>
        <w:tc>
          <w:tcPr>
            <w:tcW w:w="2235" w:type="dxa"/>
          </w:tcPr>
          <w:p w14:paraId="32368395" w14:textId="77777777" w:rsidR="00681522" w:rsidRPr="00C83045" w:rsidRDefault="00681522" w:rsidP="00D4304B">
            <w:pPr>
              <w:keepNext/>
              <w:widowControl w:val="0"/>
              <w:tabs>
                <w:tab w:val="left" w:pos="567"/>
              </w:tabs>
              <w:ind w:left="0" w:firstLine="0"/>
              <w:rPr>
                <w:color w:val="000000"/>
                <w:szCs w:val="22"/>
              </w:rPr>
            </w:pPr>
            <w:r w:rsidRPr="00C83045">
              <w:rPr>
                <w:i/>
                <w:color w:val="000000"/>
                <w:szCs w:val="22"/>
              </w:rPr>
              <w:t>Časté</w:t>
            </w:r>
            <w:r w:rsidRPr="00C83045">
              <w:rPr>
                <w:color w:val="000000"/>
                <w:szCs w:val="22"/>
              </w:rPr>
              <w:t>:</w:t>
            </w:r>
          </w:p>
        </w:tc>
        <w:tc>
          <w:tcPr>
            <w:tcW w:w="7087" w:type="dxa"/>
          </w:tcPr>
          <w:p w14:paraId="32368396" w14:textId="77777777" w:rsidR="00681522" w:rsidRPr="00C83045" w:rsidRDefault="00681522" w:rsidP="00D4304B">
            <w:pPr>
              <w:keepNext/>
              <w:widowControl w:val="0"/>
              <w:tabs>
                <w:tab w:val="left" w:pos="567"/>
              </w:tabs>
              <w:ind w:left="0" w:firstLine="0"/>
              <w:rPr>
                <w:color w:val="000000"/>
                <w:szCs w:val="22"/>
              </w:rPr>
            </w:pPr>
            <w:r w:rsidRPr="00C83045">
              <w:rPr>
                <w:color w:val="000000"/>
                <w:szCs w:val="22"/>
              </w:rPr>
              <w:t>Zníženie hmotnosti</w:t>
            </w:r>
          </w:p>
        </w:tc>
      </w:tr>
      <w:tr w:rsidR="00681522" w:rsidRPr="00C83045" w14:paraId="3236839A" w14:textId="77777777" w:rsidTr="00B62C3E">
        <w:trPr>
          <w:cantSplit/>
        </w:trPr>
        <w:tc>
          <w:tcPr>
            <w:tcW w:w="2235" w:type="dxa"/>
          </w:tcPr>
          <w:p w14:paraId="32368398" w14:textId="77777777" w:rsidR="00681522" w:rsidRPr="00C83045" w:rsidRDefault="00681522" w:rsidP="00D4304B">
            <w:pPr>
              <w:keepNext/>
              <w:widowControl w:val="0"/>
              <w:tabs>
                <w:tab w:val="left" w:pos="567"/>
              </w:tabs>
              <w:ind w:left="0" w:firstLine="0"/>
              <w:rPr>
                <w:color w:val="000000"/>
                <w:szCs w:val="22"/>
              </w:rPr>
            </w:pPr>
            <w:r w:rsidRPr="00C83045">
              <w:rPr>
                <w:i/>
                <w:color w:val="000000"/>
                <w:szCs w:val="22"/>
              </w:rPr>
              <w:t>Menej časté</w:t>
            </w:r>
            <w:r w:rsidRPr="00C83045">
              <w:rPr>
                <w:color w:val="000000"/>
                <w:szCs w:val="22"/>
              </w:rPr>
              <w:t>:</w:t>
            </w:r>
          </w:p>
        </w:tc>
        <w:tc>
          <w:tcPr>
            <w:tcW w:w="7087" w:type="dxa"/>
          </w:tcPr>
          <w:p w14:paraId="32368399" w14:textId="77777777" w:rsidR="00681522" w:rsidRPr="00C83045" w:rsidRDefault="00681522" w:rsidP="00D4304B">
            <w:pPr>
              <w:keepNext/>
              <w:widowControl w:val="0"/>
              <w:tabs>
                <w:tab w:val="left" w:pos="567"/>
              </w:tabs>
              <w:ind w:left="0" w:firstLine="0"/>
              <w:rPr>
                <w:color w:val="000000"/>
                <w:szCs w:val="22"/>
              </w:rPr>
            </w:pPr>
            <w:r w:rsidRPr="00C83045">
              <w:rPr>
                <w:color w:val="000000"/>
                <w:szCs w:val="22"/>
              </w:rPr>
              <w:t>Zvýšenie kreatinínu v krvi, zvýšenie kreatínfosfokinázy v krvi, zvýšenie laktátdehydrogenázy v krvi, zvýšenie alkalickej fosfatázy v krvi</w:t>
            </w:r>
          </w:p>
        </w:tc>
      </w:tr>
      <w:tr w:rsidR="00681522" w:rsidRPr="00C83045" w14:paraId="3236839D" w14:textId="77777777" w:rsidTr="00B62C3E">
        <w:trPr>
          <w:cantSplit/>
        </w:trPr>
        <w:tc>
          <w:tcPr>
            <w:tcW w:w="2235" w:type="dxa"/>
          </w:tcPr>
          <w:p w14:paraId="3236839B" w14:textId="77777777" w:rsidR="00681522" w:rsidRPr="00C83045" w:rsidRDefault="00681522" w:rsidP="00B62C3E">
            <w:pPr>
              <w:keepNext/>
              <w:keepLines/>
              <w:widowControl w:val="0"/>
              <w:tabs>
                <w:tab w:val="left" w:pos="567"/>
              </w:tabs>
              <w:ind w:left="0" w:firstLine="0"/>
              <w:rPr>
                <w:i/>
                <w:color w:val="000000"/>
                <w:szCs w:val="22"/>
              </w:rPr>
            </w:pPr>
            <w:r w:rsidRPr="00C83045">
              <w:rPr>
                <w:i/>
                <w:color w:val="000000"/>
                <w:szCs w:val="22"/>
              </w:rPr>
              <w:t>Zriedkavé:</w:t>
            </w:r>
          </w:p>
        </w:tc>
        <w:tc>
          <w:tcPr>
            <w:tcW w:w="7087" w:type="dxa"/>
          </w:tcPr>
          <w:p w14:paraId="3236839C" w14:textId="77777777" w:rsidR="00681522" w:rsidRPr="00C83045" w:rsidRDefault="00681522" w:rsidP="00B62C3E">
            <w:pPr>
              <w:keepNext/>
              <w:keepLines/>
              <w:widowControl w:val="0"/>
              <w:tabs>
                <w:tab w:val="left" w:pos="567"/>
              </w:tabs>
              <w:ind w:left="0" w:firstLine="0"/>
              <w:rPr>
                <w:color w:val="000000"/>
                <w:szCs w:val="22"/>
              </w:rPr>
            </w:pPr>
            <w:r w:rsidRPr="00C83045">
              <w:rPr>
                <w:color w:val="000000"/>
                <w:szCs w:val="22"/>
              </w:rPr>
              <w:t>Zvýšenie amylázy v krvi</w:t>
            </w:r>
          </w:p>
        </w:tc>
      </w:tr>
    </w:tbl>
    <w:p w14:paraId="3236839E" w14:textId="77777777" w:rsidR="00CD169B" w:rsidRPr="00C83045" w:rsidRDefault="00CD169B" w:rsidP="00B62C3E">
      <w:pPr>
        <w:keepNext/>
        <w:keepLines/>
        <w:widowControl w:val="0"/>
        <w:rPr>
          <w:color w:val="000000"/>
          <w:szCs w:val="22"/>
        </w:rPr>
      </w:pPr>
    </w:p>
    <w:p w14:paraId="3236839F" w14:textId="77777777" w:rsidR="00591A69" w:rsidRPr="00C83045" w:rsidRDefault="00CD169B" w:rsidP="00B62C3E">
      <w:pPr>
        <w:keepNext/>
        <w:keepLines/>
        <w:widowControl w:val="0"/>
        <w:rPr>
          <w:color w:val="000000"/>
          <w:szCs w:val="22"/>
        </w:rPr>
      </w:pPr>
      <w:r w:rsidRPr="00C83045">
        <w:rPr>
          <w:color w:val="000000"/>
          <w:szCs w:val="22"/>
        </w:rPr>
        <w:t>*</w:t>
      </w:r>
      <w:r w:rsidRPr="00C83045">
        <w:rPr>
          <w:color w:val="000000"/>
          <w:szCs w:val="22"/>
        </w:rPr>
        <w:tab/>
        <w:t>Tieto typy reakcií boli zaznamenané najmä na základe skúseností s Glivecom po jeho uvedení na trh. Zahŕňajú spontánne hlásenia o prípadoch ako aj závažné nežiaduce udalosti z prebiehajúcich klinických skúšaní, programov pre rozšírený prístup k liečbe, klinicko-farmakologických štúdií a výskumných skúšaní v neschválených indikáciach. Pretože sú uvedené reakcie hlásené z populácie neurčitej veľkosti, nie je vždy možné hodnoverne odhadnúť ich frekvenciu alebo určiť príčinný vzťah k expozícii imatinibu.</w:t>
      </w:r>
    </w:p>
    <w:p w14:paraId="323683A0" w14:textId="77777777" w:rsidR="00591A69" w:rsidRPr="00C83045" w:rsidRDefault="00591A69" w:rsidP="00B62C3E">
      <w:pPr>
        <w:keepNext/>
        <w:keepLines/>
        <w:widowControl w:val="0"/>
        <w:rPr>
          <w:color w:val="000000"/>
          <w:szCs w:val="22"/>
        </w:rPr>
      </w:pPr>
      <w:r w:rsidRPr="00C83045">
        <w:rPr>
          <w:color w:val="000000"/>
          <w:szCs w:val="22"/>
        </w:rPr>
        <w:t>1</w:t>
      </w:r>
      <w:r w:rsidRPr="00C83045">
        <w:rPr>
          <w:color w:val="000000"/>
          <w:szCs w:val="22"/>
        </w:rPr>
        <w:tab/>
        <w:t>Pneumónia sa zaznamenala najčastejšie u pacientov s transformovanou CML a u pacientov s GIST.</w:t>
      </w:r>
    </w:p>
    <w:p w14:paraId="323683A1" w14:textId="77777777" w:rsidR="00591A69" w:rsidRPr="00C83045" w:rsidRDefault="00591A69" w:rsidP="00B62C3E">
      <w:pPr>
        <w:keepNext/>
        <w:keepLines/>
        <w:widowControl w:val="0"/>
        <w:rPr>
          <w:color w:val="000000"/>
          <w:szCs w:val="22"/>
        </w:rPr>
      </w:pPr>
      <w:r w:rsidRPr="00C83045">
        <w:rPr>
          <w:color w:val="000000"/>
          <w:szCs w:val="22"/>
        </w:rPr>
        <w:t>2</w:t>
      </w:r>
      <w:r w:rsidRPr="00C83045">
        <w:rPr>
          <w:color w:val="000000"/>
          <w:szCs w:val="22"/>
        </w:rPr>
        <w:tab/>
        <w:t>Bolesť hlavy bola najčastejšia u pacientov s GIST.</w:t>
      </w:r>
    </w:p>
    <w:p w14:paraId="323683A2" w14:textId="77777777" w:rsidR="00591A69" w:rsidRPr="00C83045" w:rsidRDefault="00591A69" w:rsidP="00B62C3E">
      <w:pPr>
        <w:keepNext/>
        <w:keepLines/>
        <w:widowControl w:val="0"/>
        <w:rPr>
          <w:color w:val="000000"/>
          <w:szCs w:val="22"/>
        </w:rPr>
      </w:pPr>
      <w:r w:rsidRPr="00C83045">
        <w:rPr>
          <w:color w:val="000000"/>
          <w:szCs w:val="22"/>
        </w:rPr>
        <w:t>3</w:t>
      </w:r>
      <w:r w:rsidRPr="00C83045">
        <w:rPr>
          <w:color w:val="000000"/>
          <w:szCs w:val="22"/>
        </w:rPr>
        <w:tab/>
        <w:t>Pri zohľadnení pacientorokov sa srdcové príhody, vrátane kongestívneho zlyhania srdca, pozorovali častejšie u pacientov s transformovanou CML ako u pacientov s chronickou CML.</w:t>
      </w:r>
    </w:p>
    <w:p w14:paraId="323683A3" w14:textId="77777777" w:rsidR="00591A69" w:rsidRPr="00C83045" w:rsidRDefault="00591A69" w:rsidP="00B62C3E">
      <w:pPr>
        <w:keepNext/>
        <w:keepLines/>
        <w:widowControl w:val="0"/>
        <w:rPr>
          <w:color w:val="000000"/>
          <w:szCs w:val="22"/>
        </w:rPr>
      </w:pPr>
      <w:r w:rsidRPr="00C83045">
        <w:rPr>
          <w:color w:val="000000"/>
          <w:szCs w:val="22"/>
        </w:rPr>
        <w:t>4</w:t>
      </w:r>
      <w:r w:rsidRPr="00C83045">
        <w:rPr>
          <w:color w:val="000000"/>
          <w:szCs w:val="22"/>
        </w:rPr>
        <w:tab/>
        <w:t>Návaly tepla boli najčastejšie u pacientov s GIST a krvácanie (hematóm, hemorágia) bolo najčastejšie u pacientov s GIST a s transformovanou CML (CML-AP a CML-BC).</w:t>
      </w:r>
    </w:p>
    <w:p w14:paraId="323683A4" w14:textId="77777777" w:rsidR="00591A69" w:rsidRPr="00C83045" w:rsidRDefault="00591A69" w:rsidP="00B62C3E">
      <w:pPr>
        <w:keepNext/>
        <w:keepLines/>
        <w:widowControl w:val="0"/>
        <w:rPr>
          <w:color w:val="000000"/>
          <w:szCs w:val="22"/>
        </w:rPr>
      </w:pPr>
      <w:r w:rsidRPr="00C83045">
        <w:rPr>
          <w:color w:val="000000"/>
          <w:szCs w:val="22"/>
        </w:rPr>
        <w:t>5</w:t>
      </w:r>
      <w:r w:rsidRPr="00C83045">
        <w:rPr>
          <w:color w:val="000000"/>
          <w:szCs w:val="22"/>
        </w:rPr>
        <w:tab/>
        <w:t>Pleurálny výpotok bol hlásený častejšie u pacientov s GIST a u pacientov s transformovanou CML (CML-AP a CML-BC) ako u pacientov s chronickou CML.</w:t>
      </w:r>
    </w:p>
    <w:p w14:paraId="323683A5" w14:textId="77777777" w:rsidR="00591A69" w:rsidRPr="00C83045" w:rsidRDefault="00591A69" w:rsidP="00B62C3E">
      <w:pPr>
        <w:keepNext/>
        <w:keepLines/>
        <w:widowControl w:val="0"/>
        <w:rPr>
          <w:color w:val="000000"/>
          <w:szCs w:val="22"/>
        </w:rPr>
      </w:pPr>
      <w:r w:rsidRPr="00C83045">
        <w:rPr>
          <w:color w:val="000000"/>
          <w:szCs w:val="22"/>
        </w:rPr>
        <w:t>6+7</w:t>
      </w:r>
      <w:r w:rsidRPr="00C83045">
        <w:rPr>
          <w:color w:val="000000"/>
          <w:szCs w:val="22"/>
        </w:rPr>
        <w:tab/>
        <w:t>Bolesť brucha a gastrointestinálne krvácanie sa najčastejšie pozorovali u pacientov s GIST.</w:t>
      </w:r>
    </w:p>
    <w:p w14:paraId="323683A6" w14:textId="77777777" w:rsidR="00591A69" w:rsidRPr="00C83045" w:rsidRDefault="00591A69" w:rsidP="00B62C3E">
      <w:pPr>
        <w:keepNext/>
        <w:keepLines/>
        <w:widowControl w:val="0"/>
        <w:rPr>
          <w:color w:val="000000"/>
          <w:szCs w:val="22"/>
        </w:rPr>
      </w:pPr>
      <w:r w:rsidRPr="00C83045">
        <w:rPr>
          <w:color w:val="000000"/>
          <w:szCs w:val="22"/>
        </w:rPr>
        <w:t>8</w:t>
      </w:r>
      <w:r w:rsidRPr="00C83045">
        <w:rPr>
          <w:color w:val="000000"/>
          <w:szCs w:val="22"/>
        </w:rPr>
        <w:tab/>
        <w:t>Zaznamenalo sa niekoľko smrteľných prípadov zlyhania pečene a nekrózy pečene.</w:t>
      </w:r>
    </w:p>
    <w:p w14:paraId="323683A7" w14:textId="77777777" w:rsidR="00BF36F0" w:rsidRDefault="00591A69" w:rsidP="00B62C3E">
      <w:pPr>
        <w:keepNext/>
        <w:keepLines/>
        <w:widowControl w:val="0"/>
        <w:rPr>
          <w:color w:val="000000"/>
          <w:szCs w:val="22"/>
        </w:rPr>
      </w:pPr>
      <w:r w:rsidRPr="00C83045">
        <w:rPr>
          <w:color w:val="000000"/>
          <w:szCs w:val="22"/>
        </w:rPr>
        <w:t>9</w:t>
      </w:r>
      <w:r w:rsidRPr="00C83045">
        <w:rPr>
          <w:color w:val="000000"/>
          <w:szCs w:val="22"/>
        </w:rPr>
        <w:tab/>
      </w:r>
      <w:r w:rsidR="00BF36F0" w:rsidRPr="00C83045">
        <w:rPr>
          <w:color w:val="000000"/>
          <w:szCs w:val="22"/>
        </w:rPr>
        <w:t>Bolesť svalov a</w:t>
      </w:r>
      <w:r w:rsidR="00BF36F0">
        <w:rPr>
          <w:color w:val="000000"/>
          <w:szCs w:val="22"/>
        </w:rPr>
        <w:t> </w:t>
      </w:r>
      <w:r w:rsidR="00BF36F0" w:rsidRPr="00C83045">
        <w:rPr>
          <w:color w:val="000000"/>
          <w:szCs w:val="22"/>
        </w:rPr>
        <w:t>kostí</w:t>
      </w:r>
      <w:r w:rsidR="00BF36F0">
        <w:rPr>
          <w:color w:val="000000"/>
          <w:szCs w:val="22"/>
        </w:rPr>
        <w:t xml:space="preserve"> počas liečby imatinibom alebo po jej ukončení sa pozorovala po uvedení lieku na trh.</w:t>
      </w:r>
    </w:p>
    <w:p w14:paraId="323683A8" w14:textId="77777777" w:rsidR="00CD169B" w:rsidRPr="00C83045" w:rsidRDefault="00BF36F0" w:rsidP="00B62C3E">
      <w:pPr>
        <w:keepNext/>
        <w:keepLines/>
        <w:widowControl w:val="0"/>
        <w:rPr>
          <w:color w:val="000000"/>
          <w:szCs w:val="22"/>
        </w:rPr>
      </w:pPr>
      <w:r>
        <w:rPr>
          <w:color w:val="000000"/>
          <w:szCs w:val="22"/>
        </w:rPr>
        <w:t>10</w:t>
      </w:r>
      <w:r>
        <w:rPr>
          <w:color w:val="000000"/>
          <w:szCs w:val="22"/>
        </w:rPr>
        <w:tab/>
      </w:r>
      <w:r w:rsidR="00591A69" w:rsidRPr="00C83045">
        <w:rPr>
          <w:color w:val="000000"/>
          <w:szCs w:val="22"/>
        </w:rPr>
        <w:t>Bolesť svalov a kostí a s ňou súvisiace udalosti sa pozorovali častejšie u pacientov s CML ako u pacientov s GIST.</w:t>
      </w:r>
    </w:p>
    <w:p w14:paraId="323683A9" w14:textId="77777777" w:rsidR="00591A69" w:rsidRPr="00C83045" w:rsidRDefault="00CD169B" w:rsidP="00B62C3E">
      <w:pPr>
        <w:keepLines/>
        <w:widowControl w:val="0"/>
        <w:rPr>
          <w:color w:val="000000"/>
          <w:szCs w:val="22"/>
        </w:rPr>
      </w:pPr>
      <w:r w:rsidRPr="00C83045">
        <w:rPr>
          <w:color w:val="000000"/>
          <w:szCs w:val="22"/>
        </w:rPr>
        <w:t>1</w:t>
      </w:r>
      <w:r w:rsidR="00BF36F0">
        <w:rPr>
          <w:color w:val="000000"/>
          <w:szCs w:val="22"/>
        </w:rPr>
        <w:t>1</w:t>
      </w:r>
      <w:r w:rsidRPr="00C83045">
        <w:rPr>
          <w:color w:val="000000"/>
          <w:szCs w:val="22"/>
        </w:rPr>
        <w:tab/>
        <w:t>Smrteľné prípady sa zaznamenali u pacientov s pokročilým ochorením, závažnými infekciami, ťažkou neutropéniou a inými závažnými sprievodnými ochoreniami.</w:t>
      </w:r>
    </w:p>
    <w:p w14:paraId="323683AA" w14:textId="77777777" w:rsidR="00591A69" w:rsidRPr="00C83045" w:rsidRDefault="00591A69" w:rsidP="00D4304B">
      <w:pPr>
        <w:widowControl w:val="0"/>
        <w:rPr>
          <w:color w:val="000000"/>
          <w:szCs w:val="22"/>
        </w:rPr>
      </w:pPr>
    </w:p>
    <w:p w14:paraId="323683AB" w14:textId="77777777" w:rsidR="00591A69" w:rsidRPr="00C83045" w:rsidRDefault="00591A69" w:rsidP="00D4304B">
      <w:pPr>
        <w:pStyle w:val="Heading2"/>
        <w:widowControl w:val="0"/>
        <w:autoSpaceDE/>
        <w:autoSpaceDN/>
        <w:rPr>
          <w:b w:val="0"/>
          <w:i w:val="0"/>
          <w:color w:val="000000"/>
          <w:sz w:val="22"/>
          <w:szCs w:val="22"/>
          <w:u w:val="single"/>
        </w:rPr>
      </w:pPr>
      <w:r w:rsidRPr="00C83045">
        <w:rPr>
          <w:b w:val="0"/>
          <w:i w:val="0"/>
          <w:color w:val="000000"/>
          <w:sz w:val="22"/>
          <w:szCs w:val="22"/>
          <w:u w:val="single"/>
        </w:rPr>
        <w:t>Odchýlky laboratórnych hodnôt</w:t>
      </w:r>
    </w:p>
    <w:p w14:paraId="323683AC" w14:textId="77777777" w:rsidR="00591A69" w:rsidRPr="00C83045" w:rsidRDefault="00591A69" w:rsidP="00D4304B">
      <w:pPr>
        <w:keepNext/>
        <w:widowControl w:val="0"/>
        <w:ind w:left="0" w:firstLine="0"/>
        <w:rPr>
          <w:i/>
          <w:color w:val="000000"/>
          <w:szCs w:val="22"/>
        </w:rPr>
      </w:pPr>
      <w:r w:rsidRPr="00C83045">
        <w:rPr>
          <w:i/>
          <w:color w:val="000000"/>
          <w:szCs w:val="22"/>
        </w:rPr>
        <w:t>Hematologické vyšetrenia</w:t>
      </w:r>
    </w:p>
    <w:p w14:paraId="323683AD" w14:textId="77777777" w:rsidR="00591A69" w:rsidRPr="00C83045" w:rsidRDefault="00591A69" w:rsidP="00D4304B">
      <w:pPr>
        <w:pStyle w:val="Footer"/>
        <w:widowControl w:val="0"/>
        <w:ind w:left="0" w:firstLine="0"/>
        <w:rPr>
          <w:color w:val="000000"/>
          <w:szCs w:val="22"/>
        </w:rPr>
      </w:pPr>
      <w:r w:rsidRPr="00C83045">
        <w:rPr>
          <w:color w:val="000000"/>
          <w:szCs w:val="22"/>
        </w:rPr>
        <w:t xml:space="preserve">Cytopénie, hlavne neutropénia a trombocytopénia, sa opakovane pozorovali vo všetkých klinických skúšaniach pri CML, so sklonom k častejšiemu výskytu pri vysokých dávkach </w:t>
      </w:r>
      <w:r w:rsidRPr="00C83045">
        <w:rPr>
          <w:color w:val="000000"/>
          <w:szCs w:val="22"/>
        </w:rPr>
        <w:sym w:font="Symbol" w:char="F0B3"/>
      </w:r>
      <w:r w:rsidRPr="00C83045">
        <w:rPr>
          <w:color w:val="000000"/>
          <w:szCs w:val="22"/>
        </w:rPr>
        <w:t> 750 mg (klinické skúšanie fázy I). Výskyt cytopénií však jednoznačne závisel aj od fázy ochorenia, pričom 3. alebo 4. stupeň neutropénií (ANC &lt; 1,0 x 10</w:t>
      </w:r>
      <w:r w:rsidRPr="00C83045">
        <w:rPr>
          <w:color w:val="000000"/>
          <w:szCs w:val="22"/>
          <w:vertAlign w:val="superscript"/>
        </w:rPr>
        <w:t>9</w:t>
      </w:r>
      <w:r w:rsidRPr="00C83045">
        <w:rPr>
          <w:color w:val="000000"/>
          <w:szCs w:val="22"/>
        </w:rPr>
        <w:t>/l) a trombocytopénií (počet trombocytov &lt; 50 x 10</w:t>
      </w:r>
      <w:r w:rsidRPr="00C83045">
        <w:rPr>
          <w:color w:val="000000"/>
          <w:szCs w:val="22"/>
          <w:vertAlign w:val="superscript"/>
        </w:rPr>
        <w:t>9</w:t>
      </w:r>
      <w:r w:rsidRPr="00C83045">
        <w:rPr>
          <w:color w:val="000000"/>
          <w:szCs w:val="22"/>
        </w:rPr>
        <w:t>/l) sa vyskytoval 4- až 6-krát častejšie v blastickej kríze a akcelerovanej fáze (59–64% neutropénií a 44–63% trombocytopénií) v porovnaní s novodiagnostikovanými pacientmi v chronickej fáze CML (16,7% neutropénií a 8,9% trombocytopénií). Pri novodiagnostikovanej chronickej fáze CML sa pozoroval 4. stupeň neutropénie (ANC &lt; 0,5 x 10</w:t>
      </w:r>
      <w:r w:rsidRPr="00C83045">
        <w:rPr>
          <w:color w:val="000000"/>
          <w:szCs w:val="22"/>
          <w:vertAlign w:val="superscript"/>
        </w:rPr>
        <w:t>9</w:t>
      </w:r>
      <w:r w:rsidRPr="00C83045">
        <w:rPr>
          <w:color w:val="000000"/>
          <w:szCs w:val="22"/>
        </w:rPr>
        <w:t>/l) u 3,6% pacientov a trombocytopénie (počet trombocytov &lt; 10 x 10</w:t>
      </w:r>
      <w:r w:rsidRPr="00C83045">
        <w:rPr>
          <w:color w:val="000000"/>
          <w:szCs w:val="22"/>
          <w:vertAlign w:val="superscript"/>
        </w:rPr>
        <w:t>9</w:t>
      </w:r>
      <w:r w:rsidRPr="00C83045">
        <w:rPr>
          <w:color w:val="000000"/>
          <w:szCs w:val="22"/>
        </w:rPr>
        <w:t>/l) u menej ako 1% pacientov. Medián trvania neutropenických epizód bol zvyčajne v rozmedzí 2 až 3 týždňov, trombocytopenických epizód 3 až 4 týždňov. Tieto udalosti možno obvykle zvládnuť buď znížením dávky, alebo prerušením liečby Glivecom, ale v zriedkavých prípadoch si môžu vyžiadať trvalé ukončenie liečby. U pediatrických pacientov s CML boli najčastejšie pozorovanými príznakmi toxicity 3. alebo 4. stupeň cytopénií vrátane neutropénie, trombocytopénie a anémie. Spravidla sa vyskytujú počas prvých mesiacov liečby.</w:t>
      </w:r>
    </w:p>
    <w:p w14:paraId="323683AE" w14:textId="77777777" w:rsidR="00591A69" w:rsidRPr="00C83045" w:rsidRDefault="00591A69" w:rsidP="00D4304B">
      <w:pPr>
        <w:pStyle w:val="Footer"/>
        <w:widowControl w:val="0"/>
        <w:ind w:left="0" w:firstLine="0"/>
        <w:rPr>
          <w:color w:val="000000"/>
          <w:szCs w:val="22"/>
        </w:rPr>
      </w:pPr>
    </w:p>
    <w:p w14:paraId="323683AF" w14:textId="77777777" w:rsidR="00591A69" w:rsidRPr="00C83045" w:rsidRDefault="00591A69" w:rsidP="00D4304B">
      <w:pPr>
        <w:pStyle w:val="Footer"/>
        <w:widowControl w:val="0"/>
        <w:ind w:left="0" w:firstLine="0"/>
        <w:rPr>
          <w:color w:val="000000"/>
          <w:szCs w:val="22"/>
        </w:rPr>
      </w:pPr>
      <w:r w:rsidRPr="00C83045">
        <w:rPr>
          <w:color w:val="000000"/>
          <w:szCs w:val="22"/>
        </w:rPr>
        <w:t>V klinickom skúšaní u pacientov s neresekovateľným a/alebo metastazujúcim GIST sa zaznamenala anémia 3. stupňa v 5,4% a 4. stupňa v 0,7% prípadov a mohla súvisieť s gastrointestinálnym krvácaním alebo krvácaním vo vnútri nádoru aspoň u niektorých z týchto pacientov. Neutropénia 3. stupňa sa pozorovala u 7,5% a 4. stupňa u 2,7% pacientov, trombocytopénia 3. stupňa u 0,7% pacientov. U žiadneho pacienta sa nevyvinula trombocytopénia 4. stupňa. Pokles počtu leukocytov (WBC) a neutrofilov sa vyskytoval najmä počas prvých 6 týždňov liečby, neskôr boli hodnoty pomerne stále.</w:t>
      </w:r>
    </w:p>
    <w:p w14:paraId="323683B0" w14:textId="77777777" w:rsidR="00591A69" w:rsidRPr="00C83045" w:rsidRDefault="00591A69" w:rsidP="00D4304B">
      <w:pPr>
        <w:pStyle w:val="Footer"/>
        <w:widowControl w:val="0"/>
        <w:ind w:left="0" w:firstLine="0"/>
        <w:rPr>
          <w:color w:val="000000"/>
          <w:szCs w:val="22"/>
        </w:rPr>
      </w:pPr>
    </w:p>
    <w:p w14:paraId="323683B1" w14:textId="77777777" w:rsidR="00591A69" w:rsidRPr="00C83045" w:rsidRDefault="00591A69" w:rsidP="00D4304B">
      <w:pPr>
        <w:pStyle w:val="Footer"/>
        <w:keepNext/>
        <w:widowControl w:val="0"/>
        <w:ind w:left="0" w:firstLine="0"/>
        <w:rPr>
          <w:i/>
          <w:color w:val="000000"/>
          <w:szCs w:val="22"/>
        </w:rPr>
      </w:pPr>
      <w:r w:rsidRPr="00C83045">
        <w:rPr>
          <w:i/>
          <w:color w:val="000000"/>
          <w:szCs w:val="22"/>
        </w:rPr>
        <w:lastRenderedPageBreak/>
        <w:t>Biochemické vyšetrenia</w:t>
      </w:r>
    </w:p>
    <w:p w14:paraId="323683B2" w14:textId="77777777" w:rsidR="00591A69" w:rsidRPr="00C83045" w:rsidRDefault="00591A69" w:rsidP="00D4304B">
      <w:pPr>
        <w:widowControl w:val="0"/>
        <w:ind w:left="0" w:firstLine="0"/>
        <w:rPr>
          <w:color w:val="000000"/>
          <w:szCs w:val="22"/>
        </w:rPr>
      </w:pPr>
      <w:r w:rsidRPr="00C83045">
        <w:rPr>
          <w:color w:val="000000"/>
          <w:szCs w:val="22"/>
        </w:rPr>
        <w:t xml:space="preserve">Závažné zvýšenie aminotransferáz (&lt; 5%) alebo bilirubínu (&lt; 1%) sa pozorovalo u pacientov s CML a zvyčajne sa zvládlo znížením dávky alebo prerušením liečby (medián trvania týchto epizód bol približne 1 týždeň). Liečba sa musela trvalo ukončiť pre odchýlky pečeňových laboratórnych testov u menej ako 1% pacientov s CML. U pacientov s GIST (klinické skúšanie B2222) sa pozorovalo zvýšenie </w:t>
      </w:r>
      <w:smartTag w:uri="urn:schemas-microsoft-com:office:smarttags" w:element="stockticker">
        <w:r w:rsidRPr="00C83045">
          <w:rPr>
            <w:color w:val="000000"/>
            <w:szCs w:val="22"/>
          </w:rPr>
          <w:t>ALT</w:t>
        </w:r>
      </w:smartTag>
      <w:r w:rsidRPr="00C83045">
        <w:rPr>
          <w:color w:val="000000"/>
          <w:szCs w:val="22"/>
        </w:rPr>
        <w:t xml:space="preserve"> (alanínaminotransferázy) 3. alebo 4. stupňa u 6,8% a zvýšenie AST (aspartátaminotransferázy) 3. alebo 4. stupňa u 4,8% pacientov. Bilirubín sa zvýšil u menej ako 3% pacientov.</w:t>
      </w:r>
    </w:p>
    <w:p w14:paraId="323683B3" w14:textId="77777777" w:rsidR="00591A69" w:rsidRPr="00C83045" w:rsidRDefault="00591A69" w:rsidP="00D4304B">
      <w:pPr>
        <w:widowControl w:val="0"/>
        <w:rPr>
          <w:color w:val="000000"/>
          <w:szCs w:val="22"/>
        </w:rPr>
      </w:pPr>
    </w:p>
    <w:p w14:paraId="323683B4" w14:textId="77777777" w:rsidR="00591A69" w:rsidRPr="00C83045" w:rsidRDefault="00591A69" w:rsidP="00D4304B">
      <w:pPr>
        <w:widowControl w:val="0"/>
        <w:ind w:left="0" w:firstLine="0"/>
        <w:rPr>
          <w:color w:val="000000"/>
          <w:szCs w:val="22"/>
        </w:rPr>
      </w:pPr>
      <w:r w:rsidRPr="00C83045">
        <w:rPr>
          <w:color w:val="000000"/>
          <w:szCs w:val="22"/>
        </w:rPr>
        <w:t>Vyskytli sa prípady cytolytickej a cholestatickej hepatitídy a zlyhania pečene, ktoré sa niekedy skončili smrťou, vrátane jedného pacienta po užití vysokej dávky paracetamolu.</w:t>
      </w:r>
    </w:p>
    <w:p w14:paraId="323683B5" w14:textId="77777777" w:rsidR="00741F22" w:rsidRDefault="00741F22" w:rsidP="00D4304B">
      <w:pPr>
        <w:widowControl w:val="0"/>
        <w:autoSpaceDE w:val="0"/>
        <w:autoSpaceDN w:val="0"/>
        <w:adjustRightInd w:val="0"/>
        <w:ind w:left="0" w:firstLine="0"/>
        <w:rPr>
          <w:noProof/>
          <w:szCs w:val="22"/>
          <w:u w:val="single"/>
        </w:rPr>
      </w:pPr>
    </w:p>
    <w:p w14:paraId="323683B6" w14:textId="77777777" w:rsidR="00741F22" w:rsidRPr="00F65595" w:rsidRDefault="00741F22" w:rsidP="00D4304B">
      <w:pPr>
        <w:keepNext/>
        <w:widowControl w:val="0"/>
        <w:autoSpaceDE w:val="0"/>
        <w:autoSpaceDN w:val="0"/>
        <w:adjustRightInd w:val="0"/>
        <w:ind w:left="0" w:firstLine="0"/>
        <w:rPr>
          <w:noProof/>
          <w:szCs w:val="22"/>
          <w:u w:val="single"/>
        </w:rPr>
      </w:pPr>
      <w:r w:rsidRPr="00F65595">
        <w:rPr>
          <w:noProof/>
          <w:szCs w:val="22"/>
          <w:u w:val="single"/>
        </w:rPr>
        <w:t>Opis vybraných nežiaducich reakcií</w:t>
      </w:r>
    </w:p>
    <w:p w14:paraId="323683B7" w14:textId="77777777" w:rsidR="00741F22" w:rsidRPr="00F65595" w:rsidRDefault="00F1077D" w:rsidP="00D4304B">
      <w:pPr>
        <w:keepNext/>
        <w:widowControl w:val="0"/>
        <w:autoSpaceDE w:val="0"/>
        <w:autoSpaceDN w:val="0"/>
        <w:adjustRightInd w:val="0"/>
        <w:ind w:left="0" w:firstLine="0"/>
        <w:rPr>
          <w:i/>
          <w:noProof/>
          <w:szCs w:val="22"/>
          <w:u w:val="single"/>
        </w:rPr>
      </w:pPr>
      <w:r>
        <w:rPr>
          <w:i/>
          <w:noProof/>
          <w:szCs w:val="22"/>
          <w:u w:val="single"/>
        </w:rPr>
        <w:t>Reaktivácia hepatitídy </w:t>
      </w:r>
      <w:r w:rsidR="00741F22" w:rsidRPr="00F65595">
        <w:rPr>
          <w:i/>
          <w:noProof/>
          <w:szCs w:val="22"/>
          <w:u w:val="single"/>
        </w:rPr>
        <w:t>B</w:t>
      </w:r>
    </w:p>
    <w:p w14:paraId="323683B8" w14:textId="77777777" w:rsidR="00741F22" w:rsidRPr="00F65595" w:rsidRDefault="00741F22" w:rsidP="00D4304B">
      <w:pPr>
        <w:widowControl w:val="0"/>
        <w:autoSpaceDE w:val="0"/>
        <w:autoSpaceDN w:val="0"/>
        <w:adjustRightInd w:val="0"/>
        <w:ind w:left="0" w:firstLine="0"/>
        <w:rPr>
          <w:noProof/>
          <w:szCs w:val="22"/>
        </w:rPr>
      </w:pPr>
      <w:r w:rsidRPr="00F65595">
        <w:rPr>
          <w:noProof/>
          <w:szCs w:val="22"/>
        </w:rPr>
        <w:t>V súvislosti s inhibítormi BCR-ABL-tyrozínkinázy bola hlásená reaktivácia hepatitídy</w:t>
      </w:r>
      <w:r w:rsidR="00F1077D">
        <w:rPr>
          <w:noProof/>
          <w:szCs w:val="22"/>
        </w:rPr>
        <w:t> </w:t>
      </w:r>
      <w:r w:rsidRPr="00F65595">
        <w:rPr>
          <w:noProof/>
          <w:szCs w:val="22"/>
        </w:rPr>
        <w:t>B. Niektoré</w:t>
      </w:r>
      <w:r w:rsidR="009528EE">
        <w:rPr>
          <w:noProof/>
          <w:szCs w:val="22"/>
        </w:rPr>
        <w:t xml:space="preserve"> </w:t>
      </w:r>
      <w:r w:rsidRPr="00F65595">
        <w:rPr>
          <w:noProof/>
          <w:szCs w:val="22"/>
        </w:rPr>
        <w:t>prípady viedli k akútnemu zlyhaniu pečene alebo k fulminantnej hepatitíde, ktorých výsledkom bola</w:t>
      </w:r>
      <w:r w:rsidR="009528EE">
        <w:rPr>
          <w:noProof/>
          <w:szCs w:val="22"/>
        </w:rPr>
        <w:t xml:space="preserve"> </w:t>
      </w:r>
      <w:r w:rsidRPr="00F65595">
        <w:rPr>
          <w:noProof/>
          <w:szCs w:val="22"/>
        </w:rPr>
        <w:t>transplantácia pečene alebo úmrtie (pozri časť</w:t>
      </w:r>
      <w:r w:rsidR="009528EE">
        <w:rPr>
          <w:noProof/>
          <w:szCs w:val="22"/>
        </w:rPr>
        <w:t> </w:t>
      </w:r>
      <w:r w:rsidRPr="00F65595">
        <w:rPr>
          <w:noProof/>
          <w:szCs w:val="22"/>
        </w:rPr>
        <w:t>4.4).</w:t>
      </w:r>
    </w:p>
    <w:p w14:paraId="323683B9" w14:textId="77777777" w:rsidR="00591A69" w:rsidRPr="009528EE" w:rsidRDefault="00591A69" w:rsidP="00D4304B">
      <w:pPr>
        <w:widowControl w:val="0"/>
        <w:autoSpaceDE w:val="0"/>
        <w:autoSpaceDN w:val="0"/>
        <w:adjustRightInd w:val="0"/>
        <w:ind w:left="0" w:firstLine="0"/>
        <w:rPr>
          <w:noProof/>
          <w:szCs w:val="22"/>
        </w:rPr>
      </w:pPr>
    </w:p>
    <w:p w14:paraId="323683BA" w14:textId="77777777" w:rsidR="00591A69" w:rsidRPr="00C83045" w:rsidRDefault="00591A69" w:rsidP="00D4304B">
      <w:pPr>
        <w:keepNext/>
        <w:widowControl w:val="0"/>
        <w:autoSpaceDE w:val="0"/>
        <w:autoSpaceDN w:val="0"/>
        <w:adjustRightInd w:val="0"/>
        <w:rPr>
          <w:szCs w:val="22"/>
          <w:u w:val="single"/>
        </w:rPr>
      </w:pPr>
      <w:r w:rsidRPr="00C83045">
        <w:rPr>
          <w:noProof/>
          <w:szCs w:val="22"/>
          <w:u w:val="single"/>
        </w:rPr>
        <w:t>Hlásenie podozrení na nežiaduce reakcie</w:t>
      </w:r>
    </w:p>
    <w:p w14:paraId="323683BB" w14:textId="77777777" w:rsidR="00591A69" w:rsidRPr="00C83045" w:rsidRDefault="00591A69" w:rsidP="00D4304B">
      <w:pPr>
        <w:widowControl w:val="0"/>
        <w:rPr>
          <w:noProof/>
          <w:szCs w:val="22"/>
        </w:rPr>
      </w:pPr>
      <w:r w:rsidRPr="00C83045">
        <w:rPr>
          <w:noProof/>
          <w:szCs w:val="22"/>
        </w:rPr>
        <w:t>Hlásenie podozrení na nežiaduce reakcie po registrácii lieku je dôležité.</w:t>
      </w:r>
      <w:r w:rsidRPr="00C83045">
        <w:rPr>
          <w:szCs w:val="22"/>
        </w:rPr>
        <w:t xml:space="preserve"> </w:t>
      </w:r>
      <w:r w:rsidRPr="00C83045">
        <w:rPr>
          <w:noProof/>
          <w:szCs w:val="22"/>
        </w:rPr>
        <w:t xml:space="preserve">Umožňuje priebežné </w:t>
      </w:r>
    </w:p>
    <w:p w14:paraId="323683BC" w14:textId="77777777" w:rsidR="00591A69" w:rsidRPr="00C83045" w:rsidRDefault="00591A69" w:rsidP="00D4304B">
      <w:pPr>
        <w:widowControl w:val="0"/>
        <w:rPr>
          <w:noProof/>
          <w:szCs w:val="22"/>
        </w:rPr>
      </w:pPr>
      <w:r w:rsidRPr="00C83045">
        <w:rPr>
          <w:noProof/>
          <w:szCs w:val="22"/>
        </w:rPr>
        <w:t>monitorovanie pomeru prínosu</w:t>
      </w:r>
      <w:r w:rsidRPr="00C83045">
        <w:t xml:space="preserve"> a</w:t>
      </w:r>
      <w:r w:rsidRPr="00C83045">
        <w:rPr>
          <w:noProof/>
          <w:szCs w:val="22"/>
        </w:rPr>
        <w:t> rizika lieku.</w:t>
      </w:r>
      <w:r w:rsidRPr="00C83045">
        <w:rPr>
          <w:szCs w:val="22"/>
        </w:rPr>
        <w:t xml:space="preserve"> Od </w:t>
      </w:r>
      <w:r w:rsidRPr="00C83045">
        <w:rPr>
          <w:noProof/>
          <w:szCs w:val="22"/>
        </w:rPr>
        <w:t xml:space="preserve">zdravotníckych pracovníkov sa vyžaduje, aby hlásili </w:t>
      </w:r>
    </w:p>
    <w:p w14:paraId="323683BD" w14:textId="77777777" w:rsidR="00591A69" w:rsidRPr="00C83045" w:rsidRDefault="00591A69" w:rsidP="00D4304B">
      <w:pPr>
        <w:widowControl w:val="0"/>
        <w:rPr>
          <w:noProof/>
          <w:szCs w:val="22"/>
        </w:rPr>
      </w:pPr>
      <w:r w:rsidRPr="00C83045">
        <w:rPr>
          <w:noProof/>
          <w:szCs w:val="22"/>
        </w:rPr>
        <w:t xml:space="preserve">akékoľvek podozrenia na nežiaduce reakcie </w:t>
      </w:r>
      <w:r w:rsidR="003219F2">
        <w:rPr>
          <w:noProof/>
          <w:szCs w:val="22"/>
        </w:rPr>
        <w:t>na</w:t>
      </w:r>
      <w:r w:rsidR="003219F2" w:rsidRPr="00C83045">
        <w:rPr>
          <w:noProof/>
          <w:szCs w:val="22"/>
        </w:rPr>
        <w:t xml:space="preserve"> </w:t>
      </w:r>
      <w:r w:rsidRPr="00C83045">
        <w:rPr>
          <w:noProof/>
          <w:szCs w:val="22"/>
          <w:shd w:val="clear" w:color="auto" w:fill="D9D9D9"/>
        </w:rPr>
        <w:t xml:space="preserve">národné </w:t>
      </w:r>
      <w:r w:rsidR="003219F2">
        <w:rPr>
          <w:noProof/>
          <w:szCs w:val="22"/>
          <w:shd w:val="clear" w:color="auto" w:fill="D9D9D9"/>
        </w:rPr>
        <w:t>centrum</w:t>
      </w:r>
      <w:r w:rsidRPr="00C83045">
        <w:rPr>
          <w:noProof/>
          <w:szCs w:val="22"/>
          <w:shd w:val="clear" w:color="auto" w:fill="D9D9D9"/>
        </w:rPr>
        <w:t xml:space="preserve"> hlásenia uvedené v </w:t>
      </w:r>
      <w:hyperlink r:id="rId15" w:history="1">
        <w:r w:rsidRPr="00C83045">
          <w:rPr>
            <w:rStyle w:val="Hyperlink"/>
            <w:noProof/>
            <w:szCs w:val="22"/>
            <w:shd w:val="clear" w:color="auto" w:fill="D9D9D9"/>
          </w:rPr>
          <w:t>P</w:t>
        </w:r>
        <w:r w:rsidRPr="00C83045">
          <w:rPr>
            <w:rStyle w:val="Hyperlink"/>
            <w:shd w:val="clear" w:color="auto" w:fill="D9D9D9"/>
          </w:rPr>
          <w:t xml:space="preserve">rílohe </w:t>
        </w:r>
        <w:r w:rsidRPr="00C83045">
          <w:rPr>
            <w:rStyle w:val="Hyperlink"/>
            <w:noProof/>
            <w:szCs w:val="22"/>
            <w:shd w:val="clear" w:color="auto" w:fill="D9D9D9"/>
          </w:rPr>
          <w:t>V</w:t>
        </w:r>
      </w:hyperlink>
      <w:r w:rsidRPr="00C83045">
        <w:rPr>
          <w:noProof/>
          <w:szCs w:val="22"/>
          <w:shd w:val="clear" w:color="auto" w:fill="D9D9D9"/>
        </w:rPr>
        <w:t>.</w:t>
      </w:r>
    </w:p>
    <w:p w14:paraId="323683BE" w14:textId="77777777" w:rsidR="00591A69" w:rsidRPr="00C83045" w:rsidRDefault="00591A69" w:rsidP="00D4304B">
      <w:pPr>
        <w:widowControl w:val="0"/>
        <w:rPr>
          <w:color w:val="000000"/>
          <w:szCs w:val="22"/>
        </w:rPr>
      </w:pPr>
    </w:p>
    <w:p w14:paraId="323683BF" w14:textId="77777777" w:rsidR="00591A69" w:rsidRPr="00C83045" w:rsidRDefault="00591A69" w:rsidP="00D4304B">
      <w:pPr>
        <w:keepNext/>
        <w:widowControl w:val="0"/>
        <w:rPr>
          <w:b/>
          <w:bCs/>
          <w:color w:val="000000"/>
          <w:szCs w:val="22"/>
        </w:rPr>
      </w:pPr>
      <w:r w:rsidRPr="00C83045">
        <w:rPr>
          <w:b/>
          <w:bCs/>
          <w:color w:val="000000"/>
          <w:szCs w:val="22"/>
        </w:rPr>
        <w:t>4.9</w:t>
      </w:r>
      <w:r w:rsidRPr="00C83045">
        <w:rPr>
          <w:color w:val="000000"/>
          <w:szCs w:val="22"/>
        </w:rPr>
        <w:tab/>
      </w:r>
      <w:r w:rsidRPr="00C83045">
        <w:rPr>
          <w:b/>
          <w:bCs/>
          <w:color w:val="000000"/>
          <w:szCs w:val="22"/>
        </w:rPr>
        <w:t>Predávkovanie</w:t>
      </w:r>
    </w:p>
    <w:p w14:paraId="323683C0" w14:textId="77777777" w:rsidR="00591A69" w:rsidRPr="00C83045" w:rsidRDefault="00591A69" w:rsidP="00D4304B">
      <w:pPr>
        <w:keepNext/>
        <w:widowControl w:val="0"/>
        <w:rPr>
          <w:bCs/>
          <w:color w:val="000000"/>
          <w:szCs w:val="22"/>
        </w:rPr>
      </w:pPr>
    </w:p>
    <w:p w14:paraId="323683C1" w14:textId="77777777" w:rsidR="00591A69" w:rsidRPr="00C83045" w:rsidRDefault="00591A69" w:rsidP="00D4304B">
      <w:pPr>
        <w:widowControl w:val="0"/>
        <w:ind w:left="0" w:firstLine="0"/>
        <w:rPr>
          <w:color w:val="000000"/>
          <w:szCs w:val="22"/>
        </w:rPr>
      </w:pPr>
      <w:r w:rsidRPr="00C83045">
        <w:rPr>
          <w:color w:val="000000"/>
          <w:szCs w:val="22"/>
        </w:rPr>
        <w:t>Skúsenosti s dávkami vyššími ako odporúčaná terapeutická dávka sú obmedzené. Ojedinelé prípady predávkovania Glivecu boli hlásené spontánne a v literatúre. V prípade predávkovania má byť pacient pod dohľadom a má sa mu podať primeraná symptomatická liečba. Tieto prípady sa podľa hlásení spravidla skončili „zlepšením“ alebo „zotavením“. Pri iných rozmedziach dávok boli hlásené nasledujúce udalosti:</w:t>
      </w:r>
    </w:p>
    <w:p w14:paraId="323683C2" w14:textId="77777777" w:rsidR="00591A69" w:rsidRPr="00C83045" w:rsidRDefault="00591A69" w:rsidP="00D4304B">
      <w:pPr>
        <w:widowControl w:val="0"/>
        <w:ind w:left="0" w:firstLine="0"/>
        <w:rPr>
          <w:color w:val="000000"/>
          <w:szCs w:val="22"/>
        </w:rPr>
      </w:pPr>
    </w:p>
    <w:p w14:paraId="323683C3" w14:textId="77777777" w:rsidR="00591A69" w:rsidRPr="00C83045" w:rsidRDefault="00591A69" w:rsidP="00D4304B">
      <w:pPr>
        <w:keepNext/>
        <w:widowControl w:val="0"/>
        <w:ind w:left="0" w:firstLine="0"/>
        <w:rPr>
          <w:i/>
          <w:color w:val="000000"/>
          <w:szCs w:val="22"/>
        </w:rPr>
      </w:pPr>
      <w:r w:rsidRPr="00C83045">
        <w:rPr>
          <w:i/>
          <w:color w:val="000000"/>
          <w:szCs w:val="22"/>
        </w:rPr>
        <w:t>Dospelí</w:t>
      </w:r>
    </w:p>
    <w:p w14:paraId="323683C4" w14:textId="77777777" w:rsidR="00591A69" w:rsidRPr="00C83045" w:rsidRDefault="00591A69" w:rsidP="00D4304B">
      <w:pPr>
        <w:widowControl w:val="0"/>
        <w:ind w:left="0" w:firstLine="0"/>
        <w:rPr>
          <w:color w:val="000000"/>
          <w:szCs w:val="22"/>
        </w:rPr>
      </w:pPr>
      <w:r w:rsidRPr="00C83045">
        <w:rPr>
          <w:color w:val="000000"/>
          <w:szCs w:val="22"/>
        </w:rPr>
        <w:t>1200 až 1600 mg (trvanie sa rôznilo od 1 do 10 dní): Nauzea, vracanie, hnačka, exantém, erytém, edém, opuch, únava, svalové kŕče, trombocytopénia, pancytopénia, bolesť brucha, bolesť hlavy, znížená chuť do jedenia.</w:t>
      </w:r>
    </w:p>
    <w:p w14:paraId="323683C5" w14:textId="77777777" w:rsidR="00591A69" w:rsidRPr="00C83045" w:rsidRDefault="00591A69" w:rsidP="00D4304B">
      <w:pPr>
        <w:widowControl w:val="0"/>
        <w:ind w:left="0" w:firstLine="0"/>
        <w:rPr>
          <w:color w:val="000000"/>
          <w:szCs w:val="22"/>
        </w:rPr>
      </w:pPr>
      <w:r w:rsidRPr="00C83045">
        <w:rPr>
          <w:color w:val="000000"/>
          <w:szCs w:val="22"/>
        </w:rPr>
        <w:t>1800 až 3200 mg (až 3200 mg denne počas 6 dní): Slabosť, myalgia, zvýšená kreatínfosfokináza, zvýšený bilirubín, bolesť žalúdka a čriev.</w:t>
      </w:r>
    </w:p>
    <w:p w14:paraId="323683C6" w14:textId="77777777" w:rsidR="00591A69" w:rsidRPr="00C83045" w:rsidRDefault="00591A69" w:rsidP="00D4304B">
      <w:pPr>
        <w:widowControl w:val="0"/>
        <w:ind w:left="0" w:firstLine="0"/>
        <w:rPr>
          <w:color w:val="000000"/>
          <w:szCs w:val="22"/>
        </w:rPr>
      </w:pPr>
      <w:r w:rsidRPr="00C83045">
        <w:rPr>
          <w:color w:val="000000"/>
          <w:szCs w:val="22"/>
        </w:rPr>
        <w:t>6400 mg (jednorazová dávka): V literatúre zaznamenaný jeden prípad jedného pacienta, u ktorého sa vyskytla nauzea, vracanie, bolesť brucha, pyrexia, opuch tváre, znížený počet neutrofilov, zvýšené aminotransferázy.</w:t>
      </w:r>
    </w:p>
    <w:p w14:paraId="323683C7" w14:textId="77777777" w:rsidR="00591A69" w:rsidRPr="00C83045" w:rsidRDefault="00591A69" w:rsidP="00D4304B">
      <w:pPr>
        <w:widowControl w:val="0"/>
        <w:ind w:left="0" w:firstLine="0"/>
        <w:rPr>
          <w:color w:val="000000"/>
          <w:szCs w:val="22"/>
        </w:rPr>
      </w:pPr>
      <w:r w:rsidRPr="00C83045">
        <w:rPr>
          <w:color w:val="000000"/>
          <w:szCs w:val="22"/>
        </w:rPr>
        <w:t>8 až 10 g (jednorazová dávka): Bolo hlásené vracanie a bolesť žalúdka a čriev.</w:t>
      </w:r>
    </w:p>
    <w:p w14:paraId="323683C8" w14:textId="77777777" w:rsidR="00591A69" w:rsidRPr="00C83045" w:rsidRDefault="00591A69" w:rsidP="00D4304B">
      <w:pPr>
        <w:widowControl w:val="0"/>
        <w:ind w:left="0" w:firstLine="0"/>
        <w:rPr>
          <w:color w:val="000000"/>
          <w:szCs w:val="22"/>
        </w:rPr>
      </w:pPr>
    </w:p>
    <w:p w14:paraId="323683C9" w14:textId="77777777" w:rsidR="00591A69" w:rsidRPr="00C83045" w:rsidRDefault="00591A69" w:rsidP="00D4304B">
      <w:pPr>
        <w:keepNext/>
        <w:widowControl w:val="0"/>
        <w:ind w:left="0" w:firstLine="0"/>
        <w:rPr>
          <w:color w:val="000000"/>
          <w:szCs w:val="22"/>
          <w:u w:val="single"/>
        </w:rPr>
      </w:pPr>
      <w:r w:rsidRPr="008202CD">
        <w:rPr>
          <w:i/>
          <w:color w:val="000000"/>
          <w:szCs w:val="22"/>
        </w:rPr>
        <w:t>Pediatrická</w:t>
      </w:r>
      <w:r w:rsidRPr="00C83045">
        <w:rPr>
          <w:bCs/>
          <w:i/>
          <w:iCs/>
          <w:color w:val="000000"/>
          <w:szCs w:val="22"/>
        </w:rPr>
        <w:t xml:space="preserve"> populácia</w:t>
      </w:r>
    </w:p>
    <w:p w14:paraId="323683CA" w14:textId="77777777" w:rsidR="00591A69" w:rsidRPr="00C83045" w:rsidRDefault="00591A69" w:rsidP="00D4304B">
      <w:pPr>
        <w:widowControl w:val="0"/>
        <w:ind w:left="0" w:firstLine="0"/>
        <w:rPr>
          <w:color w:val="000000"/>
          <w:szCs w:val="22"/>
        </w:rPr>
      </w:pPr>
      <w:r w:rsidRPr="00C83045">
        <w:rPr>
          <w:color w:val="000000"/>
          <w:szCs w:val="22"/>
        </w:rPr>
        <w:t>U jedného 3-ročného chlapca sa po jednorazovej dávke 400 mg vyskytlo vracanie, hnačka a anorexia a u ďalšieho 3-ročného chlapca po jednorazovej dávke 980 mg došlo k zníženiu počtu leukocytov a hnačke.</w:t>
      </w:r>
    </w:p>
    <w:p w14:paraId="323683CB" w14:textId="77777777" w:rsidR="00591A69" w:rsidRPr="00C83045" w:rsidRDefault="00591A69" w:rsidP="00D4304B">
      <w:pPr>
        <w:widowControl w:val="0"/>
        <w:ind w:left="0" w:firstLine="0"/>
        <w:rPr>
          <w:color w:val="000000"/>
          <w:szCs w:val="22"/>
        </w:rPr>
      </w:pPr>
    </w:p>
    <w:p w14:paraId="323683CC" w14:textId="77777777" w:rsidR="00591A69" w:rsidRPr="00C83045" w:rsidRDefault="00591A69" w:rsidP="00D4304B">
      <w:pPr>
        <w:widowControl w:val="0"/>
        <w:ind w:left="0" w:firstLine="0"/>
        <w:rPr>
          <w:color w:val="000000"/>
          <w:szCs w:val="22"/>
        </w:rPr>
      </w:pPr>
      <w:r w:rsidRPr="00C83045">
        <w:rPr>
          <w:color w:val="000000"/>
          <w:szCs w:val="22"/>
        </w:rPr>
        <w:t>V prípade predávkovania má byť pacient pod dohľadom a má sa mu podať primeraná podporná liečba.</w:t>
      </w:r>
    </w:p>
    <w:p w14:paraId="323683CD" w14:textId="77777777" w:rsidR="00591A69" w:rsidRPr="00C83045" w:rsidRDefault="00591A69" w:rsidP="00D4304B">
      <w:pPr>
        <w:widowControl w:val="0"/>
        <w:rPr>
          <w:color w:val="000000"/>
          <w:szCs w:val="22"/>
        </w:rPr>
      </w:pPr>
    </w:p>
    <w:p w14:paraId="323683CE" w14:textId="77777777" w:rsidR="00591A69" w:rsidRPr="00C83045" w:rsidRDefault="00591A69" w:rsidP="00D4304B">
      <w:pPr>
        <w:widowControl w:val="0"/>
        <w:rPr>
          <w:color w:val="000000"/>
          <w:szCs w:val="22"/>
        </w:rPr>
      </w:pPr>
    </w:p>
    <w:p w14:paraId="323683CF" w14:textId="77777777" w:rsidR="00591A69" w:rsidRPr="00C83045" w:rsidRDefault="00591A69" w:rsidP="00D4304B">
      <w:pPr>
        <w:keepNext/>
        <w:widowControl w:val="0"/>
        <w:rPr>
          <w:b/>
          <w:bCs/>
          <w:caps/>
          <w:color w:val="000000"/>
          <w:szCs w:val="22"/>
        </w:rPr>
      </w:pPr>
      <w:r w:rsidRPr="00C83045">
        <w:rPr>
          <w:b/>
          <w:bCs/>
          <w:caps/>
          <w:color w:val="000000"/>
          <w:szCs w:val="22"/>
        </w:rPr>
        <w:lastRenderedPageBreak/>
        <w:t>5.</w:t>
      </w:r>
      <w:r w:rsidRPr="00C83045">
        <w:rPr>
          <w:b/>
          <w:bCs/>
          <w:caps/>
          <w:color w:val="000000"/>
          <w:szCs w:val="22"/>
        </w:rPr>
        <w:tab/>
        <w:t>Farmakologické vlastnosti</w:t>
      </w:r>
    </w:p>
    <w:p w14:paraId="323683D0" w14:textId="77777777" w:rsidR="00591A69" w:rsidRPr="00C83045" w:rsidRDefault="00591A69" w:rsidP="00D4304B">
      <w:pPr>
        <w:keepNext/>
        <w:widowControl w:val="0"/>
        <w:rPr>
          <w:color w:val="000000"/>
          <w:szCs w:val="22"/>
        </w:rPr>
      </w:pPr>
    </w:p>
    <w:p w14:paraId="323683D1" w14:textId="77777777" w:rsidR="00591A69" w:rsidRPr="00C83045" w:rsidRDefault="00591A69" w:rsidP="00D4304B">
      <w:pPr>
        <w:keepNext/>
        <w:widowControl w:val="0"/>
        <w:rPr>
          <w:b/>
          <w:bCs/>
          <w:color w:val="000000"/>
          <w:szCs w:val="22"/>
        </w:rPr>
      </w:pPr>
      <w:r w:rsidRPr="00C83045">
        <w:rPr>
          <w:b/>
          <w:bCs/>
          <w:color w:val="000000"/>
          <w:szCs w:val="22"/>
        </w:rPr>
        <w:t>5.1</w:t>
      </w:r>
      <w:r w:rsidRPr="00C83045">
        <w:rPr>
          <w:b/>
          <w:bCs/>
          <w:color w:val="000000"/>
          <w:szCs w:val="22"/>
        </w:rPr>
        <w:tab/>
        <w:t>Farmakodynamické vlastnosti</w:t>
      </w:r>
    </w:p>
    <w:p w14:paraId="323683D2" w14:textId="77777777" w:rsidR="00591A69" w:rsidRPr="00C83045" w:rsidRDefault="00591A69" w:rsidP="00D4304B">
      <w:pPr>
        <w:keepNext/>
        <w:widowControl w:val="0"/>
        <w:tabs>
          <w:tab w:val="left" w:pos="495"/>
        </w:tabs>
        <w:rPr>
          <w:bCs/>
          <w:color w:val="000000"/>
          <w:szCs w:val="22"/>
        </w:rPr>
      </w:pPr>
    </w:p>
    <w:p w14:paraId="323683D3" w14:textId="77777777" w:rsidR="00591A69" w:rsidRPr="00C83045" w:rsidRDefault="00591A69" w:rsidP="00D4304B">
      <w:pPr>
        <w:keepNext/>
        <w:widowControl w:val="0"/>
        <w:ind w:left="0" w:firstLine="0"/>
        <w:rPr>
          <w:color w:val="000000"/>
          <w:szCs w:val="22"/>
        </w:rPr>
      </w:pPr>
      <w:r w:rsidRPr="00C83045">
        <w:rPr>
          <w:color w:val="000000"/>
          <w:szCs w:val="22"/>
        </w:rPr>
        <w:t>Farmakoterapeutická skupina: inhibítor proteíntyrozínkinázy, ATC kód: L01XE01</w:t>
      </w:r>
    </w:p>
    <w:p w14:paraId="323683D4" w14:textId="77777777" w:rsidR="00591A69" w:rsidRPr="00C83045" w:rsidRDefault="00591A69" w:rsidP="00D4304B">
      <w:pPr>
        <w:keepNext/>
        <w:widowControl w:val="0"/>
        <w:ind w:left="0" w:firstLine="0"/>
        <w:rPr>
          <w:color w:val="000000"/>
          <w:szCs w:val="22"/>
        </w:rPr>
      </w:pPr>
    </w:p>
    <w:p w14:paraId="323683D5" w14:textId="77777777" w:rsidR="00591A69" w:rsidRPr="00C83045" w:rsidRDefault="00591A69" w:rsidP="00D4304B">
      <w:pPr>
        <w:keepNext/>
        <w:widowControl w:val="0"/>
        <w:ind w:left="0" w:firstLine="0"/>
        <w:rPr>
          <w:color w:val="000000"/>
          <w:szCs w:val="22"/>
          <w:u w:val="single"/>
        </w:rPr>
      </w:pPr>
      <w:r w:rsidRPr="00C83045">
        <w:rPr>
          <w:noProof/>
          <w:szCs w:val="22"/>
          <w:u w:val="single"/>
        </w:rPr>
        <w:t>Mechanizmus</w:t>
      </w:r>
      <w:r w:rsidRPr="00C83045">
        <w:rPr>
          <w:color w:val="000000"/>
          <w:szCs w:val="22"/>
          <w:u w:val="single"/>
        </w:rPr>
        <w:t xml:space="preserve"> účinku</w:t>
      </w:r>
    </w:p>
    <w:p w14:paraId="323683D6" w14:textId="77777777" w:rsidR="00591A69" w:rsidRPr="00C83045" w:rsidRDefault="00591A69" w:rsidP="00D4304B">
      <w:pPr>
        <w:pStyle w:val="EndnoteText"/>
        <w:widowControl w:val="0"/>
        <w:tabs>
          <w:tab w:val="clear" w:pos="567"/>
        </w:tabs>
        <w:rPr>
          <w:color w:val="000000"/>
          <w:szCs w:val="22"/>
          <w:lang w:val="sk-SK"/>
        </w:rPr>
      </w:pPr>
      <w:r w:rsidRPr="00C83045">
        <w:rPr>
          <w:color w:val="000000"/>
          <w:szCs w:val="22"/>
          <w:lang w:val="sk-SK"/>
        </w:rPr>
        <w:t xml:space="preserve">Imatinib je inhibítor proteíntyrozínkinázy s malou molekulou, ktorý účinne inhibuje aktivitu bcr-abl-tyrozínkinázy (TK), ako aj niekoľkých TK receptorov: Kit, receptor rastového faktora kmeňových buniek (SCF) kódovaný protoonkogénom c-Kit, receptory diskoidínovej domény (DDR1 a DDR2), receptor faktora stimulujúceho kolónie </w:t>
      </w:r>
      <w:r w:rsidRPr="00C83045">
        <w:rPr>
          <w:lang w:val="sk-SK"/>
        </w:rPr>
        <w:t xml:space="preserve">(CSF-1R) a </w:t>
      </w:r>
      <w:r w:rsidRPr="00C83045">
        <w:rPr>
          <w:color w:val="000000"/>
          <w:szCs w:val="22"/>
          <w:lang w:val="sk-SK"/>
        </w:rPr>
        <w:t>receptory doštičkového rastového faktora alfa a beta (PDG</w:t>
      </w:r>
      <w:smartTag w:uri="urn:schemas-microsoft-com:office:smarttags" w:element="PersonName">
        <w:r w:rsidRPr="00C83045">
          <w:rPr>
            <w:color w:val="000000"/>
            <w:szCs w:val="22"/>
            <w:lang w:val="sk-SK"/>
          </w:rPr>
          <w:t>FR</w:t>
        </w:r>
      </w:smartTag>
      <w:r w:rsidRPr="00C83045">
        <w:rPr>
          <w:color w:val="000000"/>
          <w:szCs w:val="22"/>
          <w:lang w:val="sk-SK"/>
        </w:rPr>
        <w:t>-alfa a PDG</w:t>
      </w:r>
      <w:smartTag w:uri="urn:schemas-microsoft-com:office:smarttags" w:element="PersonName">
        <w:r w:rsidRPr="00C83045">
          <w:rPr>
            <w:color w:val="000000"/>
            <w:szCs w:val="22"/>
            <w:lang w:val="sk-SK"/>
          </w:rPr>
          <w:t>FR</w:t>
        </w:r>
      </w:smartTag>
      <w:r w:rsidRPr="00C83045">
        <w:rPr>
          <w:color w:val="000000"/>
          <w:szCs w:val="22"/>
          <w:lang w:val="sk-SK"/>
        </w:rPr>
        <w:t>-beta). Imatinib môže tiež inhibovať procesy v bunke, ktoré sú sprostredkované aktiváciou týchto kinázových receptorov.</w:t>
      </w:r>
    </w:p>
    <w:p w14:paraId="323683D7" w14:textId="77777777" w:rsidR="00591A69" w:rsidRPr="00C83045" w:rsidRDefault="00591A69" w:rsidP="00D4304B">
      <w:pPr>
        <w:pStyle w:val="EndnoteText"/>
        <w:widowControl w:val="0"/>
        <w:tabs>
          <w:tab w:val="clear" w:pos="567"/>
        </w:tabs>
        <w:rPr>
          <w:lang w:val="sk-SK"/>
        </w:rPr>
      </w:pPr>
    </w:p>
    <w:p w14:paraId="323683D8" w14:textId="77777777" w:rsidR="00591A69" w:rsidRPr="00C83045" w:rsidRDefault="00591A69" w:rsidP="00D4304B">
      <w:pPr>
        <w:pStyle w:val="EndnoteText"/>
        <w:keepNext/>
        <w:widowControl w:val="0"/>
        <w:tabs>
          <w:tab w:val="clear" w:pos="567"/>
        </w:tabs>
        <w:rPr>
          <w:lang w:val="sk-SK"/>
        </w:rPr>
      </w:pPr>
      <w:r w:rsidRPr="00C83045">
        <w:rPr>
          <w:noProof/>
          <w:u w:val="single"/>
          <w:lang w:val="sk-SK"/>
        </w:rPr>
        <w:t>Farmakodynamické účinky</w:t>
      </w:r>
    </w:p>
    <w:p w14:paraId="323683D9" w14:textId="77777777" w:rsidR="00591A69" w:rsidRPr="00C83045" w:rsidRDefault="00591A69" w:rsidP="00D4304B">
      <w:pPr>
        <w:widowControl w:val="0"/>
        <w:ind w:left="0" w:firstLine="0"/>
        <w:rPr>
          <w:color w:val="000000"/>
          <w:szCs w:val="22"/>
        </w:rPr>
      </w:pPr>
      <w:r w:rsidRPr="00C83045">
        <w:rPr>
          <w:color w:val="000000"/>
          <w:szCs w:val="22"/>
        </w:rPr>
        <w:t xml:space="preserve">Imatinib je inhibítor proteíntyrozínkinázy, ktorý účinne inhibuje bcr-abl-tyrozínkinázu </w:t>
      </w:r>
      <w:r w:rsidRPr="00C83045">
        <w:rPr>
          <w:i/>
          <w:color w:val="000000"/>
          <w:szCs w:val="22"/>
        </w:rPr>
        <w:t>in vitro</w:t>
      </w:r>
      <w:r w:rsidRPr="00C83045">
        <w:rPr>
          <w:color w:val="000000"/>
          <w:szCs w:val="22"/>
        </w:rPr>
        <w:t xml:space="preserve">, na bunkovej úrovni a </w:t>
      </w:r>
      <w:r w:rsidRPr="00C83045">
        <w:rPr>
          <w:i/>
          <w:color w:val="000000"/>
          <w:szCs w:val="22"/>
        </w:rPr>
        <w:t>in vivo</w:t>
      </w:r>
      <w:r w:rsidRPr="00C83045">
        <w:rPr>
          <w:color w:val="000000"/>
          <w:szCs w:val="22"/>
        </w:rPr>
        <w:t>. Látka selektívne inhibuje proliferáciu a indukuje apoptózu bunkových línií s pozitivitou bcr-abl, ako aj čerstvých leukemických buniek od pacientov s CML s pozitívnym chromozómom Philadelphia a od pacientov s akútnou lymfoblastickou leukémiou (</w:t>
      </w:r>
      <w:smartTag w:uri="urn:schemas-microsoft-com:office:smarttags" w:element="stockticker">
        <w:r w:rsidRPr="00C83045">
          <w:rPr>
            <w:color w:val="000000"/>
            <w:szCs w:val="22"/>
          </w:rPr>
          <w:t>ALL</w:t>
        </w:r>
      </w:smartTag>
      <w:r w:rsidRPr="00C83045">
        <w:rPr>
          <w:color w:val="000000"/>
          <w:szCs w:val="22"/>
        </w:rPr>
        <w:t>).</w:t>
      </w:r>
    </w:p>
    <w:p w14:paraId="323683DA" w14:textId="77777777" w:rsidR="00591A69" w:rsidRPr="00C83045" w:rsidRDefault="00591A69" w:rsidP="00D4304B">
      <w:pPr>
        <w:widowControl w:val="0"/>
        <w:ind w:left="0" w:firstLine="0"/>
        <w:rPr>
          <w:color w:val="000000"/>
          <w:szCs w:val="22"/>
        </w:rPr>
      </w:pPr>
    </w:p>
    <w:p w14:paraId="323683DB" w14:textId="77777777" w:rsidR="00591A69" w:rsidRPr="00C83045" w:rsidRDefault="00591A69" w:rsidP="00D4304B">
      <w:pPr>
        <w:widowControl w:val="0"/>
        <w:ind w:left="0" w:firstLine="0"/>
        <w:rPr>
          <w:color w:val="000000"/>
          <w:szCs w:val="22"/>
        </w:rPr>
      </w:pPr>
      <w:r w:rsidRPr="00C83045">
        <w:rPr>
          <w:color w:val="000000"/>
          <w:szCs w:val="22"/>
        </w:rPr>
        <w:t xml:space="preserve">Zlúčenina vykazuje protinádorovú účinnosť v monoterapii </w:t>
      </w:r>
      <w:r w:rsidRPr="00C83045">
        <w:rPr>
          <w:i/>
          <w:color w:val="000000"/>
          <w:szCs w:val="22"/>
        </w:rPr>
        <w:t>in vivo</w:t>
      </w:r>
      <w:r w:rsidRPr="00C83045">
        <w:rPr>
          <w:color w:val="000000"/>
          <w:szCs w:val="22"/>
        </w:rPr>
        <w:t xml:space="preserve"> na zvieracích modeloch pri použití nádorových buniek s pozitivitou bcr-abl.</w:t>
      </w:r>
    </w:p>
    <w:p w14:paraId="323683DC" w14:textId="77777777" w:rsidR="00591A69" w:rsidRPr="00C83045" w:rsidRDefault="00591A69" w:rsidP="00D4304B">
      <w:pPr>
        <w:widowControl w:val="0"/>
        <w:ind w:left="0" w:firstLine="0"/>
        <w:rPr>
          <w:color w:val="000000"/>
          <w:szCs w:val="22"/>
        </w:rPr>
      </w:pPr>
    </w:p>
    <w:p w14:paraId="323683DD" w14:textId="77777777" w:rsidR="00591A69" w:rsidRPr="00C83045" w:rsidRDefault="00591A69" w:rsidP="00D4304B">
      <w:pPr>
        <w:widowControl w:val="0"/>
        <w:ind w:left="0" w:firstLine="0"/>
        <w:rPr>
          <w:color w:val="000000"/>
          <w:szCs w:val="22"/>
        </w:rPr>
      </w:pPr>
      <w:r w:rsidRPr="00C83045">
        <w:rPr>
          <w:color w:val="000000"/>
          <w:szCs w:val="22"/>
        </w:rPr>
        <w:t xml:space="preserve">Imatinib je tiež inhibítor tyrozínkináz receptora rastového faktora odvodeného od trombocytov (PDGF), PDGF-R, a receptora faktora kmeňových buniek (SCF), c-Kit, a inhibuje bunkové deje sprostredkované PDGF a SCF. Imatinib inhibuje </w:t>
      </w:r>
      <w:r w:rsidRPr="00C83045">
        <w:rPr>
          <w:i/>
          <w:color w:val="000000"/>
          <w:szCs w:val="22"/>
        </w:rPr>
        <w:t>in vitro</w:t>
      </w:r>
      <w:r w:rsidRPr="00C83045">
        <w:rPr>
          <w:color w:val="000000"/>
          <w:szCs w:val="22"/>
        </w:rPr>
        <w:t xml:space="preserve"> proliferáciu a indukuje apoptózu buniek gastrointestinálnych strómových nádorov (GIST), ktoré vykazujú aktivujúcu mutáciu </w:t>
      </w:r>
      <w:r w:rsidRPr="00C83045">
        <w:rPr>
          <w:i/>
          <w:color w:val="000000"/>
          <w:szCs w:val="22"/>
        </w:rPr>
        <w:t>kit</w:t>
      </w:r>
      <w:r w:rsidRPr="00C83045">
        <w:rPr>
          <w:color w:val="000000"/>
          <w:szCs w:val="22"/>
        </w:rPr>
        <w:t xml:space="preserve">. Konštitutívna aktivácia proteíntyrozínkináz receptora PDGF alebo abl ako dôsledok spojenia s rôznymi partnerskými bielkovinami alebo konštitutívna tvorba PDGF sa preukázali v patogenéze </w:t>
      </w:r>
      <w:smartTag w:uri="urn:schemas-microsoft-com:office:smarttags" w:element="stockticker">
        <w:r w:rsidRPr="00C83045">
          <w:rPr>
            <w:color w:val="000000"/>
            <w:szCs w:val="22"/>
          </w:rPr>
          <w:t>MDS</w:t>
        </w:r>
      </w:smartTag>
      <w:r w:rsidRPr="00C83045">
        <w:rPr>
          <w:color w:val="000000"/>
          <w:szCs w:val="22"/>
        </w:rPr>
        <w:t>/MPD, HES/</w:t>
      </w:r>
      <w:smartTag w:uri="urn:schemas-microsoft-com:office:smarttags" w:element="stockticker">
        <w:r w:rsidRPr="00C83045">
          <w:rPr>
            <w:color w:val="000000"/>
            <w:szCs w:val="22"/>
          </w:rPr>
          <w:t>CEL</w:t>
        </w:r>
      </w:smartTag>
      <w:r w:rsidRPr="00C83045">
        <w:rPr>
          <w:color w:val="000000"/>
          <w:szCs w:val="22"/>
        </w:rPr>
        <w:t xml:space="preserve"> a DFSP. Imatinib inhibuje signalizáciu a proliferáciu buniek stimulovaných disregulovanou aktivitou kináz PDGFR a abl.</w:t>
      </w:r>
    </w:p>
    <w:p w14:paraId="323683DE" w14:textId="77777777" w:rsidR="00591A69" w:rsidRPr="00C83045" w:rsidRDefault="00591A69" w:rsidP="00D4304B">
      <w:pPr>
        <w:widowControl w:val="0"/>
        <w:ind w:left="0" w:firstLine="0"/>
        <w:rPr>
          <w:color w:val="000000"/>
          <w:szCs w:val="22"/>
        </w:rPr>
      </w:pPr>
    </w:p>
    <w:p w14:paraId="323683DF" w14:textId="77777777" w:rsidR="00591A69" w:rsidRPr="00C83045" w:rsidRDefault="00591A69" w:rsidP="00D4304B">
      <w:pPr>
        <w:keepNext/>
        <w:widowControl w:val="0"/>
        <w:ind w:left="0" w:firstLine="0"/>
        <w:rPr>
          <w:color w:val="000000"/>
          <w:szCs w:val="22"/>
          <w:u w:val="single"/>
        </w:rPr>
      </w:pPr>
      <w:r w:rsidRPr="00C83045">
        <w:rPr>
          <w:color w:val="000000"/>
          <w:szCs w:val="22"/>
          <w:u w:val="single"/>
        </w:rPr>
        <w:t>Klinické skúšania pri chronickej myelocytovej leukémii</w:t>
      </w:r>
    </w:p>
    <w:p w14:paraId="323683E0" w14:textId="77777777" w:rsidR="00591A69" w:rsidRPr="00C83045" w:rsidRDefault="00591A69" w:rsidP="00D4304B">
      <w:pPr>
        <w:widowControl w:val="0"/>
        <w:ind w:left="0" w:firstLine="0"/>
        <w:rPr>
          <w:color w:val="000000"/>
          <w:szCs w:val="22"/>
        </w:rPr>
      </w:pPr>
      <w:r w:rsidRPr="00C83045">
        <w:rPr>
          <w:color w:val="000000"/>
          <w:szCs w:val="22"/>
        </w:rPr>
        <w:t>Účinnosť Glivecu sa zakladá na stupni celkovej hematologickej a cytogenetickej odpovede a prežívaní bez progresie. Okrem novodiagnostikovanej chronickej fázy CML nie sú kontrolované klinické skúšania, ktoré by preukázali klinickú prospešnosť, ako je zmiernenie symptómov súvisiacich s ochorením alebo predĺženie prežívania.</w:t>
      </w:r>
    </w:p>
    <w:p w14:paraId="323683E1" w14:textId="77777777" w:rsidR="00591A69" w:rsidRPr="00C83045" w:rsidRDefault="00591A69" w:rsidP="00D4304B">
      <w:pPr>
        <w:widowControl w:val="0"/>
        <w:ind w:left="0" w:firstLine="0"/>
        <w:rPr>
          <w:color w:val="000000"/>
          <w:szCs w:val="22"/>
        </w:rPr>
      </w:pPr>
    </w:p>
    <w:p w14:paraId="323683E2" w14:textId="77777777" w:rsidR="00591A69" w:rsidRPr="00C83045" w:rsidRDefault="00591A69" w:rsidP="00D4304B">
      <w:pPr>
        <w:widowControl w:val="0"/>
        <w:ind w:left="0" w:firstLine="0"/>
        <w:rPr>
          <w:color w:val="000000"/>
          <w:szCs w:val="22"/>
        </w:rPr>
      </w:pPr>
      <w:r w:rsidRPr="00C83045">
        <w:rPr>
          <w:color w:val="000000"/>
          <w:szCs w:val="22"/>
        </w:rPr>
        <w:t>Tri veľké, medzinárodné, otvorené, nekontrolované klinické skúšania fázy II sa vykonali s pacientmi s CML s pozitívnym chromozómom Philadelphia (Ph+) v pokročilej, blastickej alebo akcelerovanej fáze ochorenia, inými Ph+ leukémiami, alebo s CML v chronickej fáze po zlyhaní predchádzajúcej liečby interferónom alfa (IFN). Vykonalo sa jedno veľké, otvorené, multicentrické, medzinárodné, randomizované klinické skúšanie fázy </w:t>
      </w:r>
      <w:smartTag w:uri="urn:schemas-microsoft-com:office:smarttags" w:element="stockticker">
        <w:r w:rsidRPr="00C83045">
          <w:rPr>
            <w:color w:val="000000"/>
            <w:szCs w:val="22"/>
          </w:rPr>
          <w:t>III</w:t>
        </w:r>
      </w:smartTag>
      <w:r w:rsidRPr="00C83045">
        <w:rPr>
          <w:color w:val="000000"/>
          <w:szCs w:val="22"/>
        </w:rPr>
        <w:t xml:space="preserve"> s pacientmi s novodiagnostikovanou Ph+ CML. Okrem toho sa liečili deti v dvoch klinických skúšaniach fázy I a v jednom klinickom skúšaní fázy II.</w:t>
      </w:r>
    </w:p>
    <w:p w14:paraId="323683E3" w14:textId="77777777" w:rsidR="00591A69" w:rsidRPr="00C83045" w:rsidRDefault="00591A69" w:rsidP="00D4304B">
      <w:pPr>
        <w:widowControl w:val="0"/>
        <w:ind w:left="0" w:firstLine="0"/>
        <w:rPr>
          <w:color w:val="000000"/>
          <w:szCs w:val="22"/>
        </w:rPr>
      </w:pPr>
    </w:p>
    <w:p w14:paraId="323683E4" w14:textId="77777777" w:rsidR="00591A69" w:rsidRPr="00C83045" w:rsidRDefault="00591A69" w:rsidP="00D4304B">
      <w:pPr>
        <w:widowControl w:val="0"/>
        <w:ind w:left="0" w:firstLine="0"/>
        <w:rPr>
          <w:color w:val="000000"/>
          <w:szCs w:val="22"/>
        </w:rPr>
      </w:pPr>
      <w:r w:rsidRPr="00C83045">
        <w:rPr>
          <w:color w:val="000000"/>
          <w:szCs w:val="22"/>
        </w:rPr>
        <w:t xml:space="preserve">Vo všetkých klinických skúšaniach bolo 38–40% pacientov vo veku </w:t>
      </w:r>
      <w:r w:rsidRPr="00C83045">
        <w:rPr>
          <w:color w:val="000000"/>
          <w:szCs w:val="22"/>
        </w:rPr>
        <w:sym w:font="Symbol" w:char="F0B3"/>
      </w:r>
      <w:r w:rsidRPr="00C83045">
        <w:rPr>
          <w:color w:val="000000"/>
          <w:szCs w:val="22"/>
        </w:rPr>
        <w:t xml:space="preserve"> 60 rokov a 10–12% pacientov vo veku </w:t>
      </w:r>
      <w:r w:rsidRPr="00C83045">
        <w:rPr>
          <w:color w:val="000000"/>
          <w:szCs w:val="22"/>
        </w:rPr>
        <w:sym w:font="Symbol" w:char="F0B3"/>
      </w:r>
      <w:r w:rsidRPr="00C83045">
        <w:rPr>
          <w:color w:val="000000"/>
          <w:szCs w:val="22"/>
        </w:rPr>
        <w:t> 70 rokov.</w:t>
      </w:r>
    </w:p>
    <w:p w14:paraId="323683E5" w14:textId="77777777" w:rsidR="00591A69" w:rsidRPr="00C83045" w:rsidRDefault="00591A69" w:rsidP="00D4304B">
      <w:pPr>
        <w:widowControl w:val="0"/>
        <w:ind w:left="0" w:firstLine="0"/>
        <w:rPr>
          <w:color w:val="000000"/>
          <w:szCs w:val="22"/>
        </w:rPr>
      </w:pPr>
    </w:p>
    <w:p w14:paraId="323683E6" w14:textId="77777777" w:rsidR="00591A69" w:rsidRPr="00C83045" w:rsidRDefault="00591A69" w:rsidP="00D4304B">
      <w:pPr>
        <w:widowControl w:val="0"/>
        <w:ind w:left="0" w:firstLine="0"/>
        <w:rPr>
          <w:color w:val="000000"/>
          <w:szCs w:val="22"/>
        </w:rPr>
      </w:pPr>
      <w:r w:rsidRPr="00C83045">
        <w:rPr>
          <w:i/>
          <w:color w:val="000000"/>
          <w:szCs w:val="22"/>
        </w:rPr>
        <w:t>Novodiagnostikovaná chronická fáza:</w:t>
      </w:r>
      <w:r w:rsidRPr="00C83045">
        <w:rPr>
          <w:color w:val="000000"/>
          <w:szCs w:val="22"/>
        </w:rPr>
        <w:t xml:space="preserve"> Toto klinické skúšanie fázy </w:t>
      </w:r>
      <w:smartTag w:uri="urn:schemas-microsoft-com:office:smarttags" w:element="stockticker">
        <w:r w:rsidRPr="00C83045">
          <w:rPr>
            <w:color w:val="000000"/>
            <w:szCs w:val="22"/>
          </w:rPr>
          <w:t>III</w:t>
        </w:r>
      </w:smartTag>
      <w:r w:rsidRPr="00C83045">
        <w:rPr>
          <w:color w:val="000000"/>
          <w:szCs w:val="22"/>
        </w:rPr>
        <w:t xml:space="preserve"> u dospelých pacientov porovnávalo liečbu buď samotným Glivecom, alebo kombináciou interferónu alfa (IFN) a cytarabínu (Ara-C). Pacientom s nedostatočnou odpoveďou (nedostatočná kompletná hematologická odpoveď (</w:t>
      </w:r>
      <w:smartTag w:uri="urn:schemas-microsoft-com:office:smarttags" w:element="stockticker">
        <w:r w:rsidRPr="00C83045">
          <w:rPr>
            <w:color w:val="000000"/>
            <w:szCs w:val="22"/>
          </w:rPr>
          <w:t>CHR</w:t>
        </w:r>
      </w:smartTag>
      <w:r w:rsidRPr="00C83045">
        <w:rPr>
          <w:color w:val="000000"/>
          <w:szCs w:val="22"/>
        </w:rPr>
        <w:t xml:space="preserve">) po 6 mesiacoch, zvyšovanie WBC, žiadna veľká cytogenetická odpoveď (MCyR) po 24 mesiacoch), stratou odpovede (strata </w:t>
      </w:r>
      <w:smartTag w:uri="urn:schemas-microsoft-com:office:smarttags" w:element="stockticker">
        <w:r w:rsidRPr="00C83045">
          <w:rPr>
            <w:color w:val="000000"/>
            <w:szCs w:val="22"/>
          </w:rPr>
          <w:t>CHR</w:t>
        </w:r>
      </w:smartTag>
      <w:r w:rsidRPr="00C83045">
        <w:rPr>
          <w:color w:val="000000"/>
          <w:szCs w:val="22"/>
        </w:rPr>
        <w:t xml:space="preserve"> alebo MCyR) alebo so závažnou neznášanlivosťou liečby sa umožnil prechod do skupiny alternatívnej liečby. V skupine Glivecu pacienti dostávali dávku 400 mg denne. V skupine IFN dostávali pacienti cieľovú dávku IFN 5 mil. IU/m</w:t>
      </w:r>
      <w:r w:rsidRPr="00C83045">
        <w:rPr>
          <w:color w:val="000000"/>
          <w:szCs w:val="22"/>
          <w:vertAlign w:val="superscript"/>
        </w:rPr>
        <w:t>2</w:t>
      </w:r>
      <w:r w:rsidRPr="00C83045">
        <w:rPr>
          <w:color w:val="000000"/>
          <w:szCs w:val="22"/>
        </w:rPr>
        <w:t>/deň subkutánne v kombinácii s Ara-C 20 mg/m</w:t>
      </w:r>
      <w:r w:rsidRPr="00C83045">
        <w:rPr>
          <w:color w:val="000000"/>
          <w:szCs w:val="22"/>
          <w:vertAlign w:val="superscript"/>
        </w:rPr>
        <w:t>2</w:t>
      </w:r>
      <w:r w:rsidRPr="00C83045">
        <w:rPr>
          <w:color w:val="000000"/>
          <w:szCs w:val="22"/>
        </w:rPr>
        <w:t>/deň subkutánne počas 10 dní v mesiaci.</w:t>
      </w:r>
    </w:p>
    <w:p w14:paraId="323683E7" w14:textId="77777777" w:rsidR="00591A69" w:rsidRPr="00C83045" w:rsidRDefault="00591A69" w:rsidP="00D4304B">
      <w:pPr>
        <w:widowControl w:val="0"/>
        <w:ind w:left="0" w:firstLine="0"/>
        <w:rPr>
          <w:color w:val="000000"/>
          <w:szCs w:val="22"/>
        </w:rPr>
      </w:pPr>
    </w:p>
    <w:p w14:paraId="323683E8" w14:textId="77777777" w:rsidR="00591A69" w:rsidRPr="00C83045" w:rsidRDefault="00591A69" w:rsidP="00D4304B">
      <w:pPr>
        <w:widowControl w:val="0"/>
        <w:ind w:left="0" w:firstLine="0"/>
        <w:rPr>
          <w:color w:val="000000"/>
          <w:szCs w:val="22"/>
        </w:rPr>
      </w:pPr>
      <w:r w:rsidRPr="00C83045">
        <w:rPr>
          <w:color w:val="000000"/>
          <w:szCs w:val="22"/>
        </w:rPr>
        <w:lastRenderedPageBreak/>
        <w:t xml:space="preserve">Celkovo bolo randomizovaných 1 106 pacientov, 553 do každej skupiny. Východiskové hodnoty boli medzi oboma skupinami dobre vyvážené. Medián veku bol 51 rokov (rozmedzie 18–70 rokov), 21,9% pacientov bolo vo veku </w:t>
      </w:r>
      <w:r w:rsidRPr="00C83045">
        <w:rPr>
          <w:color w:val="000000"/>
          <w:szCs w:val="22"/>
        </w:rPr>
        <w:sym w:font="Symbol" w:char="F0B3"/>
      </w:r>
      <w:r w:rsidRPr="00C83045">
        <w:rPr>
          <w:color w:val="000000"/>
          <w:szCs w:val="22"/>
        </w:rPr>
        <w:t xml:space="preserve"> 60 rokov. 59% boli muži, 41% ženy; 89,9% pacientov bolo bielych a 4,7% čiernych. Sedem rokov po zaradení posledného pacienta bol medián trvania liečby prvej línie 82 mesiacov v skupine Glivecu a 8 mesiacov v skupine IFN. Medián trvania liečby Glivecom ako druhej línie bol 64 mesiacov. Celkovo sa pacientom, ktorí dostávali Glivec ako liečbu prvej línie, podávala priemerná denná dávka 406 ± 76 mg. Primárnym koncovým bodom pre hodnotenie účinnosti v klinickom skúšaní bolo prežívanie bez progresie. Progresia bola definovaná ako niektorá z nasledujúcich udalostí: progresia do akcelerovanej fázy alebo blastickej krízy, smrť, strata </w:t>
      </w:r>
      <w:smartTag w:uri="urn:schemas-microsoft-com:office:smarttags" w:element="stockticker">
        <w:r w:rsidRPr="00C83045">
          <w:rPr>
            <w:color w:val="000000"/>
            <w:szCs w:val="22"/>
          </w:rPr>
          <w:t>CHR</w:t>
        </w:r>
      </w:smartTag>
      <w:r w:rsidRPr="00C83045">
        <w:rPr>
          <w:color w:val="000000"/>
          <w:szCs w:val="22"/>
        </w:rPr>
        <w:t xml:space="preserve"> alebo MCyR, alebo u pacientov, ktorí nedosiahli </w:t>
      </w:r>
      <w:smartTag w:uri="urn:schemas-microsoft-com:office:smarttags" w:element="stockticker">
        <w:r w:rsidRPr="00C83045">
          <w:rPr>
            <w:color w:val="000000"/>
            <w:szCs w:val="22"/>
          </w:rPr>
          <w:t>CHR</w:t>
        </w:r>
      </w:smartTag>
      <w:r w:rsidRPr="00C83045">
        <w:rPr>
          <w:color w:val="000000"/>
          <w:szCs w:val="22"/>
        </w:rPr>
        <w:t>, zvýšenie WBC napriek primeraným terapeutickým opatreniam. Hlavné sekundárne koncové body boli veľká cytogenetická odpoveď, hematologická odpoveď, molekulárna odpoveď (vyhodnotenie minimálneho zvyškového ochorenia), čas do akcelerovanej fázy alebo blastickej krízy a prežívanie. Údaje o dosiahnutej odpovedi sú v Tabuľke </w:t>
      </w:r>
      <w:r w:rsidR="00F07CBB" w:rsidRPr="00C83045">
        <w:rPr>
          <w:color w:val="000000"/>
          <w:szCs w:val="22"/>
        </w:rPr>
        <w:t>2</w:t>
      </w:r>
      <w:r w:rsidRPr="00C83045">
        <w:rPr>
          <w:color w:val="000000"/>
          <w:szCs w:val="22"/>
        </w:rPr>
        <w:t>.</w:t>
      </w:r>
    </w:p>
    <w:p w14:paraId="323683E9" w14:textId="77777777" w:rsidR="00591A69" w:rsidRPr="00C83045" w:rsidRDefault="00591A69" w:rsidP="00D4304B">
      <w:pPr>
        <w:widowControl w:val="0"/>
        <w:tabs>
          <w:tab w:val="left" w:pos="1080"/>
          <w:tab w:val="left" w:pos="1440"/>
        </w:tabs>
        <w:ind w:left="0" w:firstLine="0"/>
        <w:rPr>
          <w:color w:val="000000"/>
          <w:szCs w:val="22"/>
        </w:rPr>
      </w:pPr>
    </w:p>
    <w:p w14:paraId="323683EA" w14:textId="77777777" w:rsidR="00591A69" w:rsidRPr="00C83045" w:rsidRDefault="00591A69" w:rsidP="00D4304B">
      <w:pPr>
        <w:keepNext/>
        <w:keepLines/>
        <w:widowControl w:val="0"/>
        <w:tabs>
          <w:tab w:val="left" w:pos="1440"/>
        </w:tabs>
        <w:ind w:left="1440" w:hanging="1440"/>
        <w:rPr>
          <w:b/>
          <w:color w:val="000000"/>
          <w:szCs w:val="22"/>
        </w:rPr>
      </w:pPr>
      <w:r w:rsidRPr="00C83045">
        <w:rPr>
          <w:b/>
          <w:color w:val="000000"/>
          <w:szCs w:val="22"/>
        </w:rPr>
        <w:t>Tabuľka </w:t>
      </w:r>
      <w:r w:rsidR="00F07CBB" w:rsidRPr="00C83045">
        <w:rPr>
          <w:b/>
          <w:color w:val="000000"/>
          <w:szCs w:val="22"/>
        </w:rPr>
        <w:t>2</w:t>
      </w:r>
      <w:r w:rsidRPr="00C83045">
        <w:rPr>
          <w:b/>
          <w:color w:val="000000"/>
          <w:szCs w:val="22"/>
        </w:rPr>
        <w:tab/>
        <w:t>Odpoveď pri novodiagnostikovanej CML (údaje po 84 mesiacoch)</w:t>
      </w:r>
    </w:p>
    <w:p w14:paraId="323683EB" w14:textId="77777777" w:rsidR="00591A69" w:rsidRPr="00C83045" w:rsidRDefault="00591A69" w:rsidP="00D4304B">
      <w:pPr>
        <w:keepNext/>
        <w:keepLines/>
        <w:widowControl w:val="0"/>
        <w:ind w:left="0" w:firstLine="0"/>
        <w:rPr>
          <w:color w:val="000000"/>
          <w:szCs w:val="22"/>
        </w:rPr>
      </w:pPr>
    </w:p>
    <w:tbl>
      <w:tblPr>
        <w:tblW w:w="912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720"/>
        <w:gridCol w:w="2760"/>
        <w:gridCol w:w="2640"/>
      </w:tblGrid>
      <w:tr w:rsidR="00591A69" w:rsidRPr="00C83045" w14:paraId="323683EF" w14:textId="77777777" w:rsidTr="00B62C3E">
        <w:trPr>
          <w:cantSplit/>
          <w:trHeight w:val="256"/>
        </w:trPr>
        <w:tc>
          <w:tcPr>
            <w:tcW w:w="3720" w:type="dxa"/>
            <w:tcBorders>
              <w:top w:val="single" w:sz="4" w:space="0" w:color="auto"/>
              <w:left w:val="single" w:sz="4" w:space="0" w:color="auto"/>
              <w:bottom w:val="nil"/>
              <w:right w:val="nil"/>
            </w:tcBorders>
          </w:tcPr>
          <w:p w14:paraId="323683EC" w14:textId="77777777" w:rsidR="00591A69" w:rsidRPr="00C83045" w:rsidRDefault="00591A69" w:rsidP="00D4304B">
            <w:pPr>
              <w:keepNext/>
              <w:keepLines/>
              <w:widowControl w:val="0"/>
              <w:ind w:left="0" w:firstLine="0"/>
              <w:rPr>
                <w:i/>
                <w:snapToGrid w:val="0"/>
                <w:color w:val="000000"/>
                <w:szCs w:val="22"/>
              </w:rPr>
            </w:pPr>
          </w:p>
        </w:tc>
        <w:tc>
          <w:tcPr>
            <w:tcW w:w="2760" w:type="dxa"/>
            <w:tcBorders>
              <w:top w:val="single" w:sz="4" w:space="0" w:color="auto"/>
              <w:left w:val="nil"/>
              <w:bottom w:val="nil"/>
              <w:right w:val="nil"/>
            </w:tcBorders>
          </w:tcPr>
          <w:p w14:paraId="323683ED" w14:textId="77777777" w:rsidR="00591A69" w:rsidRPr="00C83045" w:rsidRDefault="00591A69" w:rsidP="00D4304B">
            <w:pPr>
              <w:keepNext/>
              <w:keepLines/>
              <w:widowControl w:val="0"/>
              <w:ind w:left="0" w:firstLine="0"/>
              <w:jc w:val="center"/>
              <w:rPr>
                <w:b/>
                <w:snapToGrid w:val="0"/>
                <w:color w:val="000000"/>
                <w:szCs w:val="22"/>
              </w:rPr>
            </w:pPr>
            <w:r w:rsidRPr="00C83045">
              <w:rPr>
                <w:b/>
                <w:snapToGrid w:val="0"/>
                <w:color w:val="000000"/>
                <w:szCs w:val="22"/>
              </w:rPr>
              <w:t>Glivec</w:t>
            </w:r>
          </w:p>
        </w:tc>
        <w:tc>
          <w:tcPr>
            <w:tcW w:w="2640" w:type="dxa"/>
            <w:tcBorders>
              <w:top w:val="single" w:sz="4" w:space="0" w:color="auto"/>
              <w:left w:val="nil"/>
              <w:bottom w:val="nil"/>
              <w:right w:val="single" w:sz="4" w:space="0" w:color="auto"/>
            </w:tcBorders>
          </w:tcPr>
          <w:p w14:paraId="323683EE" w14:textId="77777777" w:rsidR="00591A69" w:rsidRPr="00C83045" w:rsidRDefault="00591A69" w:rsidP="00D4304B">
            <w:pPr>
              <w:keepNext/>
              <w:keepLines/>
              <w:widowControl w:val="0"/>
              <w:ind w:left="0" w:firstLine="0"/>
              <w:jc w:val="center"/>
              <w:rPr>
                <w:b/>
                <w:snapToGrid w:val="0"/>
                <w:color w:val="000000"/>
                <w:szCs w:val="22"/>
              </w:rPr>
            </w:pPr>
            <w:r w:rsidRPr="00C83045">
              <w:rPr>
                <w:b/>
                <w:snapToGrid w:val="0"/>
                <w:color w:val="000000"/>
                <w:szCs w:val="22"/>
              </w:rPr>
              <w:t>IFN+Ara-C</w:t>
            </w:r>
          </w:p>
        </w:tc>
      </w:tr>
      <w:tr w:rsidR="00591A69" w:rsidRPr="00C83045" w14:paraId="323683F3" w14:textId="77777777" w:rsidTr="00B62C3E">
        <w:trPr>
          <w:cantSplit/>
          <w:trHeight w:val="255"/>
        </w:trPr>
        <w:tc>
          <w:tcPr>
            <w:tcW w:w="3720" w:type="dxa"/>
            <w:tcBorders>
              <w:top w:val="nil"/>
              <w:left w:val="single" w:sz="4" w:space="0" w:color="auto"/>
              <w:bottom w:val="single" w:sz="4" w:space="0" w:color="auto"/>
              <w:right w:val="nil"/>
            </w:tcBorders>
          </w:tcPr>
          <w:p w14:paraId="323683F0" w14:textId="77777777" w:rsidR="00591A69" w:rsidRPr="00C83045" w:rsidRDefault="00591A69" w:rsidP="00D4304B">
            <w:pPr>
              <w:keepNext/>
              <w:keepLines/>
              <w:widowControl w:val="0"/>
              <w:ind w:left="0" w:firstLine="0"/>
              <w:rPr>
                <w:b/>
                <w:snapToGrid w:val="0"/>
                <w:color w:val="000000"/>
                <w:szCs w:val="22"/>
              </w:rPr>
            </w:pPr>
            <w:r w:rsidRPr="00C83045">
              <w:rPr>
                <w:b/>
                <w:snapToGrid w:val="0"/>
                <w:color w:val="000000"/>
                <w:szCs w:val="22"/>
              </w:rPr>
              <w:t>(Najlepší stupeň odpovede)</w:t>
            </w:r>
          </w:p>
        </w:tc>
        <w:tc>
          <w:tcPr>
            <w:tcW w:w="2760" w:type="dxa"/>
            <w:tcBorders>
              <w:top w:val="nil"/>
              <w:left w:val="nil"/>
              <w:bottom w:val="single" w:sz="4" w:space="0" w:color="auto"/>
              <w:right w:val="nil"/>
            </w:tcBorders>
          </w:tcPr>
          <w:p w14:paraId="323683F1" w14:textId="77777777" w:rsidR="00591A69" w:rsidRPr="00C83045" w:rsidRDefault="00591A69" w:rsidP="00D4304B">
            <w:pPr>
              <w:keepNext/>
              <w:keepLines/>
              <w:widowControl w:val="0"/>
              <w:ind w:left="0" w:firstLine="0"/>
              <w:jc w:val="center"/>
              <w:rPr>
                <w:i/>
                <w:snapToGrid w:val="0"/>
                <w:color w:val="000000"/>
                <w:szCs w:val="22"/>
              </w:rPr>
            </w:pPr>
            <w:r w:rsidRPr="00C83045">
              <w:rPr>
                <w:snapToGrid w:val="0"/>
                <w:color w:val="000000"/>
                <w:szCs w:val="22"/>
              </w:rPr>
              <w:t>n=553</w:t>
            </w:r>
          </w:p>
        </w:tc>
        <w:tc>
          <w:tcPr>
            <w:tcW w:w="2640" w:type="dxa"/>
            <w:tcBorders>
              <w:top w:val="nil"/>
              <w:left w:val="nil"/>
              <w:bottom w:val="single" w:sz="4" w:space="0" w:color="auto"/>
              <w:right w:val="single" w:sz="4" w:space="0" w:color="auto"/>
            </w:tcBorders>
          </w:tcPr>
          <w:p w14:paraId="323683F2" w14:textId="77777777" w:rsidR="00591A69" w:rsidRPr="00C83045" w:rsidRDefault="00591A69" w:rsidP="00D4304B">
            <w:pPr>
              <w:keepNext/>
              <w:keepLines/>
              <w:widowControl w:val="0"/>
              <w:ind w:left="0" w:firstLine="0"/>
              <w:jc w:val="center"/>
              <w:rPr>
                <w:i/>
                <w:snapToGrid w:val="0"/>
                <w:color w:val="000000"/>
                <w:szCs w:val="22"/>
              </w:rPr>
            </w:pPr>
            <w:r w:rsidRPr="00C83045">
              <w:rPr>
                <w:snapToGrid w:val="0"/>
                <w:color w:val="000000"/>
                <w:szCs w:val="22"/>
              </w:rPr>
              <w:t>n=553</w:t>
            </w:r>
          </w:p>
        </w:tc>
      </w:tr>
      <w:tr w:rsidR="00591A69" w:rsidRPr="00C83045" w14:paraId="323683F7" w14:textId="77777777" w:rsidTr="00B62C3E">
        <w:trPr>
          <w:cantSplit/>
          <w:trHeight w:val="247"/>
        </w:trPr>
        <w:tc>
          <w:tcPr>
            <w:tcW w:w="3720" w:type="dxa"/>
            <w:tcBorders>
              <w:top w:val="single" w:sz="4" w:space="0" w:color="auto"/>
              <w:left w:val="single" w:sz="4" w:space="0" w:color="auto"/>
              <w:bottom w:val="nil"/>
              <w:right w:val="nil"/>
            </w:tcBorders>
          </w:tcPr>
          <w:p w14:paraId="323683F4" w14:textId="77777777" w:rsidR="00591A69" w:rsidRPr="00C83045" w:rsidRDefault="00591A69" w:rsidP="00D4304B">
            <w:pPr>
              <w:keepNext/>
              <w:keepLines/>
              <w:widowControl w:val="0"/>
              <w:ind w:left="0" w:firstLine="0"/>
              <w:rPr>
                <w:b/>
                <w:snapToGrid w:val="0"/>
                <w:color w:val="000000"/>
                <w:szCs w:val="22"/>
              </w:rPr>
            </w:pPr>
            <w:r w:rsidRPr="00C83045">
              <w:rPr>
                <w:b/>
                <w:snapToGrid w:val="0"/>
                <w:color w:val="000000"/>
                <w:szCs w:val="22"/>
              </w:rPr>
              <w:t>Hematologická odpoveď</w:t>
            </w:r>
          </w:p>
        </w:tc>
        <w:tc>
          <w:tcPr>
            <w:tcW w:w="2760" w:type="dxa"/>
            <w:tcBorders>
              <w:top w:val="single" w:sz="4" w:space="0" w:color="auto"/>
              <w:left w:val="nil"/>
              <w:bottom w:val="nil"/>
              <w:right w:val="nil"/>
            </w:tcBorders>
          </w:tcPr>
          <w:p w14:paraId="323683F5" w14:textId="77777777" w:rsidR="00591A69" w:rsidRPr="00C83045" w:rsidRDefault="00591A69" w:rsidP="00D4304B">
            <w:pPr>
              <w:keepNext/>
              <w:keepLines/>
              <w:widowControl w:val="0"/>
              <w:ind w:left="0" w:firstLine="0"/>
              <w:rPr>
                <w:snapToGrid w:val="0"/>
                <w:color w:val="000000"/>
                <w:szCs w:val="22"/>
              </w:rPr>
            </w:pPr>
          </w:p>
        </w:tc>
        <w:tc>
          <w:tcPr>
            <w:tcW w:w="2640" w:type="dxa"/>
            <w:tcBorders>
              <w:top w:val="single" w:sz="4" w:space="0" w:color="auto"/>
              <w:left w:val="nil"/>
              <w:bottom w:val="nil"/>
              <w:right w:val="single" w:sz="4" w:space="0" w:color="auto"/>
            </w:tcBorders>
          </w:tcPr>
          <w:p w14:paraId="323683F6" w14:textId="77777777" w:rsidR="00591A69" w:rsidRPr="00C83045" w:rsidRDefault="00591A69" w:rsidP="00D4304B">
            <w:pPr>
              <w:keepNext/>
              <w:keepLines/>
              <w:widowControl w:val="0"/>
              <w:ind w:left="0" w:firstLine="0"/>
              <w:rPr>
                <w:i/>
                <w:snapToGrid w:val="0"/>
                <w:color w:val="000000"/>
                <w:szCs w:val="22"/>
              </w:rPr>
            </w:pPr>
          </w:p>
        </w:tc>
      </w:tr>
      <w:tr w:rsidR="00591A69" w:rsidRPr="00C83045" w14:paraId="323683FB" w14:textId="77777777" w:rsidTr="00B62C3E">
        <w:trPr>
          <w:cantSplit/>
          <w:trHeight w:val="247"/>
        </w:trPr>
        <w:tc>
          <w:tcPr>
            <w:tcW w:w="3720" w:type="dxa"/>
            <w:tcBorders>
              <w:top w:val="nil"/>
              <w:left w:val="single" w:sz="4" w:space="0" w:color="auto"/>
              <w:bottom w:val="nil"/>
              <w:right w:val="nil"/>
            </w:tcBorders>
          </w:tcPr>
          <w:p w14:paraId="323683F8" w14:textId="77777777" w:rsidR="00591A69" w:rsidRPr="00C83045" w:rsidRDefault="00591A69" w:rsidP="00D4304B">
            <w:pPr>
              <w:keepNext/>
              <w:keepLines/>
              <w:widowControl w:val="0"/>
              <w:ind w:left="0" w:firstLine="0"/>
              <w:rPr>
                <w:snapToGrid w:val="0"/>
                <w:color w:val="000000"/>
                <w:szCs w:val="22"/>
              </w:rPr>
            </w:pPr>
            <w:r w:rsidRPr="00C83045">
              <w:rPr>
                <w:snapToGrid w:val="0"/>
                <w:color w:val="000000"/>
                <w:szCs w:val="22"/>
              </w:rPr>
              <w:t xml:space="preserve">Podiel </w:t>
            </w:r>
            <w:smartTag w:uri="urn:schemas-microsoft-com:office:smarttags" w:element="stockticker">
              <w:r w:rsidRPr="00C83045">
                <w:rPr>
                  <w:snapToGrid w:val="0"/>
                  <w:color w:val="000000"/>
                  <w:szCs w:val="22"/>
                </w:rPr>
                <w:t>CHR</w:t>
              </w:r>
            </w:smartTag>
            <w:r w:rsidRPr="00C83045">
              <w:rPr>
                <w:snapToGrid w:val="0"/>
                <w:color w:val="000000"/>
                <w:szCs w:val="22"/>
              </w:rPr>
              <w:t xml:space="preserve"> n (%) </w:t>
            </w:r>
          </w:p>
        </w:tc>
        <w:tc>
          <w:tcPr>
            <w:tcW w:w="2760" w:type="dxa"/>
            <w:tcBorders>
              <w:top w:val="nil"/>
              <w:left w:val="nil"/>
              <w:bottom w:val="nil"/>
              <w:right w:val="nil"/>
            </w:tcBorders>
          </w:tcPr>
          <w:p w14:paraId="323683F9" w14:textId="77777777" w:rsidR="00591A69" w:rsidRPr="00C83045" w:rsidRDefault="00591A69" w:rsidP="00D4304B">
            <w:pPr>
              <w:keepNext/>
              <w:keepLines/>
              <w:widowControl w:val="0"/>
              <w:ind w:left="0" w:firstLine="0"/>
              <w:jc w:val="center"/>
              <w:rPr>
                <w:snapToGrid w:val="0"/>
                <w:color w:val="000000"/>
                <w:szCs w:val="22"/>
              </w:rPr>
            </w:pPr>
            <w:r w:rsidRPr="00C83045">
              <w:rPr>
                <w:color w:val="000000"/>
                <w:szCs w:val="22"/>
              </w:rPr>
              <w:t>534 (96,6%)*</w:t>
            </w:r>
          </w:p>
        </w:tc>
        <w:tc>
          <w:tcPr>
            <w:tcW w:w="2640" w:type="dxa"/>
            <w:tcBorders>
              <w:top w:val="nil"/>
              <w:left w:val="nil"/>
              <w:bottom w:val="nil"/>
            </w:tcBorders>
          </w:tcPr>
          <w:p w14:paraId="323683FA" w14:textId="77777777" w:rsidR="00591A69" w:rsidRPr="00C83045" w:rsidRDefault="00591A69" w:rsidP="00D4304B">
            <w:pPr>
              <w:keepNext/>
              <w:keepLines/>
              <w:widowControl w:val="0"/>
              <w:ind w:left="0" w:firstLine="0"/>
              <w:jc w:val="center"/>
              <w:rPr>
                <w:snapToGrid w:val="0"/>
                <w:color w:val="000000"/>
                <w:szCs w:val="22"/>
              </w:rPr>
            </w:pPr>
            <w:r w:rsidRPr="00C83045">
              <w:rPr>
                <w:color w:val="000000"/>
                <w:szCs w:val="22"/>
              </w:rPr>
              <w:t>313 (56,6%)*</w:t>
            </w:r>
          </w:p>
        </w:tc>
      </w:tr>
      <w:tr w:rsidR="00591A69" w:rsidRPr="00C83045" w14:paraId="323683FF" w14:textId="77777777" w:rsidTr="00B62C3E">
        <w:trPr>
          <w:cantSplit/>
          <w:trHeight w:val="247"/>
        </w:trPr>
        <w:tc>
          <w:tcPr>
            <w:tcW w:w="3720" w:type="dxa"/>
            <w:tcBorders>
              <w:top w:val="nil"/>
              <w:left w:val="single" w:sz="4" w:space="0" w:color="auto"/>
              <w:bottom w:val="nil"/>
              <w:right w:val="nil"/>
            </w:tcBorders>
          </w:tcPr>
          <w:p w14:paraId="323683FC" w14:textId="77777777" w:rsidR="00591A69" w:rsidRPr="00C83045" w:rsidRDefault="00591A69" w:rsidP="00D4304B">
            <w:pPr>
              <w:keepNext/>
              <w:keepLines/>
              <w:widowControl w:val="0"/>
              <w:tabs>
                <w:tab w:val="left" w:pos="301"/>
              </w:tabs>
              <w:ind w:left="0" w:firstLine="0"/>
              <w:rPr>
                <w:snapToGrid w:val="0"/>
                <w:color w:val="000000"/>
                <w:szCs w:val="22"/>
              </w:rPr>
            </w:pPr>
            <w:r w:rsidRPr="00C83045">
              <w:rPr>
                <w:color w:val="000000"/>
                <w:szCs w:val="22"/>
              </w:rPr>
              <w:tab/>
              <w:t>[95% CI]</w:t>
            </w:r>
          </w:p>
        </w:tc>
        <w:tc>
          <w:tcPr>
            <w:tcW w:w="2760" w:type="dxa"/>
            <w:tcBorders>
              <w:top w:val="nil"/>
              <w:left w:val="nil"/>
              <w:bottom w:val="nil"/>
              <w:right w:val="nil"/>
            </w:tcBorders>
          </w:tcPr>
          <w:p w14:paraId="323683FD" w14:textId="77777777" w:rsidR="00591A69" w:rsidRPr="00C83045" w:rsidRDefault="00591A69" w:rsidP="00D4304B">
            <w:pPr>
              <w:keepNext/>
              <w:keepLines/>
              <w:widowControl w:val="0"/>
              <w:ind w:left="0" w:firstLine="0"/>
              <w:jc w:val="center"/>
              <w:rPr>
                <w:snapToGrid w:val="0"/>
                <w:color w:val="000000"/>
                <w:szCs w:val="22"/>
              </w:rPr>
            </w:pPr>
            <w:r w:rsidRPr="00C83045">
              <w:rPr>
                <w:color w:val="000000"/>
                <w:szCs w:val="22"/>
              </w:rPr>
              <w:t>[94,7%, 97,9%]</w:t>
            </w:r>
          </w:p>
        </w:tc>
        <w:tc>
          <w:tcPr>
            <w:tcW w:w="2640" w:type="dxa"/>
            <w:tcBorders>
              <w:top w:val="nil"/>
              <w:left w:val="nil"/>
              <w:bottom w:val="nil"/>
            </w:tcBorders>
          </w:tcPr>
          <w:p w14:paraId="323683FE" w14:textId="77777777" w:rsidR="00591A69" w:rsidRPr="00C83045" w:rsidRDefault="00591A69" w:rsidP="00D4304B">
            <w:pPr>
              <w:keepNext/>
              <w:keepLines/>
              <w:widowControl w:val="0"/>
              <w:ind w:left="0" w:firstLine="0"/>
              <w:jc w:val="center"/>
              <w:rPr>
                <w:snapToGrid w:val="0"/>
                <w:color w:val="000000"/>
                <w:szCs w:val="22"/>
              </w:rPr>
            </w:pPr>
            <w:r w:rsidRPr="00C83045">
              <w:rPr>
                <w:color w:val="000000"/>
                <w:szCs w:val="22"/>
              </w:rPr>
              <w:t>[52,4%, 60,8%]</w:t>
            </w:r>
          </w:p>
        </w:tc>
      </w:tr>
      <w:tr w:rsidR="00591A69" w:rsidRPr="00C83045" w14:paraId="32368403" w14:textId="77777777" w:rsidTr="00B62C3E">
        <w:trPr>
          <w:cantSplit/>
          <w:trHeight w:val="20"/>
        </w:trPr>
        <w:tc>
          <w:tcPr>
            <w:tcW w:w="3720" w:type="dxa"/>
            <w:tcBorders>
              <w:top w:val="nil"/>
              <w:bottom w:val="nil"/>
              <w:right w:val="nil"/>
            </w:tcBorders>
          </w:tcPr>
          <w:p w14:paraId="32368400" w14:textId="77777777" w:rsidR="00591A69" w:rsidRPr="00C83045" w:rsidRDefault="00591A69" w:rsidP="00D4304B">
            <w:pPr>
              <w:keepNext/>
              <w:keepLines/>
              <w:widowControl w:val="0"/>
              <w:ind w:left="0" w:firstLine="0"/>
              <w:rPr>
                <w:snapToGrid w:val="0"/>
                <w:color w:val="000000"/>
                <w:szCs w:val="22"/>
              </w:rPr>
            </w:pPr>
          </w:p>
        </w:tc>
        <w:tc>
          <w:tcPr>
            <w:tcW w:w="2760" w:type="dxa"/>
            <w:tcBorders>
              <w:top w:val="nil"/>
              <w:left w:val="nil"/>
              <w:bottom w:val="nil"/>
              <w:right w:val="nil"/>
            </w:tcBorders>
          </w:tcPr>
          <w:p w14:paraId="32368401" w14:textId="77777777" w:rsidR="00591A69" w:rsidRPr="00C83045" w:rsidRDefault="00591A69" w:rsidP="00D4304B">
            <w:pPr>
              <w:keepNext/>
              <w:keepLines/>
              <w:widowControl w:val="0"/>
              <w:ind w:left="0" w:firstLine="0"/>
              <w:rPr>
                <w:snapToGrid w:val="0"/>
                <w:color w:val="000000"/>
                <w:szCs w:val="22"/>
              </w:rPr>
            </w:pPr>
          </w:p>
        </w:tc>
        <w:tc>
          <w:tcPr>
            <w:tcW w:w="2640" w:type="dxa"/>
            <w:tcBorders>
              <w:top w:val="nil"/>
              <w:left w:val="nil"/>
              <w:bottom w:val="nil"/>
            </w:tcBorders>
          </w:tcPr>
          <w:p w14:paraId="32368402" w14:textId="77777777" w:rsidR="00591A69" w:rsidRPr="00C83045" w:rsidRDefault="00591A69" w:rsidP="00D4304B">
            <w:pPr>
              <w:keepNext/>
              <w:keepLines/>
              <w:widowControl w:val="0"/>
              <w:ind w:left="0" w:firstLine="0"/>
              <w:rPr>
                <w:snapToGrid w:val="0"/>
                <w:color w:val="000000"/>
                <w:szCs w:val="22"/>
              </w:rPr>
            </w:pPr>
          </w:p>
        </w:tc>
      </w:tr>
      <w:tr w:rsidR="00591A69" w:rsidRPr="00C83045" w14:paraId="32368407" w14:textId="77777777" w:rsidTr="00B62C3E">
        <w:trPr>
          <w:cantSplit/>
          <w:trHeight w:val="20"/>
        </w:trPr>
        <w:tc>
          <w:tcPr>
            <w:tcW w:w="3720" w:type="dxa"/>
            <w:tcBorders>
              <w:top w:val="nil"/>
              <w:bottom w:val="nil"/>
              <w:right w:val="nil"/>
            </w:tcBorders>
          </w:tcPr>
          <w:p w14:paraId="32368404" w14:textId="77777777" w:rsidR="00591A69" w:rsidRPr="00C83045" w:rsidRDefault="00591A69" w:rsidP="00D4304B">
            <w:pPr>
              <w:keepNext/>
              <w:keepLines/>
              <w:widowControl w:val="0"/>
              <w:ind w:left="0" w:firstLine="0"/>
              <w:rPr>
                <w:b/>
                <w:snapToGrid w:val="0"/>
                <w:color w:val="000000"/>
                <w:szCs w:val="22"/>
              </w:rPr>
            </w:pPr>
            <w:r w:rsidRPr="00C83045">
              <w:rPr>
                <w:b/>
                <w:snapToGrid w:val="0"/>
                <w:color w:val="000000"/>
                <w:szCs w:val="22"/>
              </w:rPr>
              <w:t>Cytogenetická odpoveď</w:t>
            </w:r>
          </w:p>
        </w:tc>
        <w:tc>
          <w:tcPr>
            <w:tcW w:w="2760" w:type="dxa"/>
            <w:tcBorders>
              <w:top w:val="nil"/>
              <w:left w:val="nil"/>
              <w:bottom w:val="nil"/>
              <w:right w:val="nil"/>
            </w:tcBorders>
          </w:tcPr>
          <w:p w14:paraId="32368405" w14:textId="77777777" w:rsidR="00591A69" w:rsidRPr="00C83045" w:rsidRDefault="00591A69" w:rsidP="00D4304B">
            <w:pPr>
              <w:keepNext/>
              <w:keepLines/>
              <w:widowControl w:val="0"/>
              <w:ind w:left="0" w:firstLine="0"/>
              <w:rPr>
                <w:snapToGrid w:val="0"/>
                <w:color w:val="000000"/>
                <w:szCs w:val="22"/>
              </w:rPr>
            </w:pPr>
          </w:p>
        </w:tc>
        <w:tc>
          <w:tcPr>
            <w:tcW w:w="2640" w:type="dxa"/>
            <w:tcBorders>
              <w:top w:val="nil"/>
              <w:left w:val="nil"/>
              <w:bottom w:val="nil"/>
            </w:tcBorders>
          </w:tcPr>
          <w:p w14:paraId="32368406" w14:textId="77777777" w:rsidR="00591A69" w:rsidRPr="00C83045" w:rsidRDefault="00591A69" w:rsidP="00D4304B">
            <w:pPr>
              <w:keepNext/>
              <w:keepLines/>
              <w:widowControl w:val="0"/>
              <w:ind w:left="0" w:firstLine="0"/>
              <w:rPr>
                <w:i/>
                <w:snapToGrid w:val="0"/>
                <w:color w:val="000000"/>
                <w:szCs w:val="22"/>
              </w:rPr>
            </w:pPr>
          </w:p>
        </w:tc>
      </w:tr>
      <w:tr w:rsidR="00591A69" w:rsidRPr="00C83045" w14:paraId="3236840B" w14:textId="77777777" w:rsidTr="00B62C3E">
        <w:trPr>
          <w:cantSplit/>
          <w:trHeight w:val="20"/>
        </w:trPr>
        <w:tc>
          <w:tcPr>
            <w:tcW w:w="3720" w:type="dxa"/>
            <w:tcBorders>
              <w:top w:val="nil"/>
              <w:bottom w:val="nil"/>
              <w:right w:val="nil"/>
            </w:tcBorders>
          </w:tcPr>
          <w:p w14:paraId="32368408" w14:textId="77777777" w:rsidR="00591A69" w:rsidRPr="00C83045" w:rsidRDefault="00591A69" w:rsidP="00D4304B">
            <w:pPr>
              <w:keepNext/>
              <w:keepLines/>
              <w:widowControl w:val="0"/>
              <w:ind w:left="0" w:firstLine="0"/>
              <w:rPr>
                <w:snapToGrid w:val="0"/>
                <w:color w:val="000000"/>
                <w:szCs w:val="22"/>
              </w:rPr>
            </w:pPr>
            <w:r w:rsidRPr="00C83045">
              <w:rPr>
                <w:snapToGrid w:val="0"/>
                <w:color w:val="000000"/>
                <w:szCs w:val="22"/>
              </w:rPr>
              <w:t>Veľká odpoveď n (%)</w:t>
            </w:r>
          </w:p>
        </w:tc>
        <w:tc>
          <w:tcPr>
            <w:tcW w:w="2760" w:type="dxa"/>
            <w:tcBorders>
              <w:top w:val="nil"/>
              <w:left w:val="nil"/>
              <w:bottom w:val="nil"/>
              <w:right w:val="nil"/>
            </w:tcBorders>
          </w:tcPr>
          <w:p w14:paraId="32368409" w14:textId="77777777" w:rsidR="00591A69" w:rsidRPr="00C83045" w:rsidRDefault="00591A69" w:rsidP="00D4304B">
            <w:pPr>
              <w:keepNext/>
              <w:keepLines/>
              <w:widowControl w:val="0"/>
              <w:ind w:left="0" w:firstLine="0"/>
              <w:jc w:val="center"/>
              <w:rPr>
                <w:snapToGrid w:val="0"/>
                <w:color w:val="000000"/>
                <w:szCs w:val="22"/>
              </w:rPr>
            </w:pPr>
            <w:r w:rsidRPr="00C83045">
              <w:rPr>
                <w:color w:val="000000"/>
                <w:szCs w:val="22"/>
              </w:rPr>
              <w:t>490 (88,6%)*</w:t>
            </w:r>
          </w:p>
        </w:tc>
        <w:tc>
          <w:tcPr>
            <w:tcW w:w="2640" w:type="dxa"/>
            <w:tcBorders>
              <w:top w:val="nil"/>
              <w:left w:val="nil"/>
              <w:bottom w:val="nil"/>
            </w:tcBorders>
          </w:tcPr>
          <w:p w14:paraId="3236840A" w14:textId="77777777" w:rsidR="00591A69" w:rsidRPr="00C83045" w:rsidRDefault="00591A69" w:rsidP="00D4304B">
            <w:pPr>
              <w:keepNext/>
              <w:keepLines/>
              <w:widowControl w:val="0"/>
              <w:ind w:left="0" w:firstLine="0"/>
              <w:jc w:val="center"/>
              <w:rPr>
                <w:snapToGrid w:val="0"/>
                <w:color w:val="000000"/>
                <w:szCs w:val="22"/>
              </w:rPr>
            </w:pPr>
            <w:r w:rsidRPr="00C83045">
              <w:rPr>
                <w:color w:val="000000"/>
                <w:szCs w:val="22"/>
              </w:rPr>
              <w:t>129 (23,3%)*</w:t>
            </w:r>
          </w:p>
        </w:tc>
      </w:tr>
      <w:tr w:rsidR="00591A69" w:rsidRPr="00C83045" w14:paraId="3236840F" w14:textId="77777777" w:rsidTr="00B62C3E">
        <w:trPr>
          <w:cantSplit/>
          <w:trHeight w:val="20"/>
        </w:trPr>
        <w:tc>
          <w:tcPr>
            <w:tcW w:w="3720" w:type="dxa"/>
            <w:tcBorders>
              <w:top w:val="nil"/>
              <w:bottom w:val="nil"/>
              <w:right w:val="nil"/>
            </w:tcBorders>
          </w:tcPr>
          <w:p w14:paraId="3236840C" w14:textId="77777777" w:rsidR="00591A69" w:rsidRPr="00C83045" w:rsidRDefault="00591A69" w:rsidP="00D4304B">
            <w:pPr>
              <w:keepNext/>
              <w:keepLines/>
              <w:widowControl w:val="0"/>
              <w:tabs>
                <w:tab w:val="left" w:pos="301"/>
              </w:tabs>
              <w:ind w:left="0" w:firstLine="0"/>
              <w:rPr>
                <w:snapToGrid w:val="0"/>
                <w:color w:val="000000"/>
                <w:szCs w:val="22"/>
              </w:rPr>
            </w:pPr>
            <w:r w:rsidRPr="00C83045">
              <w:rPr>
                <w:color w:val="000000"/>
                <w:szCs w:val="22"/>
              </w:rPr>
              <w:tab/>
              <w:t>[95% CI]</w:t>
            </w:r>
          </w:p>
        </w:tc>
        <w:tc>
          <w:tcPr>
            <w:tcW w:w="2760" w:type="dxa"/>
            <w:tcBorders>
              <w:top w:val="nil"/>
              <w:left w:val="nil"/>
              <w:bottom w:val="nil"/>
              <w:right w:val="nil"/>
            </w:tcBorders>
          </w:tcPr>
          <w:p w14:paraId="3236840D" w14:textId="77777777" w:rsidR="00591A69" w:rsidRPr="00C83045" w:rsidRDefault="00591A69" w:rsidP="00D4304B">
            <w:pPr>
              <w:keepNext/>
              <w:keepLines/>
              <w:widowControl w:val="0"/>
              <w:ind w:left="0" w:firstLine="0"/>
              <w:jc w:val="center"/>
              <w:rPr>
                <w:snapToGrid w:val="0"/>
                <w:color w:val="000000"/>
                <w:szCs w:val="22"/>
              </w:rPr>
            </w:pPr>
            <w:r w:rsidRPr="00C83045">
              <w:rPr>
                <w:color w:val="000000"/>
                <w:szCs w:val="22"/>
              </w:rPr>
              <w:t>[85,7%, 91,1%]</w:t>
            </w:r>
          </w:p>
        </w:tc>
        <w:tc>
          <w:tcPr>
            <w:tcW w:w="2640" w:type="dxa"/>
            <w:tcBorders>
              <w:top w:val="nil"/>
              <w:left w:val="nil"/>
              <w:bottom w:val="nil"/>
            </w:tcBorders>
          </w:tcPr>
          <w:p w14:paraId="3236840E" w14:textId="77777777" w:rsidR="00591A69" w:rsidRPr="00C83045" w:rsidRDefault="00591A69" w:rsidP="00D4304B">
            <w:pPr>
              <w:keepNext/>
              <w:keepLines/>
              <w:widowControl w:val="0"/>
              <w:ind w:left="0" w:firstLine="0"/>
              <w:jc w:val="center"/>
              <w:rPr>
                <w:snapToGrid w:val="0"/>
                <w:color w:val="000000"/>
                <w:szCs w:val="22"/>
              </w:rPr>
            </w:pPr>
            <w:r w:rsidRPr="00C83045">
              <w:rPr>
                <w:color w:val="000000"/>
                <w:szCs w:val="22"/>
              </w:rPr>
              <w:t>[19,9%, 27,1%]</w:t>
            </w:r>
          </w:p>
        </w:tc>
      </w:tr>
      <w:tr w:rsidR="00591A69" w:rsidRPr="00C83045" w14:paraId="32368413" w14:textId="77777777" w:rsidTr="00B62C3E">
        <w:trPr>
          <w:cantSplit/>
          <w:trHeight w:val="20"/>
        </w:trPr>
        <w:tc>
          <w:tcPr>
            <w:tcW w:w="3720" w:type="dxa"/>
            <w:tcBorders>
              <w:top w:val="nil"/>
              <w:bottom w:val="nil"/>
              <w:right w:val="nil"/>
            </w:tcBorders>
          </w:tcPr>
          <w:p w14:paraId="32368410" w14:textId="77777777" w:rsidR="00591A69" w:rsidRPr="00C83045" w:rsidRDefault="00591A69" w:rsidP="00D4304B">
            <w:pPr>
              <w:keepNext/>
              <w:keepLines/>
              <w:widowControl w:val="0"/>
              <w:tabs>
                <w:tab w:val="left" w:pos="301"/>
                <w:tab w:val="left" w:pos="330"/>
              </w:tabs>
              <w:ind w:left="0" w:firstLine="0"/>
              <w:rPr>
                <w:snapToGrid w:val="0"/>
                <w:color w:val="000000"/>
                <w:szCs w:val="22"/>
              </w:rPr>
            </w:pPr>
            <w:r w:rsidRPr="00C83045">
              <w:rPr>
                <w:color w:val="000000"/>
                <w:szCs w:val="22"/>
              </w:rPr>
              <w:tab/>
            </w:r>
            <w:r w:rsidRPr="00C83045">
              <w:rPr>
                <w:snapToGrid w:val="0"/>
                <w:color w:val="000000"/>
                <w:szCs w:val="22"/>
              </w:rPr>
              <w:t>Kompletná CyR n (%)</w:t>
            </w:r>
          </w:p>
        </w:tc>
        <w:tc>
          <w:tcPr>
            <w:tcW w:w="2760" w:type="dxa"/>
            <w:tcBorders>
              <w:top w:val="nil"/>
              <w:left w:val="nil"/>
              <w:bottom w:val="nil"/>
              <w:right w:val="nil"/>
            </w:tcBorders>
          </w:tcPr>
          <w:p w14:paraId="32368411" w14:textId="77777777" w:rsidR="00591A69" w:rsidRPr="00C83045" w:rsidRDefault="00591A69" w:rsidP="00D4304B">
            <w:pPr>
              <w:keepNext/>
              <w:keepLines/>
              <w:widowControl w:val="0"/>
              <w:ind w:left="-150" w:firstLine="0"/>
              <w:jc w:val="center"/>
              <w:rPr>
                <w:snapToGrid w:val="0"/>
                <w:color w:val="000000"/>
                <w:szCs w:val="22"/>
              </w:rPr>
            </w:pPr>
            <w:r w:rsidRPr="00C83045">
              <w:rPr>
                <w:color w:val="000000"/>
                <w:szCs w:val="22"/>
              </w:rPr>
              <w:t>456 (82,5%)*</w:t>
            </w:r>
          </w:p>
        </w:tc>
        <w:tc>
          <w:tcPr>
            <w:tcW w:w="2640" w:type="dxa"/>
            <w:tcBorders>
              <w:top w:val="nil"/>
              <w:left w:val="nil"/>
              <w:bottom w:val="nil"/>
            </w:tcBorders>
          </w:tcPr>
          <w:p w14:paraId="32368412" w14:textId="77777777" w:rsidR="00591A69" w:rsidRPr="00C83045" w:rsidRDefault="00591A69" w:rsidP="00D4304B">
            <w:pPr>
              <w:keepNext/>
              <w:keepLines/>
              <w:widowControl w:val="0"/>
              <w:ind w:left="0" w:firstLine="0"/>
              <w:jc w:val="center"/>
              <w:rPr>
                <w:snapToGrid w:val="0"/>
                <w:color w:val="000000"/>
                <w:szCs w:val="22"/>
              </w:rPr>
            </w:pPr>
            <w:r w:rsidRPr="00C83045">
              <w:rPr>
                <w:color w:val="000000"/>
                <w:szCs w:val="22"/>
              </w:rPr>
              <w:t>64 (11,6%)*</w:t>
            </w:r>
          </w:p>
        </w:tc>
      </w:tr>
      <w:tr w:rsidR="00591A69" w:rsidRPr="00C83045" w14:paraId="32368417" w14:textId="77777777" w:rsidTr="00B62C3E">
        <w:trPr>
          <w:cantSplit/>
          <w:trHeight w:val="20"/>
        </w:trPr>
        <w:tc>
          <w:tcPr>
            <w:tcW w:w="3720" w:type="dxa"/>
            <w:tcBorders>
              <w:top w:val="nil"/>
              <w:left w:val="single" w:sz="4" w:space="0" w:color="auto"/>
              <w:bottom w:val="nil"/>
              <w:right w:val="nil"/>
            </w:tcBorders>
          </w:tcPr>
          <w:p w14:paraId="32368414" w14:textId="77777777" w:rsidR="00591A69" w:rsidRPr="00C83045" w:rsidRDefault="00591A69" w:rsidP="00D4304B">
            <w:pPr>
              <w:keepNext/>
              <w:keepLines/>
              <w:widowControl w:val="0"/>
              <w:tabs>
                <w:tab w:val="left" w:pos="301"/>
                <w:tab w:val="left" w:pos="330"/>
              </w:tabs>
              <w:ind w:left="0" w:firstLine="0"/>
              <w:rPr>
                <w:snapToGrid w:val="0"/>
                <w:color w:val="000000"/>
                <w:szCs w:val="22"/>
              </w:rPr>
            </w:pPr>
            <w:r w:rsidRPr="00C83045">
              <w:rPr>
                <w:color w:val="000000"/>
                <w:szCs w:val="22"/>
              </w:rPr>
              <w:tab/>
            </w:r>
            <w:r w:rsidRPr="00C83045">
              <w:rPr>
                <w:snapToGrid w:val="0"/>
                <w:color w:val="000000"/>
                <w:szCs w:val="22"/>
              </w:rPr>
              <w:t>Čiastočná CyR n (%)</w:t>
            </w:r>
          </w:p>
        </w:tc>
        <w:tc>
          <w:tcPr>
            <w:tcW w:w="2760" w:type="dxa"/>
            <w:tcBorders>
              <w:top w:val="nil"/>
              <w:left w:val="nil"/>
              <w:bottom w:val="nil"/>
              <w:right w:val="nil"/>
            </w:tcBorders>
          </w:tcPr>
          <w:p w14:paraId="32368415" w14:textId="77777777" w:rsidR="00591A69" w:rsidRPr="00C83045" w:rsidRDefault="00591A69" w:rsidP="00D4304B">
            <w:pPr>
              <w:keepNext/>
              <w:keepLines/>
              <w:widowControl w:val="0"/>
              <w:ind w:left="0" w:firstLine="0"/>
              <w:jc w:val="center"/>
              <w:rPr>
                <w:snapToGrid w:val="0"/>
                <w:color w:val="000000"/>
                <w:szCs w:val="22"/>
              </w:rPr>
            </w:pPr>
            <w:r w:rsidRPr="00C83045">
              <w:rPr>
                <w:color w:val="000000"/>
                <w:szCs w:val="22"/>
              </w:rPr>
              <w:t>34 (6,1%)</w:t>
            </w:r>
          </w:p>
        </w:tc>
        <w:tc>
          <w:tcPr>
            <w:tcW w:w="2640" w:type="dxa"/>
            <w:tcBorders>
              <w:top w:val="nil"/>
              <w:left w:val="nil"/>
              <w:bottom w:val="nil"/>
              <w:right w:val="single" w:sz="4" w:space="0" w:color="auto"/>
            </w:tcBorders>
          </w:tcPr>
          <w:p w14:paraId="32368416" w14:textId="77777777" w:rsidR="00591A69" w:rsidRPr="00C83045" w:rsidRDefault="00591A69" w:rsidP="00D4304B">
            <w:pPr>
              <w:keepNext/>
              <w:keepLines/>
              <w:widowControl w:val="0"/>
              <w:ind w:left="0" w:firstLine="0"/>
              <w:jc w:val="center"/>
              <w:rPr>
                <w:snapToGrid w:val="0"/>
                <w:color w:val="000000"/>
                <w:szCs w:val="22"/>
              </w:rPr>
            </w:pPr>
            <w:r w:rsidRPr="00C83045">
              <w:rPr>
                <w:color w:val="000000"/>
                <w:szCs w:val="22"/>
              </w:rPr>
              <w:t>65 (11,8%)</w:t>
            </w:r>
          </w:p>
        </w:tc>
      </w:tr>
      <w:tr w:rsidR="00591A69" w:rsidRPr="00C83045" w14:paraId="3236841B" w14:textId="77777777" w:rsidTr="00B62C3E">
        <w:trPr>
          <w:cantSplit/>
          <w:trHeight w:val="20"/>
        </w:trPr>
        <w:tc>
          <w:tcPr>
            <w:tcW w:w="3720" w:type="dxa"/>
            <w:tcBorders>
              <w:top w:val="nil"/>
              <w:left w:val="single" w:sz="4" w:space="0" w:color="auto"/>
              <w:bottom w:val="nil"/>
              <w:right w:val="nil"/>
            </w:tcBorders>
          </w:tcPr>
          <w:p w14:paraId="32368418" w14:textId="77777777" w:rsidR="00591A69" w:rsidRPr="00C83045" w:rsidRDefault="00591A69" w:rsidP="00D4304B">
            <w:pPr>
              <w:keepNext/>
              <w:keepLines/>
              <w:widowControl w:val="0"/>
              <w:tabs>
                <w:tab w:val="left" w:pos="301"/>
                <w:tab w:val="left" w:pos="330"/>
              </w:tabs>
              <w:ind w:left="0" w:firstLine="0"/>
              <w:rPr>
                <w:color w:val="000000"/>
                <w:szCs w:val="22"/>
              </w:rPr>
            </w:pPr>
          </w:p>
        </w:tc>
        <w:tc>
          <w:tcPr>
            <w:tcW w:w="2760" w:type="dxa"/>
            <w:tcBorders>
              <w:top w:val="nil"/>
              <w:left w:val="nil"/>
              <w:bottom w:val="nil"/>
              <w:right w:val="nil"/>
            </w:tcBorders>
          </w:tcPr>
          <w:p w14:paraId="32368419" w14:textId="77777777" w:rsidR="00591A69" w:rsidRPr="00C83045" w:rsidRDefault="00591A69" w:rsidP="00D4304B">
            <w:pPr>
              <w:keepNext/>
              <w:keepLines/>
              <w:widowControl w:val="0"/>
              <w:ind w:left="0" w:firstLine="0"/>
              <w:jc w:val="center"/>
              <w:rPr>
                <w:color w:val="000000"/>
                <w:szCs w:val="22"/>
              </w:rPr>
            </w:pPr>
          </w:p>
        </w:tc>
        <w:tc>
          <w:tcPr>
            <w:tcW w:w="2640" w:type="dxa"/>
            <w:tcBorders>
              <w:top w:val="nil"/>
              <w:left w:val="nil"/>
              <w:bottom w:val="nil"/>
              <w:right w:val="single" w:sz="4" w:space="0" w:color="auto"/>
            </w:tcBorders>
          </w:tcPr>
          <w:p w14:paraId="3236841A" w14:textId="77777777" w:rsidR="00591A69" w:rsidRPr="00C83045" w:rsidRDefault="00591A69" w:rsidP="00D4304B">
            <w:pPr>
              <w:keepNext/>
              <w:keepLines/>
              <w:widowControl w:val="0"/>
              <w:ind w:left="0" w:firstLine="0"/>
              <w:jc w:val="center"/>
              <w:rPr>
                <w:color w:val="000000"/>
                <w:szCs w:val="22"/>
              </w:rPr>
            </w:pPr>
          </w:p>
        </w:tc>
      </w:tr>
      <w:tr w:rsidR="00591A69" w:rsidRPr="00C83045" w14:paraId="3236841F" w14:textId="77777777" w:rsidTr="00B62C3E">
        <w:trPr>
          <w:cantSplit/>
          <w:trHeight w:val="20"/>
        </w:trPr>
        <w:tc>
          <w:tcPr>
            <w:tcW w:w="3720" w:type="dxa"/>
            <w:tcBorders>
              <w:top w:val="nil"/>
              <w:left w:val="single" w:sz="4" w:space="0" w:color="auto"/>
              <w:bottom w:val="nil"/>
              <w:right w:val="nil"/>
            </w:tcBorders>
          </w:tcPr>
          <w:p w14:paraId="3236841C" w14:textId="77777777" w:rsidR="00591A69" w:rsidRPr="00C83045" w:rsidRDefault="00591A69" w:rsidP="00D4304B">
            <w:pPr>
              <w:keepNext/>
              <w:keepLines/>
              <w:widowControl w:val="0"/>
              <w:tabs>
                <w:tab w:val="left" w:pos="301"/>
                <w:tab w:val="left" w:pos="330"/>
              </w:tabs>
              <w:ind w:left="0" w:firstLine="0"/>
              <w:rPr>
                <w:b/>
                <w:color w:val="000000"/>
                <w:szCs w:val="22"/>
              </w:rPr>
            </w:pPr>
            <w:r w:rsidRPr="00C83045">
              <w:rPr>
                <w:b/>
                <w:color w:val="000000"/>
                <w:szCs w:val="22"/>
              </w:rPr>
              <w:t>Molekulárna odpoveď</w:t>
            </w:r>
            <w:r w:rsidRPr="00C83045">
              <w:rPr>
                <w:color w:val="000000"/>
                <w:szCs w:val="22"/>
              </w:rPr>
              <w:t>**</w:t>
            </w:r>
          </w:p>
        </w:tc>
        <w:tc>
          <w:tcPr>
            <w:tcW w:w="2760" w:type="dxa"/>
            <w:tcBorders>
              <w:top w:val="nil"/>
              <w:left w:val="nil"/>
              <w:bottom w:val="nil"/>
              <w:right w:val="nil"/>
            </w:tcBorders>
          </w:tcPr>
          <w:p w14:paraId="3236841D" w14:textId="77777777" w:rsidR="00591A69" w:rsidRPr="00C83045" w:rsidRDefault="00591A69" w:rsidP="00D4304B">
            <w:pPr>
              <w:keepNext/>
              <w:keepLines/>
              <w:widowControl w:val="0"/>
              <w:ind w:left="0" w:firstLine="0"/>
              <w:jc w:val="center"/>
              <w:rPr>
                <w:color w:val="000000"/>
                <w:szCs w:val="22"/>
              </w:rPr>
            </w:pPr>
          </w:p>
        </w:tc>
        <w:tc>
          <w:tcPr>
            <w:tcW w:w="2640" w:type="dxa"/>
            <w:tcBorders>
              <w:top w:val="nil"/>
              <w:left w:val="nil"/>
              <w:bottom w:val="nil"/>
              <w:right w:val="single" w:sz="4" w:space="0" w:color="auto"/>
            </w:tcBorders>
          </w:tcPr>
          <w:p w14:paraId="3236841E" w14:textId="77777777" w:rsidR="00591A69" w:rsidRPr="00C83045" w:rsidRDefault="00591A69" w:rsidP="00D4304B">
            <w:pPr>
              <w:keepNext/>
              <w:keepLines/>
              <w:widowControl w:val="0"/>
              <w:ind w:left="0" w:firstLine="0"/>
              <w:jc w:val="center"/>
              <w:rPr>
                <w:color w:val="000000"/>
                <w:szCs w:val="22"/>
              </w:rPr>
            </w:pPr>
          </w:p>
        </w:tc>
      </w:tr>
      <w:tr w:rsidR="00591A69" w:rsidRPr="00C83045" w14:paraId="32368423" w14:textId="77777777" w:rsidTr="00B62C3E">
        <w:trPr>
          <w:cantSplit/>
          <w:trHeight w:val="20"/>
        </w:trPr>
        <w:tc>
          <w:tcPr>
            <w:tcW w:w="3720" w:type="dxa"/>
            <w:tcBorders>
              <w:top w:val="nil"/>
              <w:left w:val="single" w:sz="4" w:space="0" w:color="auto"/>
              <w:bottom w:val="nil"/>
              <w:right w:val="nil"/>
            </w:tcBorders>
          </w:tcPr>
          <w:p w14:paraId="32368420" w14:textId="77777777" w:rsidR="00591A69" w:rsidRPr="00C83045" w:rsidRDefault="00591A69" w:rsidP="00D4304B">
            <w:pPr>
              <w:keepNext/>
              <w:keepLines/>
              <w:widowControl w:val="0"/>
              <w:tabs>
                <w:tab w:val="left" w:pos="301"/>
                <w:tab w:val="left" w:pos="330"/>
              </w:tabs>
              <w:ind w:left="0" w:firstLine="0"/>
              <w:rPr>
                <w:color w:val="000000"/>
                <w:szCs w:val="22"/>
              </w:rPr>
            </w:pPr>
            <w:r w:rsidRPr="00C83045">
              <w:rPr>
                <w:color w:val="000000"/>
                <w:szCs w:val="22"/>
              </w:rPr>
              <w:t>Veľká odpoveď po 12 mesiacoch (%)</w:t>
            </w:r>
          </w:p>
        </w:tc>
        <w:tc>
          <w:tcPr>
            <w:tcW w:w="2760" w:type="dxa"/>
            <w:tcBorders>
              <w:top w:val="nil"/>
              <w:left w:val="nil"/>
              <w:bottom w:val="nil"/>
              <w:right w:val="nil"/>
            </w:tcBorders>
          </w:tcPr>
          <w:p w14:paraId="32368421"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153/305=50,2%</w:t>
            </w:r>
          </w:p>
        </w:tc>
        <w:tc>
          <w:tcPr>
            <w:tcW w:w="2640" w:type="dxa"/>
            <w:tcBorders>
              <w:top w:val="nil"/>
              <w:left w:val="nil"/>
              <w:bottom w:val="nil"/>
              <w:right w:val="single" w:sz="4" w:space="0" w:color="auto"/>
            </w:tcBorders>
          </w:tcPr>
          <w:p w14:paraId="32368422"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8/83=9,6%</w:t>
            </w:r>
          </w:p>
        </w:tc>
      </w:tr>
      <w:tr w:rsidR="00591A69" w:rsidRPr="00C83045" w14:paraId="32368427" w14:textId="77777777" w:rsidTr="00B62C3E">
        <w:trPr>
          <w:cantSplit/>
          <w:trHeight w:val="20"/>
        </w:trPr>
        <w:tc>
          <w:tcPr>
            <w:tcW w:w="3720" w:type="dxa"/>
            <w:tcBorders>
              <w:top w:val="nil"/>
              <w:left w:val="single" w:sz="4" w:space="0" w:color="auto"/>
              <w:bottom w:val="nil"/>
              <w:right w:val="nil"/>
            </w:tcBorders>
          </w:tcPr>
          <w:p w14:paraId="32368424" w14:textId="77777777" w:rsidR="00591A69" w:rsidRPr="00C83045" w:rsidRDefault="00591A69" w:rsidP="00D4304B">
            <w:pPr>
              <w:keepNext/>
              <w:keepLines/>
              <w:widowControl w:val="0"/>
              <w:tabs>
                <w:tab w:val="left" w:pos="301"/>
                <w:tab w:val="left" w:pos="330"/>
              </w:tabs>
              <w:ind w:left="0" w:firstLine="0"/>
              <w:rPr>
                <w:color w:val="000000"/>
                <w:szCs w:val="22"/>
              </w:rPr>
            </w:pPr>
            <w:r w:rsidRPr="00C83045">
              <w:rPr>
                <w:color w:val="000000"/>
                <w:szCs w:val="22"/>
              </w:rPr>
              <w:t>Veľká odpoveď po 24 mesiacoch (%)</w:t>
            </w:r>
          </w:p>
        </w:tc>
        <w:tc>
          <w:tcPr>
            <w:tcW w:w="2760" w:type="dxa"/>
            <w:tcBorders>
              <w:top w:val="nil"/>
              <w:left w:val="nil"/>
              <w:bottom w:val="nil"/>
              <w:right w:val="nil"/>
            </w:tcBorders>
          </w:tcPr>
          <w:p w14:paraId="32368425"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73/104=70,2%</w:t>
            </w:r>
          </w:p>
        </w:tc>
        <w:tc>
          <w:tcPr>
            <w:tcW w:w="2640" w:type="dxa"/>
            <w:tcBorders>
              <w:top w:val="nil"/>
              <w:left w:val="nil"/>
              <w:bottom w:val="nil"/>
              <w:right w:val="single" w:sz="4" w:space="0" w:color="auto"/>
            </w:tcBorders>
          </w:tcPr>
          <w:p w14:paraId="32368426"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3/12=25%</w:t>
            </w:r>
          </w:p>
        </w:tc>
      </w:tr>
      <w:tr w:rsidR="00591A69" w:rsidRPr="00C83045" w14:paraId="3236842B" w14:textId="77777777" w:rsidTr="00B62C3E">
        <w:trPr>
          <w:cantSplit/>
          <w:trHeight w:val="20"/>
        </w:trPr>
        <w:tc>
          <w:tcPr>
            <w:tcW w:w="3720" w:type="dxa"/>
            <w:tcBorders>
              <w:top w:val="nil"/>
              <w:left w:val="single" w:sz="4" w:space="0" w:color="auto"/>
              <w:bottom w:val="single" w:sz="4" w:space="0" w:color="auto"/>
              <w:right w:val="nil"/>
            </w:tcBorders>
          </w:tcPr>
          <w:p w14:paraId="32368428" w14:textId="77777777" w:rsidR="00591A69" w:rsidRPr="00C83045" w:rsidRDefault="00591A69" w:rsidP="00D4304B">
            <w:pPr>
              <w:keepNext/>
              <w:keepLines/>
              <w:widowControl w:val="0"/>
              <w:tabs>
                <w:tab w:val="left" w:pos="301"/>
                <w:tab w:val="left" w:pos="330"/>
              </w:tabs>
              <w:ind w:left="0" w:firstLine="0"/>
              <w:rPr>
                <w:color w:val="000000"/>
                <w:szCs w:val="22"/>
              </w:rPr>
            </w:pPr>
            <w:r w:rsidRPr="00C83045">
              <w:rPr>
                <w:color w:val="000000"/>
                <w:szCs w:val="22"/>
              </w:rPr>
              <w:t>Veľká odpoveď po 84 mesiacoch (%)</w:t>
            </w:r>
          </w:p>
        </w:tc>
        <w:tc>
          <w:tcPr>
            <w:tcW w:w="2760" w:type="dxa"/>
            <w:tcBorders>
              <w:top w:val="nil"/>
              <w:left w:val="nil"/>
              <w:bottom w:val="single" w:sz="4" w:space="0" w:color="auto"/>
              <w:right w:val="nil"/>
            </w:tcBorders>
          </w:tcPr>
          <w:p w14:paraId="32368429"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102/116=87,9%</w:t>
            </w:r>
          </w:p>
        </w:tc>
        <w:tc>
          <w:tcPr>
            <w:tcW w:w="2640" w:type="dxa"/>
            <w:tcBorders>
              <w:top w:val="nil"/>
              <w:left w:val="nil"/>
              <w:bottom w:val="single" w:sz="4" w:space="0" w:color="auto"/>
              <w:right w:val="single" w:sz="4" w:space="0" w:color="auto"/>
            </w:tcBorders>
          </w:tcPr>
          <w:p w14:paraId="3236842A"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3/4=75%</w:t>
            </w:r>
          </w:p>
        </w:tc>
      </w:tr>
      <w:tr w:rsidR="00591A69" w:rsidRPr="00C83045" w14:paraId="32368432" w14:textId="77777777" w:rsidTr="00B62C3E">
        <w:trPr>
          <w:cantSplit/>
          <w:trHeight w:val="315"/>
        </w:trPr>
        <w:tc>
          <w:tcPr>
            <w:tcW w:w="9120" w:type="dxa"/>
            <w:gridSpan w:val="3"/>
            <w:tcBorders>
              <w:top w:val="nil"/>
              <w:bottom w:val="single" w:sz="4" w:space="0" w:color="auto"/>
            </w:tcBorders>
          </w:tcPr>
          <w:p w14:paraId="3236842C" w14:textId="77777777" w:rsidR="00591A69" w:rsidRPr="00C83045" w:rsidRDefault="00591A69" w:rsidP="00D4304B">
            <w:pPr>
              <w:keepNext/>
              <w:keepLines/>
              <w:widowControl w:val="0"/>
              <w:rPr>
                <w:color w:val="000000"/>
                <w:szCs w:val="22"/>
              </w:rPr>
            </w:pPr>
            <w:r w:rsidRPr="00C83045">
              <w:rPr>
                <w:i/>
                <w:color w:val="000000"/>
                <w:szCs w:val="22"/>
              </w:rPr>
              <w:t>*</w:t>
            </w:r>
            <w:r w:rsidRPr="00C83045">
              <w:rPr>
                <w:color w:val="000000"/>
                <w:szCs w:val="22"/>
              </w:rPr>
              <w:t xml:space="preserve"> p&lt;0,001, Fischerov test</w:t>
            </w:r>
          </w:p>
          <w:p w14:paraId="3236842D" w14:textId="77777777" w:rsidR="00591A69" w:rsidRPr="00C83045" w:rsidRDefault="00591A69" w:rsidP="00D4304B">
            <w:pPr>
              <w:keepNext/>
              <w:keepLines/>
              <w:widowControl w:val="0"/>
              <w:rPr>
                <w:color w:val="000000"/>
                <w:szCs w:val="22"/>
              </w:rPr>
            </w:pPr>
            <w:r w:rsidRPr="00C83045">
              <w:rPr>
                <w:color w:val="000000"/>
                <w:szCs w:val="22"/>
              </w:rPr>
              <w:t>** percentuálne podiely molekulárnej odpovede sú založené na dostupných vzorkách</w:t>
            </w:r>
          </w:p>
          <w:p w14:paraId="3236842E" w14:textId="77777777" w:rsidR="00591A69" w:rsidRPr="00C83045" w:rsidRDefault="00591A69" w:rsidP="00D4304B">
            <w:pPr>
              <w:keepNext/>
              <w:keepLines/>
              <w:widowControl w:val="0"/>
              <w:rPr>
                <w:b/>
                <w:color w:val="000000"/>
                <w:szCs w:val="22"/>
              </w:rPr>
            </w:pPr>
            <w:r w:rsidRPr="00C83045">
              <w:rPr>
                <w:b/>
                <w:color w:val="000000"/>
                <w:szCs w:val="22"/>
              </w:rPr>
              <w:t xml:space="preserve">Kritériá hematologickej odpovede (všetky odpovede sa majú potvrdiť po </w:t>
            </w:r>
            <w:r w:rsidRPr="00C83045">
              <w:rPr>
                <w:b/>
                <w:color w:val="000000"/>
                <w:szCs w:val="22"/>
              </w:rPr>
              <w:sym w:font="Symbol" w:char="F0B3"/>
            </w:r>
            <w:r w:rsidRPr="00C83045">
              <w:rPr>
                <w:b/>
                <w:color w:val="000000"/>
                <w:szCs w:val="22"/>
              </w:rPr>
              <w:t> 4 týždňoch):</w:t>
            </w:r>
          </w:p>
          <w:p w14:paraId="3236842F" w14:textId="77777777" w:rsidR="00591A69" w:rsidRPr="00C83045" w:rsidRDefault="00591A69" w:rsidP="00D4304B">
            <w:pPr>
              <w:pStyle w:val="Footer"/>
              <w:keepNext/>
              <w:keepLines/>
              <w:widowControl w:val="0"/>
              <w:ind w:left="0" w:firstLine="0"/>
              <w:rPr>
                <w:color w:val="000000"/>
                <w:szCs w:val="22"/>
              </w:rPr>
            </w:pPr>
            <w:r w:rsidRPr="00C83045">
              <w:rPr>
                <w:color w:val="000000"/>
                <w:szCs w:val="22"/>
              </w:rPr>
              <w:t>WBC</w:t>
            </w:r>
            <w:r w:rsidRPr="00C83045">
              <w:rPr>
                <w:b/>
                <w:color w:val="000000"/>
                <w:szCs w:val="22"/>
              </w:rPr>
              <w:t> </w:t>
            </w:r>
            <w:r w:rsidRPr="00C83045">
              <w:rPr>
                <w:color w:val="000000"/>
                <w:szCs w:val="22"/>
              </w:rPr>
              <w:t>&lt; 10</w:t>
            </w:r>
            <w:r w:rsidRPr="00C83045">
              <w:rPr>
                <w:b/>
                <w:color w:val="000000"/>
                <w:szCs w:val="22"/>
              </w:rPr>
              <w:t> </w:t>
            </w:r>
            <w:r w:rsidRPr="00C83045">
              <w:rPr>
                <w:color w:val="000000"/>
                <w:szCs w:val="22"/>
              </w:rPr>
              <w:t>x 10</w:t>
            </w:r>
            <w:r w:rsidRPr="00C83045">
              <w:rPr>
                <w:color w:val="000000"/>
                <w:szCs w:val="22"/>
                <w:vertAlign w:val="superscript"/>
              </w:rPr>
              <w:t>9</w:t>
            </w:r>
            <w:r w:rsidRPr="00C83045">
              <w:rPr>
                <w:color w:val="000000"/>
                <w:szCs w:val="22"/>
              </w:rPr>
              <w:t>/l, trombocyty</w:t>
            </w:r>
            <w:r w:rsidRPr="00C83045">
              <w:rPr>
                <w:b/>
                <w:color w:val="000000"/>
                <w:szCs w:val="22"/>
              </w:rPr>
              <w:t> </w:t>
            </w:r>
            <w:r w:rsidRPr="00C83045">
              <w:rPr>
                <w:color w:val="000000"/>
                <w:szCs w:val="22"/>
              </w:rPr>
              <w:t>&lt;</w:t>
            </w:r>
            <w:r w:rsidRPr="00C83045">
              <w:rPr>
                <w:b/>
                <w:color w:val="000000"/>
                <w:szCs w:val="22"/>
              </w:rPr>
              <w:t> </w:t>
            </w:r>
            <w:r w:rsidRPr="00C83045">
              <w:rPr>
                <w:color w:val="000000"/>
                <w:szCs w:val="22"/>
              </w:rPr>
              <w:t>450</w:t>
            </w:r>
            <w:r w:rsidRPr="00C83045">
              <w:rPr>
                <w:b/>
                <w:color w:val="000000"/>
                <w:szCs w:val="22"/>
              </w:rPr>
              <w:t> </w:t>
            </w:r>
            <w:r w:rsidRPr="00C83045">
              <w:rPr>
                <w:color w:val="000000"/>
                <w:szCs w:val="22"/>
              </w:rPr>
              <w:t>x 10</w:t>
            </w:r>
            <w:r w:rsidRPr="00C83045">
              <w:rPr>
                <w:color w:val="000000"/>
                <w:szCs w:val="22"/>
                <w:vertAlign w:val="superscript"/>
              </w:rPr>
              <w:t>9</w:t>
            </w:r>
            <w:r w:rsidRPr="00C83045">
              <w:rPr>
                <w:color w:val="000000"/>
                <w:szCs w:val="22"/>
              </w:rPr>
              <w:t>/l, myelocyty+metamyelocyty</w:t>
            </w:r>
            <w:r w:rsidRPr="00C83045">
              <w:rPr>
                <w:b/>
                <w:color w:val="000000"/>
                <w:szCs w:val="22"/>
              </w:rPr>
              <w:t> </w:t>
            </w:r>
            <w:r w:rsidRPr="00C83045">
              <w:rPr>
                <w:color w:val="000000"/>
                <w:szCs w:val="22"/>
              </w:rPr>
              <w:t>&lt;</w:t>
            </w:r>
            <w:r w:rsidRPr="00C83045">
              <w:rPr>
                <w:b/>
                <w:color w:val="000000"/>
                <w:szCs w:val="22"/>
              </w:rPr>
              <w:t> </w:t>
            </w:r>
            <w:r w:rsidRPr="00C83045">
              <w:rPr>
                <w:color w:val="000000"/>
                <w:szCs w:val="22"/>
              </w:rPr>
              <w:t>5% v krvi, žiadne blasty a promyelocyty v krvi, bazofily</w:t>
            </w:r>
            <w:r w:rsidRPr="00C83045">
              <w:rPr>
                <w:b/>
                <w:color w:val="000000"/>
                <w:szCs w:val="22"/>
              </w:rPr>
              <w:t> </w:t>
            </w:r>
            <w:r w:rsidRPr="00C83045">
              <w:rPr>
                <w:color w:val="000000"/>
                <w:szCs w:val="22"/>
              </w:rPr>
              <w:t>&lt;</w:t>
            </w:r>
            <w:r w:rsidRPr="00C83045">
              <w:rPr>
                <w:b/>
                <w:color w:val="000000"/>
                <w:szCs w:val="22"/>
              </w:rPr>
              <w:t> </w:t>
            </w:r>
            <w:r w:rsidRPr="00C83045">
              <w:rPr>
                <w:color w:val="000000"/>
                <w:szCs w:val="22"/>
              </w:rPr>
              <w:t>20%, žiadne extramedulárne postihnutie</w:t>
            </w:r>
          </w:p>
          <w:p w14:paraId="32368430" w14:textId="77777777" w:rsidR="00591A69" w:rsidRPr="00C83045" w:rsidRDefault="00591A69" w:rsidP="00D4304B">
            <w:pPr>
              <w:pStyle w:val="Footer"/>
              <w:keepNext/>
              <w:keepLines/>
              <w:widowControl w:val="0"/>
              <w:ind w:left="0" w:firstLine="0"/>
              <w:rPr>
                <w:color w:val="000000"/>
                <w:szCs w:val="22"/>
              </w:rPr>
            </w:pPr>
            <w:r w:rsidRPr="00C83045">
              <w:rPr>
                <w:b/>
                <w:color w:val="000000"/>
                <w:szCs w:val="22"/>
              </w:rPr>
              <w:t xml:space="preserve">Kritériá cytogenetickej odpovede: </w:t>
            </w:r>
            <w:r w:rsidRPr="00C83045">
              <w:rPr>
                <w:color w:val="000000"/>
                <w:szCs w:val="22"/>
              </w:rPr>
              <w:t>kompletná (0% Ph+ metafáz), čiastočná (1–35%), malá (36–65%) alebo minimálna (66–95%). Veľká odpoveď (0–35%) zahŕňa kompletné aj čiastočné odpovede.</w:t>
            </w:r>
          </w:p>
          <w:p w14:paraId="32368431" w14:textId="77777777" w:rsidR="00591A69" w:rsidRPr="00C83045" w:rsidRDefault="00591A69" w:rsidP="00D4304B">
            <w:pPr>
              <w:pStyle w:val="Footer"/>
              <w:keepNext/>
              <w:keepLines/>
              <w:widowControl w:val="0"/>
              <w:ind w:left="0" w:firstLine="0"/>
              <w:rPr>
                <w:snapToGrid w:val="0"/>
                <w:color w:val="000000"/>
                <w:szCs w:val="22"/>
              </w:rPr>
            </w:pPr>
            <w:r w:rsidRPr="00C83045">
              <w:rPr>
                <w:b/>
                <w:color w:val="000000"/>
                <w:szCs w:val="22"/>
              </w:rPr>
              <w:t xml:space="preserve">Kritériá veľkej molekulárnej odpovede: </w:t>
            </w:r>
            <w:r w:rsidRPr="00C83045">
              <w:rPr>
                <w:color w:val="000000"/>
                <w:szCs w:val="22"/>
              </w:rPr>
              <w:t xml:space="preserve">v periférnej krvi zníženie množstva transkriptov Bcr-Abl ≥ 3 logaritmy (namerané pomocou </w:t>
            </w:r>
            <w:smartTag w:uri="urn:schemas-microsoft-com:office:smarttags" w:element="stockticker">
              <w:r w:rsidRPr="00C83045">
                <w:rPr>
                  <w:color w:val="000000"/>
                  <w:szCs w:val="22"/>
                </w:rPr>
                <w:t>PCR</w:t>
              </w:r>
            </w:smartTag>
            <w:r w:rsidRPr="00C83045">
              <w:rPr>
                <w:color w:val="000000"/>
                <w:szCs w:val="22"/>
              </w:rPr>
              <w:t xml:space="preserve"> stanovenia reverznej transkriptázy v reálnom čase) oproti štandardizovanej východiskovej hodnote.</w:t>
            </w:r>
          </w:p>
        </w:tc>
      </w:tr>
    </w:tbl>
    <w:p w14:paraId="32368433" w14:textId="77777777" w:rsidR="00591A69" w:rsidRPr="00C83045" w:rsidRDefault="00591A69" w:rsidP="00D4304B">
      <w:pPr>
        <w:widowControl w:val="0"/>
        <w:ind w:left="0" w:firstLine="0"/>
        <w:rPr>
          <w:color w:val="000000"/>
          <w:szCs w:val="22"/>
        </w:rPr>
      </w:pPr>
    </w:p>
    <w:p w14:paraId="32368434" w14:textId="77777777" w:rsidR="00591A69" w:rsidRPr="00C83045" w:rsidRDefault="00591A69" w:rsidP="00D4304B">
      <w:pPr>
        <w:widowControl w:val="0"/>
        <w:ind w:left="0" w:firstLine="0"/>
        <w:rPr>
          <w:color w:val="000000"/>
          <w:szCs w:val="22"/>
        </w:rPr>
      </w:pPr>
      <w:r w:rsidRPr="00C83045">
        <w:rPr>
          <w:color w:val="000000"/>
          <w:szCs w:val="22"/>
        </w:rPr>
        <w:t xml:space="preserve">Miera kompletnej hematologickej odpovede, veľkej cytogenetickej odpovede a kompletnej cytogenetickej odpovede pri liečbe prvej línie sa odhadla pomocou metódy Kaplana-Meiera, pri ktorej pacienti bez odpovede na liečbu boli vylúčení v čase posledného vyšetrenia. Odhadované kumulatívne počty odpovedí pri liečbe prvej línie Glivecom stanovené touto metódou sa zlepšili od 12 mesiacov liečby do 84 mesiacov liečby nasledovným spôsobom: </w:t>
      </w:r>
      <w:smartTag w:uri="urn:schemas-microsoft-com:office:smarttags" w:element="stockticker">
        <w:r w:rsidRPr="00C83045">
          <w:rPr>
            <w:color w:val="000000"/>
            <w:szCs w:val="22"/>
          </w:rPr>
          <w:t>CHR</w:t>
        </w:r>
      </w:smartTag>
      <w:r w:rsidRPr="00C83045">
        <w:rPr>
          <w:color w:val="000000"/>
          <w:szCs w:val="22"/>
        </w:rPr>
        <w:t xml:space="preserve"> z 96,4% na 98,4% a CCyR zo 69,5% na 87,2%.</w:t>
      </w:r>
    </w:p>
    <w:p w14:paraId="32368435" w14:textId="77777777" w:rsidR="00591A69" w:rsidRPr="00C83045" w:rsidRDefault="00591A69" w:rsidP="00D4304B">
      <w:pPr>
        <w:widowControl w:val="0"/>
        <w:ind w:left="0" w:firstLine="0"/>
        <w:rPr>
          <w:color w:val="000000"/>
          <w:szCs w:val="22"/>
        </w:rPr>
      </w:pPr>
    </w:p>
    <w:p w14:paraId="32368436" w14:textId="77777777" w:rsidR="00591A69" w:rsidRPr="00C83045" w:rsidRDefault="00591A69" w:rsidP="00D4304B">
      <w:pPr>
        <w:pStyle w:val="EndnoteText"/>
        <w:widowControl w:val="0"/>
        <w:rPr>
          <w:color w:val="000000"/>
          <w:szCs w:val="22"/>
          <w:lang w:val="sk-SK"/>
        </w:rPr>
      </w:pPr>
      <w:r w:rsidRPr="00C83045">
        <w:rPr>
          <w:color w:val="000000"/>
          <w:szCs w:val="22"/>
          <w:lang w:val="sk-SK"/>
        </w:rPr>
        <w:t xml:space="preserve">Pri 7 rokoch následného sledovania bolo v skupine Glivecu 93 (16,8%) príhod progresie: 37 (6,7%) zahŕňalo progresiu do akcelerovanej fázy/blastickej krízy, 31 (5,6%) stratu MCyR, 15 (2,7%) stratu </w:t>
      </w:r>
      <w:smartTag w:uri="urn:schemas-microsoft-com:office:smarttags" w:element="stockticker">
        <w:r w:rsidRPr="00C83045">
          <w:rPr>
            <w:color w:val="000000"/>
            <w:szCs w:val="22"/>
            <w:lang w:val="sk-SK"/>
          </w:rPr>
          <w:t>CHR</w:t>
        </w:r>
      </w:smartTag>
      <w:r w:rsidRPr="00C83045">
        <w:rPr>
          <w:color w:val="000000"/>
          <w:szCs w:val="22"/>
          <w:lang w:val="sk-SK"/>
        </w:rPr>
        <w:t xml:space="preserve"> alebo zvýšenie počtu WBC a 10 (1,8%) úmrtí nesúvisiacich s CML. Naproti tomu v skupine IFN+Ara-C bolo 165 (29,8%) príhod, z ktorých 130 sa vyskytlo počas liečby prvej línie IFN+Ara-C.</w:t>
      </w:r>
    </w:p>
    <w:p w14:paraId="32368437" w14:textId="77777777" w:rsidR="00591A69" w:rsidRPr="00C83045" w:rsidRDefault="00591A69" w:rsidP="00D4304B">
      <w:pPr>
        <w:widowControl w:val="0"/>
        <w:ind w:left="0" w:firstLine="0"/>
        <w:rPr>
          <w:color w:val="000000"/>
          <w:szCs w:val="22"/>
        </w:rPr>
      </w:pPr>
    </w:p>
    <w:p w14:paraId="32368438" w14:textId="77777777" w:rsidR="00591A69" w:rsidRPr="00C83045" w:rsidRDefault="00591A69" w:rsidP="00D4304B">
      <w:pPr>
        <w:pStyle w:val="EndnoteText"/>
        <w:widowControl w:val="0"/>
        <w:rPr>
          <w:color w:val="000000"/>
          <w:szCs w:val="22"/>
          <w:lang w:val="sk-SK"/>
        </w:rPr>
      </w:pPr>
      <w:r w:rsidRPr="00C83045">
        <w:rPr>
          <w:color w:val="000000"/>
          <w:szCs w:val="22"/>
          <w:lang w:val="sk-SK"/>
        </w:rPr>
        <w:t xml:space="preserve">Odhadovaný podiel pacientov bez progresie do akcelerovanej fázy alebo blastickej krízy po 84 mesiacoch bol významne vyšší v skupine Glivecu v porovnaní so skupinou IFN (92,5% oproti </w:t>
      </w:r>
      <w:r w:rsidRPr="00C83045">
        <w:rPr>
          <w:color w:val="000000"/>
          <w:szCs w:val="22"/>
          <w:lang w:val="sk-SK"/>
        </w:rPr>
        <w:lastRenderedPageBreak/>
        <w:t>85,1%, p</w:t>
      </w:r>
      <w:r w:rsidRPr="00C83045">
        <w:rPr>
          <w:color w:val="000000"/>
          <w:szCs w:val="22"/>
          <w:lang w:val="sk-SK"/>
        </w:rPr>
        <w:sym w:font="Symbol" w:char="F03C"/>
      </w:r>
      <w:r w:rsidRPr="00C83045">
        <w:rPr>
          <w:color w:val="000000"/>
          <w:szCs w:val="22"/>
          <w:lang w:val="sk-SK"/>
        </w:rPr>
        <w:t>0,001). Ročný výskyt progresií do akcelerovanej fázy alebo blastickej krízy sa znižoval s trvaním liečby a dosahoval menej ako 1% ročne vo štvrtom a piatom roku. Odhadovaný podiel prežívania bez progresie po 84 mesiacoch bol 81,2% v skupine Glivecu a 60,6% v kontrolnej skupine (p&lt;0,001). Ročné počty progresií akéhokoľvek typu pri Glivecu časom tiež klesali.</w:t>
      </w:r>
    </w:p>
    <w:p w14:paraId="32368439" w14:textId="77777777" w:rsidR="00591A69" w:rsidRPr="00C83045" w:rsidRDefault="00591A69" w:rsidP="00D4304B">
      <w:pPr>
        <w:widowControl w:val="0"/>
        <w:ind w:left="0" w:firstLine="0"/>
        <w:rPr>
          <w:color w:val="000000"/>
          <w:szCs w:val="22"/>
        </w:rPr>
      </w:pPr>
    </w:p>
    <w:p w14:paraId="3236843A" w14:textId="77777777" w:rsidR="00591A69" w:rsidRPr="00C83045" w:rsidRDefault="00591A69" w:rsidP="00D4304B">
      <w:pPr>
        <w:pStyle w:val="EndnoteText"/>
        <w:widowControl w:val="0"/>
        <w:rPr>
          <w:color w:val="000000"/>
          <w:szCs w:val="22"/>
          <w:lang w:val="sk-SK"/>
        </w:rPr>
      </w:pPr>
      <w:r w:rsidRPr="00C83045">
        <w:rPr>
          <w:color w:val="000000"/>
          <w:szCs w:val="22"/>
          <w:lang w:val="sk-SK"/>
        </w:rPr>
        <w:t xml:space="preserve">Celkovo zomrelo 71 (12,8%) pacientov v skupine Glivecu a 85 (15,4%) v skupine IFN+Ara-C. Po 84 mesiacoch je odhadované celkové prežívanie 86,4% (83, 90) oproti 83,3% (80, 87) v randomizovaných skupinách Glivecu a IFN+Ara-C (p=0,073, log-rank test). Tento parameter času-do-príhody je veľmi ovplyvnený vysokým počtom zmeny liečby z IFN+Ara-C na Glivec. Účinok liečby Glivecom na prežívanie v chronickej fáze novodiagnostikovanej CML sa ďalej skúmal v retrospektívnej analýze vyššie uvedených údajov o Glivecu spolu s primárnymi údajmi z ďalšieho klinického skúšania fázy </w:t>
      </w:r>
      <w:smartTag w:uri="urn:schemas-microsoft-com:office:smarttags" w:element="stockticker">
        <w:r w:rsidRPr="00C83045">
          <w:rPr>
            <w:color w:val="000000"/>
            <w:szCs w:val="22"/>
            <w:lang w:val="sk-SK"/>
          </w:rPr>
          <w:t>III</w:t>
        </w:r>
      </w:smartTag>
      <w:r w:rsidRPr="00C83045">
        <w:rPr>
          <w:color w:val="000000"/>
          <w:szCs w:val="22"/>
          <w:lang w:val="sk-SK"/>
        </w:rPr>
        <w:t>, v ktorom sa použili IFN+Ara-C (n=325) v rovnakom režime. V tejto retrospektívnej analýze sa preukázalo, že Glivec je lepší ako IFN+Ara-C vzhľadom na celkové prežívanie (p&lt;0,001); počas 42 mesiacov zomrelo 47 (8,5%) pacientov liečených Glivecom a 63 (19,4%) pacientov liečených IFN+Ara-C.</w:t>
      </w:r>
    </w:p>
    <w:p w14:paraId="3236843B" w14:textId="77777777" w:rsidR="00591A69" w:rsidRPr="00C83045" w:rsidRDefault="00591A69" w:rsidP="00D4304B">
      <w:pPr>
        <w:widowControl w:val="0"/>
        <w:ind w:left="0" w:firstLine="0"/>
        <w:rPr>
          <w:color w:val="000000"/>
          <w:szCs w:val="22"/>
        </w:rPr>
      </w:pPr>
    </w:p>
    <w:p w14:paraId="3236843C" w14:textId="77777777" w:rsidR="00591A69" w:rsidRPr="00C83045" w:rsidRDefault="00591A69" w:rsidP="00D4304B">
      <w:pPr>
        <w:pStyle w:val="EndnoteText"/>
        <w:widowControl w:val="0"/>
        <w:rPr>
          <w:color w:val="000000"/>
          <w:szCs w:val="22"/>
          <w:lang w:val="sk-SK"/>
        </w:rPr>
      </w:pPr>
      <w:r w:rsidRPr="00C83045">
        <w:rPr>
          <w:color w:val="000000"/>
          <w:szCs w:val="22"/>
          <w:lang w:val="sk-SK"/>
        </w:rPr>
        <w:t>Stupeň cytogenetickej odpovede a molekulárnej odpovede mal jednoznačný vplyv na dlhodobé výsledky u pacientov liečených Glivecom. Zatiaľ čo odhadovaných 96% (93%) pacientov s CCyR (PCyR) po 12 mesiacoch nemalo progresiu do akcelerovanej fázy/blastickej krízy po 84 mesiacoch, len 81% pacientov bez MCyR po 12 mesiacoch nemalo progresiu do pokročilej CML po 84 mesiacoch (p&lt;0,001 celkovo, p=0,25 medzi CCyR a PCyR). U pacientov so znížením množstva transkriptov Bcr-Abl o najmenej 3 logaritmy po 12 mesiacoch bola pravdepodobnosť 99%, že zostanú bez progresie do akcelerovanej fázy/blastickej krízy po 84 mesiacoch. Nálezy boli podobné v analýze po 18 mesiacoch ako hraničnej hodnote.</w:t>
      </w:r>
    </w:p>
    <w:p w14:paraId="3236843D" w14:textId="77777777" w:rsidR="00591A69" w:rsidRPr="00C83045" w:rsidRDefault="00591A69" w:rsidP="00D4304B">
      <w:pPr>
        <w:widowControl w:val="0"/>
        <w:ind w:left="0" w:firstLine="0"/>
        <w:rPr>
          <w:color w:val="000000"/>
          <w:szCs w:val="22"/>
        </w:rPr>
      </w:pPr>
    </w:p>
    <w:p w14:paraId="3236843E" w14:textId="77777777" w:rsidR="00591A69" w:rsidRPr="00C83045" w:rsidRDefault="00591A69" w:rsidP="00D4304B">
      <w:pPr>
        <w:widowControl w:val="0"/>
        <w:ind w:left="0" w:firstLine="0"/>
        <w:rPr>
          <w:color w:val="000000"/>
          <w:szCs w:val="22"/>
        </w:rPr>
      </w:pPr>
      <w:r w:rsidRPr="00C83045">
        <w:rPr>
          <w:color w:val="000000"/>
          <w:szCs w:val="22"/>
        </w:rPr>
        <w:t>V tomto klinickom skúšaní boli povolené zvýšenia dávky zo 400 mg denne na 600 mg denne, potom zo 600 mg denne na 800 mg denne. Po 42 mesiacoch následného sledovania došlo u 11 pacientov k potvrdenej strate (v priebehu 4 týždňov) cytogenetickej odpovede. Z týchto 11 pacientov sa zvýšila dávka až na 800 mg denne u 4 pacientov, z ktorých 2 znovu dosiahli cytogenetickú odpoveď (1 čiastočnú a 1 kompletnú, pričom tento pacient dosiahol aj molekulárnu odpoveď), zatiaľ čo zo 7 pacientov, u ktorých sa nezvýšila dávka, iba jeden znovu dosiahol kompletnú cytogenetickú odpoveď. Percentuálna hodnota niektorých nežiaducich reakcií bola vyššia u 40 pacientov, ktorým sa dávka zvýšila na 800 mg denne v porovnaní s populáciou pacientov pred zvýšením dávky (n=551). K častejším nežiaducim reakciám patrili gastrointestinálne krvácania, konjunktivitída a zvýšenie aminotransferáz alebo bilirubínu. Iné nežiaduce reakcie boli hlásené s nižším alebo rovnakým výskytom.</w:t>
      </w:r>
    </w:p>
    <w:p w14:paraId="3236843F" w14:textId="77777777" w:rsidR="00591A69" w:rsidRPr="00C83045" w:rsidRDefault="00591A69" w:rsidP="00D4304B">
      <w:pPr>
        <w:widowControl w:val="0"/>
        <w:ind w:left="0" w:firstLine="0"/>
        <w:rPr>
          <w:color w:val="000000"/>
          <w:szCs w:val="22"/>
        </w:rPr>
      </w:pPr>
    </w:p>
    <w:p w14:paraId="32368440" w14:textId="77777777" w:rsidR="00591A69" w:rsidRPr="00C83045" w:rsidRDefault="00591A69" w:rsidP="00D4304B">
      <w:pPr>
        <w:widowControl w:val="0"/>
        <w:ind w:left="0" w:firstLine="0"/>
        <w:rPr>
          <w:color w:val="000000"/>
          <w:szCs w:val="22"/>
        </w:rPr>
      </w:pPr>
      <w:r w:rsidRPr="00C83045">
        <w:rPr>
          <w:i/>
          <w:color w:val="000000"/>
          <w:szCs w:val="22"/>
        </w:rPr>
        <w:t xml:space="preserve">Chronická fáza, zlyhanie interferónu: </w:t>
      </w:r>
      <w:r w:rsidRPr="00C83045">
        <w:rPr>
          <w:color w:val="000000"/>
          <w:szCs w:val="22"/>
        </w:rPr>
        <w:t xml:space="preserve">532 dospelých pacientov sa liečilo začiatočnou dávkou 400 mg. Pacienti sa rozdelili do troch hlavných kategórií: hematologické zlyhanie (29%), cytogenetické zlyhanie (35%), alebo neznášanlivosť interferónu (36%). Pacienti predtým dostávali liečbu IFN s mediánom trvania 14 mesiacov v dávkach </w:t>
      </w:r>
      <w:r w:rsidRPr="00C83045">
        <w:rPr>
          <w:color w:val="000000"/>
          <w:szCs w:val="22"/>
        </w:rPr>
        <w:sym w:font="Symbol" w:char="F0B3"/>
      </w:r>
      <w:r w:rsidRPr="00C83045">
        <w:rPr>
          <w:color w:val="000000"/>
          <w:szCs w:val="22"/>
        </w:rPr>
        <w:t> 25 x 10</w:t>
      </w:r>
      <w:r w:rsidRPr="00C83045">
        <w:rPr>
          <w:color w:val="000000"/>
          <w:szCs w:val="22"/>
          <w:vertAlign w:val="superscript"/>
        </w:rPr>
        <w:t>6</w:t>
      </w:r>
      <w:r w:rsidRPr="00C83045">
        <w:rPr>
          <w:color w:val="000000"/>
          <w:szCs w:val="22"/>
        </w:rPr>
        <w:t> IU/týždeň a všetci boli v neskorej chronickej fáze s mediánom času od stanovenia diagnózy 32 mesiacov. Primárnou premennou účinnosti v tomto klinickom skúšaní bol stupeň veľkej cytogenetickej odpovede (kompletnej a čiastočnej odpovede, 0 až 35% Ph+ metafáz v kostnej dreni).</w:t>
      </w:r>
    </w:p>
    <w:p w14:paraId="32368441" w14:textId="77777777" w:rsidR="00591A69" w:rsidRPr="00C83045" w:rsidRDefault="00591A69" w:rsidP="00D4304B">
      <w:pPr>
        <w:widowControl w:val="0"/>
        <w:ind w:left="0" w:firstLine="0"/>
        <w:rPr>
          <w:color w:val="000000"/>
          <w:szCs w:val="22"/>
        </w:rPr>
      </w:pPr>
    </w:p>
    <w:p w14:paraId="32368442" w14:textId="77777777" w:rsidR="00591A69" w:rsidRPr="00C83045" w:rsidRDefault="00591A69" w:rsidP="00D4304B">
      <w:pPr>
        <w:widowControl w:val="0"/>
        <w:ind w:left="0" w:firstLine="0"/>
        <w:rPr>
          <w:color w:val="000000"/>
          <w:szCs w:val="22"/>
        </w:rPr>
      </w:pPr>
      <w:r w:rsidRPr="00C83045">
        <w:rPr>
          <w:color w:val="000000"/>
          <w:szCs w:val="22"/>
        </w:rPr>
        <w:t>V tomto klinickom skúšaní sa u 65% pacientov dosiahla veľká cytogenetická odpoveď, ktorá bola kompletná u 53% (potvrdená u 43%) pacientov (Tabuľka </w:t>
      </w:r>
      <w:r w:rsidR="00F07CBB" w:rsidRPr="00C83045">
        <w:rPr>
          <w:color w:val="000000"/>
          <w:szCs w:val="22"/>
        </w:rPr>
        <w:t>3</w:t>
      </w:r>
      <w:r w:rsidRPr="00C83045">
        <w:rPr>
          <w:color w:val="000000"/>
          <w:szCs w:val="22"/>
        </w:rPr>
        <w:t>). Kompletná hematologická odpoveď sa dosiahla u 95% pacientov.</w:t>
      </w:r>
    </w:p>
    <w:p w14:paraId="32368443" w14:textId="77777777" w:rsidR="00591A69" w:rsidRPr="00C83045" w:rsidRDefault="00591A69" w:rsidP="00D4304B">
      <w:pPr>
        <w:widowControl w:val="0"/>
        <w:ind w:left="0" w:firstLine="0"/>
        <w:rPr>
          <w:color w:val="000000"/>
          <w:szCs w:val="22"/>
        </w:rPr>
      </w:pPr>
    </w:p>
    <w:p w14:paraId="32368444" w14:textId="77777777" w:rsidR="00591A69" w:rsidRPr="00C83045" w:rsidRDefault="00591A69" w:rsidP="00D4304B">
      <w:pPr>
        <w:widowControl w:val="0"/>
        <w:ind w:left="0" w:firstLine="0"/>
        <w:rPr>
          <w:color w:val="000000"/>
          <w:szCs w:val="22"/>
        </w:rPr>
      </w:pPr>
      <w:r w:rsidRPr="00C83045">
        <w:rPr>
          <w:i/>
          <w:color w:val="000000"/>
          <w:szCs w:val="22"/>
        </w:rPr>
        <w:t xml:space="preserve">Akcelerovaná fáza: </w:t>
      </w:r>
      <w:r w:rsidRPr="00C83045">
        <w:rPr>
          <w:color w:val="000000"/>
          <w:szCs w:val="22"/>
        </w:rPr>
        <w:t>Zaradených bolo 235 dospelých pacientov v akcelerovanej fáze ochorenia. Prvých 77 pacientov začalo liečbu dávkou 400 mg, protokol sa následne upravil, aby sa umožnilo vyššie dávkovanie, a zvyšných 158 pacientov začalo dávkou 600 mg.</w:t>
      </w:r>
    </w:p>
    <w:p w14:paraId="32368445" w14:textId="77777777" w:rsidR="00591A69" w:rsidRPr="00C83045" w:rsidRDefault="00591A69" w:rsidP="00D4304B">
      <w:pPr>
        <w:widowControl w:val="0"/>
        <w:ind w:left="0" w:firstLine="0"/>
        <w:rPr>
          <w:color w:val="000000"/>
          <w:szCs w:val="22"/>
        </w:rPr>
      </w:pPr>
    </w:p>
    <w:p w14:paraId="32368446" w14:textId="77777777" w:rsidR="00591A69" w:rsidRPr="00C83045" w:rsidRDefault="00591A69" w:rsidP="00D4304B">
      <w:pPr>
        <w:widowControl w:val="0"/>
        <w:ind w:left="0" w:firstLine="0"/>
        <w:rPr>
          <w:color w:val="000000"/>
          <w:szCs w:val="22"/>
        </w:rPr>
      </w:pPr>
      <w:r w:rsidRPr="00C83045">
        <w:rPr>
          <w:color w:val="000000"/>
          <w:szCs w:val="22"/>
        </w:rPr>
        <w:t>Primárnou premennou účinnosti bol stupeň hematologickej odpovede, ktorá sa zaznamenala buď ako kompletná hematologická odpoveď, alebo žiadny dôkaz leukémie (t.j. vymiznutie blastov z kostnej drene a krvi, ale bez úplného zotavenia periférnej krvi ako pri kompletnej odpovedi), alebo návrat do chronickej fázy CML. Potvrdená hematologická odpoveď sa dosiahla u 71,5% pacientov (Tabuľka </w:t>
      </w:r>
      <w:r w:rsidR="00F07CBB" w:rsidRPr="00C83045">
        <w:rPr>
          <w:color w:val="000000"/>
          <w:szCs w:val="22"/>
        </w:rPr>
        <w:t>3</w:t>
      </w:r>
      <w:r w:rsidRPr="00C83045">
        <w:rPr>
          <w:color w:val="000000"/>
          <w:szCs w:val="22"/>
        </w:rPr>
        <w:t xml:space="preserve">). </w:t>
      </w:r>
      <w:r w:rsidRPr="00C83045">
        <w:rPr>
          <w:color w:val="000000"/>
          <w:szCs w:val="22"/>
        </w:rPr>
        <w:lastRenderedPageBreak/>
        <w:t>Dôležité je, že 27,7% pacientov dosiahlo aj veľkú cytogenetickú odpoveď, ktorá bola kompletná u 20,4% (potvrdená u 16%) pacientov. U pacientov liečených dávkou 600 mg je súčasný odhad mediánu prežívania bez progresie ochorenia 22,9 a celkového prežívania 42,5 mesiacov.</w:t>
      </w:r>
    </w:p>
    <w:p w14:paraId="32368447" w14:textId="77777777" w:rsidR="00591A69" w:rsidRPr="00C83045" w:rsidRDefault="00591A69" w:rsidP="00D4304B">
      <w:pPr>
        <w:widowControl w:val="0"/>
        <w:ind w:left="0" w:firstLine="0"/>
        <w:rPr>
          <w:color w:val="000000"/>
          <w:szCs w:val="22"/>
        </w:rPr>
      </w:pPr>
    </w:p>
    <w:p w14:paraId="32368448" w14:textId="77777777" w:rsidR="00591A69" w:rsidRPr="00C83045" w:rsidRDefault="00591A69" w:rsidP="00D4304B">
      <w:pPr>
        <w:widowControl w:val="0"/>
        <w:ind w:left="0" w:firstLine="0"/>
        <w:rPr>
          <w:color w:val="000000"/>
          <w:szCs w:val="22"/>
        </w:rPr>
      </w:pPr>
      <w:r w:rsidRPr="00C83045">
        <w:rPr>
          <w:i/>
          <w:color w:val="000000"/>
          <w:szCs w:val="22"/>
        </w:rPr>
        <w:t xml:space="preserve">Myeloidná blastická kríza: </w:t>
      </w:r>
      <w:r w:rsidRPr="00C83045">
        <w:rPr>
          <w:color w:val="000000"/>
          <w:szCs w:val="22"/>
        </w:rPr>
        <w:t>Zaradených bolo 260 pacientov v myeloidnej blastickej kríze. 95 (37%) z nich dostalo predtým chemoterapiu ako liečbu buď akcelerovanej fázy, alebo blastickej krízy („predliečení pacienti“), zatiaľ čo 165 (63%) liečbu nedostalo („neliečení pacienti“). Prvých 37 pacientov začalo liečbu dávkou 400 mg, protokol sa následne upravil, aby sa umožnilo vyššie dávkovanie, a zvyšných 223 pacientov začalo dávkou 600 mg.</w:t>
      </w:r>
    </w:p>
    <w:p w14:paraId="32368449" w14:textId="77777777" w:rsidR="00591A69" w:rsidRPr="00C83045" w:rsidRDefault="00591A69" w:rsidP="00D4304B">
      <w:pPr>
        <w:widowControl w:val="0"/>
        <w:ind w:left="0" w:firstLine="0"/>
        <w:rPr>
          <w:color w:val="000000"/>
          <w:szCs w:val="22"/>
        </w:rPr>
      </w:pPr>
    </w:p>
    <w:p w14:paraId="3236844A" w14:textId="77777777" w:rsidR="00591A69" w:rsidRPr="00C83045" w:rsidRDefault="00591A69" w:rsidP="00D4304B">
      <w:pPr>
        <w:widowControl w:val="0"/>
        <w:ind w:left="0" w:firstLine="0"/>
        <w:rPr>
          <w:color w:val="000000"/>
          <w:szCs w:val="22"/>
        </w:rPr>
      </w:pPr>
      <w:r w:rsidRPr="00C83045">
        <w:rPr>
          <w:color w:val="000000"/>
          <w:szCs w:val="22"/>
        </w:rPr>
        <w:t>Primárnou premennou účinnosti bol stupeň hematologickej odpovede, ktorá sa zaznamenala buď ako kompletná hematologická odpoveď, alebo žiadny dôkaz leukémie, alebo návrat do chronickej fázy CML, pri čom sa použili rovnaké kritériá ako v klinickom skúšaní pri akcelerovanej fáze. V tomto klinickom skúšaní sa u 31% pacientov dosiahla hematologická odpoveď (36% u predtým neliečených pacientov a 22% u predtým liečených pacientov). Podiel odpovede bol tiež vyšší u pacientov liečených dávkou 600 mg (33%) v porovnaní s pacientmi liečenými dávkou 400 mg (16%, p=0,0220). Súčasný odhadovaný medián prežívania predtým neliečených pacientov bol 7,7 mesiacov, predtým liečených pacientov 4,7 mesiacov.</w:t>
      </w:r>
    </w:p>
    <w:p w14:paraId="3236844B" w14:textId="77777777" w:rsidR="00591A69" w:rsidRPr="00C83045" w:rsidRDefault="00591A69" w:rsidP="00D4304B">
      <w:pPr>
        <w:widowControl w:val="0"/>
        <w:ind w:left="0" w:firstLine="0"/>
        <w:rPr>
          <w:color w:val="000000"/>
          <w:szCs w:val="22"/>
        </w:rPr>
      </w:pPr>
    </w:p>
    <w:p w14:paraId="3236844C" w14:textId="77777777" w:rsidR="00591A69" w:rsidRPr="00C83045" w:rsidRDefault="00591A69" w:rsidP="00D4304B">
      <w:pPr>
        <w:widowControl w:val="0"/>
        <w:ind w:left="0" w:firstLine="0"/>
        <w:rPr>
          <w:color w:val="000000"/>
          <w:szCs w:val="22"/>
        </w:rPr>
      </w:pPr>
      <w:r w:rsidRPr="00C83045">
        <w:rPr>
          <w:i/>
          <w:color w:val="000000"/>
          <w:szCs w:val="22"/>
        </w:rPr>
        <w:t xml:space="preserve">Lymfoidná blastická kríza: </w:t>
      </w:r>
      <w:r w:rsidRPr="00C83045">
        <w:rPr>
          <w:color w:val="000000"/>
          <w:szCs w:val="22"/>
        </w:rPr>
        <w:t>Do klinických skúšaní fázy I bol zaradený obmedzený počet pacientov (n=10). Podiel hematologickej odpovede bol 70% a jej trvanie 2–3</w:t>
      </w:r>
      <w:r w:rsidRPr="00C83045">
        <w:rPr>
          <w:b/>
          <w:i/>
          <w:color w:val="000000"/>
          <w:szCs w:val="22"/>
        </w:rPr>
        <w:t> </w:t>
      </w:r>
      <w:r w:rsidRPr="00C83045">
        <w:rPr>
          <w:color w:val="000000"/>
          <w:szCs w:val="22"/>
        </w:rPr>
        <w:t>mesiace.</w:t>
      </w:r>
    </w:p>
    <w:p w14:paraId="3236844D" w14:textId="77777777" w:rsidR="00591A69" w:rsidRPr="00C83045" w:rsidRDefault="00591A69" w:rsidP="00D4304B">
      <w:pPr>
        <w:widowControl w:val="0"/>
        <w:ind w:left="0" w:firstLine="0"/>
        <w:rPr>
          <w:color w:val="000000"/>
          <w:szCs w:val="22"/>
        </w:rPr>
      </w:pPr>
    </w:p>
    <w:p w14:paraId="3236844E" w14:textId="77777777" w:rsidR="00591A69" w:rsidRPr="00C83045" w:rsidRDefault="00591A69" w:rsidP="00D4304B">
      <w:pPr>
        <w:keepNext/>
        <w:keepLines/>
        <w:widowControl w:val="0"/>
        <w:tabs>
          <w:tab w:val="left" w:pos="1440"/>
        </w:tabs>
        <w:ind w:left="0" w:firstLine="0"/>
        <w:rPr>
          <w:b/>
          <w:color w:val="000000"/>
          <w:szCs w:val="22"/>
        </w:rPr>
      </w:pPr>
      <w:r w:rsidRPr="00C83045">
        <w:rPr>
          <w:b/>
          <w:color w:val="000000"/>
          <w:szCs w:val="22"/>
        </w:rPr>
        <w:lastRenderedPageBreak/>
        <w:t>Tabuľka </w:t>
      </w:r>
      <w:r w:rsidR="00F07CBB" w:rsidRPr="00C83045">
        <w:rPr>
          <w:b/>
          <w:color w:val="000000"/>
          <w:szCs w:val="22"/>
        </w:rPr>
        <w:t>3</w:t>
      </w:r>
      <w:r w:rsidRPr="00C83045">
        <w:rPr>
          <w:b/>
          <w:color w:val="000000"/>
          <w:szCs w:val="22"/>
        </w:rPr>
        <w:tab/>
        <w:t>Odpoveď u dospelých s CML v klinických skúšaniach</w:t>
      </w:r>
    </w:p>
    <w:p w14:paraId="3236844F" w14:textId="77777777" w:rsidR="00591A69" w:rsidRPr="00C83045" w:rsidRDefault="00591A69" w:rsidP="00D4304B">
      <w:pPr>
        <w:keepNext/>
        <w:keepLines/>
        <w:widowControl w:val="0"/>
        <w:ind w:left="0" w:firstLine="0"/>
        <w:rPr>
          <w:color w:val="000000"/>
          <w:szCs w:val="22"/>
        </w:rPr>
      </w:pPr>
    </w:p>
    <w:tbl>
      <w:tblPr>
        <w:tblW w:w="0" w:type="auto"/>
        <w:tblLayout w:type="fixed"/>
        <w:tblCellMar>
          <w:left w:w="30" w:type="dxa"/>
          <w:right w:w="30" w:type="dxa"/>
        </w:tblCellMar>
        <w:tblLook w:val="0000" w:firstRow="0" w:lastRow="0" w:firstColumn="0" w:lastColumn="0" w:noHBand="0" w:noVBand="0"/>
      </w:tblPr>
      <w:tblGrid>
        <w:gridCol w:w="3150"/>
        <w:gridCol w:w="1920"/>
        <w:gridCol w:w="1920"/>
        <w:gridCol w:w="1920"/>
      </w:tblGrid>
      <w:tr w:rsidR="00591A69" w:rsidRPr="00C83045" w14:paraId="3236845D" w14:textId="77777777" w:rsidTr="00B62C3E">
        <w:trPr>
          <w:cantSplit/>
          <w:trHeight w:val="1046"/>
        </w:trPr>
        <w:tc>
          <w:tcPr>
            <w:tcW w:w="3150" w:type="dxa"/>
            <w:tcBorders>
              <w:top w:val="single" w:sz="6" w:space="0" w:color="auto"/>
              <w:left w:val="single" w:sz="6" w:space="0" w:color="auto"/>
              <w:bottom w:val="single" w:sz="4" w:space="0" w:color="auto"/>
              <w:right w:val="single" w:sz="6" w:space="0" w:color="auto"/>
            </w:tcBorders>
          </w:tcPr>
          <w:p w14:paraId="32368450" w14:textId="77777777" w:rsidR="00591A69" w:rsidRPr="00C83045" w:rsidRDefault="00591A69" w:rsidP="00D4304B">
            <w:pPr>
              <w:keepNext/>
              <w:keepLines/>
              <w:widowControl w:val="0"/>
              <w:ind w:left="0" w:firstLine="0"/>
              <w:rPr>
                <w:color w:val="000000"/>
                <w:szCs w:val="22"/>
              </w:rPr>
            </w:pPr>
          </w:p>
        </w:tc>
        <w:tc>
          <w:tcPr>
            <w:tcW w:w="1920" w:type="dxa"/>
            <w:tcBorders>
              <w:top w:val="single" w:sz="6" w:space="0" w:color="auto"/>
              <w:left w:val="single" w:sz="6" w:space="0" w:color="auto"/>
              <w:bottom w:val="single" w:sz="4" w:space="0" w:color="auto"/>
              <w:right w:val="single" w:sz="6" w:space="0" w:color="auto"/>
            </w:tcBorders>
          </w:tcPr>
          <w:p w14:paraId="32368451"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Klinické skúšanie 0110</w:t>
            </w:r>
          </w:p>
          <w:p w14:paraId="32368452"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Údaje po 37 mesiacoch</w:t>
            </w:r>
          </w:p>
          <w:p w14:paraId="32368453"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Chronická fáza, zlyhanie IFN</w:t>
            </w:r>
          </w:p>
          <w:p w14:paraId="32368454"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(n=532)</w:t>
            </w:r>
          </w:p>
        </w:tc>
        <w:tc>
          <w:tcPr>
            <w:tcW w:w="1920" w:type="dxa"/>
            <w:tcBorders>
              <w:top w:val="single" w:sz="6" w:space="0" w:color="auto"/>
              <w:left w:val="single" w:sz="6" w:space="0" w:color="auto"/>
              <w:bottom w:val="single" w:sz="4" w:space="0" w:color="auto"/>
              <w:right w:val="single" w:sz="6" w:space="0" w:color="auto"/>
            </w:tcBorders>
          </w:tcPr>
          <w:p w14:paraId="32368455"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Klinické skúšanie 0109</w:t>
            </w:r>
          </w:p>
          <w:p w14:paraId="32368456"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Údaje po 40,5 mesiacoch</w:t>
            </w:r>
          </w:p>
          <w:p w14:paraId="32368457"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Akcelerovaná fáza</w:t>
            </w:r>
          </w:p>
          <w:p w14:paraId="32368458"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(n=235)</w:t>
            </w:r>
          </w:p>
        </w:tc>
        <w:tc>
          <w:tcPr>
            <w:tcW w:w="1920" w:type="dxa"/>
            <w:tcBorders>
              <w:top w:val="single" w:sz="6" w:space="0" w:color="auto"/>
              <w:left w:val="single" w:sz="6" w:space="0" w:color="auto"/>
              <w:bottom w:val="single" w:sz="4" w:space="0" w:color="auto"/>
              <w:right w:val="single" w:sz="6" w:space="0" w:color="auto"/>
            </w:tcBorders>
          </w:tcPr>
          <w:p w14:paraId="32368459"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Klinické skúšanie 0102</w:t>
            </w:r>
          </w:p>
          <w:p w14:paraId="3236845A"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Údaje po 38 mesiacoch</w:t>
            </w:r>
          </w:p>
          <w:p w14:paraId="3236845B"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Myeloidná blastická kríza</w:t>
            </w:r>
          </w:p>
          <w:p w14:paraId="3236845C"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(n=260)</w:t>
            </w:r>
          </w:p>
        </w:tc>
      </w:tr>
      <w:tr w:rsidR="00591A69" w:rsidRPr="00C83045" w14:paraId="32368460" w14:textId="77777777" w:rsidTr="00B62C3E">
        <w:trPr>
          <w:cantSplit/>
          <w:trHeight w:val="250"/>
        </w:trPr>
        <w:tc>
          <w:tcPr>
            <w:tcW w:w="3150" w:type="dxa"/>
            <w:tcBorders>
              <w:top w:val="single" w:sz="4" w:space="0" w:color="auto"/>
              <w:left w:val="single" w:sz="4" w:space="0" w:color="auto"/>
              <w:bottom w:val="single" w:sz="4" w:space="0" w:color="auto"/>
              <w:right w:val="single" w:sz="6" w:space="0" w:color="auto"/>
            </w:tcBorders>
          </w:tcPr>
          <w:p w14:paraId="3236845E" w14:textId="77777777" w:rsidR="00591A69" w:rsidRPr="00C83045" w:rsidRDefault="00591A69" w:rsidP="00D4304B">
            <w:pPr>
              <w:keepNext/>
              <w:keepLines/>
              <w:widowControl w:val="0"/>
              <w:ind w:left="0" w:firstLine="0"/>
              <w:rPr>
                <w:color w:val="000000"/>
                <w:szCs w:val="22"/>
              </w:rPr>
            </w:pPr>
          </w:p>
        </w:tc>
        <w:tc>
          <w:tcPr>
            <w:tcW w:w="5760" w:type="dxa"/>
            <w:gridSpan w:val="3"/>
            <w:tcBorders>
              <w:top w:val="single" w:sz="4" w:space="0" w:color="auto"/>
              <w:left w:val="single" w:sz="6" w:space="0" w:color="auto"/>
              <w:bottom w:val="single" w:sz="4" w:space="0" w:color="auto"/>
              <w:right w:val="single" w:sz="4" w:space="0" w:color="auto"/>
            </w:tcBorders>
          </w:tcPr>
          <w:p w14:paraId="3236845F"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 pacientov (CI</w:t>
            </w:r>
            <w:r w:rsidRPr="00C83045">
              <w:rPr>
                <w:color w:val="000000"/>
                <w:szCs w:val="22"/>
                <w:vertAlign w:val="subscript"/>
              </w:rPr>
              <w:t>95%</w:t>
            </w:r>
            <w:r w:rsidRPr="00C83045">
              <w:rPr>
                <w:color w:val="000000"/>
                <w:szCs w:val="22"/>
              </w:rPr>
              <w:t>)</w:t>
            </w:r>
          </w:p>
        </w:tc>
      </w:tr>
      <w:tr w:rsidR="00591A69" w:rsidRPr="00C83045" w14:paraId="32368465" w14:textId="77777777" w:rsidTr="00B62C3E">
        <w:trPr>
          <w:cantSplit/>
          <w:trHeight w:val="278"/>
        </w:trPr>
        <w:tc>
          <w:tcPr>
            <w:tcW w:w="3150" w:type="dxa"/>
            <w:tcBorders>
              <w:top w:val="single" w:sz="4" w:space="0" w:color="auto"/>
              <w:left w:val="single" w:sz="4" w:space="0" w:color="auto"/>
              <w:right w:val="single" w:sz="4" w:space="0" w:color="auto"/>
            </w:tcBorders>
          </w:tcPr>
          <w:p w14:paraId="32368461" w14:textId="77777777" w:rsidR="00591A69" w:rsidRPr="00C83045" w:rsidRDefault="00591A69" w:rsidP="00D4304B">
            <w:pPr>
              <w:keepNext/>
              <w:keepLines/>
              <w:widowControl w:val="0"/>
              <w:ind w:left="0" w:firstLine="0"/>
              <w:rPr>
                <w:color w:val="000000"/>
                <w:szCs w:val="22"/>
                <w:vertAlign w:val="superscript"/>
              </w:rPr>
            </w:pPr>
            <w:r w:rsidRPr="00C83045">
              <w:rPr>
                <w:color w:val="000000"/>
                <w:szCs w:val="22"/>
              </w:rPr>
              <w:t>Hematologická odpoveď</w:t>
            </w:r>
            <w:r w:rsidRPr="00C83045">
              <w:rPr>
                <w:color w:val="000000"/>
                <w:szCs w:val="22"/>
                <w:vertAlign w:val="superscript"/>
              </w:rPr>
              <w:t>1</w:t>
            </w:r>
          </w:p>
        </w:tc>
        <w:tc>
          <w:tcPr>
            <w:tcW w:w="1920" w:type="dxa"/>
            <w:tcBorders>
              <w:top w:val="single" w:sz="4" w:space="0" w:color="auto"/>
              <w:left w:val="single" w:sz="4" w:space="0" w:color="auto"/>
              <w:right w:val="single" w:sz="4" w:space="0" w:color="auto"/>
            </w:tcBorders>
          </w:tcPr>
          <w:p w14:paraId="32368462"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95% (92,3–96,3)</w:t>
            </w:r>
          </w:p>
        </w:tc>
        <w:tc>
          <w:tcPr>
            <w:tcW w:w="1920" w:type="dxa"/>
            <w:tcBorders>
              <w:top w:val="single" w:sz="4" w:space="0" w:color="auto"/>
              <w:left w:val="single" w:sz="4" w:space="0" w:color="auto"/>
              <w:right w:val="single" w:sz="4" w:space="0" w:color="auto"/>
            </w:tcBorders>
          </w:tcPr>
          <w:p w14:paraId="32368463"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71% (65,3–77,2)</w:t>
            </w:r>
          </w:p>
        </w:tc>
        <w:tc>
          <w:tcPr>
            <w:tcW w:w="1920" w:type="dxa"/>
            <w:tcBorders>
              <w:top w:val="single" w:sz="4" w:space="0" w:color="auto"/>
              <w:left w:val="single" w:sz="4" w:space="0" w:color="auto"/>
              <w:right w:val="single" w:sz="4" w:space="0" w:color="auto"/>
            </w:tcBorders>
          </w:tcPr>
          <w:p w14:paraId="32368464"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31% (25,2–36,8)</w:t>
            </w:r>
          </w:p>
        </w:tc>
      </w:tr>
      <w:tr w:rsidR="00591A69" w:rsidRPr="00C83045" w14:paraId="3236846A" w14:textId="77777777" w:rsidTr="00B62C3E">
        <w:trPr>
          <w:cantSplit/>
          <w:trHeight w:val="499"/>
        </w:trPr>
        <w:tc>
          <w:tcPr>
            <w:tcW w:w="3150" w:type="dxa"/>
            <w:tcBorders>
              <w:left w:val="single" w:sz="4" w:space="0" w:color="auto"/>
              <w:right w:val="single" w:sz="4" w:space="0" w:color="auto"/>
            </w:tcBorders>
          </w:tcPr>
          <w:p w14:paraId="32368466" w14:textId="77777777" w:rsidR="00591A69" w:rsidRPr="00C83045" w:rsidRDefault="00591A69" w:rsidP="00D4304B">
            <w:pPr>
              <w:keepNext/>
              <w:keepLines/>
              <w:widowControl w:val="0"/>
              <w:ind w:left="284" w:firstLine="0"/>
              <w:rPr>
                <w:color w:val="000000"/>
                <w:szCs w:val="22"/>
              </w:rPr>
            </w:pPr>
            <w:r w:rsidRPr="00C83045">
              <w:rPr>
                <w:color w:val="000000"/>
                <w:szCs w:val="22"/>
              </w:rPr>
              <w:t>Kompletná hematologická odpoveď (</w:t>
            </w:r>
            <w:smartTag w:uri="urn:schemas-microsoft-com:office:smarttags" w:element="stockticker">
              <w:r w:rsidRPr="00C83045">
                <w:rPr>
                  <w:color w:val="000000"/>
                  <w:szCs w:val="22"/>
                </w:rPr>
                <w:t>CHR</w:t>
              </w:r>
            </w:smartTag>
            <w:r w:rsidRPr="00C83045">
              <w:rPr>
                <w:color w:val="000000"/>
                <w:szCs w:val="22"/>
              </w:rPr>
              <w:t>)</w:t>
            </w:r>
          </w:p>
        </w:tc>
        <w:tc>
          <w:tcPr>
            <w:tcW w:w="1920" w:type="dxa"/>
            <w:tcBorders>
              <w:left w:val="single" w:sz="4" w:space="0" w:color="auto"/>
              <w:right w:val="single" w:sz="4" w:space="0" w:color="auto"/>
            </w:tcBorders>
          </w:tcPr>
          <w:p w14:paraId="32368467"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95%</w:t>
            </w:r>
          </w:p>
        </w:tc>
        <w:tc>
          <w:tcPr>
            <w:tcW w:w="1920" w:type="dxa"/>
            <w:tcBorders>
              <w:left w:val="single" w:sz="4" w:space="0" w:color="auto"/>
              <w:right w:val="single" w:sz="4" w:space="0" w:color="auto"/>
            </w:tcBorders>
          </w:tcPr>
          <w:p w14:paraId="32368468"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42%</w:t>
            </w:r>
          </w:p>
        </w:tc>
        <w:tc>
          <w:tcPr>
            <w:tcW w:w="1920" w:type="dxa"/>
            <w:tcBorders>
              <w:left w:val="single" w:sz="4" w:space="0" w:color="auto"/>
              <w:right w:val="single" w:sz="4" w:space="0" w:color="auto"/>
            </w:tcBorders>
          </w:tcPr>
          <w:p w14:paraId="32368469"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8%</w:t>
            </w:r>
          </w:p>
        </w:tc>
      </w:tr>
      <w:tr w:rsidR="00591A69" w:rsidRPr="00C83045" w14:paraId="32368470" w14:textId="77777777" w:rsidTr="00B62C3E">
        <w:trPr>
          <w:cantSplit/>
          <w:trHeight w:val="499"/>
        </w:trPr>
        <w:tc>
          <w:tcPr>
            <w:tcW w:w="3150" w:type="dxa"/>
            <w:tcBorders>
              <w:left w:val="single" w:sz="4" w:space="0" w:color="auto"/>
              <w:right w:val="single" w:sz="4" w:space="0" w:color="auto"/>
            </w:tcBorders>
          </w:tcPr>
          <w:p w14:paraId="3236846B" w14:textId="77777777" w:rsidR="00591A69" w:rsidRPr="00C83045" w:rsidRDefault="00591A69" w:rsidP="00D4304B">
            <w:pPr>
              <w:keepNext/>
              <w:keepLines/>
              <w:widowControl w:val="0"/>
              <w:ind w:left="284" w:firstLine="0"/>
              <w:rPr>
                <w:color w:val="000000"/>
                <w:szCs w:val="22"/>
              </w:rPr>
            </w:pPr>
            <w:r w:rsidRPr="00C83045">
              <w:rPr>
                <w:color w:val="000000"/>
                <w:szCs w:val="22"/>
              </w:rPr>
              <w:t>Žiadny dôkaz leukémie</w:t>
            </w:r>
          </w:p>
          <w:p w14:paraId="3236846C" w14:textId="77777777" w:rsidR="00591A69" w:rsidRPr="00C83045" w:rsidRDefault="00591A69" w:rsidP="00D4304B">
            <w:pPr>
              <w:keepNext/>
              <w:keepLines/>
              <w:widowControl w:val="0"/>
              <w:ind w:left="284" w:firstLine="0"/>
              <w:rPr>
                <w:color w:val="000000"/>
                <w:szCs w:val="22"/>
              </w:rPr>
            </w:pPr>
            <w:r w:rsidRPr="00C83045">
              <w:rPr>
                <w:color w:val="000000"/>
                <w:szCs w:val="22"/>
              </w:rPr>
              <w:t>(NEL)</w:t>
            </w:r>
          </w:p>
        </w:tc>
        <w:tc>
          <w:tcPr>
            <w:tcW w:w="1920" w:type="dxa"/>
            <w:tcBorders>
              <w:left w:val="single" w:sz="4" w:space="0" w:color="auto"/>
              <w:right w:val="single" w:sz="4" w:space="0" w:color="auto"/>
            </w:tcBorders>
          </w:tcPr>
          <w:p w14:paraId="3236846D"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Nedá sa použiť</w:t>
            </w:r>
          </w:p>
        </w:tc>
        <w:tc>
          <w:tcPr>
            <w:tcW w:w="1920" w:type="dxa"/>
            <w:tcBorders>
              <w:left w:val="single" w:sz="4" w:space="0" w:color="auto"/>
              <w:right w:val="single" w:sz="4" w:space="0" w:color="auto"/>
            </w:tcBorders>
          </w:tcPr>
          <w:p w14:paraId="3236846E"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12%</w:t>
            </w:r>
          </w:p>
        </w:tc>
        <w:tc>
          <w:tcPr>
            <w:tcW w:w="1920" w:type="dxa"/>
            <w:tcBorders>
              <w:left w:val="single" w:sz="4" w:space="0" w:color="auto"/>
              <w:right w:val="single" w:sz="4" w:space="0" w:color="auto"/>
            </w:tcBorders>
          </w:tcPr>
          <w:p w14:paraId="3236846F"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5%</w:t>
            </w:r>
          </w:p>
        </w:tc>
      </w:tr>
      <w:tr w:rsidR="00591A69" w:rsidRPr="00C83045" w14:paraId="32368475" w14:textId="77777777" w:rsidTr="00B62C3E">
        <w:trPr>
          <w:cantSplit/>
          <w:trHeight w:val="499"/>
        </w:trPr>
        <w:tc>
          <w:tcPr>
            <w:tcW w:w="3150" w:type="dxa"/>
            <w:tcBorders>
              <w:left w:val="single" w:sz="4" w:space="0" w:color="auto"/>
              <w:bottom w:val="single" w:sz="4" w:space="0" w:color="auto"/>
              <w:right w:val="single" w:sz="4" w:space="0" w:color="auto"/>
            </w:tcBorders>
          </w:tcPr>
          <w:p w14:paraId="32368471" w14:textId="77777777" w:rsidR="00591A69" w:rsidRPr="00C83045" w:rsidRDefault="00591A69" w:rsidP="00D4304B">
            <w:pPr>
              <w:keepNext/>
              <w:keepLines/>
              <w:widowControl w:val="0"/>
              <w:ind w:left="284" w:firstLine="0"/>
              <w:rPr>
                <w:color w:val="000000"/>
                <w:szCs w:val="22"/>
              </w:rPr>
            </w:pPr>
            <w:r w:rsidRPr="00C83045">
              <w:rPr>
                <w:color w:val="000000"/>
                <w:szCs w:val="22"/>
              </w:rPr>
              <w:t>Návrat do chronickej fázy (</w:t>
            </w:r>
            <w:smartTag w:uri="urn:schemas-microsoft-com:office:smarttags" w:element="stockticker">
              <w:r w:rsidRPr="00C83045">
                <w:rPr>
                  <w:color w:val="000000"/>
                  <w:szCs w:val="22"/>
                </w:rPr>
                <w:t>RTC</w:t>
              </w:r>
            </w:smartTag>
            <w:r w:rsidRPr="00C83045">
              <w:rPr>
                <w:color w:val="000000"/>
                <w:szCs w:val="22"/>
              </w:rPr>
              <w:t>)</w:t>
            </w:r>
          </w:p>
        </w:tc>
        <w:tc>
          <w:tcPr>
            <w:tcW w:w="1920" w:type="dxa"/>
            <w:tcBorders>
              <w:left w:val="single" w:sz="4" w:space="0" w:color="auto"/>
              <w:bottom w:val="single" w:sz="4" w:space="0" w:color="auto"/>
              <w:right w:val="single" w:sz="4" w:space="0" w:color="auto"/>
            </w:tcBorders>
          </w:tcPr>
          <w:p w14:paraId="32368472"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Nedá sa použiť</w:t>
            </w:r>
          </w:p>
        </w:tc>
        <w:tc>
          <w:tcPr>
            <w:tcW w:w="1920" w:type="dxa"/>
            <w:tcBorders>
              <w:left w:val="single" w:sz="4" w:space="0" w:color="auto"/>
              <w:bottom w:val="single" w:sz="4" w:space="0" w:color="auto"/>
              <w:right w:val="single" w:sz="4" w:space="0" w:color="auto"/>
            </w:tcBorders>
          </w:tcPr>
          <w:p w14:paraId="32368473"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17%</w:t>
            </w:r>
          </w:p>
        </w:tc>
        <w:tc>
          <w:tcPr>
            <w:tcW w:w="1920" w:type="dxa"/>
            <w:tcBorders>
              <w:left w:val="single" w:sz="4" w:space="0" w:color="auto"/>
              <w:bottom w:val="single" w:sz="4" w:space="0" w:color="auto"/>
              <w:right w:val="single" w:sz="4" w:space="0" w:color="auto"/>
            </w:tcBorders>
          </w:tcPr>
          <w:p w14:paraId="32368474"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18%</w:t>
            </w:r>
          </w:p>
        </w:tc>
      </w:tr>
      <w:tr w:rsidR="00591A69" w:rsidRPr="00C83045" w14:paraId="3236847A" w14:textId="77777777" w:rsidTr="00B62C3E">
        <w:trPr>
          <w:cantSplit/>
          <w:trHeight w:val="528"/>
        </w:trPr>
        <w:tc>
          <w:tcPr>
            <w:tcW w:w="3150" w:type="dxa"/>
            <w:tcBorders>
              <w:top w:val="single" w:sz="4" w:space="0" w:color="auto"/>
              <w:left w:val="single" w:sz="4" w:space="0" w:color="auto"/>
              <w:right w:val="single" w:sz="4" w:space="0" w:color="auto"/>
            </w:tcBorders>
          </w:tcPr>
          <w:p w14:paraId="32368476" w14:textId="77777777" w:rsidR="00591A69" w:rsidRPr="00C83045" w:rsidRDefault="00591A69" w:rsidP="00D4304B">
            <w:pPr>
              <w:keepNext/>
              <w:keepLines/>
              <w:widowControl w:val="0"/>
              <w:ind w:left="0" w:firstLine="0"/>
              <w:rPr>
                <w:i/>
                <w:color w:val="000000"/>
                <w:szCs w:val="22"/>
                <w:vertAlign w:val="superscript"/>
              </w:rPr>
            </w:pPr>
            <w:r w:rsidRPr="00C83045">
              <w:rPr>
                <w:color w:val="000000"/>
                <w:szCs w:val="22"/>
              </w:rPr>
              <w:t>Veľká cytogenetická odpoveď</w:t>
            </w:r>
            <w:r w:rsidRPr="00C83045">
              <w:rPr>
                <w:color w:val="000000"/>
                <w:szCs w:val="22"/>
                <w:vertAlign w:val="superscript"/>
              </w:rPr>
              <w:t>2</w:t>
            </w:r>
          </w:p>
        </w:tc>
        <w:tc>
          <w:tcPr>
            <w:tcW w:w="1920" w:type="dxa"/>
            <w:tcBorders>
              <w:top w:val="single" w:sz="4" w:space="0" w:color="auto"/>
              <w:left w:val="single" w:sz="4" w:space="0" w:color="auto"/>
              <w:right w:val="single" w:sz="4" w:space="0" w:color="auto"/>
            </w:tcBorders>
          </w:tcPr>
          <w:p w14:paraId="32368477"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65% (61,2–69,5)</w:t>
            </w:r>
          </w:p>
        </w:tc>
        <w:tc>
          <w:tcPr>
            <w:tcW w:w="1920" w:type="dxa"/>
            <w:tcBorders>
              <w:top w:val="single" w:sz="4" w:space="0" w:color="auto"/>
              <w:left w:val="single" w:sz="4" w:space="0" w:color="auto"/>
              <w:right w:val="single" w:sz="4" w:space="0" w:color="auto"/>
            </w:tcBorders>
          </w:tcPr>
          <w:p w14:paraId="32368478"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28% (22,0–33,9)</w:t>
            </w:r>
          </w:p>
        </w:tc>
        <w:tc>
          <w:tcPr>
            <w:tcW w:w="1920" w:type="dxa"/>
            <w:tcBorders>
              <w:top w:val="single" w:sz="4" w:space="0" w:color="auto"/>
              <w:left w:val="single" w:sz="4" w:space="0" w:color="auto"/>
              <w:right w:val="single" w:sz="4" w:space="0" w:color="auto"/>
            </w:tcBorders>
          </w:tcPr>
          <w:p w14:paraId="32368479"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15% (11,2–20,4)</w:t>
            </w:r>
          </w:p>
        </w:tc>
      </w:tr>
      <w:tr w:rsidR="00591A69" w:rsidRPr="00C83045" w14:paraId="3236847F" w14:textId="77777777" w:rsidTr="00B62C3E">
        <w:trPr>
          <w:cantSplit/>
          <w:trHeight w:val="250"/>
        </w:trPr>
        <w:tc>
          <w:tcPr>
            <w:tcW w:w="3150" w:type="dxa"/>
            <w:tcBorders>
              <w:left w:val="single" w:sz="4" w:space="0" w:color="auto"/>
              <w:right w:val="single" w:sz="4" w:space="0" w:color="auto"/>
            </w:tcBorders>
          </w:tcPr>
          <w:p w14:paraId="3236847B" w14:textId="77777777" w:rsidR="00591A69" w:rsidRPr="00C83045" w:rsidRDefault="00591A69" w:rsidP="00D4304B">
            <w:pPr>
              <w:keepNext/>
              <w:keepLines/>
              <w:widowControl w:val="0"/>
              <w:ind w:left="284" w:firstLine="0"/>
              <w:rPr>
                <w:color w:val="000000"/>
                <w:szCs w:val="22"/>
              </w:rPr>
            </w:pPr>
            <w:r w:rsidRPr="00C83045">
              <w:rPr>
                <w:color w:val="000000"/>
                <w:szCs w:val="22"/>
              </w:rPr>
              <w:t>Kompletná</w:t>
            </w:r>
          </w:p>
        </w:tc>
        <w:tc>
          <w:tcPr>
            <w:tcW w:w="1920" w:type="dxa"/>
            <w:tcBorders>
              <w:left w:val="single" w:sz="4" w:space="0" w:color="auto"/>
              <w:right w:val="single" w:sz="4" w:space="0" w:color="auto"/>
            </w:tcBorders>
          </w:tcPr>
          <w:p w14:paraId="3236847C"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53%</w:t>
            </w:r>
          </w:p>
        </w:tc>
        <w:tc>
          <w:tcPr>
            <w:tcW w:w="1920" w:type="dxa"/>
            <w:tcBorders>
              <w:left w:val="single" w:sz="4" w:space="0" w:color="auto"/>
              <w:right w:val="single" w:sz="4" w:space="0" w:color="auto"/>
            </w:tcBorders>
          </w:tcPr>
          <w:p w14:paraId="3236847D"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20%</w:t>
            </w:r>
          </w:p>
        </w:tc>
        <w:tc>
          <w:tcPr>
            <w:tcW w:w="1920" w:type="dxa"/>
            <w:tcBorders>
              <w:left w:val="single" w:sz="4" w:space="0" w:color="auto"/>
              <w:right w:val="single" w:sz="4" w:space="0" w:color="auto"/>
            </w:tcBorders>
          </w:tcPr>
          <w:p w14:paraId="3236847E"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7%</w:t>
            </w:r>
          </w:p>
        </w:tc>
      </w:tr>
      <w:tr w:rsidR="00591A69" w:rsidRPr="00C83045" w14:paraId="32368484" w14:textId="77777777" w:rsidTr="00B62C3E">
        <w:trPr>
          <w:cantSplit/>
          <w:trHeight w:val="250"/>
        </w:trPr>
        <w:tc>
          <w:tcPr>
            <w:tcW w:w="3150" w:type="dxa"/>
            <w:tcBorders>
              <w:left w:val="single" w:sz="4" w:space="0" w:color="auto"/>
              <w:right w:val="single" w:sz="4" w:space="0" w:color="auto"/>
            </w:tcBorders>
          </w:tcPr>
          <w:p w14:paraId="32368480" w14:textId="77777777" w:rsidR="00591A69" w:rsidRPr="00C83045" w:rsidRDefault="00591A69" w:rsidP="00D4304B">
            <w:pPr>
              <w:keepNext/>
              <w:keepLines/>
              <w:widowControl w:val="0"/>
              <w:ind w:left="284" w:firstLine="0"/>
              <w:rPr>
                <w:color w:val="000000"/>
                <w:szCs w:val="22"/>
              </w:rPr>
            </w:pPr>
            <w:r w:rsidRPr="00C83045">
              <w:rPr>
                <w:color w:val="000000"/>
                <w:szCs w:val="22"/>
              </w:rPr>
              <w:t>(Potvrdená</w:t>
            </w:r>
            <w:r w:rsidRPr="00C83045">
              <w:rPr>
                <w:color w:val="000000"/>
                <w:szCs w:val="22"/>
                <w:vertAlign w:val="superscript"/>
              </w:rPr>
              <w:t>3</w:t>
            </w:r>
            <w:r w:rsidRPr="00C83045">
              <w:rPr>
                <w:color w:val="000000"/>
                <w:szCs w:val="22"/>
              </w:rPr>
              <w:t>) [95% CI]</w:t>
            </w:r>
          </w:p>
        </w:tc>
        <w:tc>
          <w:tcPr>
            <w:tcW w:w="1920" w:type="dxa"/>
            <w:tcBorders>
              <w:left w:val="single" w:sz="4" w:space="0" w:color="auto"/>
              <w:right w:val="single" w:sz="4" w:space="0" w:color="auto"/>
            </w:tcBorders>
          </w:tcPr>
          <w:p w14:paraId="32368481"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(43%) [38,6–47,2]</w:t>
            </w:r>
          </w:p>
        </w:tc>
        <w:tc>
          <w:tcPr>
            <w:tcW w:w="1920" w:type="dxa"/>
            <w:tcBorders>
              <w:left w:val="single" w:sz="4" w:space="0" w:color="auto"/>
              <w:right w:val="single" w:sz="4" w:space="0" w:color="auto"/>
            </w:tcBorders>
          </w:tcPr>
          <w:p w14:paraId="32368482"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(16%) [11,3–21,0]</w:t>
            </w:r>
          </w:p>
        </w:tc>
        <w:tc>
          <w:tcPr>
            <w:tcW w:w="1920" w:type="dxa"/>
            <w:tcBorders>
              <w:left w:val="single" w:sz="4" w:space="0" w:color="auto"/>
              <w:right w:val="single" w:sz="4" w:space="0" w:color="auto"/>
            </w:tcBorders>
          </w:tcPr>
          <w:p w14:paraId="32368483"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(2%) [0,6–4,4]</w:t>
            </w:r>
          </w:p>
        </w:tc>
      </w:tr>
      <w:tr w:rsidR="00591A69" w:rsidRPr="00C83045" w14:paraId="32368489" w14:textId="77777777" w:rsidTr="00B62C3E">
        <w:trPr>
          <w:cantSplit/>
          <w:trHeight w:val="250"/>
        </w:trPr>
        <w:tc>
          <w:tcPr>
            <w:tcW w:w="3150" w:type="dxa"/>
            <w:tcBorders>
              <w:left w:val="single" w:sz="4" w:space="0" w:color="auto"/>
              <w:bottom w:val="single" w:sz="4" w:space="0" w:color="auto"/>
              <w:right w:val="single" w:sz="4" w:space="0" w:color="auto"/>
            </w:tcBorders>
          </w:tcPr>
          <w:p w14:paraId="32368485" w14:textId="77777777" w:rsidR="00591A69" w:rsidRPr="00C83045" w:rsidRDefault="00591A69" w:rsidP="00D4304B">
            <w:pPr>
              <w:keepNext/>
              <w:keepLines/>
              <w:widowControl w:val="0"/>
              <w:ind w:left="284" w:firstLine="0"/>
              <w:rPr>
                <w:color w:val="000000"/>
                <w:szCs w:val="22"/>
              </w:rPr>
            </w:pPr>
            <w:r w:rsidRPr="00C83045">
              <w:rPr>
                <w:color w:val="000000"/>
                <w:szCs w:val="22"/>
              </w:rPr>
              <w:t>Čiastočná</w:t>
            </w:r>
          </w:p>
        </w:tc>
        <w:tc>
          <w:tcPr>
            <w:tcW w:w="1920" w:type="dxa"/>
            <w:tcBorders>
              <w:left w:val="single" w:sz="4" w:space="0" w:color="auto"/>
              <w:bottom w:val="single" w:sz="4" w:space="0" w:color="auto"/>
              <w:right w:val="single" w:sz="4" w:space="0" w:color="auto"/>
            </w:tcBorders>
          </w:tcPr>
          <w:p w14:paraId="32368486"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12%</w:t>
            </w:r>
          </w:p>
        </w:tc>
        <w:tc>
          <w:tcPr>
            <w:tcW w:w="1920" w:type="dxa"/>
            <w:tcBorders>
              <w:left w:val="single" w:sz="4" w:space="0" w:color="auto"/>
              <w:bottom w:val="single" w:sz="4" w:space="0" w:color="auto"/>
              <w:right w:val="single" w:sz="4" w:space="0" w:color="auto"/>
            </w:tcBorders>
          </w:tcPr>
          <w:p w14:paraId="32368487"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7%</w:t>
            </w:r>
          </w:p>
        </w:tc>
        <w:tc>
          <w:tcPr>
            <w:tcW w:w="1920" w:type="dxa"/>
            <w:tcBorders>
              <w:left w:val="single" w:sz="4" w:space="0" w:color="auto"/>
              <w:bottom w:val="single" w:sz="4" w:space="0" w:color="auto"/>
              <w:right w:val="single" w:sz="4" w:space="0" w:color="auto"/>
            </w:tcBorders>
          </w:tcPr>
          <w:p w14:paraId="32368488" w14:textId="77777777" w:rsidR="00591A69" w:rsidRPr="00C83045" w:rsidRDefault="00591A69" w:rsidP="00D4304B">
            <w:pPr>
              <w:keepNext/>
              <w:keepLines/>
              <w:widowControl w:val="0"/>
              <w:ind w:left="0" w:firstLine="0"/>
              <w:jc w:val="center"/>
              <w:rPr>
                <w:color w:val="000000"/>
                <w:szCs w:val="22"/>
              </w:rPr>
            </w:pPr>
            <w:r w:rsidRPr="00C83045">
              <w:rPr>
                <w:color w:val="000000"/>
                <w:szCs w:val="22"/>
              </w:rPr>
              <w:t>8%</w:t>
            </w:r>
          </w:p>
        </w:tc>
      </w:tr>
      <w:tr w:rsidR="00591A69" w:rsidRPr="00C83045" w14:paraId="32368492" w14:textId="77777777" w:rsidTr="00B62C3E">
        <w:trPr>
          <w:cantSplit/>
          <w:trHeight w:val="250"/>
        </w:trPr>
        <w:tc>
          <w:tcPr>
            <w:tcW w:w="8910" w:type="dxa"/>
            <w:gridSpan w:val="4"/>
            <w:tcBorders>
              <w:left w:val="single" w:sz="4" w:space="0" w:color="auto"/>
              <w:bottom w:val="single" w:sz="4" w:space="0" w:color="auto"/>
              <w:right w:val="single" w:sz="4" w:space="0" w:color="auto"/>
            </w:tcBorders>
          </w:tcPr>
          <w:p w14:paraId="3236848A" w14:textId="77777777" w:rsidR="00591A69" w:rsidRPr="00C83045" w:rsidRDefault="00591A69" w:rsidP="00D4304B">
            <w:pPr>
              <w:keepNext/>
              <w:keepLines/>
              <w:widowControl w:val="0"/>
              <w:rPr>
                <w:b/>
                <w:color w:val="000000"/>
                <w:szCs w:val="22"/>
              </w:rPr>
            </w:pPr>
            <w:r w:rsidRPr="00C83045">
              <w:rPr>
                <w:b/>
                <w:color w:val="000000"/>
                <w:szCs w:val="22"/>
                <w:vertAlign w:val="superscript"/>
              </w:rPr>
              <w:t>1</w:t>
            </w:r>
            <w:r w:rsidRPr="00C83045">
              <w:rPr>
                <w:b/>
                <w:color w:val="000000"/>
                <w:szCs w:val="22"/>
              </w:rPr>
              <w:t xml:space="preserve"> Kritériá hematologickej odpovede (všetky odpovede sa majú potvrdiť po </w:t>
            </w:r>
            <w:r w:rsidRPr="00C83045">
              <w:rPr>
                <w:b/>
                <w:color w:val="000000"/>
                <w:szCs w:val="22"/>
              </w:rPr>
              <w:sym w:font="Symbol" w:char="F0B3"/>
            </w:r>
            <w:r w:rsidRPr="00C83045">
              <w:rPr>
                <w:b/>
                <w:color w:val="000000"/>
                <w:szCs w:val="22"/>
              </w:rPr>
              <w:t> 4 týždňoch):</w:t>
            </w:r>
          </w:p>
          <w:p w14:paraId="3236848B" w14:textId="77777777" w:rsidR="00591A69" w:rsidRPr="00C83045" w:rsidRDefault="00591A69" w:rsidP="00D4304B">
            <w:pPr>
              <w:pStyle w:val="Footer"/>
              <w:keepNext/>
              <w:keepLines/>
              <w:widowControl w:val="0"/>
              <w:rPr>
                <w:color w:val="000000"/>
                <w:szCs w:val="22"/>
              </w:rPr>
            </w:pPr>
            <w:smartTag w:uri="urn:schemas-microsoft-com:office:smarttags" w:element="stockticker">
              <w:r w:rsidRPr="00C83045">
                <w:rPr>
                  <w:color w:val="000000"/>
                  <w:szCs w:val="22"/>
                </w:rPr>
                <w:t>CHR</w:t>
              </w:r>
            </w:smartTag>
            <w:r w:rsidRPr="00C83045">
              <w:rPr>
                <w:color w:val="000000"/>
                <w:szCs w:val="22"/>
              </w:rPr>
              <w:t>: klinické skúšanie 0110 [WBC &lt; 10 x 10</w:t>
            </w:r>
            <w:r w:rsidRPr="00C83045">
              <w:rPr>
                <w:color w:val="000000"/>
                <w:szCs w:val="22"/>
                <w:vertAlign w:val="superscript"/>
              </w:rPr>
              <w:t>9</w:t>
            </w:r>
            <w:r w:rsidRPr="00C83045">
              <w:rPr>
                <w:color w:val="000000"/>
                <w:szCs w:val="22"/>
              </w:rPr>
              <w:t>/l, trombocyty &lt; 450 x 10</w:t>
            </w:r>
            <w:r w:rsidRPr="00C83045">
              <w:rPr>
                <w:color w:val="000000"/>
                <w:szCs w:val="22"/>
                <w:vertAlign w:val="superscript"/>
              </w:rPr>
              <w:t>9</w:t>
            </w:r>
            <w:r w:rsidRPr="00C83045">
              <w:rPr>
                <w:color w:val="000000"/>
                <w:szCs w:val="22"/>
              </w:rPr>
              <w:t>/l, myelocyty+metamyelocyty &lt; 5% v krvi, žiadne blasty a promyelocyty v krvi, bazofily &lt; 20%, žiadne extramedulárne postihnutie] a klinické skúšania 0102 a 0109 [ANC </w:t>
            </w:r>
            <w:r w:rsidRPr="00C83045">
              <w:rPr>
                <w:color w:val="000000"/>
                <w:szCs w:val="22"/>
              </w:rPr>
              <w:sym w:font="Symbol" w:char="F0B3"/>
            </w:r>
            <w:r w:rsidRPr="00C83045">
              <w:rPr>
                <w:color w:val="000000"/>
                <w:szCs w:val="22"/>
              </w:rPr>
              <w:t> 1,5 x 10</w:t>
            </w:r>
            <w:r w:rsidRPr="00C83045">
              <w:rPr>
                <w:color w:val="000000"/>
                <w:szCs w:val="22"/>
                <w:vertAlign w:val="superscript"/>
              </w:rPr>
              <w:t>9</w:t>
            </w:r>
            <w:r w:rsidRPr="00C83045">
              <w:rPr>
                <w:color w:val="000000"/>
                <w:szCs w:val="22"/>
              </w:rPr>
              <w:t>/l, trombocyty </w:t>
            </w:r>
            <w:r w:rsidRPr="00C83045">
              <w:rPr>
                <w:color w:val="000000"/>
                <w:szCs w:val="22"/>
              </w:rPr>
              <w:sym w:font="Symbol" w:char="F0B3"/>
            </w:r>
            <w:r w:rsidRPr="00C83045">
              <w:rPr>
                <w:color w:val="000000"/>
                <w:szCs w:val="22"/>
              </w:rPr>
              <w:t> 100 x 10</w:t>
            </w:r>
            <w:r w:rsidRPr="00C83045">
              <w:rPr>
                <w:color w:val="000000"/>
                <w:szCs w:val="22"/>
                <w:vertAlign w:val="superscript"/>
              </w:rPr>
              <w:t>9</w:t>
            </w:r>
            <w:r w:rsidRPr="00C83045">
              <w:rPr>
                <w:color w:val="000000"/>
                <w:szCs w:val="22"/>
              </w:rPr>
              <w:t>/l, žiadne blasty v krvi, blasty v BM &lt; 5% a žiadne extramedulárne postihnutie]</w:t>
            </w:r>
          </w:p>
          <w:p w14:paraId="3236848C" w14:textId="77777777" w:rsidR="00591A69" w:rsidRPr="00C83045" w:rsidRDefault="00591A69" w:rsidP="00D4304B">
            <w:pPr>
              <w:pStyle w:val="Footer"/>
              <w:keepNext/>
              <w:keepLines/>
              <w:widowControl w:val="0"/>
              <w:rPr>
                <w:color w:val="000000"/>
                <w:szCs w:val="22"/>
              </w:rPr>
            </w:pPr>
            <w:r w:rsidRPr="00C83045">
              <w:rPr>
                <w:color w:val="000000"/>
                <w:szCs w:val="22"/>
              </w:rPr>
              <w:t xml:space="preserve">NEL: rovnaké kritériá ako </w:t>
            </w:r>
            <w:smartTag w:uri="urn:schemas-microsoft-com:office:smarttags" w:element="stockticker">
              <w:r w:rsidRPr="00C83045">
                <w:rPr>
                  <w:color w:val="000000"/>
                  <w:szCs w:val="22"/>
                </w:rPr>
                <w:t>CHR</w:t>
              </w:r>
            </w:smartTag>
            <w:r w:rsidRPr="00C83045">
              <w:rPr>
                <w:color w:val="000000"/>
                <w:szCs w:val="22"/>
              </w:rPr>
              <w:t>, ale ANC </w:t>
            </w:r>
            <w:r w:rsidRPr="00C83045">
              <w:rPr>
                <w:color w:val="000000"/>
                <w:szCs w:val="22"/>
              </w:rPr>
              <w:sym w:font="Symbol" w:char="F0B3"/>
            </w:r>
            <w:r w:rsidRPr="00C83045">
              <w:rPr>
                <w:color w:val="000000"/>
                <w:szCs w:val="22"/>
              </w:rPr>
              <w:t> 1 x 10</w:t>
            </w:r>
            <w:r w:rsidRPr="00C83045">
              <w:rPr>
                <w:color w:val="000000"/>
                <w:szCs w:val="22"/>
                <w:vertAlign w:val="superscript"/>
              </w:rPr>
              <w:t>9</w:t>
            </w:r>
            <w:r w:rsidRPr="00C83045">
              <w:rPr>
                <w:color w:val="000000"/>
                <w:szCs w:val="22"/>
              </w:rPr>
              <w:t>/l a trombocyty </w:t>
            </w:r>
            <w:r w:rsidRPr="00C83045">
              <w:rPr>
                <w:color w:val="000000"/>
                <w:szCs w:val="22"/>
              </w:rPr>
              <w:sym w:font="Symbol" w:char="F0B3"/>
            </w:r>
            <w:r w:rsidRPr="00C83045">
              <w:rPr>
                <w:color w:val="000000"/>
                <w:szCs w:val="22"/>
              </w:rPr>
              <w:t> 20 x 10</w:t>
            </w:r>
            <w:r w:rsidRPr="00C83045">
              <w:rPr>
                <w:color w:val="000000"/>
                <w:szCs w:val="22"/>
                <w:vertAlign w:val="superscript"/>
              </w:rPr>
              <w:t>9</w:t>
            </w:r>
            <w:r w:rsidRPr="00C83045">
              <w:rPr>
                <w:color w:val="000000"/>
                <w:szCs w:val="22"/>
              </w:rPr>
              <w:t>/l (len klinické skúšanie 0102 a 0109)</w:t>
            </w:r>
          </w:p>
          <w:p w14:paraId="3236848D" w14:textId="77777777" w:rsidR="00591A69" w:rsidRPr="00C83045" w:rsidRDefault="00591A69" w:rsidP="00D4304B">
            <w:pPr>
              <w:pStyle w:val="Footer"/>
              <w:keepNext/>
              <w:keepLines/>
              <w:widowControl w:val="0"/>
              <w:rPr>
                <w:color w:val="000000"/>
                <w:szCs w:val="22"/>
              </w:rPr>
            </w:pPr>
            <w:smartTag w:uri="urn:schemas-microsoft-com:office:smarttags" w:element="stockticker">
              <w:r w:rsidRPr="00C83045">
                <w:rPr>
                  <w:color w:val="000000"/>
                  <w:szCs w:val="22"/>
                </w:rPr>
                <w:t>RTC</w:t>
              </w:r>
            </w:smartTag>
            <w:r w:rsidRPr="00C83045">
              <w:rPr>
                <w:color w:val="000000"/>
                <w:szCs w:val="22"/>
              </w:rPr>
              <w:t>: blasty v BM a PB &lt; 15%, blasty+promyelocyty v BM a PB &lt; 30%, bazofily v PB &lt; 20%, žiadne extramedulárne postihnutie okrem sleziny a pečene (len klinické skúšania 0102 a 0109)</w:t>
            </w:r>
          </w:p>
          <w:p w14:paraId="3236848E" w14:textId="77777777" w:rsidR="00591A69" w:rsidRPr="00C83045" w:rsidRDefault="00591A69" w:rsidP="00D4304B">
            <w:pPr>
              <w:pStyle w:val="Footer"/>
              <w:keepNext/>
              <w:keepLines/>
              <w:widowControl w:val="0"/>
              <w:rPr>
                <w:color w:val="000000"/>
                <w:szCs w:val="22"/>
              </w:rPr>
            </w:pPr>
            <w:r w:rsidRPr="00C83045">
              <w:rPr>
                <w:color w:val="000000"/>
                <w:szCs w:val="22"/>
              </w:rPr>
              <w:t>BM = kostná dreň, PB = periférna krv</w:t>
            </w:r>
          </w:p>
          <w:p w14:paraId="3236848F" w14:textId="77777777" w:rsidR="00591A69" w:rsidRPr="00C83045" w:rsidRDefault="00591A69" w:rsidP="00D4304B">
            <w:pPr>
              <w:pStyle w:val="Footer"/>
              <w:keepNext/>
              <w:keepLines/>
              <w:widowControl w:val="0"/>
              <w:ind w:left="0" w:firstLine="0"/>
              <w:rPr>
                <w:b/>
                <w:color w:val="000000"/>
                <w:szCs w:val="22"/>
              </w:rPr>
            </w:pPr>
            <w:r w:rsidRPr="00C83045">
              <w:rPr>
                <w:b/>
                <w:color w:val="000000"/>
                <w:szCs w:val="22"/>
                <w:vertAlign w:val="superscript"/>
              </w:rPr>
              <w:t xml:space="preserve">2 </w:t>
            </w:r>
            <w:r w:rsidRPr="00C83045">
              <w:rPr>
                <w:b/>
                <w:color w:val="000000"/>
                <w:szCs w:val="22"/>
              </w:rPr>
              <w:t>Kritériá cytogenetickej odpovede:</w:t>
            </w:r>
          </w:p>
          <w:p w14:paraId="32368490" w14:textId="77777777" w:rsidR="00591A69" w:rsidRPr="00C83045" w:rsidRDefault="00591A69" w:rsidP="00D4304B">
            <w:pPr>
              <w:pStyle w:val="Footer"/>
              <w:keepNext/>
              <w:keepLines/>
              <w:widowControl w:val="0"/>
              <w:ind w:left="0" w:firstLine="0"/>
              <w:rPr>
                <w:color w:val="000000"/>
                <w:szCs w:val="22"/>
              </w:rPr>
            </w:pPr>
            <w:r w:rsidRPr="00C83045">
              <w:rPr>
                <w:color w:val="000000"/>
                <w:szCs w:val="22"/>
              </w:rPr>
              <w:t>Veľká odpoveď zahŕňa kompletné aj čiastočné odpovede: kompletné (0% Ph+ metafáz), čiastočné (1–35%)</w:t>
            </w:r>
          </w:p>
          <w:p w14:paraId="32368491" w14:textId="77777777" w:rsidR="00591A69" w:rsidRPr="00C83045" w:rsidRDefault="00591A69" w:rsidP="00D4304B">
            <w:pPr>
              <w:keepNext/>
              <w:keepLines/>
              <w:widowControl w:val="0"/>
              <w:ind w:left="0" w:firstLine="0"/>
              <w:rPr>
                <w:color w:val="000000"/>
                <w:szCs w:val="22"/>
              </w:rPr>
            </w:pPr>
            <w:r w:rsidRPr="00C83045">
              <w:rPr>
                <w:color w:val="000000"/>
                <w:szCs w:val="22"/>
                <w:vertAlign w:val="superscript"/>
              </w:rPr>
              <w:t>3</w:t>
            </w:r>
            <w:r w:rsidRPr="00C83045">
              <w:rPr>
                <w:color w:val="000000"/>
                <w:szCs w:val="22"/>
              </w:rPr>
              <w:t xml:space="preserve"> Kompletná cytogenetická odpoveď potvrdená druhým cytogenetickým vyhodnotením kostnej drene vykonaným najmenej 1 mesiac po začiatočnom vyšetrení kostnej drene.</w:t>
            </w:r>
          </w:p>
        </w:tc>
      </w:tr>
    </w:tbl>
    <w:p w14:paraId="32368493" w14:textId="77777777" w:rsidR="00591A69" w:rsidRPr="00C83045" w:rsidRDefault="00591A69" w:rsidP="00D4304B">
      <w:pPr>
        <w:widowControl w:val="0"/>
        <w:ind w:left="0" w:firstLine="0"/>
        <w:rPr>
          <w:color w:val="000000"/>
          <w:szCs w:val="22"/>
        </w:rPr>
      </w:pPr>
    </w:p>
    <w:p w14:paraId="32368494" w14:textId="77777777" w:rsidR="00591A69" w:rsidRPr="00C83045" w:rsidRDefault="00591A69" w:rsidP="00D4304B">
      <w:pPr>
        <w:widowControl w:val="0"/>
        <w:ind w:left="0" w:firstLine="0"/>
        <w:rPr>
          <w:color w:val="000000"/>
          <w:szCs w:val="22"/>
        </w:rPr>
      </w:pPr>
      <w:r w:rsidRPr="00C83045">
        <w:rPr>
          <w:i/>
          <w:color w:val="000000"/>
          <w:szCs w:val="22"/>
        </w:rPr>
        <w:t xml:space="preserve">Pediatrickí pacienti: </w:t>
      </w:r>
      <w:r w:rsidRPr="00C83045">
        <w:rPr>
          <w:color w:val="000000"/>
          <w:szCs w:val="22"/>
        </w:rPr>
        <w:t>Celkovo bolo zaradených 26 pediatrických pacientov vo veku &lt; 18 rokov buď s CML v chronickej fáze (n=11), alebo s CML v blastickej kríze alebo s Ph+ akútnymi leukémiami (n=15) do klinického skúšania fázy I so stupňujúcim sa dávkovaním. Bola to skupina intenzívne predliečených pacientov, z ktorých predtým 46% dostalo transplantáciu kostnej drene (BMT) a 73% kombinovanú chemoterapiu. Pacienti dostávali Glivec v dávke 260 mg/m</w:t>
      </w:r>
      <w:r w:rsidRPr="00C83045">
        <w:rPr>
          <w:color w:val="000000"/>
          <w:szCs w:val="22"/>
          <w:vertAlign w:val="superscript"/>
        </w:rPr>
        <w:t>2</w:t>
      </w:r>
      <w:r w:rsidRPr="00C83045">
        <w:rPr>
          <w:color w:val="000000"/>
          <w:szCs w:val="22"/>
        </w:rPr>
        <w:t>/deň (n=5), 340 mg/m</w:t>
      </w:r>
      <w:r w:rsidRPr="00C83045">
        <w:rPr>
          <w:color w:val="000000"/>
          <w:szCs w:val="22"/>
          <w:vertAlign w:val="superscript"/>
        </w:rPr>
        <w:t>2</w:t>
      </w:r>
      <w:r w:rsidRPr="00C83045">
        <w:rPr>
          <w:color w:val="000000"/>
          <w:szCs w:val="22"/>
        </w:rPr>
        <w:t>/deň (n=9), 440 mg/m</w:t>
      </w:r>
      <w:r w:rsidRPr="00C83045">
        <w:rPr>
          <w:color w:val="000000"/>
          <w:szCs w:val="22"/>
          <w:vertAlign w:val="superscript"/>
        </w:rPr>
        <w:t>2</w:t>
      </w:r>
      <w:r w:rsidRPr="00C83045">
        <w:rPr>
          <w:color w:val="000000"/>
          <w:szCs w:val="22"/>
        </w:rPr>
        <w:t>/deň (n=7) a 570 mg/m</w:t>
      </w:r>
      <w:r w:rsidRPr="00C83045">
        <w:rPr>
          <w:color w:val="000000"/>
          <w:szCs w:val="22"/>
          <w:vertAlign w:val="superscript"/>
        </w:rPr>
        <w:t>2</w:t>
      </w:r>
      <w:r w:rsidRPr="00C83045">
        <w:rPr>
          <w:color w:val="000000"/>
          <w:szCs w:val="22"/>
        </w:rPr>
        <w:t>/deň (n=5). Z deviatich pacientov v chronickej fáze CML, u ktorých sú dostupné cytogenetické údaje, dosiahli štyria (44%) kompletnú a traja (33%) čiastočnú cytogenetickú odpoveď, s podielom MCyR 77%.</w:t>
      </w:r>
    </w:p>
    <w:p w14:paraId="32368495" w14:textId="77777777" w:rsidR="00591A69" w:rsidRPr="00C83045" w:rsidRDefault="00591A69" w:rsidP="00D4304B">
      <w:pPr>
        <w:widowControl w:val="0"/>
        <w:ind w:left="0" w:firstLine="0"/>
        <w:rPr>
          <w:color w:val="000000"/>
          <w:szCs w:val="22"/>
          <w:u w:val="single"/>
        </w:rPr>
      </w:pPr>
    </w:p>
    <w:p w14:paraId="32368496" w14:textId="77777777" w:rsidR="00591A69" w:rsidRPr="00C83045" w:rsidRDefault="00591A69" w:rsidP="00D4304B">
      <w:pPr>
        <w:widowControl w:val="0"/>
        <w:ind w:left="0" w:firstLine="0"/>
        <w:rPr>
          <w:color w:val="000000"/>
          <w:szCs w:val="22"/>
        </w:rPr>
      </w:pPr>
      <w:r w:rsidRPr="00C83045">
        <w:rPr>
          <w:color w:val="000000"/>
          <w:szCs w:val="22"/>
        </w:rPr>
        <w:t>Celkovo 51 pediatrických pacientov s novodiagnostikovanou a neliečenou CML v chronickej fáze bolo zaradených do otvoreného, multicentrického klinického skúšania fázy II s jedným ramenom liečby. Pacientom sa podával Glivec v dávke 340 mg/m</w:t>
      </w:r>
      <w:r w:rsidRPr="00C83045">
        <w:rPr>
          <w:color w:val="000000"/>
          <w:szCs w:val="22"/>
          <w:vertAlign w:val="superscript"/>
        </w:rPr>
        <w:t>2</w:t>
      </w:r>
      <w:r w:rsidRPr="00C83045">
        <w:rPr>
          <w:color w:val="000000"/>
          <w:szCs w:val="22"/>
        </w:rPr>
        <w:t>/deň bez prerušení, ak neboli prítomné toxické príznaky obmedzujúce dávku. Liečba Glivecom vyvoláva rýchlu odpoveď u novodiagnostikovaných pediatrických pacientov s CML, s </w:t>
      </w:r>
      <w:smartTag w:uri="urn:schemas-microsoft-com:office:smarttags" w:element="stockticker">
        <w:r w:rsidRPr="00C83045">
          <w:rPr>
            <w:color w:val="000000"/>
            <w:szCs w:val="22"/>
          </w:rPr>
          <w:t>CHR</w:t>
        </w:r>
      </w:smartTag>
      <w:r w:rsidRPr="00C83045">
        <w:rPr>
          <w:color w:val="000000"/>
          <w:szCs w:val="22"/>
        </w:rPr>
        <w:t xml:space="preserve"> 78% po 8 týždňoch liečby. Vysoký stupeň </w:t>
      </w:r>
      <w:smartTag w:uri="urn:schemas-microsoft-com:office:smarttags" w:element="stockticker">
        <w:r w:rsidRPr="00C83045">
          <w:rPr>
            <w:color w:val="000000"/>
            <w:szCs w:val="22"/>
          </w:rPr>
          <w:t>CHR</w:t>
        </w:r>
      </w:smartTag>
      <w:r w:rsidRPr="00C83045">
        <w:rPr>
          <w:color w:val="000000"/>
          <w:szCs w:val="22"/>
        </w:rPr>
        <w:t xml:space="preserve"> sprevádza vývoj kompletnej cytogenetickej odpovede (CCyR) dosahujúcej 65%, ktorá je porovnateľná s výsledkami pozorovanými u dospelých. Navyše sa u 16% pozorovala čiastočná cytogenetická </w:t>
      </w:r>
      <w:r w:rsidRPr="00C83045">
        <w:rPr>
          <w:color w:val="000000"/>
          <w:szCs w:val="22"/>
        </w:rPr>
        <w:lastRenderedPageBreak/>
        <w:t>odpoveď (PCyR) s MCyR 81%. U väčšiny pacientov, ktorí dosiahli CCyR, sa vyvinula CCyR medzi 3. a 10. mesiacom, pričom medián času do odpovede na základe odhadu podľa Kaplana-Meiera bol 5,6 mesiacov.</w:t>
      </w:r>
    </w:p>
    <w:p w14:paraId="32368497" w14:textId="77777777" w:rsidR="00591A69" w:rsidRPr="00C83045" w:rsidRDefault="00591A69" w:rsidP="00D4304B">
      <w:pPr>
        <w:widowControl w:val="0"/>
        <w:ind w:left="0" w:firstLine="0"/>
        <w:rPr>
          <w:color w:val="000000"/>
          <w:szCs w:val="22"/>
          <w:u w:val="single"/>
        </w:rPr>
      </w:pPr>
    </w:p>
    <w:p w14:paraId="32368498" w14:textId="77777777" w:rsidR="00591A69" w:rsidRPr="00C83045" w:rsidRDefault="00591A69" w:rsidP="00D4304B">
      <w:pPr>
        <w:widowControl w:val="0"/>
        <w:ind w:left="0" w:firstLine="0"/>
        <w:rPr>
          <w:rFonts w:eastAsia="SimSun"/>
          <w:color w:val="000000"/>
          <w:szCs w:val="22"/>
          <w:lang w:eastAsia="zh-CN"/>
        </w:rPr>
      </w:pPr>
      <w:r w:rsidRPr="00C83045">
        <w:rPr>
          <w:noProof/>
          <w:color w:val="000000"/>
          <w:szCs w:val="22"/>
        </w:rPr>
        <w:t xml:space="preserve">Európska agentúra pre lieky udelila výnimku z povinnosti </w:t>
      </w:r>
      <w:r w:rsidRPr="00C83045">
        <w:rPr>
          <w:rFonts w:eastAsia="SimSun"/>
          <w:color w:val="000000"/>
          <w:szCs w:val="22"/>
          <w:lang w:eastAsia="zh-CN"/>
        </w:rPr>
        <w:t xml:space="preserve">predložiť výsledky štúdií pre Glivec u všetkých vekových podskupín detí a dospievajúcich s </w:t>
      </w:r>
      <w:r w:rsidRPr="00C83045">
        <w:rPr>
          <w:color w:val="000000"/>
          <w:szCs w:val="22"/>
        </w:rPr>
        <w:t>chronickou myelocytovou leukémiou s pozitívnym chromozómom Philadelphia (translokácia bcr-abl)</w:t>
      </w:r>
      <w:r w:rsidRPr="00C83045">
        <w:rPr>
          <w:rFonts w:eastAsia="SimSun"/>
          <w:i/>
          <w:color w:val="000000"/>
          <w:szCs w:val="22"/>
          <w:lang w:eastAsia="zh-CN"/>
        </w:rPr>
        <w:t xml:space="preserve"> </w:t>
      </w:r>
      <w:r w:rsidRPr="00C83045">
        <w:rPr>
          <w:rFonts w:eastAsia="SimSun"/>
          <w:color w:val="000000"/>
          <w:szCs w:val="22"/>
          <w:lang w:eastAsia="zh-CN"/>
        </w:rPr>
        <w:t>(informácie o pediatrickom použití, pozri časť 4.2).</w:t>
      </w:r>
    </w:p>
    <w:p w14:paraId="32368499" w14:textId="77777777" w:rsidR="00591A69" w:rsidRPr="00C83045" w:rsidRDefault="00591A69" w:rsidP="00D4304B">
      <w:pPr>
        <w:widowControl w:val="0"/>
        <w:ind w:left="0" w:firstLine="0"/>
        <w:rPr>
          <w:color w:val="000000"/>
          <w:szCs w:val="22"/>
          <w:u w:val="single"/>
        </w:rPr>
      </w:pPr>
    </w:p>
    <w:p w14:paraId="3236849A" w14:textId="77777777" w:rsidR="00591A69" w:rsidRPr="00C83045" w:rsidRDefault="00591A69" w:rsidP="00D4304B">
      <w:pPr>
        <w:keepNext/>
        <w:widowControl w:val="0"/>
        <w:ind w:left="0" w:firstLine="0"/>
        <w:rPr>
          <w:color w:val="000000"/>
          <w:szCs w:val="22"/>
          <w:u w:val="single"/>
        </w:rPr>
      </w:pPr>
      <w:r w:rsidRPr="00C83045">
        <w:rPr>
          <w:color w:val="000000"/>
          <w:szCs w:val="22"/>
          <w:u w:val="single"/>
        </w:rPr>
        <w:t xml:space="preserve">Klinické skúšania pri Ph+ </w:t>
      </w:r>
      <w:smartTag w:uri="urn:schemas-microsoft-com:office:smarttags" w:element="stockticker">
        <w:r w:rsidRPr="00C83045">
          <w:rPr>
            <w:color w:val="000000"/>
            <w:szCs w:val="22"/>
            <w:u w:val="single"/>
          </w:rPr>
          <w:t>ALL</w:t>
        </w:r>
      </w:smartTag>
    </w:p>
    <w:p w14:paraId="3236849B" w14:textId="77777777" w:rsidR="00591A69" w:rsidRPr="00C83045" w:rsidRDefault="00591A69" w:rsidP="00D4304B">
      <w:pPr>
        <w:widowControl w:val="0"/>
        <w:ind w:left="0" w:firstLine="0"/>
        <w:rPr>
          <w:color w:val="000000"/>
          <w:szCs w:val="22"/>
        </w:rPr>
      </w:pPr>
      <w:r w:rsidRPr="00C83045">
        <w:rPr>
          <w:i/>
          <w:color w:val="000000"/>
          <w:szCs w:val="22"/>
        </w:rPr>
        <w:t xml:space="preserve">Novodiagnostikovaná Ph+ </w:t>
      </w:r>
      <w:smartTag w:uri="urn:schemas-microsoft-com:office:smarttags" w:element="stockticker">
        <w:r w:rsidRPr="00C83045">
          <w:rPr>
            <w:i/>
            <w:color w:val="000000"/>
            <w:szCs w:val="22"/>
          </w:rPr>
          <w:t>ALL</w:t>
        </w:r>
      </w:smartTag>
      <w:r w:rsidRPr="00C83045">
        <w:rPr>
          <w:i/>
          <w:color w:val="000000"/>
          <w:szCs w:val="22"/>
        </w:rPr>
        <w:t>:</w:t>
      </w:r>
      <w:r w:rsidRPr="00C83045">
        <w:rPr>
          <w:color w:val="000000"/>
          <w:szCs w:val="22"/>
        </w:rPr>
        <w:t xml:space="preserve"> V kontrolovanom klinickom skúšaní (ADE10) porovnávajúcom imatinib a indukčnú chemoterapiu u 55 novodiagnostikovaných pacientov vo veku 55 rokov a viac sa pri imatinibe podanom ako monoterapia dosiahol významne vyšší podiel kompletnej hematologickej odpovede ako pri chemoterapii (96,3% oproti 50%; p=0,0001). Keď sa imatinib podal ako záchranná liečba pacientom, ktorí nereagovali alebo slabo reagovali na chemoterapiu, dosiahla sa kompletná hematologická odpoveď u 9 (81,8%) z 11 pacientov. Tento klinický účinok sa spájal s väčším poklesom transkriptov bcr-abl</w:t>
      </w:r>
      <w:r w:rsidRPr="00C83045">
        <w:rPr>
          <w:caps/>
          <w:color w:val="000000"/>
          <w:szCs w:val="22"/>
        </w:rPr>
        <w:t xml:space="preserve"> </w:t>
      </w:r>
      <w:r w:rsidRPr="00C83045">
        <w:rPr>
          <w:color w:val="000000"/>
          <w:szCs w:val="22"/>
        </w:rPr>
        <w:t>u pacientov liečených imatinibom</w:t>
      </w:r>
      <w:r w:rsidRPr="00C83045">
        <w:rPr>
          <w:caps/>
          <w:color w:val="000000"/>
          <w:szCs w:val="22"/>
        </w:rPr>
        <w:t xml:space="preserve"> </w:t>
      </w:r>
      <w:r w:rsidRPr="00C83045">
        <w:rPr>
          <w:color w:val="000000"/>
          <w:szCs w:val="22"/>
        </w:rPr>
        <w:t>oproti skupine liečených chemoterapiou po 2 týždňoch liečby (p=0,02). Všetci pacienti dostávali po začatí liečby imatinib a konsolidačnú chemoterapiu (pozri Tabuľku </w:t>
      </w:r>
      <w:r w:rsidR="00F07CBB" w:rsidRPr="00C83045">
        <w:rPr>
          <w:color w:val="000000"/>
          <w:szCs w:val="22"/>
        </w:rPr>
        <w:t>4</w:t>
      </w:r>
      <w:r w:rsidRPr="00C83045">
        <w:rPr>
          <w:color w:val="000000"/>
          <w:szCs w:val="22"/>
        </w:rPr>
        <w:t>) a hladiny transkriptov bcr-abl</w:t>
      </w:r>
      <w:r w:rsidRPr="00C83045">
        <w:rPr>
          <w:caps/>
          <w:color w:val="000000"/>
          <w:szCs w:val="22"/>
        </w:rPr>
        <w:t xml:space="preserve"> </w:t>
      </w:r>
      <w:r w:rsidRPr="00C83045">
        <w:rPr>
          <w:color w:val="000000"/>
          <w:szCs w:val="22"/>
        </w:rPr>
        <w:t>boli po 8 týždňoch rovnaké v obidvoch skupinách. Ako sa očakávalo vzhľadom na usporiadanie klinického skúšania, nepozoroval sa rozdiel v trvaní remisie, prežívaní bez ochorenia alebo celkovom prežívaní, hoci pacienti s kompletnou molekulárnou odpoveďou a pretrvávajúcim minimálnym zvyškovým ochorením mali lepšie výsledky z hľadiska trvania remisie (p=0,01) aj prežívania bez ochorenia (p=0,02).</w:t>
      </w:r>
    </w:p>
    <w:p w14:paraId="3236849C" w14:textId="77777777" w:rsidR="00591A69" w:rsidRPr="00C83045" w:rsidRDefault="00591A69" w:rsidP="00D4304B">
      <w:pPr>
        <w:widowControl w:val="0"/>
        <w:ind w:left="0" w:firstLine="0"/>
        <w:rPr>
          <w:color w:val="000000"/>
          <w:szCs w:val="22"/>
        </w:rPr>
      </w:pPr>
    </w:p>
    <w:p w14:paraId="3236849D" w14:textId="77777777" w:rsidR="00591A69" w:rsidRPr="00C83045" w:rsidRDefault="00591A69" w:rsidP="00D4304B">
      <w:pPr>
        <w:pStyle w:val="EndnoteText"/>
        <w:widowControl w:val="0"/>
        <w:rPr>
          <w:color w:val="000000"/>
          <w:szCs w:val="22"/>
          <w:lang w:val="sk-SK"/>
        </w:rPr>
      </w:pPr>
      <w:r w:rsidRPr="00C83045">
        <w:rPr>
          <w:color w:val="000000"/>
          <w:szCs w:val="22"/>
          <w:lang w:val="sk-SK"/>
        </w:rPr>
        <w:t xml:space="preserve">Výsledky pozorované v populácii 211 pacientov s novodiagnostikovanou Ph+ </w:t>
      </w:r>
      <w:smartTag w:uri="urn:schemas-microsoft-com:office:smarttags" w:element="stockticker">
        <w:r w:rsidRPr="00C83045">
          <w:rPr>
            <w:color w:val="000000"/>
            <w:szCs w:val="22"/>
            <w:lang w:val="sk-SK"/>
          </w:rPr>
          <w:t>ALL</w:t>
        </w:r>
      </w:smartTag>
      <w:r w:rsidRPr="00C83045">
        <w:rPr>
          <w:color w:val="000000"/>
          <w:szCs w:val="22"/>
          <w:lang w:val="sk-SK"/>
        </w:rPr>
        <w:t xml:space="preserve"> v štyroch nekontrolovaných klinických skúšaniach (AAU02, ADE04, AJP01 a AUS01) sa zhodujú s výsledkami opísanými vyššie. Pri imatinibe v kombinácii s indukčnou chemoterapiou (pozri Tabuľku </w:t>
      </w:r>
      <w:r w:rsidR="00F07CBB" w:rsidRPr="00C83045">
        <w:rPr>
          <w:color w:val="000000"/>
          <w:szCs w:val="22"/>
          <w:lang w:val="sk-SK"/>
        </w:rPr>
        <w:t>4</w:t>
      </w:r>
      <w:r w:rsidRPr="00C83045">
        <w:rPr>
          <w:color w:val="000000"/>
          <w:szCs w:val="22"/>
          <w:lang w:val="sk-SK"/>
        </w:rPr>
        <w:t>) sa dosiahol podiel kompletnej hematologickej odpovede 93% (147 zo 158 vyhodnotiteľných pacientov) a podiel veľkej cytogenetickej odpovede 90% (19 z 21 vyhodnotiteľných pacientov). Podiel kompletnej molekulárnej odpovede bol 48% (49 zo 102 vyhodnotiteľných pacientov). Prežívanie bez ochorenia (</w:t>
      </w:r>
      <w:smartTag w:uri="urn:schemas-microsoft-com:office:smarttags" w:element="stockticker">
        <w:r w:rsidRPr="00C83045">
          <w:rPr>
            <w:color w:val="000000"/>
            <w:szCs w:val="22"/>
            <w:lang w:val="sk-SK"/>
          </w:rPr>
          <w:t>DFS</w:t>
        </w:r>
      </w:smartTag>
      <w:r w:rsidRPr="00C83045">
        <w:rPr>
          <w:color w:val="000000"/>
          <w:szCs w:val="22"/>
          <w:lang w:val="sk-SK"/>
        </w:rPr>
        <w:t>) a celkové prežívanie (OS) konštantne prekračovali 1 rok a boli lepšie ako historická kontrola (</w:t>
      </w:r>
      <w:smartTag w:uri="urn:schemas-microsoft-com:office:smarttags" w:element="stockticker">
        <w:r w:rsidRPr="00C83045">
          <w:rPr>
            <w:color w:val="000000"/>
            <w:szCs w:val="22"/>
            <w:lang w:val="sk-SK"/>
          </w:rPr>
          <w:t>DFS</w:t>
        </w:r>
      </w:smartTag>
      <w:r w:rsidRPr="00C83045">
        <w:rPr>
          <w:color w:val="000000"/>
          <w:szCs w:val="22"/>
          <w:lang w:val="sk-SK"/>
        </w:rPr>
        <w:t xml:space="preserve"> p&lt;0,001; OS p&lt;0,0001) v dvoch klinických skúšaniach (AJP01 a AUS01).</w:t>
      </w:r>
    </w:p>
    <w:p w14:paraId="3236849E" w14:textId="77777777" w:rsidR="00591A69" w:rsidRPr="00C83045" w:rsidRDefault="00591A69" w:rsidP="00D4304B">
      <w:pPr>
        <w:pStyle w:val="Text"/>
        <w:widowControl w:val="0"/>
        <w:spacing w:before="0"/>
        <w:jc w:val="left"/>
        <w:rPr>
          <w:color w:val="000000"/>
          <w:sz w:val="22"/>
          <w:szCs w:val="22"/>
          <w:lang w:val="sk-SK"/>
        </w:rPr>
      </w:pPr>
    </w:p>
    <w:p w14:paraId="3236849F" w14:textId="77777777" w:rsidR="00591A69" w:rsidRPr="00C83045" w:rsidRDefault="00591A69" w:rsidP="00D4304B">
      <w:pPr>
        <w:pStyle w:val="EndnoteText"/>
        <w:keepNext/>
        <w:widowControl w:val="0"/>
        <w:tabs>
          <w:tab w:val="clear" w:pos="567"/>
          <w:tab w:val="left" w:pos="1440"/>
        </w:tabs>
        <w:rPr>
          <w:b/>
          <w:bCs/>
          <w:color w:val="000000"/>
          <w:szCs w:val="22"/>
          <w:lang w:val="sk-SK"/>
        </w:rPr>
      </w:pPr>
      <w:r w:rsidRPr="00C83045">
        <w:rPr>
          <w:b/>
          <w:bCs/>
          <w:color w:val="000000"/>
          <w:szCs w:val="22"/>
          <w:lang w:val="sk-SK"/>
        </w:rPr>
        <w:lastRenderedPageBreak/>
        <w:t>Tabuľka </w:t>
      </w:r>
      <w:r w:rsidR="00F07CBB" w:rsidRPr="00C83045">
        <w:rPr>
          <w:b/>
          <w:bCs/>
          <w:color w:val="000000"/>
          <w:szCs w:val="22"/>
          <w:lang w:val="sk-SK"/>
        </w:rPr>
        <w:t>4</w:t>
      </w:r>
      <w:r w:rsidRPr="00C83045">
        <w:rPr>
          <w:b/>
          <w:bCs/>
          <w:color w:val="000000"/>
          <w:szCs w:val="22"/>
          <w:lang w:val="sk-SK"/>
        </w:rPr>
        <w:tab/>
        <w:t>Režim c</w:t>
      </w:r>
      <w:r w:rsidRPr="00C83045">
        <w:rPr>
          <w:b/>
          <w:color w:val="000000"/>
          <w:szCs w:val="22"/>
          <w:lang w:val="sk-SK"/>
        </w:rPr>
        <w:t>hemoterapie použitý v kombinácii s imatinibom</w:t>
      </w:r>
    </w:p>
    <w:p w14:paraId="323684A0" w14:textId="77777777" w:rsidR="00591A69" w:rsidRPr="00C83045" w:rsidRDefault="00591A69" w:rsidP="00D4304B">
      <w:pPr>
        <w:pStyle w:val="EndnoteText"/>
        <w:keepNext/>
        <w:widowControl w:val="0"/>
        <w:rPr>
          <w:color w:val="000000"/>
          <w:szCs w:val="22"/>
          <w:lang w:val="sk-SK"/>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6732"/>
      </w:tblGrid>
      <w:tr w:rsidR="00591A69" w:rsidRPr="00C83045" w14:paraId="323684A2" w14:textId="77777777" w:rsidTr="00B62C3E">
        <w:trPr>
          <w:cantSplit/>
        </w:trPr>
        <w:tc>
          <w:tcPr>
            <w:tcW w:w="8880" w:type="dxa"/>
            <w:gridSpan w:val="2"/>
            <w:tcBorders>
              <w:top w:val="single" w:sz="4" w:space="0" w:color="auto"/>
              <w:bottom w:val="single" w:sz="4" w:space="0" w:color="auto"/>
            </w:tcBorders>
            <w:shd w:val="clear" w:color="auto" w:fill="auto"/>
          </w:tcPr>
          <w:p w14:paraId="323684A1"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b/>
                <w:color w:val="000000"/>
                <w:sz w:val="22"/>
                <w:szCs w:val="22"/>
                <w:lang w:val="sk-SK"/>
              </w:rPr>
              <w:t>Klinické skúšanie A</w:t>
            </w:r>
            <w:smartTag w:uri="urn:schemas-microsoft-com:office:smarttags" w:element="PersonName">
              <w:r w:rsidRPr="00C83045">
                <w:rPr>
                  <w:rFonts w:ascii="Times New Roman" w:hAnsi="Times New Roman"/>
                  <w:b/>
                  <w:color w:val="000000"/>
                  <w:sz w:val="22"/>
                  <w:szCs w:val="22"/>
                  <w:lang w:val="sk-SK"/>
                </w:rPr>
                <w:t>DE</w:t>
              </w:r>
            </w:smartTag>
            <w:r w:rsidRPr="00C83045">
              <w:rPr>
                <w:rFonts w:ascii="Times New Roman" w:hAnsi="Times New Roman"/>
                <w:b/>
                <w:color w:val="000000"/>
                <w:sz w:val="22"/>
                <w:szCs w:val="22"/>
                <w:lang w:val="sk-SK"/>
              </w:rPr>
              <w:t>10</w:t>
            </w:r>
          </w:p>
        </w:tc>
      </w:tr>
      <w:tr w:rsidR="00591A69" w:rsidRPr="00C83045" w14:paraId="323684A7" w14:textId="77777777" w:rsidTr="00B62C3E">
        <w:trPr>
          <w:cantSplit/>
        </w:trPr>
        <w:tc>
          <w:tcPr>
            <w:tcW w:w="2148" w:type="dxa"/>
            <w:tcBorders>
              <w:top w:val="single" w:sz="4" w:space="0" w:color="auto"/>
              <w:bottom w:val="single" w:sz="4" w:space="0" w:color="auto"/>
            </w:tcBorders>
            <w:shd w:val="clear" w:color="auto" w:fill="auto"/>
          </w:tcPr>
          <w:p w14:paraId="323684A3"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Prefáza</w:t>
            </w:r>
          </w:p>
        </w:tc>
        <w:tc>
          <w:tcPr>
            <w:tcW w:w="6732" w:type="dxa"/>
            <w:tcBorders>
              <w:top w:val="single" w:sz="4" w:space="0" w:color="auto"/>
              <w:bottom w:val="single" w:sz="4" w:space="0" w:color="auto"/>
            </w:tcBorders>
            <w:shd w:val="clear" w:color="auto" w:fill="auto"/>
          </w:tcPr>
          <w:p w14:paraId="323684A4"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DEX 10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1-5;</w:t>
            </w:r>
          </w:p>
          <w:p w14:paraId="323684A5"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CP 200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dni 3, 4, 5;</w:t>
            </w:r>
          </w:p>
          <w:p w14:paraId="323684A6"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MTX 12 mg intratekálne, deň 1</w:t>
            </w:r>
          </w:p>
        </w:tc>
      </w:tr>
      <w:tr w:rsidR="00591A69" w:rsidRPr="00C83045" w14:paraId="323684AE" w14:textId="77777777" w:rsidTr="00B62C3E">
        <w:trPr>
          <w:cantSplit/>
        </w:trPr>
        <w:tc>
          <w:tcPr>
            <w:tcW w:w="2148" w:type="dxa"/>
            <w:tcBorders>
              <w:top w:val="single" w:sz="4" w:space="0" w:color="auto"/>
              <w:bottom w:val="single" w:sz="4" w:space="0" w:color="auto"/>
            </w:tcBorders>
            <w:shd w:val="clear" w:color="auto" w:fill="auto"/>
          </w:tcPr>
          <w:p w14:paraId="323684A8"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Indukcia remisie</w:t>
            </w:r>
          </w:p>
        </w:tc>
        <w:tc>
          <w:tcPr>
            <w:tcW w:w="6732" w:type="dxa"/>
            <w:tcBorders>
              <w:top w:val="single" w:sz="4" w:space="0" w:color="auto"/>
              <w:bottom w:val="single" w:sz="4" w:space="0" w:color="auto"/>
            </w:tcBorders>
            <w:shd w:val="clear" w:color="auto" w:fill="auto"/>
          </w:tcPr>
          <w:p w14:paraId="323684A9"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DEX 10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6-7, 13-16;</w:t>
            </w:r>
          </w:p>
          <w:p w14:paraId="323684AA"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VCR 1 mg i.v., dni 7, 14;</w:t>
            </w:r>
          </w:p>
          <w:p w14:paraId="323684AB"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IDA 8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(0,5 h), dni 7, 8, 14, 15;</w:t>
            </w:r>
          </w:p>
          <w:p w14:paraId="323684AC"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CP 500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i.v.(1 h) deň 1;</w:t>
            </w:r>
          </w:p>
          <w:p w14:paraId="323684AD"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Ara-C 60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dni 22-25, 29-32</w:t>
            </w:r>
          </w:p>
        </w:tc>
      </w:tr>
      <w:tr w:rsidR="00591A69" w:rsidRPr="00C83045" w14:paraId="323684B2" w14:textId="77777777" w:rsidTr="00B62C3E">
        <w:trPr>
          <w:cantSplit/>
        </w:trPr>
        <w:tc>
          <w:tcPr>
            <w:tcW w:w="2148" w:type="dxa"/>
            <w:tcBorders>
              <w:top w:val="single" w:sz="4" w:space="0" w:color="auto"/>
              <w:bottom w:val="single" w:sz="4" w:space="0" w:color="auto"/>
            </w:tcBorders>
            <w:shd w:val="clear" w:color="auto" w:fill="auto"/>
          </w:tcPr>
          <w:p w14:paraId="323684AF"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 xml:space="preserve">Konsolidačná liečba I, </w:t>
            </w:r>
            <w:smartTag w:uri="urn:schemas-microsoft-com:office:smarttags" w:element="stockticker">
              <w:r w:rsidRPr="00C83045">
                <w:rPr>
                  <w:rFonts w:ascii="Times New Roman" w:hAnsi="Times New Roman"/>
                  <w:color w:val="000000"/>
                  <w:sz w:val="22"/>
                  <w:szCs w:val="22"/>
                  <w:lang w:val="sk-SK"/>
                </w:rPr>
                <w:t>III</w:t>
              </w:r>
            </w:smartTag>
            <w:r w:rsidRPr="00C83045">
              <w:rPr>
                <w:rFonts w:ascii="Times New Roman" w:hAnsi="Times New Roman"/>
                <w:color w:val="000000"/>
                <w:sz w:val="22"/>
                <w:szCs w:val="22"/>
                <w:lang w:val="sk-SK"/>
              </w:rPr>
              <w:t>, V</w:t>
            </w:r>
          </w:p>
        </w:tc>
        <w:tc>
          <w:tcPr>
            <w:tcW w:w="6732" w:type="dxa"/>
            <w:tcBorders>
              <w:top w:val="single" w:sz="4" w:space="0" w:color="auto"/>
              <w:bottom w:val="single" w:sz="4" w:space="0" w:color="auto"/>
            </w:tcBorders>
            <w:shd w:val="clear" w:color="auto" w:fill="auto"/>
          </w:tcPr>
          <w:p w14:paraId="323684B0"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smartTag w:uri="urn:schemas-microsoft-com:office:smarttags" w:element="stockticker">
              <w:r w:rsidRPr="00C83045">
                <w:rPr>
                  <w:rFonts w:ascii="Times New Roman" w:hAnsi="Times New Roman"/>
                  <w:color w:val="000000"/>
                  <w:sz w:val="22"/>
                  <w:szCs w:val="22"/>
                  <w:lang w:val="sk-SK"/>
                </w:rPr>
                <w:t>MTX</w:t>
              </w:r>
            </w:smartTag>
            <w:r w:rsidRPr="00C83045">
              <w:rPr>
                <w:rFonts w:ascii="Times New Roman" w:hAnsi="Times New Roman"/>
                <w:color w:val="000000"/>
                <w:sz w:val="22"/>
                <w:szCs w:val="22"/>
                <w:lang w:val="sk-SK"/>
              </w:rPr>
              <w:t xml:space="preserve"> 500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(24 h), dni 1, 15;</w:t>
            </w:r>
          </w:p>
          <w:p w14:paraId="323684B1"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6-MP 25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1-20</w:t>
            </w:r>
          </w:p>
        </w:tc>
      </w:tr>
      <w:tr w:rsidR="00591A69" w:rsidRPr="00C83045" w14:paraId="323684B6" w14:textId="77777777" w:rsidTr="00B62C3E">
        <w:trPr>
          <w:cantSplit/>
        </w:trPr>
        <w:tc>
          <w:tcPr>
            <w:tcW w:w="2148" w:type="dxa"/>
            <w:tcBorders>
              <w:top w:val="single" w:sz="4" w:space="0" w:color="auto"/>
              <w:bottom w:val="single" w:sz="4" w:space="0" w:color="auto"/>
            </w:tcBorders>
            <w:shd w:val="clear" w:color="auto" w:fill="auto"/>
          </w:tcPr>
          <w:p w14:paraId="323684B3"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Konsolidačná liečba II, IV</w:t>
            </w:r>
          </w:p>
        </w:tc>
        <w:tc>
          <w:tcPr>
            <w:tcW w:w="6732" w:type="dxa"/>
            <w:tcBorders>
              <w:top w:val="single" w:sz="4" w:space="0" w:color="auto"/>
              <w:bottom w:val="single" w:sz="4" w:space="0" w:color="auto"/>
            </w:tcBorders>
            <w:shd w:val="clear" w:color="auto" w:fill="auto"/>
          </w:tcPr>
          <w:p w14:paraId="323684B4"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Ara-C 75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(1 h), dni 1-5;</w:t>
            </w:r>
          </w:p>
          <w:p w14:paraId="323684B5"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VM26 60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(1 h), dni 1-5</w:t>
            </w:r>
          </w:p>
        </w:tc>
      </w:tr>
      <w:tr w:rsidR="00591A69" w:rsidRPr="00C83045" w14:paraId="323684B8" w14:textId="77777777" w:rsidTr="00B62C3E">
        <w:trPr>
          <w:cantSplit/>
        </w:trPr>
        <w:tc>
          <w:tcPr>
            <w:tcW w:w="8880" w:type="dxa"/>
            <w:gridSpan w:val="2"/>
            <w:tcBorders>
              <w:top w:val="single" w:sz="4" w:space="0" w:color="auto"/>
              <w:bottom w:val="single" w:sz="4" w:space="0" w:color="auto"/>
            </w:tcBorders>
            <w:shd w:val="clear" w:color="auto" w:fill="auto"/>
          </w:tcPr>
          <w:p w14:paraId="323684B7"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b/>
                <w:color w:val="000000"/>
                <w:sz w:val="22"/>
                <w:szCs w:val="22"/>
                <w:lang w:val="sk-SK"/>
              </w:rPr>
              <w:t>Klinické skúšanie AAU02</w:t>
            </w:r>
          </w:p>
        </w:tc>
      </w:tr>
      <w:tr w:rsidR="00591A69" w:rsidRPr="00C83045" w14:paraId="323684C2" w14:textId="77777777" w:rsidTr="00B62C3E">
        <w:trPr>
          <w:cantSplit/>
        </w:trPr>
        <w:tc>
          <w:tcPr>
            <w:tcW w:w="2148" w:type="dxa"/>
            <w:tcBorders>
              <w:top w:val="single" w:sz="4" w:space="0" w:color="auto"/>
              <w:bottom w:val="single" w:sz="4" w:space="0" w:color="auto"/>
            </w:tcBorders>
            <w:shd w:val="clear" w:color="auto" w:fill="auto"/>
          </w:tcPr>
          <w:p w14:paraId="323684B9"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Indukčná liečba (</w:t>
            </w:r>
            <w:r w:rsidRPr="00C83045">
              <w:rPr>
                <w:rFonts w:ascii="Times New Roman" w:hAnsi="Times New Roman"/>
                <w:i/>
                <w:color w:val="000000"/>
                <w:sz w:val="22"/>
                <w:szCs w:val="22"/>
                <w:lang w:val="sk-SK"/>
              </w:rPr>
              <w:t>de novo</w:t>
            </w:r>
            <w:r w:rsidRPr="00C83045">
              <w:rPr>
                <w:rFonts w:ascii="Times New Roman" w:hAnsi="Times New Roman"/>
                <w:color w:val="000000"/>
                <w:sz w:val="22"/>
                <w:szCs w:val="22"/>
                <w:lang w:val="sk-SK"/>
              </w:rPr>
              <w:t xml:space="preserve"> Ph+ </w:t>
            </w:r>
            <w:smartTag w:uri="urn:schemas-microsoft-com:office:smarttags" w:element="stockticker">
              <w:r w:rsidRPr="00C83045">
                <w:rPr>
                  <w:rFonts w:ascii="Times New Roman" w:hAnsi="Times New Roman"/>
                  <w:color w:val="000000"/>
                  <w:sz w:val="22"/>
                  <w:szCs w:val="22"/>
                  <w:lang w:val="sk-SK"/>
                </w:rPr>
                <w:t>ALL</w:t>
              </w:r>
            </w:smartTag>
            <w:r w:rsidRPr="00C83045">
              <w:rPr>
                <w:rFonts w:ascii="Times New Roman" w:hAnsi="Times New Roman"/>
                <w:color w:val="000000"/>
                <w:sz w:val="22"/>
                <w:szCs w:val="22"/>
                <w:lang w:val="sk-SK"/>
              </w:rPr>
              <w:t>)</w:t>
            </w:r>
          </w:p>
        </w:tc>
        <w:tc>
          <w:tcPr>
            <w:tcW w:w="6732" w:type="dxa"/>
            <w:tcBorders>
              <w:top w:val="single" w:sz="4" w:space="0" w:color="auto"/>
              <w:bottom w:val="single" w:sz="4" w:space="0" w:color="auto"/>
            </w:tcBorders>
            <w:shd w:val="clear" w:color="auto" w:fill="auto"/>
          </w:tcPr>
          <w:p w14:paraId="323684BA"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Daunorubicín 30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dni 1-3, 15-16;</w:t>
            </w:r>
          </w:p>
          <w:p w14:paraId="323684BB"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VCR 2 mg celková dávka i.v., dni 1, 8, 15, 22;</w:t>
            </w:r>
          </w:p>
          <w:p w14:paraId="323684BC"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CP 750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dni 1, 8;</w:t>
            </w:r>
          </w:p>
          <w:p w14:paraId="323684BD"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Prednizón 60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1-7, 15-21;</w:t>
            </w:r>
          </w:p>
          <w:p w14:paraId="323684BE"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IDA 9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1-28;</w:t>
            </w:r>
          </w:p>
          <w:p w14:paraId="323684BF"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MTX 15 mg intratekálne, dni 1, 8, 15, 22;</w:t>
            </w:r>
          </w:p>
          <w:p w14:paraId="323684C0"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Ara-C 40 mg intratekálne, dni 1, 8, 15, 22;</w:t>
            </w:r>
          </w:p>
          <w:p w14:paraId="323684C1"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Metylprednizolón 40 mg intratekálne, dni 1, 8, 15, 22</w:t>
            </w:r>
          </w:p>
        </w:tc>
      </w:tr>
      <w:tr w:rsidR="00591A69" w:rsidRPr="00C83045" w14:paraId="323684C8" w14:textId="77777777" w:rsidTr="00B62C3E">
        <w:trPr>
          <w:cantSplit/>
        </w:trPr>
        <w:tc>
          <w:tcPr>
            <w:tcW w:w="2148" w:type="dxa"/>
            <w:tcBorders>
              <w:top w:val="single" w:sz="4" w:space="0" w:color="auto"/>
              <w:bottom w:val="single" w:sz="4" w:space="0" w:color="auto"/>
            </w:tcBorders>
            <w:shd w:val="clear" w:color="auto" w:fill="auto"/>
          </w:tcPr>
          <w:p w14:paraId="323684C3" w14:textId="77777777" w:rsidR="00591A69" w:rsidRPr="00C83045" w:rsidRDefault="00591A69" w:rsidP="00B62C3E">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Konsolidácia (</w:t>
            </w:r>
            <w:r w:rsidRPr="00C83045">
              <w:rPr>
                <w:rFonts w:ascii="Times New Roman" w:hAnsi="Times New Roman"/>
                <w:i/>
                <w:color w:val="000000"/>
                <w:sz w:val="22"/>
                <w:szCs w:val="22"/>
                <w:lang w:val="sk-SK"/>
              </w:rPr>
              <w:t>de novo</w:t>
            </w:r>
            <w:r w:rsidRPr="00C83045">
              <w:rPr>
                <w:rFonts w:ascii="Times New Roman" w:hAnsi="Times New Roman"/>
                <w:color w:val="000000"/>
                <w:sz w:val="22"/>
                <w:szCs w:val="22"/>
                <w:lang w:val="sk-SK"/>
              </w:rPr>
              <w:t xml:space="preserve"> Ph+ </w:t>
            </w:r>
            <w:smartTag w:uri="urn:schemas-microsoft-com:office:smarttags" w:element="stockticker">
              <w:r w:rsidRPr="00C83045">
                <w:rPr>
                  <w:rFonts w:ascii="Times New Roman" w:hAnsi="Times New Roman"/>
                  <w:color w:val="000000"/>
                  <w:sz w:val="22"/>
                  <w:szCs w:val="22"/>
                  <w:lang w:val="sk-SK"/>
                </w:rPr>
                <w:t>ALL</w:t>
              </w:r>
            </w:smartTag>
            <w:r w:rsidRPr="00C83045">
              <w:rPr>
                <w:rFonts w:ascii="Times New Roman" w:hAnsi="Times New Roman"/>
                <w:color w:val="000000"/>
                <w:sz w:val="22"/>
                <w:szCs w:val="22"/>
                <w:lang w:val="sk-SK"/>
              </w:rPr>
              <w:t>)</w:t>
            </w:r>
          </w:p>
        </w:tc>
        <w:tc>
          <w:tcPr>
            <w:tcW w:w="6732" w:type="dxa"/>
            <w:tcBorders>
              <w:top w:val="single" w:sz="4" w:space="0" w:color="auto"/>
              <w:bottom w:val="single" w:sz="4" w:space="0" w:color="auto"/>
            </w:tcBorders>
            <w:shd w:val="clear" w:color="auto" w:fill="auto"/>
          </w:tcPr>
          <w:p w14:paraId="323684C4" w14:textId="77777777" w:rsidR="00591A69" w:rsidRPr="00C83045" w:rsidRDefault="00591A69" w:rsidP="00B62C3E">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Ara-C 1 000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/12 h i.v.(3 h), dni 1-4;</w:t>
            </w:r>
          </w:p>
          <w:p w14:paraId="323684C5" w14:textId="77777777" w:rsidR="00591A69" w:rsidRPr="00C83045" w:rsidRDefault="00591A69" w:rsidP="00B62C3E">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Mitoxantrón 10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dni 3-5;</w:t>
            </w:r>
          </w:p>
          <w:p w14:paraId="323684C6" w14:textId="77777777" w:rsidR="00591A69" w:rsidRPr="00C83045" w:rsidRDefault="00591A69" w:rsidP="00B62C3E">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MTX 15 mg intratekálne, deň 1;</w:t>
            </w:r>
          </w:p>
          <w:p w14:paraId="323684C7" w14:textId="77777777" w:rsidR="00591A69" w:rsidRPr="00C83045" w:rsidRDefault="00591A69" w:rsidP="00B62C3E">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Metylprednizolón 40 mg intratekálne, deň 1</w:t>
            </w:r>
          </w:p>
        </w:tc>
      </w:tr>
      <w:tr w:rsidR="00591A69" w:rsidRPr="00C83045" w14:paraId="323684CA" w14:textId="77777777" w:rsidTr="00B62C3E">
        <w:trPr>
          <w:cantSplit/>
        </w:trPr>
        <w:tc>
          <w:tcPr>
            <w:tcW w:w="8880" w:type="dxa"/>
            <w:gridSpan w:val="2"/>
            <w:tcBorders>
              <w:top w:val="single" w:sz="4" w:space="0" w:color="auto"/>
              <w:bottom w:val="single" w:sz="4" w:space="0" w:color="auto"/>
            </w:tcBorders>
            <w:shd w:val="clear" w:color="auto" w:fill="auto"/>
          </w:tcPr>
          <w:p w14:paraId="323684C9"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b/>
                <w:color w:val="000000"/>
                <w:sz w:val="22"/>
                <w:szCs w:val="22"/>
                <w:lang w:val="sk-SK"/>
              </w:rPr>
              <w:t>Klinické skúšanie A</w:t>
            </w:r>
            <w:smartTag w:uri="urn:schemas-microsoft-com:office:smarttags" w:element="PersonName">
              <w:r w:rsidRPr="00C83045">
                <w:rPr>
                  <w:rFonts w:ascii="Times New Roman" w:hAnsi="Times New Roman"/>
                  <w:b/>
                  <w:color w:val="000000"/>
                  <w:sz w:val="22"/>
                  <w:szCs w:val="22"/>
                  <w:lang w:val="sk-SK"/>
                </w:rPr>
                <w:t>DE</w:t>
              </w:r>
            </w:smartTag>
            <w:r w:rsidRPr="00C83045">
              <w:rPr>
                <w:rFonts w:ascii="Times New Roman" w:hAnsi="Times New Roman"/>
                <w:b/>
                <w:color w:val="000000"/>
                <w:sz w:val="22"/>
                <w:szCs w:val="22"/>
                <w:lang w:val="sk-SK"/>
              </w:rPr>
              <w:t>04</w:t>
            </w:r>
          </w:p>
        </w:tc>
      </w:tr>
      <w:tr w:rsidR="00591A69" w:rsidRPr="00C83045" w14:paraId="323684CF" w14:textId="77777777" w:rsidTr="00B62C3E">
        <w:trPr>
          <w:cantSplit/>
        </w:trPr>
        <w:tc>
          <w:tcPr>
            <w:tcW w:w="2148" w:type="dxa"/>
            <w:tcBorders>
              <w:top w:val="single" w:sz="4" w:space="0" w:color="auto"/>
              <w:bottom w:val="single" w:sz="4" w:space="0" w:color="auto"/>
            </w:tcBorders>
            <w:shd w:val="clear" w:color="auto" w:fill="auto"/>
          </w:tcPr>
          <w:p w14:paraId="323684CB"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Prefáza</w:t>
            </w:r>
          </w:p>
        </w:tc>
        <w:tc>
          <w:tcPr>
            <w:tcW w:w="6732" w:type="dxa"/>
            <w:tcBorders>
              <w:top w:val="single" w:sz="4" w:space="0" w:color="auto"/>
              <w:bottom w:val="single" w:sz="4" w:space="0" w:color="auto"/>
            </w:tcBorders>
            <w:shd w:val="clear" w:color="auto" w:fill="auto"/>
          </w:tcPr>
          <w:p w14:paraId="323684CC"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DEX 10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1-5;</w:t>
            </w:r>
          </w:p>
          <w:p w14:paraId="323684CD"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CP 200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dni 3-5;</w:t>
            </w:r>
          </w:p>
          <w:p w14:paraId="323684CE"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MTX 15 mg intratekálne, deň 1</w:t>
            </w:r>
          </w:p>
        </w:tc>
      </w:tr>
      <w:tr w:rsidR="00591A69" w:rsidRPr="00C83045" w14:paraId="323684D4" w14:textId="77777777" w:rsidTr="00B62C3E">
        <w:trPr>
          <w:cantSplit/>
        </w:trPr>
        <w:tc>
          <w:tcPr>
            <w:tcW w:w="2148" w:type="dxa"/>
            <w:tcBorders>
              <w:top w:val="single" w:sz="4" w:space="0" w:color="auto"/>
              <w:bottom w:val="single" w:sz="4" w:space="0" w:color="auto"/>
            </w:tcBorders>
            <w:shd w:val="clear" w:color="auto" w:fill="auto"/>
          </w:tcPr>
          <w:p w14:paraId="323684D0"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Indukčná liečba I</w:t>
            </w:r>
          </w:p>
        </w:tc>
        <w:tc>
          <w:tcPr>
            <w:tcW w:w="6732" w:type="dxa"/>
            <w:tcBorders>
              <w:top w:val="single" w:sz="4" w:space="0" w:color="auto"/>
              <w:bottom w:val="single" w:sz="4" w:space="0" w:color="auto"/>
            </w:tcBorders>
            <w:shd w:val="clear" w:color="auto" w:fill="auto"/>
          </w:tcPr>
          <w:p w14:paraId="323684D1"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DEX 10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1-5;</w:t>
            </w:r>
          </w:p>
          <w:p w14:paraId="323684D2"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VCR 2 mg i.v., dni 6, 13, 20;</w:t>
            </w:r>
          </w:p>
          <w:p w14:paraId="323684D3"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Daunorubicín 45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dni 6-7, 13-14</w:t>
            </w:r>
          </w:p>
        </w:tc>
      </w:tr>
      <w:tr w:rsidR="00591A69" w:rsidRPr="00C83045" w14:paraId="323684D9" w14:textId="77777777" w:rsidTr="00B62C3E">
        <w:trPr>
          <w:cantSplit/>
        </w:trPr>
        <w:tc>
          <w:tcPr>
            <w:tcW w:w="2148" w:type="dxa"/>
            <w:tcBorders>
              <w:top w:val="single" w:sz="4" w:space="0" w:color="auto"/>
              <w:bottom w:val="single" w:sz="4" w:space="0" w:color="auto"/>
            </w:tcBorders>
            <w:shd w:val="clear" w:color="auto" w:fill="auto"/>
          </w:tcPr>
          <w:p w14:paraId="323684D5"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Indukčná liečba II</w:t>
            </w:r>
          </w:p>
        </w:tc>
        <w:tc>
          <w:tcPr>
            <w:tcW w:w="6732" w:type="dxa"/>
            <w:tcBorders>
              <w:top w:val="single" w:sz="4" w:space="0" w:color="auto"/>
              <w:bottom w:val="single" w:sz="4" w:space="0" w:color="auto"/>
            </w:tcBorders>
            <w:shd w:val="clear" w:color="auto" w:fill="auto"/>
          </w:tcPr>
          <w:p w14:paraId="323684D6"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CP 1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(1 h), dni 26, 46;</w:t>
            </w:r>
          </w:p>
          <w:p w14:paraId="323684D7"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Ara-C 75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(1 h), dni 28-31, 35-38, 42-45;</w:t>
            </w:r>
          </w:p>
          <w:p w14:paraId="323684D8"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6-MP 60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26-46</w:t>
            </w:r>
          </w:p>
        </w:tc>
      </w:tr>
      <w:tr w:rsidR="00591A69" w:rsidRPr="00C83045" w14:paraId="323684E0" w14:textId="77777777" w:rsidTr="00B62C3E">
        <w:trPr>
          <w:cantSplit/>
        </w:trPr>
        <w:tc>
          <w:tcPr>
            <w:tcW w:w="2148" w:type="dxa"/>
            <w:tcBorders>
              <w:top w:val="nil"/>
              <w:bottom w:val="single" w:sz="4" w:space="0" w:color="auto"/>
            </w:tcBorders>
            <w:shd w:val="clear" w:color="auto" w:fill="auto"/>
          </w:tcPr>
          <w:p w14:paraId="323684DA" w14:textId="77777777" w:rsidR="00591A69" w:rsidRPr="00C83045" w:rsidRDefault="00591A69" w:rsidP="00B62C3E">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Konsolidačná liečba</w:t>
            </w:r>
          </w:p>
        </w:tc>
        <w:tc>
          <w:tcPr>
            <w:tcW w:w="6732" w:type="dxa"/>
            <w:tcBorders>
              <w:top w:val="nil"/>
              <w:bottom w:val="single" w:sz="4" w:space="0" w:color="auto"/>
            </w:tcBorders>
            <w:shd w:val="clear" w:color="auto" w:fill="auto"/>
          </w:tcPr>
          <w:p w14:paraId="323684DB" w14:textId="77777777" w:rsidR="00591A69" w:rsidRPr="00C83045" w:rsidRDefault="00591A69" w:rsidP="00B62C3E">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DEX 10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1-5;</w:t>
            </w:r>
          </w:p>
          <w:p w14:paraId="323684DC" w14:textId="77777777" w:rsidR="00591A69" w:rsidRPr="00C83045" w:rsidRDefault="00591A69" w:rsidP="00B62C3E">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Vindezín 3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deň 1;</w:t>
            </w:r>
          </w:p>
          <w:p w14:paraId="323684DD" w14:textId="77777777" w:rsidR="00591A69" w:rsidRPr="00C83045" w:rsidRDefault="00591A69" w:rsidP="00B62C3E">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MTX 1,5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(24 h), deň 1;</w:t>
            </w:r>
          </w:p>
          <w:p w14:paraId="323684DE" w14:textId="77777777" w:rsidR="00591A69" w:rsidRPr="00C83045" w:rsidRDefault="00591A69" w:rsidP="00B62C3E">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Etopozid 250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(1 h) dni 4-5;</w:t>
            </w:r>
          </w:p>
          <w:p w14:paraId="323684DF" w14:textId="77777777" w:rsidR="00591A69" w:rsidRPr="00C83045" w:rsidRDefault="00591A69" w:rsidP="00B62C3E">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Ara-C 2x 2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(3 h, q 12 h), deň 5</w:t>
            </w:r>
          </w:p>
        </w:tc>
      </w:tr>
      <w:tr w:rsidR="00591A69" w:rsidRPr="00C83045" w14:paraId="323684E2" w14:textId="77777777" w:rsidTr="00B62C3E">
        <w:trPr>
          <w:cantSplit/>
        </w:trPr>
        <w:tc>
          <w:tcPr>
            <w:tcW w:w="8880" w:type="dxa"/>
            <w:gridSpan w:val="2"/>
            <w:tcBorders>
              <w:top w:val="nil"/>
              <w:bottom w:val="single" w:sz="4" w:space="0" w:color="auto"/>
            </w:tcBorders>
            <w:shd w:val="clear" w:color="auto" w:fill="auto"/>
          </w:tcPr>
          <w:p w14:paraId="323684E1"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b/>
                <w:color w:val="000000"/>
                <w:sz w:val="22"/>
                <w:szCs w:val="22"/>
                <w:lang w:val="sk-SK"/>
              </w:rPr>
              <w:t>Klinické skúšanie AJP01</w:t>
            </w:r>
          </w:p>
        </w:tc>
      </w:tr>
      <w:tr w:rsidR="00591A69" w:rsidRPr="00C83045" w14:paraId="323684E8" w14:textId="77777777" w:rsidTr="00B62C3E">
        <w:trPr>
          <w:cantSplit/>
        </w:trPr>
        <w:tc>
          <w:tcPr>
            <w:tcW w:w="2148" w:type="dxa"/>
            <w:tcBorders>
              <w:top w:val="nil"/>
              <w:bottom w:val="single" w:sz="4" w:space="0" w:color="auto"/>
            </w:tcBorders>
            <w:shd w:val="clear" w:color="auto" w:fill="auto"/>
          </w:tcPr>
          <w:p w14:paraId="323684E3" w14:textId="77777777" w:rsidR="00591A69" w:rsidRPr="00C83045" w:rsidRDefault="00591A69" w:rsidP="00B62C3E">
            <w:pPr>
              <w:pStyle w:val="Table"/>
              <w:keepLines w:val="0"/>
              <w:widowControl w:val="0"/>
              <w:spacing w:before="0" w:after="0"/>
              <w:jc w:val="both"/>
              <w:rPr>
                <w:rFonts w:ascii="Times New Roman" w:hAnsi="Times New Roman"/>
                <w:color w:val="000000"/>
                <w:sz w:val="22"/>
                <w:szCs w:val="22"/>
                <w:lang w:val="sk-SK"/>
              </w:rPr>
            </w:pPr>
            <w:r w:rsidRPr="00C83045">
              <w:rPr>
                <w:rFonts w:ascii="Times New Roman" w:hAnsi="Times New Roman"/>
                <w:color w:val="000000"/>
                <w:sz w:val="22"/>
                <w:szCs w:val="22"/>
                <w:lang w:val="sk-SK"/>
              </w:rPr>
              <w:t>Indukčná liečba</w:t>
            </w:r>
          </w:p>
        </w:tc>
        <w:tc>
          <w:tcPr>
            <w:tcW w:w="6732" w:type="dxa"/>
            <w:tcBorders>
              <w:top w:val="nil"/>
              <w:bottom w:val="single" w:sz="4" w:space="0" w:color="auto"/>
            </w:tcBorders>
            <w:shd w:val="clear" w:color="auto" w:fill="auto"/>
          </w:tcPr>
          <w:p w14:paraId="323684E4"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CP 1,2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(3 h), deň 1;</w:t>
            </w:r>
          </w:p>
          <w:p w14:paraId="323684E5"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Daunorubicín 60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(1 h), dni 1-3;</w:t>
            </w:r>
          </w:p>
          <w:p w14:paraId="323684E6"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Vinkristín 1,3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dni 1, 8, 15, 21;</w:t>
            </w:r>
          </w:p>
          <w:p w14:paraId="323684E7"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Prednizolón 60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/deň perorálne</w:t>
            </w:r>
          </w:p>
        </w:tc>
      </w:tr>
      <w:tr w:rsidR="00591A69" w:rsidRPr="00C83045" w14:paraId="323684EB" w14:textId="77777777" w:rsidTr="00B62C3E">
        <w:trPr>
          <w:cantSplit/>
        </w:trPr>
        <w:tc>
          <w:tcPr>
            <w:tcW w:w="2148" w:type="dxa"/>
            <w:tcBorders>
              <w:top w:val="single" w:sz="4" w:space="0" w:color="auto"/>
              <w:bottom w:val="single" w:sz="4" w:space="0" w:color="auto"/>
            </w:tcBorders>
            <w:shd w:val="clear" w:color="auto" w:fill="auto"/>
          </w:tcPr>
          <w:p w14:paraId="323684E9" w14:textId="77777777" w:rsidR="00591A69" w:rsidRPr="00C83045" w:rsidRDefault="00591A69" w:rsidP="00B62C3E">
            <w:pPr>
              <w:pStyle w:val="Table"/>
              <w:keepLines w:val="0"/>
              <w:widowControl w:val="0"/>
              <w:tabs>
                <w:tab w:val="left" w:pos="0"/>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Konsolidačná liečba</w:t>
            </w:r>
          </w:p>
        </w:tc>
        <w:tc>
          <w:tcPr>
            <w:tcW w:w="6732" w:type="dxa"/>
            <w:tcBorders>
              <w:top w:val="single" w:sz="4" w:space="0" w:color="auto"/>
              <w:bottom w:val="single" w:sz="4" w:space="0" w:color="auto"/>
            </w:tcBorders>
            <w:shd w:val="clear" w:color="auto" w:fill="auto"/>
          </w:tcPr>
          <w:p w14:paraId="323684EA" w14:textId="77777777" w:rsidR="00591A69" w:rsidRPr="00C83045" w:rsidRDefault="00591A69" w:rsidP="00B62C3E">
            <w:pPr>
              <w:pStyle w:val="Table"/>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 xml:space="preserve">Striedavý cyklus chemoterapie: chemoterapia vysokými dávkami </w:t>
            </w:r>
            <w:smartTag w:uri="urn:schemas-microsoft-com:office:smarttags" w:element="stockticker">
              <w:r w:rsidRPr="00C83045">
                <w:rPr>
                  <w:rFonts w:ascii="Times New Roman" w:hAnsi="Times New Roman"/>
                  <w:color w:val="000000"/>
                  <w:sz w:val="22"/>
                  <w:szCs w:val="22"/>
                  <w:lang w:val="sk-SK"/>
                </w:rPr>
                <w:t>MTX</w:t>
              </w:r>
            </w:smartTag>
            <w:r w:rsidRPr="00C83045">
              <w:rPr>
                <w:rFonts w:ascii="Times New Roman" w:hAnsi="Times New Roman"/>
                <w:color w:val="000000"/>
                <w:sz w:val="22"/>
                <w:szCs w:val="22"/>
                <w:lang w:val="sk-SK"/>
              </w:rPr>
              <w:t xml:space="preserve"> 1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(24 h), deň 1, a Ara-C 2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(q 12 h), dni 2-3, počas 4 cyklov</w:t>
            </w:r>
          </w:p>
        </w:tc>
      </w:tr>
      <w:tr w:rsidR="00591A69" w:rsidRPr="00C83045" w14:paraId="323684EF" w14:textId="77777777" w:rsidTr="00B62C3E">
        <w:trPr>
          <w:cantSplit/>
        </w:trPr>
        <w:tc>
          <w:tcPr>
            <w:tcW w:w="2148" w:type="dxa"/>
            <w:tcBorders>
              <w:top w:val="single" w:sz="4" w:space="0" w:color="auto"/>
              <w:bottom w:val="single" w:sz="4" w:space="0" w:color="auto"/>
            </w:tcBorders>
            <w:shd w:val="clear" w:color="auto" w:fill="auto"/>
          </w:tcPr>
          <w:p w14:paraId="323684EC" w14:textId="77777777" w:rsidR="00591A69" w:rsidRPr="00C83045" w:rsidRDefault="00591A69" w:rsidP="00B62C3E">
            <w:pPr>
              <w:pStyle w:val="Table"/>
              <w:keepNext w:val="0"/>
              <w:keepLines w:val="0"/>
              <w:widowControl w:val="0"/>
              <w:tabs>
                <w:tab w:val="left" w:pos="0"/>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Udržiavacia liečba</w:t>
            </w:r>
          </w:p>
        </w:tc>
        <w:tc>
          <w:tcPr>
            <w:tcW w:w="6732" w:type="dxa"/>
            <w:tcBorders>
              <w:top w:val="single" w:sz="4" w:space="0" w:color="auto"/>
              <w:bottom w:val="single" w:sz="4" w:space="0" w:color="auto"/>
            </w:tcBorders>
            <w:shd w:val="clear" w:color="auto" w:fill="auto"/>
          </w:tcPr>
          <w:p w14:paraId="323684ED" w14:textId="77777777" w:rsidR="00591A69" w:rsidRPr="00C83045" w:rsidRDefault="00591A69" w:rsidP="00B62C3E">
            <w:pPr>
              <w:pStyle w:val="Table"/>
              <w:keepNext w:val="0"/>
              <w:keepLines w:val="0"/>
              <w:widowControl w:val="0"/>
              <w:spacing w:before="0" w:after="0"/>
              <w:rPr>
                <w:rFonts w:ascii="Times New Roman" w:hAnsi="Times New Roman"/>
                <w:color w:val="000000"/>
                <w:sz w:val="22"/>
                <w:szCs w:val="22"/>
                <w:lang w:val="sk-SK"/>
              </w:rPr>
            </w:pPr>
            <w:smartTag w:uri="urn:schemas-microsoft-com:office:smarttags" w:element="stockticker">
              <w:r w:rsidRPr="00C83045">
                <w:rPr>
                  <w:rFonts w:ascii="Times New Roman" w:hAnsi="Times New Roman"/>
                  <w:color w:val="000000"/>
                  <w:sz w:val="22"/>
                  <w:szCs w:val="22"/>
                  <w:lang w:val="sk-SK"/>
                </w:rPr>
                <w:t>VCR</w:t>
              </w:r>
            </w:smartTag>
            <w:r w:rsidRPr="00C83045">
              <w:rPr>
                <w:rFonts w:ascii="Times New Roman" w:hAnsi="Times New Roman"/>
                <w:color w:val="000000"/>
                <w:sz w:val="22"/>
                <w:szCs w:val="22"/>
                <w:lang w:val="sk-SK"/>
              </w:rPr>
              <w:t xml:space="preserve"> 1,3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deň 1;</w:t>
            </w:r>
          </w:p>
          <w:p w14:paraId="323684EE" w14:textId="77777777" w:rsidR="00591A69" w:rsidRPr="00C83045" w:rsidRDefault="00591A69" w:rsidP="00B62C3E">
            <w:pPr>
              <w:pStyle w:val="Table"/>
              <w:keepNext w:val="0"/>
              <w:keepLines w:val="0"/>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Prednizolón 60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perorálne, dni 1-5</w:t>
            </w:r>
          </w:p>
        </w:tc>
      </w:tr>
      <w:tr w:rsidR="00591A69" w:rsidRPr="00C83045" w14:paraId="323684F1" w14:textId="77777777" w:rsidTr="00B62C3E">
        <w:trPr>
          <w:cantSplit/>
        </w:trPr>
        <w:tc>
          <w:tcPr>
            <w:tcW w:w="8880" w:type="dxa"/>
            <w:gridSpan w:val="2"/>
            <w:tcBorders>
              <w:top w:val="single" w:sz="4" w:space="0" w:color="auto"/>
              <w:bottom w:val="single" w:sz="4" w:space="0" w:color="auto"/>
            </w:tcBorders>
            <w:shd w:val="clear" w:color="auto" w:fill="auto"/>
          </w:tcPr>
          <w:p w14:paraId="323684F0" w14:textId="77777777" w:rsidR="00591A69" w:rsidRPr="00C83045" w:rsidRDefault="00591A69" w:rsidP="00B62C3E">
            <w:pPr>
              <w:pStyle w:val="Table"/>
              <w:widowControl w:val="0"/>
              <w:spacing w:before="0" w:after="0"/>
              <w:rPr>
                <w:rFonts w:ascii="Times New Roman" w:hAnsi="Times New Roman"/>
                <w:color w:val="000000"/>
                <w:sz w:val="22"/>
                <w:szCs w:val="22"/>
                <w:lang w:val="sk-SK"/>
              </w:rPr>
            </w:pPr>
            <w:r w:rsidRPr="00C83045">
              <w:rPr>
                <w:rFonts w:ascii="Times New Roman" w:hAnsi="Times New Roman"/>
                <w:b/>
                <w:color w:val="000000"/>
                <w:sz w:val="22"/>
                <w:szCs w:val="22"/>
                <w:lang w:val="sk-SK"/>
              </w:rPr>
              <w:lastRenderedPageBreak/>
              <w:t>Klinické skúšanie AUS01</w:t>
            </w:r>
          </w:p>
        </w:tc>
      </w:tr>
      <w:tr w:rsidR="00591A69" w:rsidRPr="00C83045" w14:paraId="323684F7" w14:textId="77777777" w:rsidTr="00B62C3E">
        <w:trPr>
          <w:cantSplit/>
        </w:trPr>
        <w:tc>
          <w:tcPr>
            <w:tcW w:w="2148" w:type="dxa"/>
            <w:tcBorders>
              <w:top w:val="single" w:sz="4" w:space="0" w:color="auto"/>
              <w:bottom w:val="single" w:sz="4" w:space="0" w:color="auto"/>
            </w:tcBorders>
            <w:shd w:val="clear" w:color="auto" w:fill="auto"/>
          </w:tcPr>
          <w:p w14:paraId="323684F2" w14:textId="77777777" w:rsidR="00591A69" w:rsidRPr="00C83045" w:rsidRDefault="00591A69" w:rsidP="00B62C3E">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Indukčno-konsolidačná liečba</w:t>
            </w:r>
          </w:p>
        </w:tc>
        <w:tc>
          <w:tcPr>
            <w:tcW w:w="6732" w:type="dxa"/>
            <w:tcBorders>
              <w:top w:val="single" w:sz="4" w:space="0" w:color="auto"/>
              <w:bottom w:val="single" w:sz="4" w:space="0" w:color="auto"/>
            </w:tcBorders>
            <w:shd w:val="clear" w:color="auto" w:fill="auto"/>
          </w:tcPr>
          <w:p w14:paraId="323684F3" w14:textId="77777777" w:rsidR="00591A69" w:rsidRPr="00C83045" w:rsidRDefault="00591A69" w:rsidP="00B62C3E">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Režim hyper-CVAD: CP 300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(3 h, q 12 h), dni 1-3;</w:t>
            </w:r>
          </w:p>
          <w:p w14:paraId="323684F4" w14:textId="77777777" w:rsidR="00591A69" w:rsidRPr="00C83045" w:rsidRDefault="00591A69" w:rsidP="00B62C3E">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Vinkristín 2 mg i.v., dni 4, 11;</w:t>
            </w:r>
          </w:p>
          <w:p w14:paraId="323684F5" w14:textId="77777777" w:rsidR="00591A69" w:rsidRPr="00C83045" w:rsidRDefault="00591A69" w:rsidP="00B62C3E">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Doxorubicín 50 mg/m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(24 h), deň 4;</w:t>
            </w:r>
          </w:p>
          <w:p w14:paraId="323684F6" w14:textId="77777777" w:rsidR="00591A69" w:rsidRPr="00C83045" w:rsidRDefault="00591A69" w:rsidP="00B62C3E">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 xml:space="preserve">DEX 40 mg/deň v dňoch 1-4 a 11-14, striedavo s </w:t>
            </w:r>
            <w:smartTag w:uri="urn:schemas-microsoft-com:office:smarttags" w:element="stockticker">
              <w:r w:rsidRPr="00C83045">
                <w:rPr>
                  <w:rFonts w:ascii="Times New Roman" w:hAnsi="Times New Roman"/>
                  <w:color w:val="000000"/>
                  <w:sz w:val="22"/>
                  <w:szCs w:val="22"/>
                  <w:lang w:val="sk-SK"/>
                </w:rPr>
                <w:t>MTX</w:t>
              </w:r>
            </w:smartTag>
            <w:r w:rsidRPr="00C83045">
              <w:rPr>
                <w:rFonts w:ascii="Times New Roman" w:hAnsi="Times New Roman"/>
                <w:color w:val="000000"/>
                <w:sz w:val="22"/>
                <w:szCs w:val="22"/>
                <w:lang w:val="sk-SK"/>
              </w:rPr>
              <w:t xml:space="preserve"> 1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(24 h), deň 1, Ara-C 1 g/m</w:t>
            </w:r>
            <w:r w:rsidRPr="00C83045">
              <w:rPr>
                <w:rFonts w:ascii="Times New Roman" w:hAnsi="Times New Roman"/>
                <w:color w:val="000000"/>
                <w:sz w:val="22"/>
                <w:szCs w:val="22"/>
                <w:vertAlign w:val="superscript"/>
                <w:lang w:val="sk-SK"/>
              </w:rPr>
              <w:t>2</w:t>
            </w:r>
            <w:r w:rsidRPr="00C83045">
              <w:rPr>
                <w:rFonts w:ascii="Times New Roman" w:hAnsi="Times New Roman"/>
                <w:color w:val="000000"/>
                <w:sz w:val="22"/>
                <w:szCs w:val="22"/>
                <w:lang w:val="sk-SK"/>
              </w:rPr>
              <w:t xml:space="preserve"> i.v. (2 h, q 12 h), dni 2-3 (celkovo 8 cyklov)</w:t>
            </w:r>
          </w:p>
        </w:tc>
      </w:tr>
      <w:tr w:rsidR="00591A69" w:rsidRPr="00C83045" w14:paraId="323684FB" w14:textId="77777777" w:rsidTr="00B62C3E">
        <w:trPr>
          <w:cantSplit/>
        </w:trPr>
        <w:tc>
          <w:tcPr>
            <w:tcW w:w="2148" w:type="dxa"/>
            <w:tcBorders>
              <w:top w:val="single" w:sz="4" w:space="0" w:color="auto"/>
              <w:bottom w:val="single" w:sz="4" w:space="0" w:color="auto"/>
            </w:tcBorders>
            <w:shd w:val="clear" w:color="auto" w:fill="auto"/>
          </w:tcPr>
          <w:p w14:paraId="323684F8" w14:textId="77777777" w:rsidR="00591A69" w:rsidRPr="00C83045" w:rsidRDefault="00591A69" w:rsidP="00B62C3E">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Udržiavacia liečba</w:t>
            </w:r>
          </w:p>
        </w:tc>
        <w:tc>
          <w:tcPr>
            <w:tcW w:w="6732" w:type="dxa"/>
            <w:tcBorders>
              <w:top w:val="single" w:sz="4" w:space="0" w:color="auto"/>
              <w:bottom w:val="single" w:sz="4" w:space="0" w:color="auto"/>
            </w:tcBorders>
            <w:shd w:val="clear" w:color="auto" w:fill="auto"/>
          </w:tcPr>
          <w:p w14:paraId="323684F9" w14:textId="77777777" w:rsidR="00591A69" w:rsidRPr="00C83045" w:rsidRDefault="00591A69" w:rsidP="00B62C3E">
            <w:pPr>
              <w:pStyle w:val="Table"/>
              <w:widowControl w:val="0"/>
              <w:spacing w:before="0" w:after="0"/>
              <w:rPr>
                <w:rFonts w:ascii="Times New Roman" w:hAnsi="Times New Roman"/>
                <w:color w:val="000000"/>
                <w:sz w:val="22"/>
                <w:szCs w:val="22"/>
                <w:lang w:val="sk-SK"/>
              </w:rPr>
            </w:pPr>
            <w:smartTag w:uri="urn:schemas-microsoft-com:office:smarttags" w:element="stockticker">
              <w:r w:rsidRPr="00C83045">
                <w:rPr>
                  <w:rFonts w:ascii="Times New Roman" w:hAnsi="Times New Roman"/>
                  <w:color w:val="000000"/>
                  <w:sz w:val="22"/>
                  <w:szCs w:val="22"/>
                  <w:lang w:val="sk-SK"/>
                </w:rPr>
                <w:t>VCR</w:t>
              </w:r>
            </w:smartTag>
            <w:r w:rsidRPr="00C83045">
              <w:rPr>
                <w:rFonts w:ascii="Times New Roman" w:hAnsi="Times New Roman"/>
                <w:color w:val="000000"/>
                <w:sz w:val="22"/>
                <w:szCs w:val="22"/>
                <w:lang w:val="sk-SK"/>
              </w:rPr>
              <w:t xml:space="preserve"> 2 mg i.v. každý mesiac počas 13 mesiacov;</w:t>
            </w:r>
          </w:p>
          <w:p w14:paraId="323684FA" w14:textId="77777777" w:rsidR="00591A69" w:rsidRPr="00C83045" w:rsidRDefault="00591A69" w:rsidP="00B62C3E">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Prednizolón 200 mg perorálne, 5 dní v mesiaci počas 13 mesiacov</w:t>
            </w:r>
          </w:p>
        </w:tc>
      </w:tr>
      <w:tr w:rsidR="00591A69" w:rsidRPr="00C83045" w14:paraId="323684FD" w14:textId="77777777" w:rsidTr="00B62C3E">
        <w:trPr>
          <w:cantSplit/>
        </w:trPr>
        <w:tc>
          <w:tcPr>
            <w:tcW w:w="8880" w:type="dxa"/>
            <w:gridSpan w:val="2"/>
            <w:tcBorders>
              <w:top w:val="single" w:sz="4" w:space="0" w:color="auto"/>
              <w:bottom w:val="single" w:sz="4" w:space="0" w:color="auto"/>
            </w:tcBorders>
            <w:shd w:val="clear" w:color="auto" w:fill="auto"/>
          </w:tcPr>
          <w:p w14:paraId="323684FC" w14:textId="77777777" w:rsidR="00591A69" w:rsidRPr="00C83045" w:rsidRDefault="00591A69" w:rsidP="00B62C3E">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 xml:space="preserve">Všetky režimy liečby zahŕňajú podanie steroidov na profylaxiu </w:t>
            </w:r>
            <w:smartTag w:uri="urn:schemas-microsoft-com:office:smarttags" w:element="stockticker">
              <w:r w:rsidRPr="00C83045">
                <w:rPr>
                  <w:rFonts w:ascii="Times New Roman" w:hAnsi="Times New Roman"/>
                  <w:color w:val="000000"/>
                  <w:sz w:val="22"/>
                  <w:szCs w:val="22"/>
                  <w:lang w:val="sk-SK"/>
                </w:rPr>
                <w:t>CNS</w:t>
              </w:r>
            </w:smartTag>
            <w:r w:rsidRPr="00C83045">
              <w:rPr>
                <w:rFonts w:ascii="Times New Roman" w:hAnsi="Times New Roman"/>
                <w:color w:val="000000"/>
                <w:sz w:val="22"/>
                <w:szCs w:val="22"/>
                <w:lang w:val="sk-SK"/>
              </w:rPr>
              <w:t>.</w:t>
            </w:r>
          </w:p>
        </w:tc>
      </w:tr>
      <w:tr w:rsidR="00591A69" w:rsidRPr="00C83045" w14:paraId="323684FF" w14:textId="77777777" w:rsidTr="00B62C3E">
        <w:trPr>
          <w:cantSplit/>
        </w:trPr>
        <w:tc>
          <w:tcPr>
            <w:tcW w:w="8880" w:type="dxa"/>
            <w:gridSpan w:val="2"/>
            <w:tcBorders>
              <w:top w:val="single" w:sz="4" w:space="0" w:color="auto"/>
              <w:bottom w:val="single" w:sz="4" w:space="0" w:color="auto"/>
            </w:tcBorders>
            <w:shd w:val="clear" w:color="auto" w:fill="auto"/>
          </w:tcPr>
          <w:p w14:paraId="323684FE" w14:textId="77777777" w:rsidR="00591A69" w:rsidRPr="00C83045" w:rsidRDefault="00591A69" w:rsidP="00B62C3E">
            <w:pPr>
              <w:pStyle w:val="Table"/>
              <w:widowControl w:val="0"/>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 xml:space="preserve">Ara-C: cytozínarabinozid; CP: cyklofosfamid; DEX: dexametazón; </w:t>
            </w:r>
            <w:smartTag w:uri="urn:schemas-microsoft-com:office:smarttags" w:element="stockticker">
              <w:r w:rsidRPr="00C83045">
                <w:rPr>
                  <w:rFonts w:ascii="Times New Roman" w:hAnsi="Times New Roman"/>
                  <w:color w:val="000000"/>
                  <w:sz w:val="22"/>
                  <w:szCs w:val="22"/>
                  <w:lang w:val="sk-SK"/>
                </w:rPr>
                <w:t>MTX</w:t>
              </w:r>
            </w:smartTag>
            <w:r w:rsidRPr="00C83045">
              <w:rPr>
                <w:rFonts w:ascii="Times New Roman" w:hAnsi="Times New Roman"/>
                <w:color w:val="000000"/>
                <w:sz w:val="22"/>
                <w:szCs w:val="22"/>
                <w:lang w:val="sk-SK"/>
              </w:rPr>
              <w:t xml:space="preserve">: metotrexát; 6-MP: 6-merkaptopurín; VM26: tenipozid; </w:t>
            </w:r>
            <w:smartTag w:uri="urn:schemas-microsoft-com:office:smarttags" w:element="stockticker">
              <w:r w:rsidRPr="00C83045">
                <w:rPr>
                  <w:rFonts w:ascii="Times New Roman" w:hAnsi="Times New Roman"/>
                  <w:color w:val="000000"/>
                  <w:sz w:val="22"/>
                  <w:szCs w:val="22"/>
                  <w:lang w:val="sk-SK"/>
                </w:rPr>
                <w:t>VCR</w:t>
              </w:r>
            </w:smartTag>
            <w:r w:rsidRPr="00C83045">
              <w:rPr>
                <w:rFonts w:ascii="Times New Roman" w:hAnsi="Times New Roman"/>
                <w:color w:val="000000"/>
                <w:sz w:val="22"/>
                <w:szCs w:val="22"/>
                <w:lang w:val="sk-SK"/>
              </w:rPr>
              <w:t xml:space="preserve">: vinkristín; </w:t>
            </w:r>
            <w:smartTag w:uri="urn:schemas-microsoft-com:office:smarttags" w:element="stockticker">
              <w:r w:rsidRPr="00C83045">
                <w:rPr>
                  <w:rFonts w:ascii="Times New Roman" w:hAnsi="Times New Roman"/>
                  <w:color w:val="000000"/>
                  <w:sz w:val="22"/>
                  <w:szCs w:val="22"/>
                  <w:lang w:val="sk-SK"/>
                </w:rPr>
                <w:t>IDA</w:t>
              </w:r>
            </w:smartTag>
            <w:r w:rsidRPr="00C83045">
              <w:rPr>
                <w:rFonts w:ascii="Times New Roman" w:hAnsi="Times New Roman"/>
                <w:color w:val="000000"/>
                <w:sz w:val="22"/>
                <w:szCs w:val="22"/>
                <w:lang w:val="sk-SK"/>
              </w:rPr>
              <w:t>: idarubicín; i.v.: intravenózne</w:t>
            </w:r>
          </w:p>
        </w:tc>
      </w:tr>
    </w:tbl>
    <w:p w14:paraId="32368500" w14:textId="77777777" w:rsidR="00591A69" w:rsidRPr="00C83045" w:rsidRDefault="00591A69" w:rsidP="00D4304B">
      <w:pPr>
        <w:pStyle w:val="EndnoteText"/>
        <w:widowControl w:val="0"/>
        <w:rPr>
          <w:i/>
          <w:color w:val="000000"/>
          <w:lang w:val="sk-SK"/>
        </w:rPr>
      </w:pPr>
    </w:p>
    <w:p w14:paraId="32368501" w14:textId="77777777" w:rsidR="00591A69" w:rsidRPr="00C83045" w:rsidRDefault="00591A69" w:rsidP="00D4304B">
      <w:pPr>
        <w:pStyle w:val="EndnoteText"/>
        <w:widowControl w:val="0"/>
        <w:rPr>
          <w:color w:val="000000"/>
          <w:lang w:val="sk-SK"/>
        </w:rPr>
      </w:pPr>
      <w:r w:rsidRPr="00C83045">
        <w:rPr>
          <w:i/>
          <w:color w:val="000000"/>
          <w:lang w:val="sk-SK"/>
        </w:rPr>
        <w:t>Pediatrickí pacienti</w:t>
      </w:r>
      <w:r w:rsidRPr="00C83045">
        <w:rPr>
          <w:color w:val="000000"/>
          <w:lang w:val="sk-SK"/>
        </w:rPr>
        <w:t>:</w:t>
      </w:r>
      <w:r w:rsidRPr="00C83045">
        <w:rPr>
          <w:lang w:val="sk-SK"/>
        </w:rPr>
        <w:t xml:space="preserve"> V štúdii </w:t>
      </w:r>
      <w:r w:rsidRPr="00C83045">
        <w:rPr>
          <w:color w:val="000000"/>
          <w:lang w:val="sk-SK"/>
        </w:rPr>
        <w:t>I2301 - otvorenom, multicentrickom, sekvenčne kohortnom, nerandomizovanom klinickom skúšaní fázy III bolo celkovo zaradených 93 detských, dospievajúcich a mladších dospelých pacientov (vo veku od 1 do 22 rokov) s Ph+ ALL, ktorí boli liečení Glivecom (340 mg/m</w:t>
      </w:r>
      <w:r w:rsidRPr="00C83045">
        <w:rPr>
          <w:color w:val="000000"/>
          <w:vertAlign w:val="superscript"/>
          <w:lang w:val="sk-SK"/>
        </w:rPr>
        <w:t>2</w:t>
      </w:r>
      <w:r w:rsidRPr="00C83045">
        <w:rPr>
          <w:color w:val="000000"/>
          <w:lang w:val="sk-SK"/>
        </w:rPr>
        <w:t>/deň) v kombinácii s intenzívnou chemoterapiou po indukčnej liečbe. Glivec sa podával striedavo v kohortách 1</w:t>
      </w:r>
      <w:r w:rsidRPr="00C83045">
        <w:rPr>
          <w:color w:val="000000"/>
          <w:lang w:val="sk-SK"/>
        </w:rPr>
        <w:noBreakHyphen/>
        <w:t>5, s predlžovaním dĺžky liečby a skorším nástupom liečby od kohorty ku kohorte; v kohorte 1 sa podávala najmenej intenzívna a v kohorte 5 najviac intenzívna liečba Glivecom (najdlhšie trvanie liečby s nepretržitým denným dávkovaním Glivecu počas prvého liečebného cyklu chemoterapiou). Nepretržité denné expozíciie Glivecu v skorom štádiu liečby v kombinácii s chemoterapiou u pacientov v kohorte 5 (n=50) zlepšili v porovnaní s historickými kontrolnými prípadmi (n=120) so štandardnou chemoterapeutickou liečbou bez Glivecu 4-ročné prežívanie bez príhody (EFS) (69,6% oproti 31,6%). Odhadované 4-ročné celkové prežívanie (OS) u pacientov v kohorte 5 bolo 83,6% v porovnaní s 44,8% u historických kontrolných prípadov. 20 z 50 (40%) pacientov v kohorte 5 dostalo transplantáciu hematopoetických kmeňových buniek.</w:t>
      </w:r>
    </w:p>
    <w:p w14:paraId="32368502" w14:textId="77777777" w:rsidR="00591A69" w:rsidRPr="00C83045" w:rsidRDefault="00591A69" w:rsidP="00D4304B">
      <w:pPr>
        <w:pStyle w:val="EndnoteText"/>
        <w:widowControl w:val="0"/>
        <w:rPr>
          <w:color w:val="000000"/>
          <w:lang w:val="sk-SK"/>
        </w:rPr>
      </w:pPr>
    </w:p>
    <w:p w14:paraId="32368503" w14:textId="77777777" w:rsidR="00591A69" w:rsidRPr="00C83045" w:rsidRDefault="00591A69" w:rsidP="00B62C3E">
      <w:pPr>
        <w:pStyle w:val="EndnoteText"/>
        <w:keepNext/>
        <w:widowControl w:val="0"/>
        <w:tabs>
          <w:tab w:val="clear" w:pos="567"/>
          <w:tab w:val="left" w:pos="720"/>
        </w:tabs>
        <w:ind w:left="1418" w:hanging="1418"/>
        <w:rPr>
          <w:b/>
          <w:color w:val="000000"/>
          <w:lang w:val="sk-SK"/>
        </w:rPr>
      </w:pPr>
      <w:r w:rsidRPr="00C83045">
        <w:rPr>
          <w:b/>
          <w:color w:val="000000"/>
          <w:lang w:val="sk-SK"/>
        </w:rPr>
        <w:t>Tabuľka </w:t>
      </w:r>
      <w:r w:rsidR="00F07CBB" w:rsidRPr="00C83045">
        <w:rPr>
          <w:b/>
          <w:color w:val="000000"/>
          <w:lang w:val="sk-SK"/>
        </w:rPr>
        <w:t>5</w:t>
      </w:r>
      <w:r w:rsidRPr="00C83045">
        <w:rPr>
          <w:b/>
          <w:color w:val="000000"/>
          <w:lang w:val="sk-SK"/>
        </w:rPr>
        <w:tab/>
        <w:t>Režim chemoterapie použitý v kombinácii s imatinibom v štúdii I2301</w:t>
      </w:r>
    </w:p>
    <w:p w14:paraId="32368504" w14:textId="77777777" w:rsidR="00591A69" w:rsidRPr="00C83045" w:rsidRDefault="00591A69" w:rsidP="00B62C3E">
      <w:pPr>
        <w:pStyle w:val="EndnoteText"/>
        <w:keepNext/>
        <w:widowControl w:val="0"/>
        <w:rPr>
          <w:color w:val="000000"/>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6736"/>
      </w:tblGrid>
      <w:tr w:rsidR="00591A69" w:rsidRPr="00C83045" w14:paraId="3236850D" w14:textId="77777777" w:rsidTr="008202CD">
        <w:trPr>
          <w:cantSplit/>
        </w:trPr>
        <w:tc>
          <w:tcPr>
            <w:tcW w:w="2358" w:type="dxa"/>
            <w:tcBorders>
              <w:top w:val="single" w:sz="4" w:space="0" w:color="auto"/>
              <w:left w:val="single" w:sz="4" w:space="0" w:color="auto"/>
              <w:bottom w:val="single" w:sz="4" w:space="0" w:color="auto"/>
              <w:right w:val="single" w:sz="4" w:space="0" w:color="auto"/>
            </w:tcBorders>
            <w:hideMark/>
          </w:tcPr>
          <w:p w14:paraId="32368505" w14:textId="77777777" w:rsidR="00591A69" w:rsidRPr="00C83045" w:rsidRDefault="00591A69" w:rsidP="00B62C3E">
            <w:pPr>
              <w:pStyle w:val="EndnoteText"/>
              <w:keepNext/>
              <w:widowControl w:val="0"/>
              <w:rPr>
                <w:color w:val="000000"/>
                <w:lang w:val="sk-SK"/>
              </w:rPr>
            </w:pPr>
            <w:r w:rsidRPr="00C83045">
              <w:rPr>
                <w:color w:val="000000"/>
                <w:lang w:val="sk-SK"/>
              </w:rPr>
              <w:t>Konsolidačný blok 1</w:t>
            </w:r>
          </w:p>
          <w:p w14:paraId="32368506" w14:textId="77777777" w:rsidR="00591A69" w:rsidRPr="00C83045" w:rsidRDefault="00591A69" w:rsidP="00B62C3E">
            <w:pPr>
              <w:pStyle w:val="EndnoteText"/>
              <w:keepNext/>
              <w:widowControl w:val="0"/>
              <w:rPr>
                <w:color w:val="000000"/>
                <w:lang w:val="sk-SK"/>
              </w:rPr>
            </w:pPr>
            <w:r w:rsidRPr="00C83045">
              <w:rPr>
                <w:color w:val="000000"/>
                <w:lang w:val="sk-SK"/>
              </w:rPr>
              <w:t>(3 týždne)</w:t>
            </w:r>
          </w:p>
        </w:tc>
        <w:tc>
          <w:tcPr>
            <w:tcW w:w="6929" w:type="dxa"/>
            <w:tcBorders>
              <w:top w:val="single" w:sz="4" w:space="0" w:color="auto"/>
              <w:left w:val="single" w:sz="4" w:space="0" w:color="auto"/>
              <w:bottom w:val="single" w:sz="4" w:space="0" w:color="auto"/>
              <w:right w:val="single" w:sz="4" w:space="0" w:color="auto"/>
            </w:tcBorders>
            <w:hideMark/>
          </w:tcPr>
          <w:p w14:paraId="32368507" w14:textId="77777777" w:rsidR="00591A69" w:rsidRPr="00C83045" w:rsidRDefault="00591A69" w:rsidP="00B62C3E">
            <w:pPr>
              <w:pStyle w:val="EndnoteText"/>
              <w:keepNext/>
              <w:widowControl w:val="0"/>
              <w:rPr>
                <w:color w:val="000000"/>
                <w:lang w:val="sk-SK"/>
              </w:rPr>
            </w:pPr>
            <w:r w:rsidRPr="00C83045">
              <w:rPr>
                <w:color w:val="000000"/>
                <w:lang w:val="sk-SK"/>
              </w:rPr>
              <w:t>VP-16 (100 mg/m</w:t>
            </w:r>
            <w:r w:rsidRPr="00C83045">
              <w:rPr>
                <w:color w:val="000000"/>
                <w:vertAlign w:val="superscript"/>
                <w:lang w:val="sk-SK"/>
              </w:rPr>
              <w:t>2</w:t>
            </w:r>
            <w:r w:rsidRPr="00C83045">
              <w:rPr>
                <w:color w:val="000000"/>
                <w:lang w:val="sk-SK"/>
              </w:rPr>
              <w:t>/deň, i.v.): dni 1</w:t>
            </w:r>
            <w:r w:rsidRPr="00C83045">
              <w:rPr>
                <w:color w:val="000000"/>
                <w:lang w:val="sk-SK"/>
              </w:rPr>
              <w:noBreakHyphen/>
              <w:t>5</w:t>
            </w:r>
          </w:p>
          <w:p w14:paraId="32368508" w14:textId="77777777" w:rsidR="00591A69" w:rsidRPr="00C83045" w:rsidRDefault="00591A69" w:rsidP="00B62C3E">
            <w:pPr>
              <w:pStyle w:val="EndnoteText"/>
              <w:keepNext/>
              <w:widowControl w:val="0"/>
              <w:rPr>
                <w:color w:val="000000"/>
                <w:lang w:val="sk-SK"/>
              </w:rPr>
            </w:pPr>
            <w:r w:rsidRPr="00C83045">
              <w:rPr>
                <w:color w:val="000000"/>
                <w:lang w:val="sk-SK"/>
              </w:rPr>
              <w:t>Ifosfamid (1,8 g/m</w:t>
            </w:r>
            <w:r w:rsidRPr="00C83045">
              <w:rPr>
                <w:color w:val="000000"/>
                <w:vertAlign w:val="superscript"/>
                <w:lang w:val="sk-SK"/>
              </w:rPr>
              <w:t>2</w:t>
            </w:r>
            <w:r w:rsidRPr="00C83045">
              <w:rPr>
                <w:color w:val="000000"/>
                <w:lang w:val="sk-SK"/>
              </w:rPr>
              <w:t>/deň, i.v.): dni 1</w:t>
            </w:r>
            <w:r w:rsidRPr="00C83045">
              <w:rPr>
                <w:color w:val="000000"/>
                <w:lang w:val="sk-SK"/>
              </w:rPr>
              <w:noBreakHyphen/>
              <w:t>5</w:t>
            </w:r>
          </w:p>
          <w:p w14:paraId="32368509" w14:textId="77777777" w:rsidR="00591A69" w:rsidRPr="00C83045" w:rsidRDefault="00591A69" w:rsidP="00B62C3E">
            <w:pPr>
              <w:pStyle w:val="EndnoteText"/>
              <w:keepNext/>
              <w:widowControl w:val="0"/>
              <w:rPr>
                <w:color w:val="000000"/>
                <w:lang w:val="sk-SK"/>
              </w:rPr>
            </w:pPr>
            <w:r w:rsidRPr="00C83045">
              <w:rPr>
                <w:color w:val="000000"/>
                <w:lang w:val="sk-SK"/>
              </w:rPr>
              <w:t>MESNA (360 mg/m</w:t>
            </w:r>
            <w:r w:rsidRPr="00C83045">
              <w:rPr>
                <w:color w:val="000000"/>
                <w:vertAlign w:val="superscript"/>
                <w:lang w:val="sk-SK"/>
              </w:rPr>
              <w:t>2</w:t>
            </w:r>
            <w:r w:rsidRPr="00C83045">
              <w:rPr>
                <w:color w:val="000000"/>
                <w:lang w:val="sk-SK"/>
              </w:rPr>
              <w:t>/dávka q3h, x 8 dávok/deň, i.v.): dni 1</w:t>
            </w:r>
            <w:r w:rsidRPr="00C83045">
              <w:rPr>
                <w:color w:val="000000"/>
                <w:lang w:val="sk-SK"/>
              </w:rPr>
              <w:noBreakHyphen/>
              <w:t>5</w:t>
            </w:r>
          </w:p>
          <w:p w14:paraId="3236850A" w14:textId="77777777" w:rsidR="00591A69" w:rsidRPr="00C83045" w:rsidRDefault="00591A69" w:rsidP="00B62C3E">
            <w:pPr>
              <w:pStyle w:val="EndnoteText"/>
              <w:keepNext/>
              <w:widowControl w:val="0"/>
              <w:rPr>
                <w:color w:val="000000"/>
                <w:lang w:val="sk-SK"/>
              </w:rPr>
            </w:pPr>
            <w:r w:rsidRPr="00C83045">
              <w:rPr>
                <w:color w:val="000000"/>
                <w:lang w:val="sk-SK"/>
              </w:rPr>
              <w:t>G-CSF (5 μg/kg, s.c.): dni 6</w:t>
            </w:r>
            <w:r w:rsidRPr="00C83045">
              <w:rPr>
                <w:color w:val="000000"/>
                <w:lang w:val="sk-SK"/>
              </w:rPr>
              <w:noBreakHyphen/>
              <w:t>15 alebo pokiaľ ANC &gt; 1500 po nadire</w:t>
            </w:r>
          </w:p>
          <w:p w14:paraId="3236850B" w14:textId="77777777" w:rsidR="00591A69" w:rsidRPr="00C83045" w:rsidRDefault="00591A69" w:rsidP="00B62C3E">
            <w:pPr>
              <w:pStyle w:val="EndnoteText"/>
              <w:keepNext/>
              <w:widowControl w:val="0"/>
              <w:rPr>
                <w:color w:val="000000"/>
                <w:lang w:val="sk-SK"/>
              </w:rPr>
            </w:pPr>
            <w:r w:rsidRPr="00C83045">
              <w:rPr>
                <w:color w:val="000000"/>
                <w:lang w:val="sk-SK"/>
              </w:rPr>
              <w:t>Metotrexát i.t. (upravený podľa veku): IBA deň 1</w:t>
            </w:r>
          </w:p>
          <w:p w14:paraId="3236850C" w14:textId="77777777" w:rsidR="00591A69" w:rsidRPr="00C83045" w:rsidRDefault="00591A69" w:rsidP="00B62C3E">
            <w:pPr>
              <w:pStyle w:val="EndnoteText"/>
              <w:keepNext/>
              <w:widowControl w:val="0"/>
              <w:rPr>
                <w:color w:val="000000"/>
                <w:lang w:val="sk-SK"/>
              </w:rPr>
            </w:pPr>
            <w:r w:rsidRPr="00C83045">
              <w:rPr>
                <w:color w:val="000000"/>
                <w:lang w:val="sk-SK"/>
              </w:rPr>
              <w:t>Trojitá i.t. liečba (upravená podľa veku): dni 8, 15</w:t>
            </w:r>
          </w:p>
        </w:tc>
      </w:tr>
      <w:tr w:rsidR="00591A69" w:rsidRPr="00C83045" w14:paraId="32368515" w14:textId="77777777" w:rsidTr="008202CD">
        <w:trPr>
          <w:cantSplit/>
        </w:trPr>
        <w:tc>
          <w:tcPr>
            <w:tcW w:w="2358" w:type="dxa"/>
            <w:tcBorders>
              <w:top w:val="single" w:sz="4" w:space="0" w:color="auto"/>
              <w:left w:val="single" w:sz="4" w:space="0" w:color="auto"/>
              <w:bottom w:val="single" w:sz="4" w:space="0" w:color="auto"/>
              <w:right w:val="single" w:sz="4" w:space="0" w:color="auto"/>
            </w:tcBorders>
            <w:hideMark/>
          </w:tcPr>
          <w:p w14:paraId="3236850E" w14:textId="77777777" w:rsidR="00591A69" w:rsidRPr="00C83045" w:rsidRDefault="00591A69" w:rsidP="00D4304B">
            <w:pPr>
              <w:pStyle w:val="EndnoteText"/>
              <w:widowControl w:val="0"/>
              <w:rPr>
                <w:color w:val="000000"/>
                <w:lang w:val="sk-SK"/>
              </w:rPr>
            </w:pPr>
            <w:r w:rsidRPr="00C83045">
              <w:rPr>
                <w:color w:val="000000"/>
                <w:lang w:val="sk-SK"/>
              </w:rPr>
              <w:t>Konsolidačný blok 2</w:t>
            </w:r>
          </w:p>
          <w:p w14:paraId="3236850F" w14:textId="77777777" w:rsidR="00591A69" w:rsidRPr="00C83045" w:rsidRDefault="00591A69" w:rsidP="00D4304B">
            <w:pPr>
              <w:pStyle w:val="EndnoteText"/>
              <w:widowControl w:val="0"/>
              <w:rPr>
                <w:color w:val="000000"/>
                <w:lang w:val="sk-SK"/>
              </w:rPr>
            </w:pPr>
            <w:r w:rsidRPr="00C83045">
              <w:rPr>
                <w:color w:val="000000"/>
                <w:lang w:val="sk-SK"/>
              </w:rPr>
              <w:t>(3 týždne)</w:t>
            </w:r>
          </w:p>
        </w:tc>
        <w:tc>
          <w:tcPr>
            <w:tcW w:w="6929" w:type="dxa"/>
            <w:tcBorders>
              <w:top w:val="single" w:sz="4" w:space="0" w:color="auto"/>
              <w:left w:val="single" w:sz="4" w:space="0" w:color="auto"/>
              <w:bottom w:val="single" w:sz="4" w:space="0" w:color="auto"/>
              <w:right w:val="single" w:sz="4" w:space="0" w:color="auto"/>
            </w:tcBorders>
            <w:hideMark/>
          </w:tcPr>
          <w:p w14:paraId="32368510" w14:textId="77777777" w:rsidR="00591A69" w:rsidRPr="00C83045" w:rsidRDefault="00591A69" w:rsidP="00D4304B">
            <w:pPr>
              <w:pStyle w:val="EndnoteText"/>
              <w:widowControl w:val="0"/>
              <w:rPr>
                <w:color w:val="000000"/>
                <w:lang w:val="sk-SK"/>
              </w:rPr>
            </w:pPr>
            <w:r w:rsidRPr="00C83045">
              <w:rPr>
                <w:color w:val="000000"/>
                <w:lang w:val="sk-SK"/>
              </w:rPr>
              <w:t>Metotrexát (5 g/m</w:t>
            </w:r>
            <w:r w:rsidRPr="00C83045">
              <w:rPr>
                <w:color w:val="000000"/>
                <w:vertAlign w:val="superscript"/>
                <w:lang w:val="sk-SK"/>
              </w:rPr>
              <w:t>2</w:t>
            </w:r>
            <w:r w:rsidRPr="00C83045">
              <w:rPr>
                <w:color w:val="000000"/>
                <w:lang w:val="sk-SK"/>
              </w:rPr>
              <w:t xml:space="preserve"> počas 24 h, i.v.): deň 1</w:t>
            </w:r>
          </w:p>
          <w:p w14:paraId="32368511" w14:textId="77777777" w:rsidR="00591A69" w:rsidRPr="00C83045" w:rsidRDefault="00591A69" w:rsidP="00D4304B">
            <w:pPr>
              <w:pStyle w:val="EndnoteText"/>
              <w:widowControl w:val="0"/>
              <w:rPr>
                <w:color w:val="000000"/>
                <w:lang w:val="sk-SK"/>
              </w:rPr>
            </w:pPr>
            <w:r w:rsidRPr="00C83045">
              <w:rPr>
                <w:color w:val="000000"/>
                <w:lang w:val="sk-SK"/>
              </w:rPr>
              <w:t>Leukovorín (75 mg/m</w:t>
            </w:r>
            <w:r w:rsidRPr="00C83045">
              <w:rPr>
                <w:color w:val="000000"/>
                <w:vertAlign w:val="superscript"/>
                <w:lang w:val="sk-SK"/>
              </w:rPr>
              <w:t>2</w:t>
            </w:r>
            <w:r w:rsidRPr="00C83045">
              <w:rPr>
                <w:color w:val="000000"/>
                <w:lang w:val="sk-SK"/>
              </w:rPr>
              <w:t xml:space="preserve"> v 36 h, i.v.; 15 mg/m</w:t>
            </w:r>
            <w:r w:rsidRPr="00C83045">
              <w:rPr>
                <w:color w:val="000000"/>
                <w:vertAlign w:val="superscript"/>
                <w:lang w:val="sk-SK"/>
              </w:rPr>
              <w:t>2</w:t>
            </w:r>
            <w:r w:rsidRPr="00C83045">
              <w:rPr>
                <w:color w:val="000000"/>
                <w:lang w:val="sk-SK"/>
              </w:rPr>
              <w:t xml:space="preserve"> i.v. alebo p.o. q6h x 6 dávok)iii: dni 2 a 3</w:t>
            </w:r>
          </w:p>
          <w:p w14:paraId="32368512" w14:textId="77777777" w:rsidR="00591A69" w:rsidRPr="00C83045" w:rsidRDefault="00591A69" w:rsidP="00D4304B">
            <w:pPr>
              <w:pStyle w:val="EndnoteText"/>
              <w:widowControl w:val="0"/>
              <w:rPr>
                <w:color w:val="000000"/>
                <w:lang w:val="sk-SK"/>
              </w:rPr>
            </w:pPr>
            <w:r w:rsidRPr="00C83045">
              <w:rPr>
                <w:color w:val="000000"/>
                <w:lang w:val="sk-SK"/>
              </w:rPr>
              <w:t>Trojitá i.t. liečba (upravená podľa veku): deň 1</w:t>
            </w:r>
          </w:p>
          <w:p w14:paraId="32368513" w14:textId="77777777" w:rsidR="00591A69" w:rsidRPr="00C83045" w:rsidRDefault="00591A69" w:rsidP="00D4304B">
            <w:pPr>
              <w:pStyle w:val="EndnoteText"/>
              <w:widowControl w:val="0"/>
              <w:rPr>
                <w:color w:val="000000"/>
                <w:lang w:val="sk-SK"/>
              </w:rPr>
            </w:pPr>
            <w:r w:rsidRPr="00C83045">
              <w:rPr>
                <w:color w:val="000000"/>
                <w:lang w:val="sk-SK"/>
              </w:rPr>
              <w:t>ARA-C (3 g/m</w:t>
            </w:r>
            <w:r w:rsidRPr="00C83045">
              <w:rPr>
                <w:color w:val="000000"/>
                <w:vertAlign w:val="superscript"/>
                <w:lang w:val="sk-SK"/>
              </w:rPr>
              <w:t>2</w:t>
            </w:r>
            <w:r w:rsidRPr="00C83045">
              <w:rPr>
                <w:color w:val="000000"/>
                <w:lang w:val="sk-SK"/>
              </w:rPr>
              <w:t>/dávka q 12 h x 4, i.v.): dni 2 a 3</w:t>
            </w:r>
          </w:p>
          <w:p w14:paraId="32368514" w14:textId="77777777" w:rsidR="00591A69" w:rsidRPr="00C83045" w:rsidRDefault="00591A69" w:rsidP="00D4304B">
            <w:pPr>
              <w:pStyle w:val="EndnoteText"/>
              <w:widowControl w:val="0"/>
              <w:rPr>
                <w:color w:val="000000"/>
                <w:lang w:val="sk-SK"/>
              </w:rPr>
            </w:pPr>
            <w:r w:rsidRPr="00C83045">
              <w:rPr>
                <w:color w:val="000000"/>
                <w:lang w:val="sk-SK"/>
              </w:rPr>
              <w:t>G-CSF (5 μg/kg, s.c.): dni 4-13 alebo pokiaľ ANC &gt; 1500 po nadire</w:t>
            </w:r>
          </w:p>
        </w:tc>
      </w:tr>
      <w:tr w:rsidR="00591A69" w:rsidRPr="00C83045" w14:paraId="3236851F" w14:textId="77777777" w:rsidTr="008202CD">
        <w:trPr>
          <w:cantSplit/>
        </w:trPr>
        <w:tc>
          <w:tcPr>
            <w:tcW w:w="2358" w:type="dxa"/>
            <w:tcBorders>
              <w:top w:val="single" w:sz="4" w:space="0" w:color="auto"/>
              <w:left w:val="single" w:sz="4" w:space="0" w:color="auto"/>
              <w:bottom w:val="single" w:sz="4" w:space="0" w:color="auto"/>
              <w:right w:val="single" w:sz="4" w:space="0" w:color="auto"/>
            </w:tcBorders>
            <w:hideMark/>
          </w:tcPr>
          <w:p w14:paraId="32368516" w14:textId="77777777" w:rsidR="00591A69" w:rsidRPr="00C83045" w:rsidRDefault="00591A69" w:rsidP="00D4304B">
            <w:pPr>
              <w:pStyle w:val="EndnoteText"/>
              <w:widowControl w:val="0"/>
              <w:rPr>
                <w:color w:val="000000"/>
                <w:lang w:val="sk-SK"/>
              </w:rPr>
            </w:pPr>
            <w:r w:rsidRPr="00C83045">
              <w:rPr>
                <w:color w:val="000000"/>
                <w:lang w:val="sk-SK"/>
              </w:rPr>
              <w:t>Reindukčný blok 1</w:t>
            </w:r>
          </w:p>
          <w:p w14:paraId="32368517" w14:textId="77777777" w:rsidR="00591A69" w:rsidRPr="00C83045" w:rsidRDefault="00591A69" w:rsidP="00D4304B">
            <w:pPr>
              <w:pStyle w:val="EndnoteText"/>
              <w:widowControl w:val="0"/>
              <w:rPr>
                <w:color w:val="000000"/>
                <w:lang w:val="sk-SK"/>
              </w:rPr>
            </w:pPr>
            <w:r w:rsidRPr="00C83045">
              <w:rPr>
                <w:color w:val="000000"/>
                <w:lang w:val="sk-SK"/>
              </w:rPr>
              <w:t>(3 týždne)</w:t>
            </w:r>
          </w:p>
        </w:tc>
        <w:tc>
          <w:tcPr>
            <w:tcW w:w="6929" w:type="dxa"/>
            <w:tcBorders>
              <w:top w:val="single" w:sz="4" w:space="0" w:color="auto"/>
              <w:left w:val="single" w:sz="4" w:space="0" w:color="auto"/>
              <w:bottom w:val="single" w:sz="4" w:space="0" w:color="auto"/>
              <w:right w:val="single" w:sz="4" w:space="0" w:color="auto"/>
            </w:tcBorders>
            <w:hideMark/>
          </w:tcPr>
          <w:p w14:paraId="32368518" w14:textId="77777777" w:rsidR="00591A69" w:rsidRPr="00C83045" w:rsidRDefault="00591A69" w:rsidP="00D4304B">
            <w:pPr>
              <w:pStyle w:val="EndnoteText"/>
              <w:widowControl w:val="0"/>
              <w:rPr>
                <w:color w:val="000000"/>
                <w:lang w:val="sk-SK"/>
              </w:rPr>
            </w:pPr>
            <w:r w:rsidRPr="00C83045">
              <w:rPr>
                <w:color w:val="000000"/>
                <w:lang w:val="sk-SK"/>
              </w:rPr>
              <w:t>VCR (1,5 mg/m</w:t>
            </w:r>
            <w:r w:rsidRPr="00C83045">
              <w:rPr>
                <w:color w:val="000000"/>
                <w:vertAlign w:val="superscript"/>
                <w:lang w:val="sk-SK"/>
              </w:rPr>
              <w:t>2</w:t>
            </w:r>
            <w:r w:rsidRPr="00C83045">
              <w:rPr>
                <w:color w:val="000000"/>
                <w:lang w:val="sk-SK"/>
              </w:rPr>
              <w:t>/deň, i.v.): dni 1, 8 a 15</w:t>
            </w:r>
          </w:p>
          <w:p w14:paraId="32368519" w14:textId="77777777" w:rsidR="00591A69" w:rsidRPr="00C83045" w:rsidRDefault="00591A69" w:rsidP="00D4304B">
            <w:pPr>
              <w:pStyle w:val="EndnoteText"/>
              <w:widowControl w:val="0"/>
              <w:rPr>
                <w:color w:val="000000"/>
                <w:lang w:val="sk-SK"/>
              </w:rPr>
            </w:pPr>
            <w:r w:rsidRPr="00C83045">
              <w:rPr>
                <w:color w:val="000000"/>
                <w:lang w:val="sk-SK"/>
              </w:rPr>
              <w:t>DAUN (45 mg/m</w:t>
            </w:r>
            <w:r w:rsidRPr="00C83045">
              <w:rPr>
                <w:color w:val="000000"/>
                <w:vertAlign w:val="superscript"/>
                <w:lang w:val="sk-SK"/>
              </w:rPr>
              <w:t>2</w:t>
            </w:r>
            <w:r w:rsidRPr="00C83045">
              <w:rPr>
                <w:color w:val="000000"/>
                <w:lang w:val="sk-SK"/>
              </w:rPr>
              <w:t>/deň bolus, i.v.): dni 1 a 2</w:t>
            </w:r>
          </w:p>
          <w:p w14:paraId="3236851A" w14:textId="77777777" w:rsidR="00591A69" w:rsidRPr="00C83045" w:rsidRDefault="00591A69" w:rsidP="00D4304B">
            <w:pPr>
              <w:pStyle w:val="EndnoteText"/>
              <w:widowControl w:val="0"/>
              <w:rPr>
                <w:color w:val="000000"/>
                <w:lang w:val="sk-SK"/>
              </w:rPr>
            </w:pPr>
            <w:r w:rsidRPr="00C83045">
              <w:rPr>
                <w:color w:val="000000"/>
                <w:lang w:val="sk-SK"/>
              </w:rPr>
              <w:t>CPM (250 mg/m</w:t>
            </w:r>
            <w:r w:rsidRPr="00C83045">
              <w:rPr>
                <w:color w:val="000000"/>
                <w:vertAlign w:val="superscript"/>
                <w:lang w:val="sk-SK"/>
              </w:rPr>
              <w:t>2</w:t>
            </w:r>
            <w:r w:rsidRPr="00C83045">
              <w:rPr>
                <w:color w:val="000000"/>
                <w:lang w:val="sk-SK"/>
              </w:rPr>
              <w:t>/dávka q12h x 4 dávky, i.v.): dni 3 a 4</w:t>
            </w:r>
          </w:p>
          <w:p w14:paraId="3236851B" w14:textId="77777777" w:rsidR="00591A69" w:rsidRPr="00C83045" w:rsidRDefault="00591A69" w:rsidP="00D4304B">
            <w:pPr>
              <w:pStyle w:val="EndnoteText"/>
              <w:widowControl w:val="0"/>
              <w:rPr>
                <w:color w:val="000000"/>
                <w:lang w:val="sk-SK"/>
              </w:rPr>
            </w:pPr>
            <w:r w:rsidRPr="00C83045">
              <w:rPr>
                <w:color w:val="000000"/>
                <w:lang w:val="sk-SK"/>
              </w:rPr>
              <w:t>PEG-ASP (2500 IU/m</w:t>
            </w:r>
            <w:r w:rsidRPr="00C83045">
              <w:rPr>
                <w:color w:val="000000"/>
                <w:vertAlign w:val="superscript"/>
                <w:lang w:val="sk-SK"/>
              </w:rPr>
              <w:t>2</w:t>
            </w:r>
            <w:r w:rsidRPr="00C83045">
              <w:rPr>
                <w:color w:val="000000"/>
                <w:lang w:val="sk-SK"/>
              </w:rPr>
              <w:t>, i.m.): deň 4</w:t>
            </w:r>
          </w:p>
          <w:p w14:paraId="3236851C" w14:textId="77777777" w:rsidR="00591A69" w:rsidRPr="00C83045" w:rsidRDefault="00591A69" w:rsidP="00D4304B">
            <w:pPr>
              <w:pStyle w:val="EndnoteText"/>
              <w:widowControl w:val="0"/>
              <w:rPr>
                <w:color w:val="000000"/>
                <w:lang w:val="sk-SK"/>
              </w:rPr>
            </w:pPr>
            <w:r w:rsidRPr="00C83045">
              <w:rPr>
                <w:color w:val="000000"/>
                <w:lang w:val="sk-SK"/>
              </w:rPr>
              <w:t>G-CSF (5 μg/kg, s.c.): dni 5</w:t>
            </w:r>
            <w:r w:rsidRPr="00C83045">
              <w:rPr>
                <w:color w:val="000000"/>
                <w:lang w:val="sk-SK"/>
              </w:rPr>
              <w:noBreakHyphen/>
              <w:t>14 alebo pokiaľ ANC &gt; 1500 po nadire</w:t>
            </w:r>
          </w:p>
          <w:p w14:paraId="3236851D" w14:textId="77777777" w:rsidR="00591A69" w:rsidRPr="00C83045" w:rsidRDefault="00591A69" w:rsidP="00D4304B">
            <w:pPr>
              <w:pStyle w:val="EndnoteText"/>
              <w:widowControl w:val="0"/>
              <w:rPr>
                <w:color w:val="000000"/>
                <w:lang w:val="sk-SK"/>
              </w:rPr>
            </w:pPr>
            <w:r w:rsidRPr="00C83045">
              <w:rPr>
                <w:color w:val="000000"/>
                <w:lang w:val="sk-SK"/>
              </w:rPr>
              <w:t>Trojitá i.t. liečba (upravená podľa veku): dni 1 a 15</w:t>
            </w:r>
          </w:p>
          <w:p w14:paraId="3236851E" w14:textId="77777777" w:rsidR="00591A69" w:rsidRPr="00C83045" w:rsidRDefault="00591A69" w:rsidP="00D4304B">
            <w:pPr>
              <w:pStyle w:val="EndnoteText"/>
              <w:widowControl w:val="0"/>
              <w:rPr>
                <w:color w:val="000000"/>
                <w:lang w:val="sk-SK"/>
              </w:rPr>
            </w:pPr>
            <w:r w:rsidRPr="00C83045">
              <w:rPr>
                <w:color w:val="000000"/>
                <w:lang w:val="sk-SK"/>
              </w:rPr>
              <w:t>DEX (6 mg/m</w:t>
            </w:r>
            <w:r w:rsidRPr="00C83045">
              <w:rPr>
                <w:color w:val="000000"/>
                <w:vertAlign w:val="superscript"/>
                <w:lang w:val="sk-SK"/>
              </w:rPr>
              <w:t>2</w:t>
            </w:r>
            <w:r w:rsidRPr="00C83045">
              <w:rPr>
                <w:color w:val="000000"/>
                <w:lang w:val="sk-SK"/>
              </w:rPr>
              <w:t>/deň, p.o.): dni 1</w:t>
            </w:r>
            <w:r w:rsidRPr="00C83045">
              <w:rPr>
                <w:color w:val="000000"/>
                <w:lang w:val="sk-SK"/>
              </w:rPr>
              <w:noBreakHyphen/>
              <w:t>7 a 15</w:t>
            </w:r>
            <w:r w:rsidRPr="00C83045">
              <w:rPr>
                <w:color w:val="000000"/>
                <w:lang w:val="sk-SK"/>
              </w:rPr>
              <w:noBreakHyphen/>
              <w:t>21</w:t>
            </w:r>
          </w:p>
        </w:tc>
      </w:tr>
      <w:tr w:rsidR="00591A69" w:rsidRPr="00C83045" w14:paraId="3236852B" w14:textId="77777777" w:rsidTr="008202CD">
        <w:trPr>
          <w:cantSplit/>
        </w:trPr>
        <w:tc>
          <w:tcPr>
            <w:tcW w:w="2358" w:type="dxa"/>
            <w:tcBorders>
              <w:top w:val="single" w:sz="4" w:space="0" w:color="auto"/>
              <w:left w:val="single" w:sz="4" w:space="0" w:color="auto"/>
              <w:bottom w:val="single" w:sz="4" w:space="0" w:color="auto"/>
              <w:right w:val="single" w:sz="4" w:space="0" w:color="auto"/>
            </w:tcBorders>
            <w:hideMark/>
          </w:tcPr>
          <w:p w14:paraId="32368520" w14:textId="77777777" w:rsidR="00591A69" w:rsidRPr="00C83045" w:rsidRDefault="00591A69" w:rsidP="00D4304B">
            <w:pPr>
              <w:pStyle w:val="EndnoteText"/>
              <w:widowControl w:val="0"/>
              <w:rPr>
                <w:color w:val="000000"/>
                <w:lang w:val="sk-SK"/>
              </w:rPr>
            </w:pPr>
            <w:r w:rsidRPr="00C83045">
              <w:rPr>
                <w:color w:val="000000"/>
                <w:lang w:val="sk-SK"/>
              </w:rPr>
              <w:t>Intenzifikačný blok 1</w:t>
            </w:r>
          </w:p>
          <w:p w14:paraId="32368521" w14:textId="77777777" w:rsidR="00591A69" w:rsidRPr="00C83045" w:rsidRDefault="00591A69" w:rsidP="00D4304B">
            <w:pPr>
              <w:pStyle w:val="EndnoteText"/>
              <w:widowControl w:val="0"/>
              <w:rPr>
                <w:color w:val="000000"/>
                <w:lang w:val="sk-SK"/>
              </w:rPr>
            </w:pPr>
            <w:r w:rsidRPr="00C83045">
              <w:rPr>
                <w:color w:val="000000"/>
                <w:lang w:val="sk-SK"/>
              </w:rPr>
              <w:t>(9 týždňov)</w:t>
            </w:r>
          </w:p>
        </w:tc>
        <w:tc>
          <w:tcPr>
            <w:tcW w:w="6929" w:type="dxa"/>
            <w:tcBorders>
              <w:top w:val="single" w:sz="4" w:space="0" w:color="auto"/>
              <w:left w:val="single" w:sz="4" w:space="0" w:color="auto"/>
              <w:bottom w:val="single" w:sz="4" w:space="0" w:color="auto"/>
              <w:right w:val="single" w:sz="4" w:space="0" w:color="auto"/>
            </w:tcBorders>
            <w:hideMark/>
          </w:tcPr>
          <w:p w14:paraId="32368522" w14:textId="77777777" w:rsidR="00591A69" w:rsidRPr="00C83045" w:rsidRDefault="00591A69" w:rsidP="00D4304B">
            <w:pPr>
              <w:pStyle w:val="EndnoteText"/>
              <w:widowControl w:val="0"/>
              <w:rPr>
                <w:color w:val="000000"/>
                <w:lang w:val="sk-SK"/>
              </w:rPr>
            </w:pPr>
            <w:r w:rsidRPr="00C83045">
              <w:rPr>
                <w:color w:val="000000"/>
                <w:lang w:val="sk-SK"/>
              </w:rPr>
              <w:t>Metotrexát (5 g/m</w:t>
            </w:r>
            <w:r w:rsidRPr="00C83045">
              <w:rPr>
                <w:color w:val="000000"/>
                <w:vertAlign w:val="superscript"/>
                <w:lang w:val="sk-SK"/>
              </w:rPr>
              <w:t>2</w:t>
            </w:r>
            <w:r w:rsidRPr="00C83045">
              <w:rPr>
                <w:color w:val="000000"/>
                <w:lang w:val="sk-SK"/>
              </w:rPr>
              <w:t xml:space="preserve"> počas 24 h, i.v.): dni 1 a 15</w:t>
            </w:r>
          </w:p>
          <w:p w14:paraId="32368523" w14:textId="77777777" w:rsidR="00591A69" w:rsidRPr="00C83045" w:rsidRDefault="00591A69" w:rsidP="00D4304B">
            <w:pPr>
              <w:pStyle w:val="EndnoteText"/>
              <w:widowControl w:val="0"/>
              <w:rPr>
                <w:color w:val="000000"/>
                <w:lang w:val="sk-SK"/>
              </w:rPr>
            </w:pPr>
            <w:r w:rsidRPr="00C83045">
              <w:rPr>
                <w:color w:val="000000"/>
                <w:lang w:val="sk-SK"/>
              </w:rPr>
              <w:t>Leukovorín (75 mg/m</w:t>
            </w:r>
            <w:r w:rsidRPr="00C83045">
              <w:rPr>
                <w:color w:val="000000"/>
                <w:vertAlign w:val="superscript"/>
                <w:lang w:val="sk-SK"/>
              </w:rPr>
              <w:t>2</w:t>
            </w:r>
            <w:r w:rsidRPr="00C83045">
              <w:rPr>
                <w:color w:val="000000"/>
                <w:lang w:val="sk-SK"/>
              </w:rPr>
              <w:t xml:space="preserve"> v 36 h, i.v.; 15 mg/m</w:t>
            </w:r>
            <w:r w:rsidRPr="00C83045">
              <w:rPr>
                <w:color w:val="000000"/>
                <w:vertAlign w:val="superscript"/>
                <w:lang w:val="sk-SK"/>
              </w:rPr>
              <w:t>2</w:t>
            </w:r>
            <w:r w:rsidRPr="00C83045">
              <w:rPr>
                <w:color w:val="000000"/>
                <w:lang w:val="sk-SK"/>
              </w:rPr>
              <w:t xml:space="preserve"> i.v. alebo p.o. q6h x 6 dávok)iii: dni 2, 3, 16 a 17</w:t>
            </w:r>
          </w:p>
          <w:p w14:paraId="32368524" w14:textId="77777777" w:rsidR="00591A69" w:rsidRPr="00C83045" w:rsidRDefault="00591A69" w:rsidP="00D4304B">
            <w:pPr>
              <w:pStyle w:val="EndnoteText"/>
              <w:widowControl w:val="0"/>
              <w:rPr>
                <w:color w:val="000000"/>
                <w:lang w:val="sk-SK"/>
              </w:rPr>
            </w:pPr>
            <w:r w:rsidRPr="00C83045">
              <w:rPr>
                <w:color w:val="000000"/>
                <w:lang w:val="sk-SK"/>
              </w:rPr>
              <w:t>Trojitá i.t. liečba (upravená podľa veku): dni 1 a 22</w:t>
            </w:r>
          </w:p>
          <w:p w14:paraId="32368525" w14:textId="77777777" w:rsidR="00591A69" w:rsidRPr="00C83045" w:rsidRDefault="00591A69" w:rsidP="00D4304B">
            <w:pPr>
              <w:pStyle w:val="EndnoteText"/>
              <w:widowControl w:val="0"/>
              <w:rPr>
                <w:color w:val="000000"/>
                <w:lang w:val="sk-SK"/>
              </w:rPr>
            </w:pPr>
            <w:r w:rsidRPr="00C83045">
              <w:rPr>
                <w:color w:val="000000"/>
                <w:lang w:val="sk-SK"/>
              </w:rPr>
              <w:t>VP-16 (100 mg/m</w:t>
            </w:r>
            <w:r w:rsidRPr="00C83045">
              <w:rPr>
                <w:color w:val="000000"/>
                <w:vertAlign w:val="superscript"/>
                <w:lang w:val="sk-SK"/>
              </w:rPr>
              <w:t>2</w:t>
            </w:r>
            <w:r w:rsidRPr="00C83045">
              <w:rPr>
                <w:color w:val="000000"/>
                <w:lang w:val="sk-SK"/>
              </w:rPr>
              <w:t>/deň, i.v.): dni 22</w:t>
            </w:r>
            <w:r w:rsidRPr="00C83045">
              <w:rPr>
                <w:color w:val="000000"/>
                <w:lang w:val="sk-SK"/>
              </w:rPr>
              <w:noBreakHyphen/>
              <w:t>26</w:t>
            </w:r>
          </w:p>
          <w:p w14:paraId="32368526" w14:textId="77777777" w:rsidR="00591A69" w:rsidRPr="00C83045" w:rsidRDefault="00591A69" w:rsidP="00D4304B">
            <w:pPr>
              <w:pStyle w:val="EndnoteText"/>
              <w:widowControl w:val="0"/>
              <w:rPr>
                <w:color w:val="000000"/>
                <w:lang w:val="sk-SK"/>
              </w:rPr>
            </w:pPr>
            <w:r w:rsidRPr="00C83045">
              <w:rPr>
                <w:color w:val="000000"/>
                <w:lang w:val="sk-SK"/>
              </w:rPr>
              <w:t>CPM (300 mg/m</w:t>
            </w:r>
            <w:r w:rsidRPr="00C83045">
              <w:rPr>
                <w:color w:val="000000"/>
                <w:vertAlign w:val="superscript"/>
                <w:lang w:val="sk-SK"/>
              </w:rPr>
              <w:t>2</w:t>
            </w:r>
            <w:r w:rsidRPr="00C83045">
              <w:rPr>
                <w:color w:val="000000"/>
                <w:lang w:val="sk-SK"/>
              </w:rPr>
              <w:t>/deň, i.v.): dni 22</w:t>
            </w:r>
            <w:r w:rsidRPr="00C83045">
              <w:rPr>
                <w:color w:val="000000"/>
                <w:lang w:val="sk-SK"/>
              </w:rPr>
              <w:noBreakHyphen/>
              <w:t>26</w:t>
            </w:r>
          </w:p>
          <w:p w14:paraId="32368527" w14:textId="77777777" w:rsidR="00591A69" w:rsidRPr="00C83045" w:rsidRDefault="00591A69" w:rsidP="00D4304B">
            <w:pPr>
              <w:pStyle w:val="EndnoteText"/>
              <w:widowControl w:val="0"/>
              <w:rPr>
                <w:color w:val="000000"/>
                <w:lang w:val="sk-SK"/>
              </w:rPr>
            </w:pPr>
            <w:r w:rsidRPr="00C83045">
              <w:rPr>
                <w:color w:val="000000"/>
                <w:lang w:val="sk-SK"/>
              </w:rPr>
              <w:t>MESNA (150 mg/m</w:t>
            </w:r>
            <w:r w:rsidRPr="00C83045">
              <w:rPr>
                <w:color w:val="000000"/>
                <w:vertAlign w:val="superscript"/>
                <w:lang w:val="sk-SK"/>
              </w:rPr>
              <w:t>2</w:t>
            </w:r>
            <w:r w:rsidRPr="00C83045">
              <w:rPr>
                <w:color w:val="000000"/>
                <w:lang w:val="sk-SK"/>
              </w:rPr>
              <w:t>/deň, i.v.): dni 22</w:t>
            </w:r>
            <w:r w:rsidRPr="00C83045">
              <w:rPr>
                <w:color w:val="000000"/>
                <w:lang w:val="sk-SK"/>
              </w:rPr>
              <w:noBreakHyphen/>
              <w:t>26</w:t>
            </w:r>
          </w:p>
          <w:p w14:paraId="32368528" w14:textId="77777777" w:rsidR="00591A69" w:rsidRPr="00C83045" w:rsidRDefault="00591A69" w:rsidP="00D4304B">
            <w:pPr>
              <w:pStyle w:val="EndnoteText"/>
              <w:widowControl w:val="0"/>
              <w:rPr>
                <w:color w:val="000000"/>
                <w:lang w:val="sk-SK"/>
              </w:rPr>
            </w:pPr>
            <w:r w:rsidRPr="00C83045">
              <w:rPr>
                <w:color w:val="000000"/>
                <w:lang w:val="sk-SK"/>
              </w:rPr>
              <w:t>G-CSF (5 μg/kg, s.c.): dni 27-36 alebo pokiaľ ANC &gt; 1500 po nadire</w:t>
            </w:r>
          </w:p>
          <w:p w14:paraId="32368529" w14:textId="77777777" w:rsidR="00591A69" w:rsidRPr="00C83045" w:rsidRDefault="00591A69" w:rsidP="00D4304B">
            <w:pPr>
              <w:pStyle w:val="EndnoteText"/>
              <w:widowControl w:val="0"/>
              <w:rPr>
                <w:color w:val="000000"/>
                <w:lang w:val="sk-SK"/>
              </w:rPr>
            </w:pPr>
            <w:r w:rsidRPr="00C83045">
              <w:rPr>
                <w:color w:val="000000"/>
                <w:lang w:val="sk-SK"/>
              </w:rPr>
              <w:t>ARA-C (3 g/m</w:t>
            </w:r>
            <w:r w:rsidRPr="00C83045">
              <w:rPr>
                <w:color w:val="000000"/>
                <w:vertAlign w:val="superscript"/>
                <w:lang w:val="sk-SK"/>
              </w:rPr>
              <w:t>2</w:t>
            </w:r>
            <w:r w:rsidRPr="00C83045">
              <w:rPr>
                <w:color w:val="000000"/>
                <w:lang w:val="sk-SK"/>
              </w:rPr>
              <w:t>, q12h, i.v.): dni 43, 44</w:t>
            </w:r>
          </w:p>
          <w:p w14:paraId="3236852A" w14:textId="77777777" w:rsidR="00591A69" w:rsidRPr="00C83045" w:rsidRDefault="00591A69" w:rsidP="00D4304B">
            <w:pPr>
              <w:pStyle w:val="EndnoteText"/>
              <w:widowControl w:val="0"/>
              <w:rPr>
                <w:color w:val="000000"/>
                <w:lang w:val="sk-SK"/>
              </w:rPr>
            </w:pPr>
            <w:r w:rsidRPr="00C83045">
              <w:rPr>
                <w:color w:val="000000"/>
                <w:lang w:val="sk-SK"/>
              </w:rPr>
              <w:t>L-ASP (6000 IU/m</w:t>
            </w:r>
            <w:r w:rsidRPr="00C83045">
              <w:rPr>
                <w:color w:val="000000"/>
                <w:vertAlign w:val="superscript"/>
                <w:lang w:val="sk-SK"/>
              </w:rPr>
              <w:t>2</w:t>
            </w:r>
            <w:r w:rsidRPr="00C83045">
              <w:rPr>
                <w:color w:val="000000"/>
                <w:lang w:val="sk-SK"/>
              </w:rPr>
              <w:t>, i.m.): deň 44</w:t>
            </w:r>
          </w:p>
        </w:tc>
      </w:tr>
      <w:tr w:rsidR="00591A69" w:rsidRPr="00C83045" w14:paraId="32368535" w14:textId="77777777" w:rsidTr="008202CD">
        <w:trPr>
          <w:cantSplit/>
        </w:trPr>
        <w:tc>
          <w:tcPr>
            <w:tcW w:w="2358" w:type="dxa"/>
            <w:tcBorders>
              <w:top w:val="single" w:sz="4" w:space="0" w:color="auto"/>
              <w:left w:val="single" w:sz="4" w:space="0" w:color="auto"/>
              <w:bottom w:val="single" w:sz="4" w:space="0" w:color="auto"/>
              <w:right w:val="single" w:sz="4" w:space="0" w:color="auto"/>
            </w:tcBorders>
            <w:hideMark/>
          </w:tcPr>
          <w:p w14:paraId="3236852C" w14:textId="77777777" w:rsidR="00591A69" w:rsidRPr="00C83045" w:rsidRDefault="00591A69" w:rsidP="00D4304B">
            <w:pPr>
              <w:pStyle w:val="EndnoteText"/>
              <w:widowControl w:val="0"/>
              <w:rPr>
                <w:color w:val="000000"/>
                <w:lang w:val="sk-SK"/>
              </w:rPr>
            </w:pPr>
            <w:r w:rsidRPr="00C83045">
              <w:rPr>
                <w:color w:val="000000"/>
                <w:lang w:val="sk-SK"/>
              </w:rPr>
              <w:lastRenderedPageBreak/>
              <w:t>Reindukčný blok 2</w:t>
            </w:r>
          </w:p>
          <w:p w14:paraId="3236852D" w14:textId="77777777" w:rsidR="00591A69" w:rsidRPr="00C83045" w:rsidRDefault="00591A69" w:rsidP="00D4304B">
            <w:pPr>
              <w:pStyle w:val="EndnoteText"/>
              <w:widowControl w:val="0"/>
              <w:rPr>
                <w:color w:val="000000"/>
                <w:lang w:val="sk-SK"/>
              </w:rPr>
            </w:pPr>
            <w:r w:rsidRPr="00C83045">
              <w:rPr>
                <w:color w:val="000000"/>
                <w:lang w:val="sk-SK"/>
              </w:rPr>
              <w:t>(3 týždne)</w:t>
            </w:r>
          </w:p>
        </w:tc>
        <w:tc>
          <w:tcPr>
            <w:tcW w:w="6929" w:type="dxa"/>
            <w:tcBorders>
              <w:top w:val="single" w:sz="4" w:space="0" w:color="auto"/>
              <w:left w:val="single" w:sz="4" w:space="0" w:color="auto"/>
              <w:bottom w:val="single" w:sz="4" w:space="0" w:color="auto"/>
              <w:right w:val="single" w:sz="4" w:space="0" w:color="auto"/>
            </w:tcBorders>
            <w:hideMark/>
          </w:tcPr>
          <w:p w14:paraId="3236852E" w14:textId="77777777" w:rsidR="00591A69" w:rsidRPr="00C83045" w:rsidRDefault="00591A69" w:rsidP="00D4304B">
            <w:pPr>
              <w:pStyle w:val="EndnoteText"/>
              <w:widowControl w:val="0"/>
              <w:rPr>
                <w:color w:val="000000"/>
                <w:lang w:val="sk-SK"/>
              </w:rPr>
            </w:pPr>
            <w:r w:rsidRPr="00C83045">
              <w:rPr>
                <w:color w:val="000000"/>
                <w:lang w:val="sk-SK"/>
              </w:rPr>
              <w:t>VCR (1.5 mg/m</w:t>
            </w:r>
            <w:r w:rsidRPr="00C83045">
              <w:rPr>
                <w:color w:val="000000"/>
                <w:vertAlign w:val="superscript"/>
                <w:lang w:val="sk-SK"/>
              </w:rPr>
              <w:t>2</w:t>
            </w:r>
            <w:r w:rsidRPr="00C83045">
              <w:rPr>
                <w:color w:val="000000"/>
                <w:lang w:val="sk-SK"/>
              </w:rPr>
              <w:t>/deň, i.v.): dni 1, 8 a 15</w:t>
            </w:r>
          </w:p>
          <w:p w14:paraId="3236852F" w14:textId="77777777" w:rsidR="00591A69" w:rsidRPr="00C83045" w:rsidRDefault="00591A69" w:rsidP="00D4304B">
            <w:pPr>
              <w:pStyle w:val="EndnoteText"/>
              <w:widowControl w:val="0"/>
              <w:rPr>
                <w:color w:val="000000"/>
                <w:lang w:val="sk-SK"/>
              </w:rPr>
            </w:pPr>
            <w:r w:rsidRPr="00C83045">
              <w:rPr>
                <w:color w:val="000000"/>
                <w:lang w:val="sk-SK"/>
              </w:rPr>
              <w:t>DAUN (45 mg/m</w:t>
            </w:r>
            <w:r w:rsidRPr="00C83045">
              <w:rPr>
                <w:color w:val="000000"/>
                <w:vertAlign w:val="superscript"/>
                <w:lang w:val="sk-SK"/>
              </w:rPr>
              <w:t>2</w:t>
            </w:r>
            <w:r w:rsidRPr="00C83045">
              <w:rPr>
                <w:color w:val="000000"/>
                <w:lang w:val="sk-SK"/>
              </w:rPr>
              <w:t>/deň bolus, i.v.): dni 1 a 2</w:t>
            </w:r>
          </w:p>
          <w:p w14:paraId="32368530" w14:textId="77777777" w:rsidR="00591A69" w:rsidRPr="00C83045" w:rsidRDefault="00591A69" w:rsidP="00D4304B">
            <w:pPr>
              <w:pStyle w:val="EndnoteText"/>
              <w:widowControl w:val="0"/>
              <w:rPr>
                <w:color w:val="000000"/>
                <w:lang w:val="sk-SK"/>
              </w:rPr>
            </w:pPr>
            <w:r w:rsidRPr="00C83045">
              <w:rPr>
                <w:color w:val="000000"/>
                <w:lang w:val="sk-SK"/>
              </w:rPr>
              <w:t>CPM (250 mg/m</w:t>
            </w:r>
            <w:r w:rsidRPr="00C83045">
              <w:rPr>
                <w:color w:val="000000"/>
                <w:vertAlign w:val="superscript"/>
                <w:lang w:val="sk-SK"/>
              </w:rPr>
              <w:t>2</w:t>
            </w:r>
            <w:r w:rsidRPr="00C83045">
              <w:rPr>
                <w:color w:val="000000"/>
                <w:lang w:val="sk-SK"/>
              </w:rPr>
              <w:t>/dávka q12h x 4 dávok, i.v.): dni 3 a 4</w:t>
            </w:r>
          </w:p>
          <w:p w14:paraId="32368531" w14:textId="77777777" w:rsidR="00591A69" w:rsidRPr="00C83045" w:rsidRDefault="00591A69" w:rsidP="00D4304B">
            <w:pPr>
              <w:pStyle w:val="EndnoteText"/>
              <w:widowControl w:val="0"/>
              <w:rPr>
                <w:color w:val="000000"/>
                <w:lang w:val="sk-SK"/>
              </w:rPr>
            </w:pPr>
            <w:r w:rsidRPr="00C83045">
              <w:rPr>
                <w:color w:val="000000"/>
                <w:lang w:val="sk-SK"/>
              </w:rPr>
              <w:t>PEG-ASP (2500 IU/m</w:t>
            </w:r>
            <w:r w:rsidRPr="00C83045">
              <w:rPr>
                <w:color w:val="000000"/>
                <w:vertAlign w:val="superscript"/>
                <w:lang w:val="sk-SK"/>
              </w:rPr>
              <w:t>2</w:t>
            </w:r>
            <w:r w:rsidRPr="00C83045">
              <w:rPr>
                <w:color w:val="000000"/>
                <w:lang w:val="sk-SK"/>
              </w:rPr>
              <w:t>, i.m.): deň 4</w:t>
            </w:r>
          </w:p>
          <w:p w14:paraId="32368532" w14:textId="77777777" w:rsidR="00591A69" w:rsidRPr="00C83045" w:rsidRDefault="00591A69" w:rsidP="00D4304B">
            <w:pPr>
              <w:pStyle w:val="EndnoteText"/>
              <w:widowControl w:val="0"/>
              <w:rPr>
                <w:color w:val="000000"/>
                <w:lang w:val="sk-SK"/>
              </w:rPr>
            </w:pPr>
            <w:r w:rsidRPr="00C83045">
              <w:rPr>
                <w:color w:val="000000"/>
                <w:lang w:val="sk-SK"/>
              </w:rPr>
              <w:t>G-CSF (5 μg/kg, s.c.): dni 5-14 alebo pokiaľ ANC &gt; 1500 po nadire</w:t>
            </w:r>
          </w:p>
          <w:p w14:paraId="32368533" w14:textId="77777777" w:rsidR="00591A69" w:rsidRPr="00C83045" w:rsidRDefault="00591A69" w:rsidP="00D4304B">
            <w:pPr>
              <w:pStyle w:val="EndnoteText"/>
              <w:widowControl w:val="0"/>
              <w:rPr>
                <w:color w:val="000000"/>
                <w:lang w:val="sk-SK"/>
              </w:rPr>
            </w:pPr>
            <w:r w:rsidRPr="00C83045">
              <w:rPr>
                <w:color w:val="000000"/>
                <w:lang w:val="sk-SK"/>
              </w:rPr>
              <w:t>Trojitá i.t. liečba (upravená podľa veku): dni 1 a 15</w:t>
            </w:r>
          </w:p>
          <w:p w14:paraId="32368534" w14:textId="77777777" w:rsidR="00591A69" w:rsidRPr="00C83045" w:rsidRDefault="00591A69" w:rsidP="00D4304B">
            <w:pPr>
              <w:pStyle w:val="EndnoteText"/>
              <w:widowControl w:val="0"/>
              <w:rPr>
                <w:color w:val="000000"/>
                <w:lang w:val="sk-SK"/>
              </w:rPr>
            </w:pPr>
            <w:r w:rsidRPr="00C83045">
              <w:rPr>
                <w:color w:val="000000"/>
                <w:lang w:val="sk-SK"/>
              </w:rPr>
              <w:t>DEX (6 mg/m</w:t>
            </w:r>
            <w:r w:rsidRPr="00C83045">
              <w:rPr>
                <w:color w:val="000000"/>
                <w:vertAlign w:val="superscript"/>
                <w:lang w:val="sk-SK"/>
              </w:rPr>
              <w:t>2</w:t>
            </w:r>
            <w:r w:rsidRPr="00C83045">
              <w:rPr>
                <w:color w:val="000000"/>
                <w:lang w:val="sk-SK"/>
              </w:rPr>
              <w:t>/deň, p.o.): dni 1</w:t>
            </w:r>
            <w:r w:rsidRPr="00C83045">
              <w:rPr>
                <w:color w:val="000000"/>
                <w:lang w:val="sk-SK"/>
              </w:rPr>
              <w:noBreakHyphen/>
              <w:t>7 a 15</w:t>
            </w:r>
            <w:r w:rsidRPr="00C83045">
              <w:rPr>
                <w:color w:val="000000"/>
                <w:lang w:val="sk-SK"/>
              </w:rPr>
              <w:noBreakHyphen/>
              <w:t>21</w:t>
            </w:r>
          </w:p>
        </w:tc>
      </w:tr>
      <w:tr w:rsidR="00591A69" w:rsidRPr="00C83045" w14:paraId="32368541" w14:textId="77777777" w:rsidTr="008202CD">
        <w:trPr>
          <w:cantSplit/>
        </w:trPr>
        <w:tc>
          <w:tcPr>
            <w:tcW w:w="2358" w:type="dxa"/>
            <w:tcBorders>
              <w:top w:val="single" w:sz="4" w:space="0" w:color="auto"/>
              <w:left w:val="single" w:sz="4" w:space="0" w:color="auto"/>
              <w:bottom w:val="single" w:sz="4" w:space="0" w:color="auto"/>
              <w:right w:val="single" w:sz="4" w:space="0" w:color="auto"/>
            </w:tcBorders>
            <w:hideMark/>
          </w:tcPr>
          <w:p w14:paraId="32368536" w14:textId="77777777" w:rsidR="00591A69" w:rsidRPr="00C83045" w:rsidRDefault="00591A69" w:rsidP="00D4304B">
            <w:pPr>
              <w:pStyle w:val="EndnoteText"/>
              <w:widowControl w:val="0"/>
              <w:rPr>
                <w:color w:val="000000"/>
                <w:lang w:val="sk-SK"/>
              </w:rPr>
            </w:pPr>
            <w:r w:rsidRPr="00C83045">
              <w:rPr>
                <w:color w:val="000000"/>
                <w:lang w:val="sk-SK"/>
              </w:rPr>
              <w:t>Intenzifikačný blok 2</w:t>
            </w:r>
          </w:p>
          <w:p w14:paraId="32368537" w14:textId="77777777" w:rsidR="00591A69" w:rsidRPr="00C83045" w:rsidRDefault="00591A69" w:rsidP="00D4304B">
            <w:pPr>
              <w:pStyle w:val="EndnoteText"/>
              <w:widowControl w:val="0"/>
              <w:rPr>
                <w:color w:val="000000"/>
                <w:lang w:val="sk-SK"/>
              </w:rPr>
            </w:pPr>
            <w:r w:rsidRPr="00C83045">
              <w:rPr>
                <w:color w:val="000000"/>
                <w:lang w:val="sk-SK"/>
              </w:rPr>
              <w:t>(9 týždňov)</w:t>
            </w:r>
          </w:p>
        </w:tc>
        <w:tc>
          <w:tcPr>
            <w:tcW w:w="6929" w:type="dxa"/>
            <w:tcBorders>
              <w:top w:val="single" w:sz="4" w:space="0" w:color="auto"/>
              <w:left w:val="single" w:sz="4" w:space="0" w:color="auto"/>
              <w:bottom w:val="single" w:sz="4" w:space="0" w:color="auto"/>
              <w:right w:val="single" w:sz="4" w:space="0" w:color="auto"/>
            </w:tcBorders>
            <w:hideMark/>
          </w:tcPr>
          <w:p w14:paraId="32368538" w14:textId="77777777" w:rsidR="00591A69" w:rsidRPr="00C83045" w:rsidRDefault="00591A69" w:rsidP="00D4304B">
            <w:pPr>
              <w:pStyle w:val="EndnoteText"/>
              <w:widowControl w:val="0"/>
              <w:rPr>
                <w:color w:val="000000"/>
                <w:lang w:val="sk-SK"/>
              </w:rPr>
            </w:pPr>
            <w:r w:rsidRPr="00C83045">
              <w:rPr>
                <w:color w:val="000000"/>
                <w:lang w:val="sk-SK"/>
              </w:rPr>
              <w:t>Metotrexát (5 g/m</w:t>
            </w:r>
            <w:r w:rsidRPr="00C83045">
              <w:rPr>
                <w:color w:val="000000"/>
                <w:vertAlign w:val="superscript"/>
                <w:lang w:val="sk-SK"/>
              </w:rPr>
              <w:t>2</w:t>
            </w:r>
            <w:r w:rsidRPr="00C83045">
              <w:rPr>
                <w:color w:val="000000"/>
                <w:lang w:val="sk-SK"/>
              </w:rPr>
              <w:t xml:space="preserve"> počas 24 h, i.v.): dni 1 a 15</w:t>
            </w:r>
          </w:p>
          <w:p w14:paraId="32368539" w14:textId="77777777" w:rsidR="00591A69" w:rsidRPr="00C83045" w:rsidRDefault="00591A69" w:rsidP="00D4304B">
            <w:pPr>
              <w:pStyle w:val="EndnoteText"/>
              <w:widowControl w:val="0"/>
              <w:rPr>
                <w:color w:val="000000"/>
                <w:lang w:val="sk-SK"/>
              </w:rPr>
            </w:pPr>
            <w:r w:rsidRPr="00C83045">
              <w:rPr>
                <w:color w:val="000000"/>
                <w:lang w:val="sk-SK"/>
              </w:rPr>
              <w:t>Leukovorín (75 mg/m</w:t>
            </w:r>
            <w:r w:rsidRPr="00C83045">
              <w:rPr>
                <w:color w:val="000000"/>
                <w:vertAlign w:val="superscript"/>
                <w:lang w:val="sk-SK"/>
              </w:rPr>
              <w:t>2</w:t>
            </w:r>
            <w:r w:rsidRPr="00C83045">
              <w:rPr>
                <w:color w:val="000000"/>
                <w:lang w:val="sk-SK"/>
              </w:rPr>
              <w:t xml:space="preserve"> v 36 h, i.v.; 15 mg/m</w:t>
            </w:r>
            <w:r w:rsidRPr="00C83045">
              <w:rPr>
                <w:color w:val="000000"/>
                <w:vertAlign w:val="superscript"/>
                <w:lang w:val="sk-SK"/>
              </w:rPr>
              <w:t>2</w:t>
            </w:r>
            <w:r w:rsidRPr="00C83045">
              <w:rPr>
                <w:color w:val="000000"/>
                <w:lang w:val="sk-SK"/>
              </w:rPr>
              <w:t xml:space="preserve"> i.v. alebo p.o. q6h x 6 dávok)iii: dni 2, 3, 16, a 17</w:t>
            </w:r>
          </w:p>
          <w:p w14:paraId="3236853A" w14:textId="77777777" w:rsidR="00591A69" w:rsidRPr="00C83045" w:rsidRDefault="00591A69" w:rsidP="00D4304B">
            <w:pPr>
              <w:pStyle w:val="EndnoteText"/>
              <w:widowControl w:val="0"/>
              <w:rPr>
                <w:color w:val="000000"/>
                <w:lang w:val="sk-SK"/>
              </w:rPr>
            </w:pPr>
            <w:r w:rsidRPr="00C83045">
              <w:rPr>
                <w:color w:val="000000"/>
                <w:lang w:val="sk-SK"/>
              </w:rPr>
              <w:t>Trojitá i.t. liečba (upravená podľa veku): dni 1 a 22</w:t>
            </w:r>
          </w:p>
          <w:p w14:paraId="3236853B" w14:textId="77777777" w:rsidR="00591A69" w:rsidRPr="00C83045" w:rsidRDefault="00591A69" w:rsidP="00D4304B">
            <w:pPr>
              <w:pStyle w:val="EndnoteText"/>
              <w:widowControl w:val="0"/>
              <w:rPr>
                <w:color w:val="000000"/>
                <w:lang w:val="sk-SK"/>
              </w:rPr>
            </w:pPr>
            <w:r w:rsidRPr="00C83045">
              <w:rPr>
                <w:color w:val="000000"/>
                <w:lang w:val="sk-SK"/>
              </w:rPr>
              <w:t>VP-16 (100 mg/m</w:t>
            </w:r>
            <w:r w:rsidRPr="00C83045">
              <w:rPr>
                <w:color w:val="000000"/>
                <w:vertAlign w:val="superscript"/>
                <w:lang w:val="sk-SK"/>
              </w:rPr>
              <w:t>2</w:t>
            </w:r>
            <w:r w:rsidRPr="00C83045">
              <w:rPr>
                <w:color w:val="000000"/>
                <w:lang w:val="sk-SK"/>
              </w:rPr>
              <w:t>/deň, i.v.): dni 22</w:t>
            </w:r>
            <w:r w:rsidRPr="00C83045">
              <w:rPr>
                <w:color w:val="000000"/>
                <w:lang w:val="sk-SK"/>
              </w:rPr>
              <w:noBreakHyphen/>
              <w:t>26</w:t>
            </w:r>
          </w:p>
          <w:p w14:paraId="3236853C" w14:textId="77777777" w:rsidR="00591A69" w:rsidRPr="00C83045" w:rsidRDefault="00591A69" w:rsidP="00D4304B">
            <w:pPr>
              <w:pStyle w:val="EndnoteText"/>
              <w:widowControl w:val="0"/>
              <w:rPr>
                <w:color w:val="000000"/>
                <w:lang w:val="sk-SK"/>
              </w:rPr>
            </w:pPr>
            <w:r w:rsidRPr="00C83045">
              <w:rPr>
                <w:color w:val="000000"/>
                <w:lang w:val="sk-SK"/>
              </w:rPr>
              <w:t>CPM (300 mg/m</w:t>
            </w:r>
            <w:r w:rsidRPr="00C83045">
              <w:rPr>
                <w:color w:val="000000"/>
                <w:vertAlign w:val="superscript"/>
                <w:lang w:val="sk-SK"/>
              </w:rPr>
              <w:t>2</w:t>
            </w:r>
            <w:r w:rsidRPr="00C83045">
              <w:rPr>
                <w:color w:val="000000"/>
                <w:lang w:val="sk-SK"/>
              </w:rPr>
              <w:t>/deň, i.v.): dni 22</w:t>
            </w:r>
            <w:r w:rsidRPr="00C83045">
              <w:rPr>
                <w:color w:val="000000"/>
                <w:lang w:val="sk-SK"/>
              </w:rPr>
              <w:noBreakHyphen/>
              <w:t>26</w:t>
            </w:r>
          </w:p>
          <w:p w14:paraId="3236853D" w14:textId="77777777" w:rsidR="00591A69" w:rsidRPr="00C83045" w:rsidRDefault="00591A69" w:rsidP="00D4304B">
            <w:pPr>
              <w:pStyle w:val="EndnoteText"/>
              <w:widowControl w:val="0"/>
              <w:rPr>
                <w:color w:val="000000"/>
                <w:lang w:val="sk-SK"/>
              </w:rPr>
            </w:pPr>
            <w:r w:rsidRPr="00C83045">
              <w:rPr>
                <w:color w:val="000000"/>
                <w:lang w:val="sk-SK"/>
              </w:rPr>
              <w:t>MESNA (150 mg/m</w:t>
            </w:r>
            <w:r w:rsidRPr="00C83045">
              <w:rPr>
                <w:color w:val="000000"/>
                <w:vertAlign w:val="superscript"/>
                <w:lang w:val="sk-SK"/>
              </w:rPr>
              <w:t>2</w:t>
            </w:r>
            <w:r w:rsidRPr="00C83045">
              <w:rPr>
                <w:color w:val="000000"/>
                <w:lang w:val="sk-SK"/>
              </w:rPr>
              <w:t>/deň, i.v.): deň 22</w:t>
            </w:r>
            <w:r w:rsidRPr="00C83045">
              <w:rPr>
                <w:color w:val="000000"/>
                <w:lang w:val="sk-SK"/>
              </w:rPr>
              <w:noBreakHyphen/>
              <w:t>26</w:t>
            </w:r>
          </w:p>
          <w:p w14:paraId="3236853E" w14:textId="77777777" w:rsidR="00591A69" w:rsidRPr="00C83045" w:rsidRDefault="00591A69" w:rsidP="00D4304B">
            <w:pPr>
              <w:pStyle w:val="EndnoteText"/>
              <w:widowControl w:val="0"/>
              <w:rPr>
                <w:color w:val="000000"/>
                <w:lang w:val="sk-SK"/>
              </w:rPr>
            </w:pPr>
            <w:r w:rsidRPr="00C83045">
              <w:rPr>
                <w:color w:val="000000"/>
                <w:lang w:val="sk-SK"/>
              </w:rPr>
              <w:t>G-CSF (5 μg/kg, s.c.): dni 27</w:t>
            </w:r>
            <w:r w:rsidRPr="00C83045">
              <w:rPr>
                <w:color w:val="000000"/>
                <w:lang w:val="sk-SK"/>
              </w:rPr>
              <w:noBreakHyphen/>
              <w:t>36 alebo pokiaľ ANC &gt; 1500 po nadire</w:t>
            </w:r>
          </w:p>
          <w:p w14:paraId="3236853F" w14:textId="77777777" w:rsidR="00591A69" w:rsidRPr="00C83045" w:rsidRDefault="00591A69" w:rsidP="00D4304B">
            <w:pPr>
              <w:pStyle w:val="EndnoteText"/>
              <w:widowControl w:val="0"/>
              <w:rPr>
                <w:color w:val="000000"/>
                <w:lang w:val="sk-SK"/>
              </w:rPr>
            </w:pPr>
            <w:r w:rsidRPr="00C83045">
              <w:rPr>
                <w:color w:val="000000"/>
                <w:lang w:val="sk-SK"/>
              </w:rPr>
              <w:t>ARA-C (3 g/m</w:t>
            </w:r>
            <w:r w:rsidRPr="00C83045">
              <w:rPr>
                <w:color w:val="000000"/>
                <w:vertAlign w:val="superscript"/>
                <w:lang w:val="sk-SK"/>
              </w:rPr>
              <w:t>2</w:t>
            </w:r>
            <w:r w:rsidRPr="00C83045">
              <w:rPr>
                <w:color w:val="000000"/>
                <w:lang w:val="sk-SK"/>
              </w:rPr>
              <w:t>, q12h, i.v.): dni 43, 44</w:t>
            </w:r>
          </w:p>
          <w:p w14:paraId="32368540" w14:textId="77777777" w:rsidR="00591A69" w:rsidRPr="00C83045" w:rsidRDefault="00591A69" w:rsidP="00D4304B">
            <w:pPr>
              <w:pStyle w:val="EndnoteText"/>
              <w:widowControl w:val="0"/>
              <w:rPr>
                <w:color w:val="000000"/>
                <w:lang w:val="sk-SK"/>
              </w:rPr>
            </w:pPr>
            <w:r w:rsidRPr="00C83045">
              <w:rPr>
                <w:color w:val="000000"/>
                <w:lang w:val="sk-SK"/>
              </w:rPr>
              <w:t>L-ASP (6000 IU/m</w:t>
            </w:r>
            <w:r w:rsidRPr="00C83045">
              <w:rPr>
                <w:color w:val="000000"/>
                <w:vertAlign w:val="superscript"/>
                <w:lang w:val="sk-SK"/>
              </w:rPr>
              <w:t>2</w:t>
            </w:r>
            <w:r w:rsidRPr="00C83045">
              <w:rPr>
                <w:color w:val="000000"/>
                <w:lang w:val="sk-SK"/>
              </w:rPr>
              <w:t>, i.m.): dni 44</w:t>
            </w:r>
          </w:p>
        </w:tc>
      </w:tr>
      <w:tr w:rsidR="00591A69" w:rsidRPr="00C83045" w14:paraId="32368550" w14:textId="77777777" w:rsidTr="008202CD">
        <w:trPr>
          <w:cantSplit/>
        </w:trPr>
        <w:tc>
          <w:tcPr>
            <w:tcW w:w="2358" w:type="dxa"/>
            <w:tcBorders>
              <w:top w:val="single" w:sz="4" w:space="0" w:color="auto"/>
              <w:left w:val="single" w:sz="4" w:space="0" w:color="auto"/>
              <w:bottom w:val="single" w:sz="4" w:space="0" w:color="auto"/>
              <w:right w:val="single" w:sz="4" w:space="0" w:color="auto"/>
            </w:tcBorders>
            <w:hideMark/>
          </w:tcPr>
          <w:p w14:paraId="32368542" w14:textId="77777777" w:rsidR="00591A69" w:rsidRPr="00C83045" w:rsidRDefault="00591A69" w:rsidP="00D4304B">
            <w:pPr>
              <w:pStyle w:val="EndnoteText"/>
              <w:widowControl w:val="0"/>
              <w:rPr>
                <w:color w:val="000000"/>
                <w:lang w:val="sk-SK"/>
              </w:rPr>
            </w:pPr>
            <w:r w:rsidRPr="00C83045">
              <w:rPr>
                <w:color w:val="000000"/>
                <w:lang w:val="sk-SK"/>
              </w:rPr>
              <w:t>Udržiavacia liečba</w:t>
            </w:r>
          </w:p>
          <w:p w14:paraId="32368543" w14:textId="77777777" w:rsidR="00591A69" w:rsidRPr="00C83045" w:rsidRDefault="00591A69" w:rsidP="00D4304B">
            <w:pPr>
              <w:pStyle w:val="EndnoteText"/>
              <w:widowControl w:val="0"/>
              <w:rPr>
                <w:color w:val="000000"/>
                <w:lang w:val="sk-SK"/>
              </w:rPr>
            </w:pPr>
            <w:r w:rsidRPr="00C83045">
              <w:rPr>
                <w:color w:val="000000"/>
                <w:lang w:val="sk-SK"/>
              </w:rPr>
              <w:t>(8-týždňové cykly)</w:t>
            </w:r>
          </w:p>
          <w:p w14:paraId="32368544" w14:textId="77777777" w:rsidR="00591A69" w:rsidRPr="00C83045" w:rsidRDefault="00591A69" w:rsidP="00D4304B">
            <w:pPr>
              <w:pStyle w:val="EndnoteText"/>
              <w:widowControl w:val="0"/>
              <w:rPr>
                <w:color w:val="000000"/>
                <w:lang w:val="sk-SK"/>
              </w:rPr>
            </w:pPr>
            <w:r w:rsidRPr="00C83045">
              <w:rPr>
                <w:color w:val="000000"/>
                <w:lang w:val="sk-SK"/>
              </w:rPr>
              <w:t>Cyklus 1–4</w:t>
            </w:r>
          </w:p>
        </w:tc>
        <w:tc>
          <w:tcPr>
            <w:tcW w:w="6929" w:type="dxa"/>
            <w:tcBorders>
              <w:top w:val="single" w:sz="4" w:space="0" w:color="auto"/>
              <w:left w:val="single" w:sz="4" w:space="0" w:color="auto"/>
              <w:bottom w:val="single" w:sz="4" w:space="0" w:color="auto"/>
              <w:right w:val="single" w:sz="4" w:space="0" w:color="auto"/>
            </w:tcBorders>
            <w:hideMark/>
          </w:tcPr>
          <w:p w14:paraId="32368545" w14:textId="77777777" w:rsidR="00591A69" w:rsidRPr="00C83045" w:rsidRDefault="00591A69" w:rsidP="00D4304B">
            <w:pPr>
              <w:pStyle w:val="EndnoteText"/>
              <w:widowControl w:val="0"/>
              <w:rPr>
                <w:color w:val="000000"/>
                <w:lang w:val="sk-SK"/>
              </w:rPr>
            </w:pPr>
            <w:r w:rsidRPr="00C83045">
              <w:rPr>
                <w:color w:val="000000"/>
                <w:lang w:val="sk-SK"/>
              </w:rPr>
              <w:t>MTX (5 g/m</w:t>
            </w:r>
            <w:r w:rsidRPr="00C83045">
              <w:rPr>
                <w:color w:val="000000"/>
                <w:vertAlign w:val="superscript"/>
                <w:lang w:val="sk-SK"/>
              </w:rPr>
              <w:t>2</w:t>
            </w:r>
            <w:r w:rsidRPr="00C83045">
              <w:rPr>
                <w:color w:val="000000"/>
                <w:lang w:val="sk-SK"/>
              </w:rPr>
              <w:t xml:space="preserve"> počas 24 h, i.v.): deň 1</w:t>
            </w:r>
          </w:p>
          <w:p w14:paraId="32368546" w14:textId="77777777" w:rsidR="00591A69" w:rsidRPr="00C83045" w:rsidRDefault="00591A69" w:rsidP="00D4304B">
            <w:pPr>
              <w:pStyle w:val="EndnoteText"/>
              <w:widowControl w:val="0"/>
              <w:rPr>
                <w:color w:val="000000"/>
                <w:lang w:val="sk-SK"/>
              </w:rPr>
            </w:pPr>
            <w:r w:rsidRPr="00C83045">
              <w:rPr>
                <w:color w:val="000000"/>
                <w:lang w:val="sk-SK"/>
              </w:rPr>
              <w:t>Leukovorín (75 mg/m</w:t>
            </w:r>
            <w:r w:rsidRPr="00C83045">
              <w:rPr>
                <w:color w:val="000000"/>
                <w:vertAlign w:val="superscript"/>
                <w:lang w:val="sk-SK"/>
              </w:rPr>
              <w:t>2</w:t>
            </w:r>
            <w:r w:rsidRPr="00C83045">
              <w:rPr>
                <w:color w:val="000000"/>
                <w:lang w:val="sk-SK"/>
              </w:rPr>
              <w:t xml:space="preserve"> v 36 h, i.v.; 15 mg/m</w:t>
            </w:r>
            <w:r w:rsidRPr="00C83045">
              <w:rPr>
                <w:color w:val="000000"/>
                <w:vertAlign w:val="superscript"/>
                <w:lang w:val="sk-SK"/>
              </w:rPr>
              <w:t>2</w:t>
            </w:r>
            <w:r w:rsidRPr="00C83045">
              <w:rPr>
                <w:color w:val="000000"/>
                <w:lang w:val="sk-SK"/>
              </w:rPr>
              <w:t xml:space="preserve"> i.v. alebo p.o. q6h x 6 dávok)iii: dni 2 a 3</w:t>
            </w:r>
          </w:p>
          <w:p w14:paraId="32368547" w14:textId="77777777" w:rsidR="00591A69" w:rsidRPr="00C83045" w:rsidRDefault="00591A69" w:rsidP="00D4304B">
            <w:pPr>
              <w:pStyle w:val="EndnoteText"/>
              <w:widowControl w:val="0"/>
              <w:rPr>
                <w:color w:val="000000"/>
                <w:lang w:val="sk-SK"/>
              </w:rPr>
            </w:pPr>
            <w:r w:rsidRPr="00C83045">
              <w:rPr>
                <w:color w:val="000000"/>
                <w:lang w:val="sk-SK"/>
              </w:rPr>
              <w:t>Trojitá i.t. liečba (upravená podľa veku): dni 1, 29</w:t>
            </w:r>
          </w:p>
          <w:p w14:paraId="32368548" w14:textId="77777777" w:rsidR="00591A69" w:rsidRPr="00C83045" w:rsidRDefault="00591A69" w:rsidP="00D4304B">
            <w:pPr>
              <w:pStyle w:val="EndnoteText"/>
              <w:widowControl w:val="0"/>
              <w:rPr>
                <w:color w:val="000000"/>
                <w:lang w:val="sk-SK"/>
              </w:rPr>
            </w:pPr>
            <w:r w:rsidRPr="00C83045">
              <w:rPr>
                <w:color w:val="000000"/>
                <w:lang w:val="sk-SK"/>
              </w:rPr>
              <w:t>VCR (1.5 mg/m</w:t>
            </w:r>
            <w:r w:rsidRPr="00C83045">
              <w:rPr>
                <w:color w:val="000000"/>
                <w:vertAlign w:val="superscript"/>
                <w:lang w:val="sk-SK"/>
              </w:rPr>
              <w:t>2</w:t>
            </w:r>
            <w:r w:rsidRPr="00C83045">
              <w:rPr>
                <w:color w:val="000000"/>
                <w:lang w:val="sk-SK"/>
              </w:rPr>
              <w:t>, i.v.): dni 1, 29</w:t>
            </w:r>
          </w:p>
          <w:p w14:paraId="32368549" w14:textId="77777777" w:rsidR="00591A69" w:rsidRPr="00C83045" w:rsidRDefault="00591A69" w:rsidP="00D4304B">
            <w:pPr>
              <w:pStyle w:val="EndnoteText"/>
              <w:widowControl w:val="0"/>
              <w:rPr>
                <w:color w:val="000000"/>
                <w:lang w:val="sk-SK"/>
              </w:rPr>
            </w:pPr>
            <w:r w:rsidRPr="00C83045">
              <w:rPr>
                <w:color w:val="000000"/>
                <w:lang w:val="sk-SK"/>
              </w:rPr>
              <w:t>DEX (6 mg/m</w:t>
            </w:r>
            <w:r w:rsidRPr="00C83045">
              <w:rPr>
                <w:color w:val="000000"/>
                <w:vertAlign w:val="superscript"/>
                <w:lang w:val="sk-SK"/>
              </w:rPr>
              <w:t>2</w:t>
            </w:r>
            <w:r w:rsidRPr="00C83045">
              <w:rPr>
                <w:color w:val="000000"/>
                <w:lang w:val="sk-SK"/>
              </w:rPr>
              <w:t>/deň p.o.): dni 1</w:t>
            </w:r>
            <w:r w:rsidRPr="00C83045">
              <w:rPr>
                <w:color w:val="000000"/>
                <w:lang w:val="sk-SK"/>
              </w:rPr>
              <w:noBreakHyphen/>
              <w:t>5; 29</w:t>
            </w:r>
            <w:r w:rsidRPr="00C83045">
              <w:rPr>
                <w:color w:val="000000"/>
                <w:lang w:val="sk-SK"/>
              </w:rPr>
              <w:noBreakHyphen/>
              <w:t>33</w:t>
            </w:r>
          </w:p>
          <w:p w14:paraId="3236854A" w14:textId="77777777" w:rsidR="00591A69" w:rsidRPr="00C83045" w:rsidRDefault="00591A69" w:rsidP="00D4304B">
            <w:pPr>
              <w:pStyle w:val="EndnoteText"/>
              <w:widowControl w:val="0"/>
              <w:rPr>
                <w:color w:val="000000"/>
                <w:lang w:val="sk-SK"/>
              </w:rPr>
            </w:pPr>
            <w:r w:rsidRPr="00C83045">
              <w:rPr>
                <w:color w:val="000000"/>
                <w:lang w:val="sk-SK"/>
              </w:rPr>
              <w:t>6-MP (75 mg/m</w:t>
            </w:r>
            <w:r w:rsidRPr="00C83045">
              <w:rPr>
                <w:color w:val="000000"/>
                <w:vertAlign w:val="superscript"/>
                <w:lang w:val="sk-SK"/>
              </w:rPr>
              <w:t>2</w:t>
            </w:r>
            <w:r w:rsidRPr="00C83045">
              <w:rPr>
                <w:color w:val="000000"/>
                <w:lang w:val="sk-SK"/>
              </w:rPr>
              <w:t>/deň, p.o.): dni 8-28</w:t>
            </w:r>
          </w:p>
          <w:p w14:paraId="3236854B" w14:textId="77777777" w:rsidR="00591A69" w:rsidRPr="00C83045" w:rsidRDefault="00591A69" w:rsidP="00D4304B">
            <w:pPr>
              <w:pStyle w:val="EndnoteText"/>
              <w:widowControl w:val="0"/>
              <w:rPr>
                <w:color w:val="000000"/>
                <w:lang w:val="sk-SK"/>
              </w:rPr>
            </w:pPr>
            <w:r w:rsidRPr="00C83045">
              <w:rPr>
                <w:color w:val="000000"/>
                <w:lang w:val="sk-SK"/>
              </w:rPr>
              <w:t>Metotrexát (20 mg/m</w:t>
            </w:r>
            <w:r w:rsidRPr="00C83045">
              <w:rPr>
                <w:color w:val="000000"/>
                <w:vertAlign w:val="superscript"/>
                <w:lang w:val="sk-SK"/>
              </w:rPr>
              <w:t>2</w:t>
            </w:r>
            <w:r w:rsidRPr="00C83045">
              <w:rPr>
                <w:color w:val="000000"/>
                <w:lang w:val="sk-SK"/>
              </w:rPr>
              <w:t>/týždeň, p.o.): dni 8, 15, 22</w:t>
            </w:r>
          </w:p>
          <w:p w14:paraId="3236854C" w14:textId="77777777" w:rsidR="00591A69" w:rsidRPr="00C83045" w:rsidRDefault="00591A69" w:rsidP="00D4304B">
            <w:pPr>
              <w:pStyle w:val="EndnoteText"/>
              <w:widowControl w:val="0"/>
              <w:rPr>
                <w:color w:val="000000"/>
                <w:lang w:val="sk-SK"/>
              </w:rPr>
            </w:pPr>
            <w:r w:rsidRPr="00C83045">
              <w:rPr>
                <w:color w:val="000000"/>
                <w:lang w:val="sk-SK"/>
              </w:rPr>
              <w:t>VP-16 (100 mg/m</w:t>
            </w:r>
            <w:r w:rsidRPr="00C83045">
              <w:rPr>
                <w:color w:val="000000"/>
                <w:vertAlign w:val="superscript"/>
                <w:lang w:val="sk-SK"/>
              </w:rPr>
              <w:t>2</w:t>
            </w:r>
            <w:r w:rsidRPr="00C83045">
              <w:rPr>
                <w:color w:val="000000"/>
                <w:lang w:val="sk-SK"/>
              </w:rPr>
              <w:t>, i.v.): dni 29</w:t>
            </w:r>
            <w:r w:rsidRPr="00C83045">
              <w:rPr>
                <w:color w:val="000000"/>
                <w:lang w:val="sk-SK"/>
              </w:rPr>
              <w:noBreakHyphen/>
              <w:t>33</w:t>
            </w:r>
          </w:p>
          <w:p w14:paraId="3236854D" w14:textId="77777777" w:rsidR="00591A69" w:rsidRPr="00C83045" w:rsidRDefault="00591A69" w:rsidP="00D4304B">
            <w:pPr>
              <w:pStyle w:val="EndnoteText"/>
              <w:widowControl w:val="0"/>
              <w:rPr>
                <w:color w:val="000000"/>
                <w:lang w:val="sk-SK"/>
              </w:rPr>
            </w:pPr>
            <w:r w:rsidRPr="00C83045">
              <w:rPr>
                <w:color w:val="000000"/>
                <w:lang w:val="sk-SK"/>
              </w:rPr>
              <w:t>CPM (300 mg/m</w:t>
            </w:r>
            <w:r w:rsidRPr="00C83045">
              <w:rPr>
                <w:color w:val="000000"/>
                <w:vertAlign w:val="superscript"/>
                <w:lang w:val="sk-SK"/>
              </w:rPr>
              <w:t>2</w:t>
            </w:r>
            <w:r w:rsidRPr="00C83045">
              <w:rPr>
                <w:color w:val="000000"/>
                <w:lang w:val="sk-SK"/>
              </w:rPr>
              <w:t>, i.v.): dni 29</w:t>
            </w:r>
            <w:r w:rsidRPr="00C83045">
              <w:rPr>
                <w:color w:val="000000"/>
                <w:lang w:val="sk-SK"/>
              </w:rPr>
              <w:noBreakHyphen/>
              <w:t>33</w:t>
            </w:r>
          </w:p>
          <w:p w14:paraId="3236854E" w14:textId="77777777" w:rsidR="00591A69" w:rsidRPr="00C83045" w:rsidRDefault="00591A69" w:rsidP="00D4304B">
            <w:pPr>
              <w:pStyle w:val="EndnoteText"/>
              <w:widowControl w:val="0"/>
              <w:rPr>
                <w:color w:val="000000"/>
                <w:lang w:val="sk-SK"/>
              </w:rPr>
            </w:pPr>
            <w:r w:rsidRPr="00C83045">
              <w:rPr>
                <w:color w:val="000000"/>
                <w:lang w:val="sk-SK"/>
              </w:rPr>
              <w:t>MESNA i.v. dni 29</w:t>
            </w:r>
            <w:r w:rsidRPr="00C83045">
              <w:rPr>
                <w:color w:val="000000"/>
                <w:lang w:val="sk-SK"/>
              </w:rPr>
              <w:noBreakHyphen/>
              <w:t>33</w:t>
            </w:r>
          </w:p>
          <w:p w14:paraId="3236854F" w14:textId="77777777" w:rsidR="00591A69" w:rsidRPr="00C83045" w:rsidRDefault="00591A69" w:rsidP="00D4304B">
            <w:pPr>
              <w:pStyle w:val="EndnoteText"/>
              <w:widowControl w:val="0"/>
              <w:rPr>
                <w:color w:val="000000"/>
                <w:lang w:val="sk-SK"/>
              </w:rPr>
            </w:pPr>
            <w:r w:rsidRPr="00C83045">
              <w:rPr>
                <w:color w:val="000000"/>
                <w:lang w:val="sk-SK"/>
              </w:rPr>
              <w:t>G-CSF (5 μg/kg, s.c.): dni 34</w:t>
            </w:r>
            <w:r w:rsidRPr="00C83045">
              <w:rPr>
                <w:color w:val="000000"/>
                <w:lang w:val="sk-SK"/>
              </w:rPr>
              <w:noBreakHyphen/>
              <w:t>43</w:t>
            </w:r>
          </w:p>
        </w:tc>
      </w:tr>
      <w:tr w:rsidR="00591A69" w:rsidRPr="00C83045" w14:paraId="3236855B" w14:textId="77777777" w:rsidTr="008202CD">
        <w:trPr>
          <w:cantSplit/>
        </w:trPr>
        <w:tc>
          <w:tcPr>
            <w:tcW w:w="2358" w:type="dxa"/>
            <w:tcBorders>
              <w:top w:val="single" w:sz="4" w:space="0" w:color="auto"/>
              <w:left w:val="single" w:sz="4" w:space="0" w:color="auto"/>
              <w:bottom w:val="single" w:sz="4" w:space="0" w:color="auto"/>
              <w:right w:val="single" w:sz="4" w:space="0" w:color="auto"/>
            </w:tcBorders>
            <w:hideMark/>
          </w:tcPr>
          <w:p w14:paraId="32368551" w14:textId="77777777" w:rsidR="00591A69" w:rsidRPr="00C83045" w:rsidRDefault="00591A69" w:rsidP="00D4304B">
            <w:pPr>
              <w:pStyle w:val="EndnoteText"/>
              <w:widowControl w:val="0"/>
              <w:rPr>
                <w:color w:val="000000"/>
                <w:lang w:val="sk-SK"/>
              </w:rPr>
            </w:pPr>
            <w:r w:rsidRPr="00C83045">
              <w:rPr>
                <w:color w:val="000000"/>
                <w:lang w:val="sk-SK"/>
              </w:rPr>
              <w:t>Udržiavacia liečba</w:t>
            </w:r>
          </w:p>
          <w:p w14:paraId="32368552" w14:textId="77777777" w:rsidR="00591A69" w:rsidRPr="00C83045" w:rsidRDefault="00591A69" w:rsidP="00D4304B">
            <w:pPr>
              <w:pStyle w:val="EndnoteText"/>
              <w:widowControl w:val="0"/>
              <w:rPr>
                <w:color w:val="000000"/>
                <w:lang w:val="sk-SK"/>
              </w:rPr>
            </w:pPr>
            <w:r w:rsidRPr="00C83045">
              <w:rPr>
                <w:color w:val="000000"/>
                <w:lang w:val="sk-SK"/>
              </w:rPr>
              <w:t>(8-týždňové cykly)</w:t>
            </w:r>
          </w:p>
          <w:p w14:paraId="32368553" w14:textId="77777777" w:rsidR="00591A69" w:rsidRPr="00C83045" w:rsidRDefault="00591A69" w:rsidP="00D4304B">
            <w:pPr>
              <w:pStyle w:val="EndnoteText"/>
              <w:widowControl w:val="0"/>
              <w:rPr>
                <w:color w:val="000000"/>
                <w:lang w:val="sk-SK"/>
              </w:rPr>
            </w:pPr>
            <w:r w:rsidRPr="00C83045">
              <w:rPr>
                <w:color w:val="000000"/>
                <w:lang w:val="sk-SK"/>
              </w:rPr>
              <w:t>Cyklus 5</w:t>
            </w:r>
          </w:p>
        </w:tc>
        <w:tc>
          <w:tcPr>
            <w:tcW w:w="6929" w:type="dxa"/>
            <w:tcBorders>
              <w:top w:val="single" w:sz="4" w:space="0" w:color="auto"/>
              <w:left w:val="single" w:sz="4" w:space="0" w:color="auto"/>
              <w:bottom w:val="single" w:sz="4" w:space="0" w:color="auto"/>
              <w:right w:val="single" w:sz="4" w:space="0" w:color="auto"/>
            </w:tcBorders>
            <w:hideMark/>
          </w:tcPr>
          <w:p w14:paraId="32368554" w14:textId="77777777" w:rsidR="00591A69" w:rsidRPr="00C83045" w:rsidRDefault="00591A69" w:rsidP="00D4304B">
            <w:pPr>
              <w:pStyle w:val="EndnoteText"/>
              <w:widowControl w:val="0"/>
              <w:rPr>
                <w:color w:val="000000"/>
                <w:lang w:val="sk-SK"/>
              </w:rPr>
            </w:pPr>
            <w:r w:rsidRPr="00C83045">
              <w:rPr>
                <w:color w:val="000000"/>
                <w:lang w:val="sk-SK"/>
              </w:rPr>
              <w:t>Kraniálne ožarovanie (iba blok 5)</w:t>
            </w:r>
          </w:p>
          <w:p w14:paraId="32368555" w14:textId="77777777" w:rsidR="00591A69" w:rsidRPr="00C83045" w:rsidRDefault="00591A69" w:rsidP="00D4304B">
            <w:pPr>
              <w:pStyle w:val="EndnoteText"/>
              <w:widowControl w:val="0"/>
              <w:rPr>
                <w:color w:val="000000"/>
                <w:lang w:val="sk-SK"/>
              </w:rPr>
            </w:pPr>
            <w:r w:rsidRPr="00C83045">
              <w:rPr>
                <w:color w:val="000000"/>
                <w:lang w:val="sk-SK"/>
              </w:rPr>
              <w:t>12 Gy v 8 frakciách pre všetkých pacientov, ktorí sú počas diagnózy CNS1 a CNS2</w:t>
            </w:r>
          </w:p>
          <w:p w14:paraId="32368556" w14:textId="77777777" w:rsidR="00591A69" w:rsidRPr="00C83045" w:rsidRDefault="00591A69" w:rsidP="00D4304B">
            <w:pPr>
              <w:pStyle w:val="EndnoteText"/>
              <w:widowControl w:val="0"/>
              <w:rPr>
                <w:color w:val="000000"/>
                <w:lang w:val="sk-SK"/>
              </w:rPr>
            </w:pPr>
            <w:r w:rsidRPr="00C83045">
              <w:rPr>
                <w:color w:val="000000"/>
                <w:lang w:val="sk-SK"/>
              </w:rPr>
              <w:t>18 Gy v 10 frakciách pre pacientov, ktorí sú počas diagnózy CNS3</w:t>
            </w:r>
          </w:p>
          <w:p w14:paraId="32368557" w14:textId="77777777" w:rsidR="00591A69" w:rsidRPr="00C83045" w:rsidRDefault="00591A69" w:rsidP="00D4304B">
            <w:pPr>
              <w:pStyle w:val="EndnoteText"/>
              <w:widowControl w:val="0"/>
              <w:rPr>
                <w:color w:val="000000"/>
                <w:lang w:val="sk-SK"/>
              </w:rPr>
            </w:pPr>
            <w:r w:rsidRPr="00C83045">
              <w:rPr>
                <w:color w:val="000000"/>
                <w:lang w:val="sk-SK"/>
              </w:rPr>
              <w:t>VCR (1.5 mg/m</w:t>
            </w:r>
            <w:r w:rsidRPr="00C83045">
              <w:rPr>
                <w:color w:val="000000"/>
                <w:vertAlign w:val="superscript"/>
                <w:lang w:val="sk-SK"/>
              </w:rPr>
              <w:t>2</w:t>
            </w:r>
            <w:r w:rsidRPr="00C83045">
              <w:rPr>
                <w:color w:val="000000"/>
                <w:lang w:val="sk-SK"/>
              </w:rPr>
              <w:t>/deň, i.v.): dni 1, 29</w:t>
            </w:r>
          </w:p>
          <w:p w14:paraId="32368558" w14:textId="77777777" w:rsidR="00591A69" w:rsidRPr="00C83045" w:rsidRDefault="00591A69" w:rsidP="00D4304B">
            <w:pPr>
              <w:pStyle w:val="EndnoteText"/>
              <w:widowControl w:val="0"/>
              <w:rPr>
                <w:color w:val="000000"/>
                <w:lang w:val="sk-SK"/>
              </w:rPr>
            </w:pPr>
            <w:r w:rsidRPr="00C83045">
              <w:rPr>
                <w:color w:val="000000"/>
                <w:lang w:val="sk-SK"/>
              </w:rPr>
              <w:t>DEX (6 mg/m</w:t>
            </w:r>
            <w:r w:rsidRPr="00C83045">
              <w:rPr>
                <w:color w:val="000000"/>
                <w:vertAlign w:val="superscript"/>
                <w:lang w:val="sk-SK"/>
              </w:rPr>
              <w:t>2</w:t>
            </w:r>
            <w:r w:rsidRPr="00C83045">
              <w:rPr>
                <w:color w:val="000000"/>
                <w:lang w:val="sk-SK"/>
              </w:rPr>
              <w:t>/deň, p.o.): dni 1</w:t>
            </w:r>
            <w:r w:rsidRPr="00C83045">
              <w:rPr>
                <w:color w:val="000000"/>
                <w:lang w:val="sk-SK"/>
              </w:rPr>
              <w:noBreakHyphen/>
              <w:t>5; 29</w:t>
            </w:r>
            <w:r w:rsidRPr="00C83045">
              <w:rPr>
                <w:color w:val="000000"/>
                <w:lang w:val="sk-SK"/>
              </w:rPr>
              <w:noBreakHyphen/>
              <w:t>33</w:t>
            </w:r>
          </w:p>
          <w:p w14:paraId="32368559" w14:textId="77777777" w:rsidR="00591A69" w:rsidRPr="00C83045" w:rsidRDefault="00591A69" w:rsidP="00D4304B">
            <w:pPr>
              <w:pStyle w:val="EndnoteText"/>
              <w:widowControl w:val="0"/>
              <w:rPr>
                <w:color w:val="000000"/>
                <w:lang w:val="sk-SK"/>
              </w:rPr>
            </w:pPr>
            <w:r w:rsidRPr="00C83045">
              <w:rPr>
                <w:color w:val="000000"/>
                <w:lang w:val="sk-SK"/>
              </w:rPr>
              <w:t>6-MP (75 mg/m</w:t>
            </w:r>
            <w:r w:rsidRPr="00C83045">
              <w:rPr>
                <w:color w:val="000000"/>
                <w:vertAlign w:val="superscript"/>
                <w:lang w:val="sk-SK"/>
              </w:rPr>
              <w:t>2</w:t>
            </w:r>
            <w:r w:rsidRPr="00C83045">
              <w:rPr>
                <w:color w:val="000000"/>
                <w:lang w:val="sk-SK"/>
              </w:rPr>
              <w:t>/deň, p.o.): dni 11</w:t>
            </w:r>
            <w:r w:rsidRPr="00C83045">
              <w:rPr>
                <w:color w:val="000000"/>
                <w:lang w:val="sk-SK"/>
              </w:rPr>
              <w:noBreakHyphen/>
              <w:t>56 (6-MP vysadiť počas 6</w:t>
            </w:r>
            <w:r w:rsidRPr="00C83045">
              <w:rPr>
                <w:color w:val="000000"/>
                <w:lang w:val="sk-SK"/>
              </w:rPr>
              <w:noBreakHyphen/>
              <w:t>10 dňa kraniálneho ožarovania, a to na 1.deň v 5.cykle. 6-MP opäť nasadiť 1. deň po ukončení kraniálneho ožarovania.)</w:t>
            </w:r>
          </w:p>
          <w:p w14:paraId="3236855A" w14:textId="77777777" w:rsidR="00591A69" w:rsidRPr="00C83045" w:rsidRDefault="00591A69" w:rsidP="00D4304B">
            <w:pPr>
              <w:pStyle w:val="EndnoteText"/>
              <w:widowControl w:val="0"/>
              <w:rPr>
                <w:color w:val="000000"/>
                <w:lang w:val="sk-SK"/>
              </w:rPr>
            </w:pPr>
            <w:r w:rsidRPr="00C83045">
              <w:rPr>
                <w:color w:val="000000"/>
                <w:lang w:val="sk-SK"/>
              </w:rPr>
              <w:t>Metotrexát (20 mg/m</w:t>
            </w:r>
            <w:r w:rsidRPr="00C83045">
              <w:rPr>
                <w:color w:val="000000"/>
                <w:vertAlign w:val="superscript"/>
                <w:lang w:val="sk-SK"/>
              </w:rPr>
              <w:t>2</w:t>
            </w:r>
            <w:r w:rsidRPr="00C83045">
              <w:rPr>
                <w:color w:val="000000"/>
                <w:lang w:val="sk-SK"/>
              </w:rPr>
              <w:t>/týždeň, p.o.): dni  8, 15, 22, 29, 36, 43, 50</w:t>
            </w:r>
          </w:p>
        </w:tc>
      </w:tr>
      <w:tr w:rsidR="00591A69" w:rsidRPr="00C83045" w14:paraId="32368563" w14:textId="77777777" w:rsidTr="008202CD">
        <w:trPr>
          <w:cantSplit/>
        </w:trPr>
        <w:tc>
          <w:tcPr>
            <w:tcW w:w="2358" w:type="dxa"/>
            <w:tcBorders>
              <w:top w:val="single" w:sz="4" w:space="0" w:color="auto"/>
              <w:left w:val="single" w:sz="4" w:space="0" w:color="auto"/>
              <w:bottom w:val="single" w:sz="4" w:space="0" w:color="auto"/>
              <w:right w:val="single" w:sz="4" w:space="0" w:color="auto"/>
            </w:tcBorders>
            <w:hideMark/>
          </w:tcPr>
          <w:p w14:paraId="3236855C" w14:textId="77777777" w:rsidR="00591A69" w:rsidRPr="00C83045" w:rsidRDefault="00591A69" w:rsidP="00B62C3E">
            <w:pPr>
              <w:pStyle w:val="EndnoteText"/>
              <w:keepNext/>
              <w:keepLines/>
              <w:widowControl w:val="0"/>
              <w:rPr>
                <w:color w:val="000000"/>
                <w:lang w:val="sk-SK"/>
              </w:rPr>
            </w:pPr>
            <w:r w:rsidRPr="00C83045">
              <w:rPr>
                <w:color w:val="000000"/>
                <w:lang w:val="sk-SK"/>
              </w:rPr>
              <w:t>Udržiavacia liečba</w:t>
            </w:r>
          </w:p>
          <w:p w14:paraId="3236855D" w14:textId="77777777" w:rsidR="00591A69" w:rsidRPr="00C83045" w:rsidRDefault="00591A69" w:rsidP="00B62C3E">
            <w:pPr>
              <w:pStyle w:val="EndnoteText"/>
              <w:keepNext/>
              <w:keepLines/>
              <w:widowControl w:val="0"/>
              <w:rPr>
                <w:color w:val="000000"/>
                <w:lang w:val="sk-SK"/>
              </w:rPr>
            </w:pPr>
            <w:r w:rsidRPr="00C83045">
              <w:rPr>
                <w:color w:val="000000"/>
                <w:lang w:val="sk-SK"/>
              </w:rPr>
              <w:t>(8-týždňové cykly)</w:t>
            </w:r>
          </w:p>
          <w:p w14:paraId="3236855E" w14:textId="77777777" w:rsidR="00591A69" w:rsidRPr="00C83045" w:rsidRDefault="00591A69" w:rsidP="00B62C3E">
            <w:pPr>
              <w:pStyle w:val="EndnoteText"/>
              <w:keepNext/>
              <w:keepLines/>
              <w:widowControl w:val="0"/>
              <w:rPr>
                <w:color w:val="000000"/>
                <w:lang w:val="sk-SK"/>
              </w:rPr>
            </w:pPr>
            <w:r w:rsidRPr="00C83045">
              <w:rPr>
                <w:color w:val="000000"/>
                <w:lang w:val="sk-SK"/>
              </w:rPr>
              <w:t>Cyklus 6-12</w:t>
            </w:r>
          </w:p>
        </w:tc>
        <w:tc>
          <w:tcPr>
            <w:tcW w:w="6929" w:type="dxa"/>
            <w:tcBorders>
              <w:top w:val="single" w:sz="4" w:space="0" w:color="auto"/>
              <w:left w:val="single" w:sz="4" w:space="0" w:color="auto"/>
              <w:bottom w:val="single" w:sz="4" w:space="0" w:color="auto"/>
              <w:right w:val="single" w:sz="4" w:space="0" w:color="auto"/>
            </w:tcBorders>
            <w:hideMark/>
          </w:tcPr>
          <w:p w14:paraId="3236855F" w14:textId="77777777" w:rsidR="00591A69" w:rsidRPr="00C83045" w:rsidRDefault="00591A69" w:rsidP="00B62C3E">
            <w:pPr>
              <w:pStyle w:val="EndnoteText"/>
              <w:keepNext/>
              <w:keepLines/>
              <w:widowControl w:val="0"/>
              <w:rPr>
                <w:color w:val="000000"/>
                <w:lang w:val="sk-SK"/>
              </w:rPr>
            </w:pPr>
            <w:r w:rsidRPr="00C83045">
              <w:rPr>
                <w:color w:val="000000"/>
                <w:lang w:val="sk-SK"/>
              </w:rPr>
              <w:t>VCR (1.5 mg/m</w:t>
            </w:r>
            <w:r w:rsidRPr="00C83045">
              <w:rPr>
                <w:color w:val="000000"/>
                <w:vertAlign w:val="superscript"/>
                <w:lang w:val="sk-SK"/>
              </w:rPr>
              <w:t>2</w:t>
            </w:r>
            <w:r w:rsidRPr="00C83045">
              <w:rPr>
                <w:color w:val="000000"/>
                <w:lang w:val="sk-SK"/>
              </w:rPr>
              <w:t>/deň, i.v.): dni 1, 29</w:t>
            </w:r>
          </w:p>
          <w:p w14:paraId="32368560" w14:textId="77777777" w:rsidR="00591A69" w:rsidRPr="00C83045" w:rsidRDefault="00591A69" w:rsidP="00B62C3E">
            <w:pPr>
              <w:pStyle w:val="EndnoteText"/>
              <w:keepNext/>
              <w:keepLines/>
              <w:widowControl w:val="0"/>
              <w:rPr>
                <w:color w:val="000000"/>
                <w:lang w:val="sk-SK"/>
              </w:rPr>
            </w:pPr>
            <w:r w:rsidRPr="00C83045">
              <w:rPr>
                <w:color w:val="000000"/>
                <w:lang w:val="sk-SK"/>
              </w:rPr>
              <w:t>DEX (6 mg/m</w:t>
            </w:r>
            <w:r w:rsidRPr="00C83045">
              <w:rPr>
                <w:color w:val="000000"/>
                <w:vertAlign w:val="superscript"/>
                <w:lang w:val="sk-SK"/>
              </w:rPr>
              <w:t>2</w:t>
            </w:r>
            <w:r w:rsidRPr="00C83045">
              <w:rPr>
                <w:color w:val="000000"/>
                <w:lang w:val="sk-SK"/>
              </w:rPr>
              <w:t>/deň, p.o.): dni 1</w:t>
            </w:r>
            <w:r w:rsidRPr="00C83045">
              <w:rPr>
                <w:color w:val="000000"/>
                <w:lang w:val="sk-SK"/>
              </w:rPr>
              <w:noBreakHyphen/>
              <w:t>5; 29</w:t>
            </w:r>
            <w:r w:rsidRPr="00C83045">
              <w:rPr>
                <w:color w:val="000000"/>
                <w:lang w:val="sk-SK"/>
              </w:rPr>
              <w:noBreakHyphen/>
              <w:t>33</w:t>
            </w:r>
          </w:p>
          <w:p w14:paraId="32368561" w14:textId="77777777" w:rsidR="00591A69" w:rsidRPr="00C83045" w:rsidRDefault="00591A69" w:rsidP="00B62C3E">
            <w:pPr>
              <w:pStyle w:val="EndnoteText"/>
              <w:keepNext/>
              <w:keepLines/>
              <w:widowControl w:val="0"/>
              <w:rPr>
                <w:color w:val="000000"/>
                <w:lang w:val="sk-SK"/>
              </w:rPr>
            </w:pPr>
            <w:r w:rsidRPr="00C83045">
              <w:rPr>
                <w:color w:val="000000"/>
                <w:lang w:val="sk-SK"/>
              </w:rPr>
              <w:t>6-MP (75 mg/m</w:t>
            </w:r>
            <w:r w:rsidRPr="00C83045">
              <w:rPr>
                <w:color w:val="000000"/>
                <w:vertAlign w:val="superscript"/>
                <w:lang w:val="sk-SK"/>
              </w:rPr>
              <w:t>2</w:t>
            </w:r>
            <w:r w:rsidRPr="00C83045">
              <w:rPr>
                <w:color w:val="000000"/>
                <w:lang w:val="sk-SK"/>
              </w:rPr>
              <w:t>/deň, p.o.): dni 1</w:t>
            </w:r>
            <w:r w:rsidRPr="00C83045">
              <w:rPr>
                <w:color w:val="000000"/>
                <w:lang w:val="sk-SK"/>
              </w:rPr>
              <w:noBreakHyphen/>
              <w:t>56</w:t>
            </w:r>
          </w:p>
          <w:p w14:paraId="32368562" w14:textId="77777777" w:rsidR="00591A69" w:rsidRPr="00C83045" w:rsidRDefault="00591A69" w:rsidP="00B62C3E">
            <w:pPr>
              <w:pStyle w:val="EndnoteText"/>
              <w:keepNext/>
              <w:keepLines/>
              <w:widowControl w:val="0"/>
              <w:rPr>
                <w:color w:val="000000"/>
                <w:lang w:val="sk-SK"/>
              </w:rPr>
            </w:pPr>
            <w:r w:rsidRPr="00C83045">
              <w:rPr>
                <w:color w:val="000000"/>
                <w:lang w:val="sk-SK"/>
              </w:rPr>
              <w:t>Metotrexát (20 mg/m</w:t>
            </w:r>
            <w:r w:rsidRPr="00C83045">
              <w:rPr>
                <w:color w:val="000000"/>
                <w:vertAlign w:val="superscript"/>
                <w:lang w:val="sk-SK"/>
              </w:rPr>
              <w:t>2</w:t>
            </w:r>
            <w:r w:rsidRPr="00C83045">
              <w:rPr>
                <w:color w:val="000000"/>
                <w:lang w:val="sk-SK"/>
              </w:rPr>
              <w:t>/týždeň, p.o.): dni 1, 8, 15, 22, 29, 36, 43, 50</w:t>
            </w:r>
          </w:p>
        </w:tc>
      </w:tr>
    </w:tbl>
    <w:p w14:paraId="32368564" w14:textId="77777777" w:rsidR="00591A69" w:rsidRPr="00C83045" w:rsidRDefault="00591A69" w:rsidP="00B62C3E">
      <w:pPr>
        <w:pStyle w:val="EndnoteText"/>
        <w:keepNext/>
        <w:keepLines/>
        <w:widowControl w:val="0"/>
        <w:rPr>
          <w:color w:val="000000"/>
          <w:szCs w:val="22"/>
          <w:lang w:val="sk-SK"/>
        </w:rPr>
      </w:pPr>
      <w:r w:rsidRPr="00C83045">
        <w:rPr>
          <w:color w:val="000000"/>
          <w:szCs w:val="22"/>
          <w:lang w:val="sk-SK"/>
        </w:rPr>
        <w:t>G-CSF = faktor stimulujúci kolónie granulocytov, VP-16 = etopozid, MTX = metotrexát, i.v. = intravenózne, s.c. = subkutánne, i.t. = intratekálne, p.o. = perorálne, i.m. = intramuskulárne, ARA-C = cytarabín, CPM = cyklofosfamid, VCR = vinkristín, DEX = dexametazón, DAUN = daunorubicín, 6-MP = 6-merkaptopurín, E.Coli L-ASP = L-asparagináza, PEG-ASP = PEG asparagináza, MESNA= 2-merkaptoetán sulfonát sodný, iii= alebo pokiaľ hladiny MTX sú pod úrovňou &lt; 0,1 µM, q6h = každých 6 hodín, Gy= Gray</w:t>
      </w:r>
    </w:p>
    <w:p w14:paraId="32368565" w14:textId="77777777" w:rsidR="00591A69" w:rsidRPr="00C83045" w:rsidRDefault="00591A69" w:rsidP="00D4304B">
      <w:pPr>
        <w:pStyle w:val="EndnoteText"/>
        <w:widowControl w:val="0"/>
        <w:jc w:val="both"/>
        <w:rPr>
          <w:color w:val="000000"/>
          <w:sz w:val="20"/>
          <w:lang w:val="sk-SK"/>
        </w:rPr>
      </w:pPr>
    </w:p>
    <w:p w14:paraId="32368566" w14:textId="77777777" w:rsidR="00591A69" w:rsidRPr="00C83045" w:rsidRDefault="00591A69" w:rsidP="00D4304B">
      <w:pPr>
        <w:pStyle w:val="EndnoteText"/>
        <w:widowControl w:val="0"/>
        <w:rPr>
          <w:color w:val="000000"/>
          <w:lang w:val="sk-SK"/>
        </w:rPr>
      </w:pPr>
      <w:r w:rsidRPr="00C83045">
        <w:rPr>
          <w:color w:val="000000"/>
          <w:szCs w:val="22"/>
          <w:lang w:val="sk-SK"/>
        </w:rPr>
        <w:t>Štúdia AIT07 bolo multicentrické, otvorené, randomizované skúšanie fázy II/III, ktoré zahŕňalo 128 pacientov (1 až &lt; 18 rokov) liečených imatinibom v kombinácii s chemoterapiou. Údaje o bezpečnosti z tejto štúdie sa zdajú byť v zhode s bezpečnostným profilom imatinibu u pacientov s Ph+ ALL.</w:t>
      </w:r>
    </w:p>
    <w:p w14:paraId="32368567" w14:textId="77777777" w:rsidR="00591A69" w:rsidRPr="00C83045" w:rsidRDefault="00591A69" w:rsidP="00D4304B">
      <w:pPr>
        <w:pStyle w:val="EndnoteText"/>
        <w:widowControl w:val="0"/>
        <w:rPr>
          <w:color w:val="000000"/>
          <w:szCs w:val="22"/>
          <w:lang w:val="sk-SK"/>
        </w:rPr>
      </w:pPr>
    </w:p>
    <w:p w14:paraId="32368568" w14:textId="77777777" w:rsidR="00591A69" w:rsidRPr="00C83045" w:rsidRDefault="00591A69" w:rsidP="00D4304B">
      <w:pPr>
        <w:widowControl w:val="0"/>
        <w:ind w:left="0" w:firstLine="0"/>
        <w:rPr>
          <w:color w:val="000000"/>
          <w:szCs w:val="22"/>
        </w:rPr>
      </w:pPr>
      <w:r w:rsidRPr="00C83045">
        <w:rPr>
          <w:i/>
          <w:color w:val="000000"/>
          <w:szCs w:val="22"/>
        </w:rPr>
        <w:t xml:space="preserve">Relaps/refraktérna Ph+ </w:t>
      </w:r>
      <w:smartTag w:uri="urn:schemas-microsoft-com:office:smarttags" w:element="stockticker">
        <w:r w:rsidRPr="00C83045">
          <w:rPr>
            <w:i/>
            <w:color w:val="000000"/>
            <w:szCs w:val="22"/>
          </w:rPr>
          <w:t>ALL</w:t>
        </w:r>
      </w:smartTag>
      <w:r w:rsidRPr="00C83045">
        <w:rPr>
          <w:i/>
          <w:color w:val="000000"/>
          <w:szCs w:val="22"/>
        </w:rPr>
        <w:t>:</w:t>
      </w:r>
      <w:r w:rsidRPr="00C83045">
        <w:rPr>
          <w:color w:val="000000"/>
          <w:szCs w:val="22"/>
        </w:rPr>
        <w:t xml:space="preserve"> Keď sa imatinib podával ako monoterapia pacientom s relapsom/refraktérnou Ph+ </w:t>
      </w:r>
      <w:smartTag w:uri="urn:schemas-microsoft-com:office:smarttags" w:element="stockticker">
        <w:r w:rsidRPr="00C83045">
          <w:rPr>
            <w:color w:val="000000"/>
            <w:szCs w:val="22"/>
          </w:rPr>
          <w:t>ALL</w:t>
        </w:r>
      </w:smartTag>
      <w:r w:rsidRPr="00C83045">
        <w:rPr>
          <w:color w:val="000000"/>
          <w:szCs w:val="22"/>
        </w:rPr>
        <w:t xml:space="preserve">, u 53 zo 411 pacientov s vyhodnotiteľnou odpoveďou sa dosiahol </w:t>
      </w:r>
      <w:r w:rsidRPr="00C83045">
        <w:rPr>
          <w:color w:val="000000"/>
          <w:szCs w:val="22"/>
        </w:rPr>
        <w:lastRenderedPageBreak/>
        <w:t xml:space="preserve">podiel hematologickej odpovede 30% (9% kompletnej) a podiel veľkej cytogenetickej odpovede 23%. (Treba vziať do úvahy, že 353 zo 411 pacientov bolo liečených v programe rozšíreného prístupu k liečbe bez získania údajov o primárnej odpovedi.) Medián času do progresie v celej populácii 411 pacientov s relapsom/refraktérnou Ph+ </w:t>
      </w:r>
      <w:smartTag w:uri="urn:schemas-microsoft-com:office:smarttags" w:element="stockticker">
        <w:r w:rsidRPr="00C83045">
          <w:rPr>
            <w:color w:val="000000"/>
            <w:szCs w:val="22"/>
          </w:rPr>
          <w:t>ALL</w:t>
        </w:r>
      </w:smartTag>
      <w:r w:rsidRPr="00C83045">
        <w:rPr>
          <w:color w:val="000000"/>
          <w:szCs w:val="22"/>
        </w:rPr>
        <w:t xml:space="preserve"> bol v rozmedzí od 2,6 do 3,1 mesiacov a medián celkového prežívania u 401 vyhodnotiteľných pacientov bol v rozmedzí od 4,9 do 9 mesiacov. Údaje boli podobné pri opätovnej analýze, do ktorej boli zahrnutí len pacienti vo veku 55 alebo viac rokov.</w:t>
      </w:r>
    </w:p>
    <w:p w14:paraId="32368569" w14:textId="77777777" w:rsidR="00591A69" w:rsidRPr="00C83045" w:rsidRDefault="00591A69" w:rsidP="00D4304B">
      <w:pPr>
        <w:widowControl w:val="0"/>
        <w:ind w:left="0" w:firstLine="0"/>
        <w:rPr>
          <w:color w:val="000000"/>
          <w:szCs w:val="22"/>
          <w:u w:val="single"/>
        </w:rPr>
      </w:pPr>
    </w:p>
    <w:p w14:paraId="3236856A" w14:textId="77777777" w:rsidR="00591A69" w:rsidRPr="00C83045" w:rsidRDefault="00591A69" w:rsidP="00D4304B">
      <w:pPr>
        <w:keepNext/>
        <w:widowControl w:val="0"/>
        <w:ind w:left="0" w:firstLine="0"/>
        <w:rPr>
          <w:color w:val="000000"/>
          <w:szCs w:val="22"/>
          <w:u w:val="single"/>
        </w:rPr>
      </w:pPr>
      <w:r w:rsidRPr="00C83045">
        <w:rPr>
          <w:color w:val="000000"/>
          <w:szCs w:val="22"/>
          <w:u w:val="single"/>
        </w:rPr>
        <w:t xml:space="preserve">Klinické skúšania pri </w:t>
      </w:r>
      <w:smartTag w:uri="urn:schemas-microsoft-com:office:smarttags" w:element="stockticker">
        <w:r w:rsidRPr="00C83045">
          <w:rPr>
            <w:color w:val="000000"/>
            <w:szCs w:val="22"/>
            <w:u w:val="single"/>
          </w:rPr>
          <w:t>MDS</w:t>
        </w:r>
      </w:smartTag>
      <w:r w:rsidRPr="00C83045">
        <w:rPr>
          <w:color w:val="000000"/>
          <w:szCs w:val="22"/>
          <w:u w:val="single"/>
        </w:rPr>
        <w:t>/MPD</w:t>
      </w:r>
    </w:p>
    <w:p w14:paraId="3236856B" w14:textId="77777777" w:rsidR="00F3532A" w:rsidRDefault="00591A69" w:rsidP="00D4304B">
      <w:pPr>
        <w:widowControl w:val="0"/>
        <w:ind w:left="0" w:firstLine="0"/>
        <w:rPr>
          <w:color w:val="000000"/>
          <w:szCs w:val="22"/>
        </w:rPr>
      </w:pPr>
      <w:r w:rsidRPr="00C83045">
        <w:rPr>
          <w:color w:val="000000"/>
          <w:szCs w:val="22"/>
        </w:rPr>
        <w:t>Skúsenosti s Glivecom v tejto indikácii sú veľmi obmedzené a zakladajú sa na stupni hematologickej a cytogenetickej odpovede. Nie sú kontrolované klinické skúšania, ktoré by preukázali klinický prínos alebo predĺžené prežívanie. V jednom otvorenom, multicentrickom klinickom skúšaní fázy II (štúdia B2225) sa testoval Glivec u rôznych populácií pacientov s ochoreniami ohrozujúcimi život, ktoré súvisia proteíntyrozínkinázami Abl, Kit alebo PDGFR. Do tohto klinického skúšania bolo zaradených 7 pacientov s </w:t>
      </w:r>
      <w:smartTag w:uri="urn:schemas-microsoft-com:office:smarttags" w:element="stockticker">
        <w:r w:rsidRPr="00C83045">
          <w:rPr>
            <w:color w:val="000000"/>
            <w:szCs w:val="22"/>
          </w:rPr>
          <w:t>MDS</w:t>
        </w:r>
      </w:smartTag>
      <w:r w:rsidRPr="00C83045">
        <w:rPr>
          <w:color w:val="000000"/>
          <w:szCs w:val="22"/>
        </w:rPr>
        <w:t>/MPD, ktorí dostávali 400 mg Glivecu denne. U troch pacientov sa dosiahla kompletná hematologická odpoveď (</w:t>
      </w:r>
      <w:smartTag w:uri="urn:schemas-microsoft-com:office:smarttags" w:element="stockticker">
        <w:r w:rsidRPr="00C83045">
          <w:rPr>
            <w:color w:val="000000"/>
            <w:szCs w:val="22"/>
          </w:rPr>
          <w:t>CHR</w:t>
        </w:r>
      </w:smartTag>
      <w:r w:rsidRPr="00C83045">
        <w:rPr>
          <w:color w:val="000000"/>
          <w:szCs w:val="22"/>
        </w:rPr>
        <w:t>) a jeden pacient mal čiastočnú hematologickú odpoveď (</w:t>
      </w:r>
      <w:smartTag w:uri="urn:schemas-microsoft-com:office:smarttags" w:element="stockticker">
        <w:r w:rsidRPr="00C83045">
          <w:rPr>
            <w:color w:val="000000"/>
            <w:szCs w:val="22"/>
          </w:rPr>
          <w:t>PHR</w:t>
        </w:r>
      </w:smartTag>
      <w:r w:rsidRPr="00C83045">
        <w:rPr>
          <w:color w:val="000000"/>
          <w:szCs w:val="22"/>
        </w:rPr>
        <w:t>). V čase pôvodnej analýzy sa u troch zo štyroch pacientov so zistenými preskupeniami génu PDGFR vyvinula hematologická odpoveď (2 </w:t>
      </w:r>
      <w:smartTag w:uri="urn:schemas-microsoft-com:office:smarttags" w:element="stockticker">
        <w:r w:rsidRPr="00C83045">
          <w:rPr>
            <w:color w:val="000000"/>
            <w:szCs w:val="22"/>
          </w:rPr>
          <w:t>CHR</w:t>
        </w:r>
      </w:smartTag>
      <w:r w:rsidRPr="00C83045">
        <w:rPr>
          <w:color w:val="000000"/>
          <w:szCs w:val="22"/>
        </w:rPr>
        <w:t xml:space="preserve"> a 1 </w:t>
      </w:r>
      <w:smartTag w:uri="urn:schemas-microsoft-com:office:smarttags" w:element="stockticker">
        <w:r w:rsidRPr="00C83045">
          <w:rPr>
            <w:color w:val="000000"/>
            <w:szCs w:val="22"/>
          </w:rPr>
          <w:t>PHR</w:t>
        </w:r>
      </w:smartTag>
      <w:r w:rsidRPr="00C83045">
        <w:rPr>
          <w:color w:val="000000"/>
          <w:szCs w:val="22"/>
        </w:rPr>
        <w:t>). Vek týchto pacientov bol v rozmedzí od 20 do 72 rokov.</w:t>
      </w:r>
    </w:p>
    <w:p w14:paraId="3236856C" w14:textId="77777777" w:rsidR="00F3532A" w:rsidRPr="00F2328C" w:rsidRDefault="00F3532A" w:rsidP="00D4304B">
      <w:pPr>
        <w:pStyle w:val="EndnoteText"/>
        <w:widowControl w:val="0"/>
        <w:tabs>
          <w:tab w:val="clear" w:pos="567"/>
          <w:tab w:val="left" w:pos="720"/>
        </w:tabs>
        <w:rPr>
          <w:color w:val="000000"/>
          <w:szCs w:val="22"/>
          <w:lang w:val="sk-SK" w:eastAsia="ja-JP"/>
        </w:rPr>
      </w:pPr>
    </w:p>
    <w:p w14:paraId="3236856D" w14:textId="77777777" w:rsidR="00F3532A" w:rsidRPr="00F2328C" w:rsidRDefault="00F3532A" w:rsidP="00D4304B">
      <w:pPr>
        <w:pStyle w:val="EndnoteText"/>
        <w:widowControl w:val="0"/>
        <w:tabs>
          <w:tab w:val="clear" w:pos="567"/>
          <w:tab w:val="left" w:pos="720"/>
        </w:tabs>
        <w:rPr>
          <w:color w:val="000000"/>
          <w:szCs w:val="22"/>
          <w:lang w:val="sk-SK" w:eastAsia="ja-JP"/>
        </w:rPr>
      </w:pPr>
      <w:r w:rsidRPr="00F2328C">
        <w:rPr>
          <w:rFonts w:eastAsia="TimesNewRoman"/>
          <w:szCs w:val="22"/>
          <w:lang w:val="sk-SK"/>
        </w:rPr>
        <w:t xml:space="preserve">U pacientov s </w:t>
      </w:r>
      <w:r w:rsidRPr="00F2328C">
        <w:rPr>
          <w:color w:val="000000"/>
          <w:szCs w:val="22"/>
          <w:lang w:val="sk-SK"/>
        </w:rPr>
        <w:t xml:space="preserve">myeloproliferatívnymi neoplazmami a s preskupením génu </w:t>
      </w:r>
      <w:r w:rsidRPr="00F2328C">
        <w:rPr>
          <w:rFonts w:eastAsia="TimesNewRoman"/>
          <w:szCs w:val="22"/>
          <w:lang w:val="sk-SK"/>
        </w:rPr>
        <w:t xml:space="preserve">PDGFR- </w:t>
      </w:r>
      <w:r>
        <w:rPr>
          <w:rFonts w:eastAsia="TimesNewRoman"/>
          <w:szCs w:val="22"/>
          <w:lang w:val="en-US"/>
        </w:rPr>
        <w:t>β</w:t>
      </w:r>
      <w:r w:rsidRPr="00F2328C">
        <w:rPr>
          <w:rFonts w:eastAsia="TimesNewRoman"/>
          <w:szCs w:val="22"/>
          <w:lang w:val="sk-SK"/>
        </w:rPr>
        <w:t xml:space="preserve">, ktorí boli liečení Glivecom, sa za účelom zberu dlhodobých údajov o bezpečnosti a účinnosti vykonal observačný register </w:t>
      </w:r>
      <w:r w:rsidRPr="00F2328C">
        <w:rPr>
          <w:color w:val="000000"/>
          <w:szCs w:val="22"/>
          <w:lang w:val="sk-SK"/>
        </w:rPr>
        <w:t>(štúdia L2401)</w:t>
      </w:r>
      <w:r w:rsidRPr="00F2328C">
        <w:rPr>
          <w:rFonts w:eastAsia="TimesNewRoman"/>
          <w:szCs w:val="22"/>
          <w:lang w:val="sk-SK"/>
        </w:rPr>
        <w:t>.</w:t>
      </w:r>
      <w:r w:rsidRPr="00F2328C">
        <w:rPr>
          <w:color w:val="000000"/>
          <w:szCs w:val="22"/>
          <w:lang w:val="sk-SK"/>
        </w:rPr>
        <w:t xml:space="preserve"> 23 pacientov zaradených v registri užilo Glivec s mediánom dennej dávky 264 mg (rozsah 100 až 400 mg) a s mediánom trvania 7,2 rokov (rozsah 0,1 až 12,7 rokov). Z ohľadom na observačný charakter registra boli hematologické, </w:t>
      </w:r>
      <w:r w:rsidRPr="00F2328C">
        <w:rPr>
          <w:rFonts w:eastAsia="TimesNewRoman"/>
          <w:szCs w:val="22"/>
          <w:lang w:val="sk-SK"/>
        </w:rPr>
        <w:t>cytogenetické a molekulárne  údaje k hodnoteniu dostupné u 2</w:t>
      </w:r>
      <w:r w:rsidRPr="00F2328C">
        <w:rPr>
          <w:color w:val="000000"/>
          <w:szCs w:val="22"/>
          <w:lang w:val="sk-SK"/>
        </w:rPr>
        <w:t>2, 9 a 17 z 23 zaradených pacientov, v uvedenom poradí. Za konzervatívneho predpokladu, že pacienti s chýbajúcimi údajmi nemali odpoveď na liečbu, sa CHR pozorovala u 20 z 23 (87 %) pacientov, CCyR u 9 z 23 (39,1 %) pacientov a MR u 11 z 23 (47,8 %) pacientov v uvedenom poradí. Ak by sa miera odpovede započítala u pacientov s aspoň jedným platným hodnotením, miera odpovede pre CHR, CCyR a MR bola 20 z 22 (90,9 %), 9 z 9 (100 %) a 11 zo 17 (64,7 %) v uvedenom poradí.</w:t>
      </w:r>
    </w:p>
    <w:p w14:paraId="3236856E" w14:textId="77777777" w:rsidR="00F3532A" w:rsidRPr="00F2328C" w:rsidRDefault="00F3532A" w:rsidP="00D4304B">
      <w:pPr>
        <w:pStyle w:val="EndnoteText"/>
        <w:widowControl w:val="0"/>
        <w:tabs>
          <w:tab w:val="clear" w:pos="567"/>
          <w:tab w:val="left" w:pos="720"/>
        </w:tabs>
        <w:rPr>
          <w:color w:val="000000"/>
          <w:szCs w:val="22"/>
          <w:lang w:val="sk-SK" w:eastAsia="ja-JP"/>
        </w:rPr>
      </w:pPr>
    </w:p>
    <w:p w14:paraId="3236856F" w14:textId="77777777" w:rsidR="00591A69" w:rsidRPr="00C83045" w:rsidRDefault="00591A69" w:rsidP="00D4304B">
      <w:pPr>
        <w:widowControl w:val="0"/>
        <w:ind w:left="0" w:firstLine="0"/>
        <w:rPr>
          <w:color w:val="000000"/>
          <w:szCs w:val="22"/>
        </w:rPr>
      </w:pPr>
      <w:r w:rsidRPr="00C83045">
        <w:rPr>
          <w:color w:val="000000"/>
          <w:szCs w:val="22"/>
        </w:rPr>
        <w:t>Okrem toho sú v 13 publikáciách správy o ďalších 24 pacientoch s </w:t>
      </w:r>
      <w:smartTag w:uri="urn:schemas-microsoft-com:office:smarttags" w:element="stockticker">
        <w:r w:rsidRPr="00C83045">
          <w:rPr>
            <w:color w:val="000000"/>
            <w:szCs w:val="22"/>
          </w:rPr>
          <w:t>MDS</w:t>
        </w:r>
      </w:smartTag>
      <w:r w:rsidRPr="00C83045">
        <w:rPr>
          <w:color w:val="000000"/>
          <w:szCs w:val="22"/>
        </w:rPr>
        <w:t xml:space="preserve">/MPD. Dvadsaťjeden pacientov dostávalo 400 mg Glivecu denne, zatiaľ čo ďalší 3 pacienti dostávali nižšie dávky. U jedenástich pacientov sa zistili preskupenia génu PDGFR, z toho 9 dosiahlo </w:t>
      </w:r>
      <w:smartTag w:uri="urn:schemas-microsoft-com:office:smarttags" w:element="stockticker">
        <w:r w:rsidRPr="00C83045">
          <w:rPr>
            <w:color w:val="000000"/>
            <w:szCs w:val="22"/>
          </w:rPr>
          <w:t>CHR</w:t>
        </w:r>
      </w:smartTag>
      <w:r w:rsidRPr="00C83045">
        <w:rPr>
          <w:color w:val="000000"/>
          <w:szCs w:val="22"/>
        </w:rPr>
        <w:t xml:space="preserve"> a 1 </w:t>
      </w:r>
      <w:smartTag w:uri="urn:schemas-microsoft-com:office:smarttags" w:element="stockticker">
        <w:r w:rsidRPr="00C83045">
          <w:rPr>
            <w:color w:val="000000"/>
            <w:szCs w:val="22"/>
          </w:rPr>
          <w:t>PHR</w:t>
        </w:r>
      </w:smartTag>
      <w:r w:rsidRPr="00C83045">
        <w:rPr>
          <w:color w:val="000000"/>
          <w:szCs w:val="22"/>
        </w:rPr>
        <w:t>. Vek týchto pacientov bol v rozmedzí od 2 do 79 rokov. Nedávno publikovaná aktualizovaná informácia o 6 z týchto 11 pacientov ukázala, že všetci títo pacienti zostali v cytogenetickej remisii (rozmedzie 32</w:t>
      </w:r>
      <w:r w:rsidRPr="00C83045">
        <w:rPr>
          <w:color w:val="000000"/>
          <w:szCs w:val="22"/>
        </w:rPr>
        <w:noBreakHyphen/>
        <w:t>38 mesiacov). Tá istá publikácia priniesla údaje o dlhodobom následnom sledovaní 12 pacientov s </w:t>
      </w:r>
      <w:smartTag w:uri="urn:schemas-microsoft-com:office:smarttags" w:element="stockticker">
        <w:r w:rsidRPr="00C83045">
          <w:rPr>
            <w:color w:val="000000"/>
            <w:szCs w:val="22"/>
          </w:rPr>
          <w:t>MDS</w:t>
        </w:r>
      </w:smartTag>
      <w:r w:rsidRPr="00C83045">
        <w:rPr>
          <w:color w:val="000000"/>
          <w:szCs w:val="22"/>
        </w:rPr>
        <w:t xml:space="preserve">/MPD s preskupeniami génu PDGFR (5 pacientov zo štúdie B2225). Medián podávania Glivecu týmto pacientom bol 47 mesiacov (rozmedzie 24 dní – 60 mesiacov). U 6 z týchto pacientov následné sledovanie trvá už viac ako 4 roky. Jedenásť pacientov dosiahlo rýchlu </w:t>
      </w:r>
      <w:smartTag w:uri="urn:schemas-microsoft-com:office:smarttags" w:element="stockticker">
        <w:r w:rsidRPr="00C83045">
          <w:rPr>
            <w:color w:val="000000"/>
            <w:szCs w:val="22"/>
          </w:rPr>
          <w:t>CHR</w:t>
        </w:r>
      </w:smartTag>
      <w:r w:rsidRPr="00C83045">
        <w:rPr>
          <w:color w:val="000000"/>
          <w:szCs w:val="22"/>
        </w:rPr>
        <w:t>; u desiatich došlo k úplnému vymiznutiu cytogenetických abnormalít a poklesu alebo zmiznutiu fúznych transkriptov stanovených prostredníctvom RT-</w:t>
      </w:r>
      <w:smartTag w:uri="urn:schemas-microsoft-com:office:smarttags" w:element="stockticker">
        <w:r w:rsidRPr="00C83045">
          <w:rPr>
            <w:color w:val="000000"/>
            <w:szCs w:val="22"/>
          </w:rPr>
          <w:t>PCR</w:t>
        </w:r>
      </w:smartTag>
      <w:r w:rsidRPr="00C83045">
        <w:rPr>
          <w:color w:val="000000"/>
          <w:szCs w:val="22"/>
        </w:rPr>
        <w:t>. Medián zachovania hematologickej odpovede bol 49 mesiacov (rozmedzie 19</w:t>
      </w:r>
      <w:r w:rsidRPr="00C83045">
        <w:rPr>
          <w:color w:val="000000"/>
          <w:szCs w:val="22"/>
        </w:rPr>
        <w:noBreakHyphen/>
        <w:t>60) a cytogenetickej odpovede 47 mesiacov (rozmedzie 16</w:t>
      </w:r>
      <w:r w:rsidRPr="00C83045">
        <w:rPr>
          <w:color w:val="000000"/>
          <w:szCs w:val="22"/>
        </w:rPr>
        <w:noBreakHyphen/>
        <w:t>59). Celkové prežívanie je 65 mesiacov od stanovenia diagnózy (rozmedzie 25</w:t>
      </w:r>
      <w:r w:rsidRPr="00C83045">
        <w:rPr>
          <w:color w:val="000000"/>
          <w:szCs w:val="22"/>
        </w:rPr>
        <w:noBreakHyphen/>
        <w:t>234). Podávanie Glivecu pacientom bez génovej translokácie spravidla neprináša žiadne zlepšenie.</w:t>
      </w:r>
    </w:p>
    <w:p w14:paraId="32368570" w14:textId="77777777" w:rsidR="00591A69" w:rsidRPr="00C83045" w:rsidRDefault="00591A69" w:rsidP="00D4304B">
      <w:pPr>
        <w:pStyle w:val="EndnoteText"/>
        <w:widowControl w:val="0"/>
        <w:tabs>
          <w:tab w:val="clear" w:pos="567"/>
        </w:tabs>
        <w:rPr>
          <w:color w:val="000000"/>
          <w:szCs w:val="22"/>
          <w:lang w:val="sk-SK"/>
        </w:rPr>
      </w:pPr>
    </w:p>
    <w:p w14:paraId="32368571" w14:textId="77777777" w:rsidR="00591A69" w:rsidRPr="00C83045" w:rsidRDefault="00591A69" w:rsidP="00D4304B">
      <w:pPr>
        <w:pStyle w:val="EndnoteText"/>
        <w:widowControl w:val="0"/>
        <w:tabs>
          <w:tab w:val="clear" w:pos="567"/>
        </w:tabs>
        <w:rPr>
          <w:color w:val="000000"/>
          <w:szCs w:val="22"/>
          <w:lang w:val="sk-SK"/>
        </w:rPr>
      </w:pPr>
      <w:r w:rsidRPr="00C83045">
        <w:rPr>
          <w:color w:val="000000"/>
          <w:szCs w:val="22"/>
          <w:lang w:val="sk-SK"/>
        </w:rPr>
        <w:t>U pediatrických pacientov s MDS/MPD nie sú kontrolované klinické skúšania. V 4 publikáciách boli správy o 5 pacientoch s MDS/MPD spojenými s preskupeniami génu PDGFR. Vek týchto pacientov bol v rozmedzí od 3 mesiacov do 4 rokov a imatinib sa im podával v dávke 50 mg denne alebo v dávkach od 92,5 do 340 mg/m</w:t>
      </w:r>
      <w:r w:rsidRPr="00C83045">
        <w:rPr>
          <w:color w:val="000000"/>
          <w:szCs w:val="22"/>
          <w:vertAlign w:val="superscript"/>
          <w:lang w:val="sk-SK"/>
        </w:rPr>
        <w:t>2</w:t>
      </w:r>
      <w:r w:rsidRPr="00C83045">
        <w:rPr>
          <w:color w:val="000000"/>
          <w:szCs w:val="22"/>
          <w:lang w:val="sk-SK"/>
        </w:rPr>
        <w:t xml:space="preserve"> denne. Všetci pacienti dosiahli kompletnú hematologickú odpoveď, cytogenetickú odpoveď a/alebo klinickú odpoveď.</w:t>
      </w:r>
    </w:p>
    <w:p w14:paraId="32368572" w14:textId="77777777" w:rsidR="00591A69" w:rsidRPr="00C83045" w:rsidRDefault="00591A69" w:rsidP="00D4304B">
      <w:pPr>
        <w:widowControl w:val="0"/>
        <w:ind w:left="0" w:firstLine="0"/>
        <w:rPr>
          <w:color w:val="000000"/>
          <w:szCs w:val="22"/>
          <w:u w:val="single"/>
        </w:rPr>
      </w:pPr>
    </w:p>
    <w:p w14:paraId="32368573" w14:textId="77777777" w:rsidR="00591A69" w:rsidRPr="00C83045" w:rsidRDefault="00591A69" w:rsidP="00D4304B">
      <w:pPr>
        <w:pStyle w:val="EndnoteText"/>
        <w:keepNext/>
        <w:widowControl w:val="0"/>
        <w:tabs>
          <w:tab w:val="clear" w:pos="567"/>
        </w:tabs>
        <w:rPr>
          <w:color w:val="000000"/>
          <w:szCs w:val="22"/>
          <w:u w:val="single"/>
          <w:lang w:val="sk-SK"/>
        </w:rPr>
      </w:pPr>
      <w:r w:rsidRPr="00C83045">
        <w:rPr>
          <w:color w:val="000000"/>
          <w:szCs w:val="22"/>
          <w:u w:val="single"/>
          <w:lang w:val="sk-SK"/>
        </w:rPr>
        <w:t>Klinické skúšania pri HES/</w:t>
      </w:r>
      <w:smartTag w:uri="urn:schemas-microsoft-com:office:smarttags" w:element="stockticker">
        <w:r w:rsidRPr="00C83045">
          <w:rPr>
            <w:color w:val="000000"/>
            <w:szCs w:val="22"/>
            <w:u w:val="single"/>
            <w:lang w:val="sk-SK"/>
          </w:rPr>
          <w:t>CEL</w:t>
        </w:r>
      </w:smartTag>
    </w:p>
    <w:p w14:paraId="32368574" w14:textId="77777777" w:rsidR="00591A69" w:rsidRPr="00C83045" w:rsidRDefault="00591A69" w:rsidP="00D4304B">
      <w:pPr>
        <w:pStyle w:val="Text"/>
        <w:widowControl w:val="0"/>
        <w:spacing w:before="0"/>
        <w:jc w:val="left"/>
        <w:rPr>
          <w:color w:val="000000"/>
          <w:sz w:val="22"/>
          <w:szCs w:val="22"/>
          <w:lang w:val="sk-SK"/>
        </w:rPr>
      </w:pPr>
      <w:r w:rsidRPr="00C83045">
        <w:rPr>
          <w:color w:val="000000"/>
          <w:sz w:val="22"/>
          <w:szCs w:val="22"/>
          <w:lang w:val="sk-SK"/>
        </w:rPr>
        <w:t xml:space="preserve">V jednom otvorenom, multicentrickom klinickom skúšaní fázy II (štúdia B2225) sa testoval Glivec u rôznych populácií pacientov s ochoreniami ohrozujúcimi život, ktoré súvisia s proteíntyrozínkinázami Abl, Kit alebo PDGFR. V tomto klinickom skúšaní sa 14 pacientom s </w:t>
      </w:r>
      <w:r w:rsidRPr="00C83045">
        <w:rPr>
          <w:rFonts w:eastAsia="MS Mincho"/>
          <w:color w:val="000000"/>
          <w:sz w:val="22"/>
          <w:szCs w:val="22"/>
          <w:lang w:val="sk-SK" w:eastAsia="ja-JP"/>
        </w:rPr>
        <w:t>HES/</w:t>
      </w:r>
      <w:smartTag w:uri="urn:schemas-microsoft-com:office:smarttags" w:element="stockticker">
        <w:r w:rsidRPr="00C83045">
          <w:rPr>
            <w:rFonts w:eastAsia="MS Mincho"/>
            <w:color w:val="000000"/>
            <w:sz w:val="22"/>
            <w:szCs w:val="22"/>
            <w:lang w:val="sk-SK" w:eastAsia="ja-JP"/>
          </w:rPr>
          <w:t>CEL</w:t>
        </w:r>
      </w:smartTag>
      <w:r w:rsidRPr="00C83045">
        <w:rPr>
          <w:rFonts w:eastAsia="MS Mincho"/>
          <w:color w:val="000000"/>
          <w:sz w:val="22"/>
          <w:szCs w:val="22"/>
          <w:lang w:val="sk-SK" w:eastAsia="ja-JP"/>
        </w:rPr>
        <w:t xml:space="preserve"> </w:t>
      </w:r>
      <w:r w:rsidRPr="00C83045">
        <w:rPr>
          <w:color w:val="000000"/>
          <w:sz w:val="22"/>
          <w:szCs w:val="22"/>
          <w:lang w:val="sk-SK"/>
        </w:rPr>
        <w:t xml:space="preserve">podávalo 100 mg až 1 000 mg Glivecu denne. Ďalších 162 pacientov s </w:t>
      </w:r>
      <w:r w:rsidRPr="00C83045">
        <w:rPr>
          <w:rFonts w:eastAsia="MS Mincho"/>
          <w:color w:val="000000"/>
          <w:sz w:val="22"/>
          <w:szCs w:val="22"/>
          <w:lang w:val="sk-SK" w:eastAsia="ja-JP"/>
        </w:rPr>
        <w:t>HES/</w:t>
      </w:r>
      <w:smartTag w:uri="urn:schemas-microsoft-com:office:smarttags" w:element="stockticker">
        <w:r w:rsidRPr="00C83045">
          <w:rPr>
            <w:rFonts w:eastAsia="MS Mincho"/>
            <w:color w:val="000000"/>
            <w:sz w:val="22"/>
            <w:szCs w:val="22"/>
            <w:lang w:val="sk-SK" w:eastAsia="ja-JP"/>
          </w:rPr>
          <w:t>CEL</w:t>
        </w:r>
      </w:smartTag>
      <w:r w:rsidRPr="00C83045">
        <w:rPr>
          <w:rFonts w:eastAsia="MS Mincho"/>
          <w:color w:val="000000"/>
          <w:sz w:val="22"/>
          <w:szCs w:val="22"/>
          <w:lang w:val="sk-SK" w:eastAsia="ja-JP"/>
        </w:rPr>
        <w:t xml:space="preserve">, o ktorých </w:t>
      </w:r>
      <w:r w:rsidRPr="00C83045">
        <w:rPr>
          <w:rFonts w:eastAsia="MS Mincho"/>
          <w:color w:val="000000"/>
          <w:sz w:val="22"/>
          <w:szCs w:val="22"/>
          <w:lang w:val="sk-SK" w:eastAsia="ja-JP"/>
        </w:rPr>
        <w:lastRenderedPageBreak/>
        <w:t xml:space="preserve">boli správy </w:t>
      </w:r>
      <w:r w:rsidRPr="00C83045">
        <w:rPr>
          <w:color w:val="000000"/>
          <w:sz w:val="22"/>
          <w:szCs w:val="22"/>
          <w:lang w:val="sk-SK"/>
        </w:rPr>
        <w:t xml:space="preserve">v 35 publikovaných hláseniach o prípadoch a skupinách prípadov, dostávalo Glivec v dávkach od 75 mg do 800 mg denne. Cytogenetické abnormality sa vyhodnotili u 117 z celkovej populácie 176 pacientov. U 61 z týchto 117 pacientov sa zistila fúzna kináza FIP1L1-PDGFRα. U ďalších štyroch pacientov s HES v iných 3 publikovaných správach sa zistila pozitivita FIP1L1-PDGFRα. Všetkých 65 pacientov s pozitivitou fúznej kinázy FIP1L1-PDGFRα dosiahlo </w:t>
      </w:r>
      <w:smartTag w:uri="urn:schemas-microsoft-com:office:smarttags" w:element="stockticker">
        <w:r w:rsidRPr="00C83045">
          <w:rPr>
            <w:color w:val="000000"/>
            <w:sz w:val="22"/>
            <w:szCs w:val="22"/>
            <w:lang w:val="sk-SK"/>
          </w:rPr>
          <w:t>CHR</w:t>
        </w:r>
      </w:smartTag>
      <w:r w:rsidRPr="00C83045">
        <w:rPr>
          <w:color w:val="000000"/>
          <w:sz w:val="22"/>
          <w:szCs w:val="22"/>
          <w:lang w:val="sk-SK"/>
        </w:rPr>
        <w:t>, ktorá sa zachovala mesiace (rozmedzie od 1+ do 44+ mesiacov prehodnotené v čase správy). Podľa nedávno publikovanej správy 21 z týchto 65 pacientov dosiahlo tiež kompletnú molekulárnu remisiu s mediánom následného sledovania 28 mesiacov (rozmedzie 13</w:t>
      </w:r>
      <w:r w:rsidRPr="00C83045">
        <w:rPr>
          <w:color w:val="000000"/>
          <w:sz w:val="22"/>
          <w:szCs w:val="22"/>
          <w:lang w:val="sk-SK"/>
        </w:rPr>
        <w:noBreakHyphen/>
        <w:t>67 mesiacov). Vek týchto pacientov bol v rozmedzí od 25 do 72 rokov. Okrem toho skúšajúci lekári zaznamenali v hláseniach o prípadoch zlepšenie symptomatológie a iných porúch funkcie orgánov. Správy o zlepšení sa týkali srdca, nervového systému, kože/podkožného tkaniva, dýchacej sústavy/hrudníka/mediastína, kostrového svalstva/spojivových tkanív/ciev a gastrointestinálneho systému.</w:t>
      </w:r>
    </w:p>
    <w:p w14:paraId="32368575" w14:textId="77777777" w:rsidR="00591A69" w:rsidRPr="00C83045" w:rsidRDefault="00591A69" w:rsidP="00D4304B">
      <w:pPr>
        <w:pStyle w:val="Text"/>
        <w:widowControl w:val="0"/>
        <w:spacing w:before="0"/>
        <w:jc w:val="left"/>
        <w:rPr>
          <w:color w:val="000000"/>
          <w:sz w:val="22"/>
          <w:szCs w:val="22"/>
          <w:lang w:val="sk-SK"/>
        </w:rPr>
      </w:pPr>
    </w:p>
    <w:p w14:paraId="32368576" w14:textId="77777777" w:rsidR="00591A69" w:rsidRPr="00C83045" w:rsidRDefault="00591A69" w:rsidP="00D4304B">
      <w:pPr>
        <w:pStyle w:val="EndnoteText"/>
        <w:widowControl w:val="0"/>
        <w:tabs>
          <w:tab w:val="clear" w:pos="567"/>
        </w:tabs>
        <w:rPr>
          <w:color w:val="000000"/>
          <w:szCs w:val="22"/>
          <w:lang w:val="sk-SK"/>
        </w:rPr>
      </w:pPr>
      <w:r w:rsidRPr="00C83045">
        <w:rPr>
          <w:color w:val="000000"/>
          <w:szCs w:val="22"/>
          <w:lang w:val="sk-SK"/>
        </w:rPr>
        <w:t>U pediatrických pacientov s HES/CEL nie sú kontrolované klinické skúšania. V 3 publikáciách boli správy o 3 pacientoch s HES a CEL spojenými s preskupeniami génu PDGFR. Vek týchto pacientov bol v rozmedzí od 2 do 16 rokov a imatinib sa im podával v dávke 300 mg/m</w:t>
      </w:r>
      <w:r w:rsidRPr="00C83045">
        <w:rPr>
          <w:color w:val="000000"/>
          <w:szCs w:val="22"/>
          <w:vertAlign w:val="superscript"/>
          <w:lang w:val="sk-SK"/>
        </w:rPr>
        <w:t>2</w:t>
      </w:r>
      <w:r w:rsidRPr="00C83045">
        <w:rPr>
          <w:color w:val="000000"/>
          <w:szCs w:val="22"/>
          <w:lang w:val="sk-SK"/>
        </w:rPr>
        <w:t xml:space="preserve"> denne alebo v dávkach od 200 do 400 mg denne. Všetci pacienti dosiahli kompletnú hematologickú odpoveď, kompletnú cytogenetickú odpoveď a/alebo kompletnú molekulárnu odpoveď.</w:t>
      </w:r>
    </w:p>
    <w:p w14:paraId="32368577" w14:textId="77777777" w:rsidR="00591A69" w:rsidRPr="00C83045" w:rsidRDefault="00591A69" w:rsidP="00D4304B">
      <w:pPr>
        <w:pStyle w:val="Text"/>
        <w:widowControl w:val="0"/>
        <w:spacing w:before="0"/>
        <w:jc w:val="left"/>
        <w:rPr>
          <w:color w:val="000000"/>
          <w:sz w:val="22"/>
          <w:szCs w:val="22"/>
          <w:lang w:val="sk-SK"/>
        </w:rPr>
      </w:pPr>
    </w:p>
    <w:p w14:paraId="32368578" w14:textId="77777777" w:rsidR="00591A69" w:rsidRPr="00C83045" w:rsidRDefault="00591A69" w:rsidP="00D4304B">
      <w:pPr>
        <w:keepNext/>
        <w:widowControl w:val="0"/>
        <w:ind w:left="0" w:firstLine="0"/>
        <w:rPr>
          <w:color w:val="000000"/>
          <w:szCs w:val="22"/>
          <w:u w:val="single"/>
        </w:rPr>
      </w:pPr>
      <w:r w:rsidRPr="00C83045">
        <w:rPr>
          <w:color w:val="000000"/>
          <w:szCs w:val="22"/>
          <w:u w:val="single"/>
        </w:rPr>
        <w:t>Klinické skúšania pri neresekovateľnom a/alebo metastazujúcom GIST</w:t>
      </w:r>
    </w:p>
    <w:p w14:paraId="32368579" w14:textId="77777777" w:rsidR="00591A69" w:rsidRPr="00C83045" w:rsidRDefault="00591A69" w:rsidP="00D4304B">
      <w:pPr>
        <w:widowControl w:val="0"/>
        <w:ind w:left="0" w:firstLine="0"/>
        <w:rPr>
          <w:color w:val="000000"/>
          <w:szCs w:val="22"/>
        </w:rPr>
      </w:pPr>
      <w:r w:rsidRPr="00C83045">
        <w:rPr>
          <w:color w:val="000000"/>
          <w:szCs w:val="22"/>
        </w:rPr>
        <w:t>Vykonalo sa jedno otvorené, randomizované, nekontrolované medzinárodné klinické skúšanie 2. fázy s pacientmi s neresekovateľnými alebo metastazujúcimi malígnymi gastrointestinálnymi strómovými nádormi (GIST). V tomto skúšaní bolo zaradených a randomizovaných 147 pacientov, ktorí dostávali perorálne dávky buď 400 mg, alebo 600 mg raz denne počas až 36 mesiacov. Títo pacienti boli vo veku od 18 do 83 rokov a ich ochorenie bolo diagnostikované ako malígny neresekovateľný a/alebo metastazujúci GIST s pozitivitou Kit. Imunohistochemické vyšetrenie sa rutinne vykonávalo s protilátkou proti Kit (A-4502, králičie polyklonálne antisérum, 1:100; DAKO Corporation, Carpinteria, CA) analýzou komplexom avidín-biotín-peroxidáza po izolovaní antigénu.</w:t>
      </w:r>
    </w:p>
    <w:p w14:paraId="3236857A" w14:textId="77777777" w:rsidR="00591A69" w:rsidRPr="00C83045" w:rsidRDefault="00591A69" w:rsidP="00D4304B">
      <w:pPr>
        <w:widowControl w:val="0"/>
        <w:ind w:left="0" w:firstLine="0"/>
        <w:rPr>
          <w:color w:val="000000"/>
          <w:szCs w:val="22"/>
        </w:rPr>
      </w:pPr>
    </w:p>
    <w:p w14:paraId="3236857B" w14:textId="77777777" w:rsidR="00591A69" w:rsidRPr="00C83045" w:rsidRDefault="00591A69" w:rsidP="00D4304B">
      <w:pPr>
        <w:widowControl w:val="0"/>
        <w:ind w:left="0" w:firstLine="0"/>
        <w:rPr>
          <w:color w:val="000000"/>
          <w:szCs w:val="22"/>
        </w:rPr>
      </w:pPr>
      <w:r w:rsidRPr="00C83045">
        <w:rPr>
          <w:color w:val="000000"/>
          <w:szCs w:val="22"/>
        </w:rPr>
        <w:t>Primárny dôkaz účinnosti sa zakladal na stupni objektívnej odpovede. Nádory museli byť merateľné aspoň v jednom mieste ochorenia a definícia odpovede zodpovedala kritériám Southwestern Oncology Group (SWOG). Výsledky sú uvedené v Tabuľke </w:t>
      </w:r>
      <w:r w:rsidR="00F07CBB" w:rsidRPr="00C83045">
        <w:rPr>
          <w:color w:val="000000"/>
          <w:szCs w:val="22"/>
        </w:rPr>
        <w:t>6</w:t>
      </w:r>
      <w:r w:rsidRPr="00C83045">
        <w:rPr>
          <w:color w:val="000000"/>
          <w:szCs w:val="22"/>
        </w:rPr>
        <w:t>.</w:t>
      </w:r>
    </w:p>
    <w:p w14:paraId="3236857C" w14:textId="77777777" w:rsidR="00591A69" w:rsidRPr="00C83045" w:rsidRDefault="00591A69" w:rsidP="00D4304B">
      <w:pPr>
        <w:widowControl w:val="0"/>
        <w:ind w:left="0" w:firstLine="0"/>
        <w:rPr>
          <w:color w:val="000000"/>
          <w:szCs w:val="22"/>
        </w:rPr>
      </w:pPr>
    </w:p>
    <w:p w14:paraId="3236857D" w14:textId="77777777" w:rsidR="00591A69" w:rsidRPr="00C83045" w:rsidRDefault="00591A69" w:rsidP="00D4304B">
      <w:pPr>
        <w:keepNext/>
        <w:keepLines/>
        <w:widowControl w:val="0"/>
        <w:tabs>
          <w:tab w:val="left" w:pos="1440"/>
        </w:tabs>
        <w:ind w:left="0" w:firstLine="0"/>
        <w:rPr>
          <w:b/>
          <w:color w:val="000000"/>
          <w:szCs w:val="22"/>
        </w:rPr>
      </w:pPr>
      <w:r w:rsidRPr="00C83045">
        <w:rPr>
          <w:b/>
          <w:color w:val="000000"/>
          <w:szCs w:val="22"/>
        </w:rPr>
        <w:t>Tabuľka </w:t>
      </w:r>
      <w:r w:rsidR="00F07CBB" w:rsidRPr="00C83045">
        <w:rPr>
          <w:b/>
          <w:color w:val="000000"/>
          <w:szCs w:val="22"/>
        </w:rPr>
        <w:t>6</w:t>
      </w:r>
      <w:r w:rsidRPr="00C83045">
        <w:rPr>
          <w:b/>
          <w:color w:val="000000"/>
          <w:szCs w:val="22"/>
        </w:rPr>
        <w:tab/>
        <w:t>Najlepšia odpoveď nádoru v klinickom skúšaní STIB2222 (GIST)</w:t>
      </w:r>
    </w:p>
    <w:p w14:paraId="3236857E" w14:textId="77777777" w:rsidR="00591A69" w:rsidRPr="00C83045" w:rsidRDefault="00591A69" w:rsidP="00D4304B">
      <w:pPr>
        <w:keepNext/>
        <w:keepLines/>
        <w:widowControl w:val="0"/>
        <w:ind w:left="0" w:firstLine="0"/>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591A69" w:rsidRPr="00C83045" w14:paraId="32368587" w14:textId="77777777" w:rsidTr="00B62C3E">
        <w:trPr>
          <w:cantSplit/>
        </w:trPr>
        <w:tc>
          <w:tcPr>
            <w:tcW w:w="4643" w:type="dxa"/>
            <w:tcBorders>
              <w:left w:val="nil"/>
              <w:bottom w:val="single" w:sz="4" w:space="0" w:color="auto"/>
              <w:right w:val="nil"/>
            </w:tcBorders>
          </w:tcPr>
          <w:p w14:paraId="3236857F" w14:textId="77777777" w:rsidR="00591A69" w:rsidRPr="00C83045" w:rsidRDefault="00591A69" w:rsidP="00D4304B">
            <w:pPr>
              <w:pStyle w:val="EndnoteText"/>
              <w:keepNext/>
              <w:keepLines/>
              <w:widowControl w:val="0"/>
              <w:tabs>
                <w:tab w:val="clear" w:pos="567"/>
              </w:tabs>
              <w:rPr>
                <w:color w:val="000000"/>
                <w:szCs w:val="22"/>
                <w:lang w:val="sk-SK"/>
              </w:rPr>
            </w:pPr>
          </w:p>
          <w:p w14:paraId="32368580" w14:textId="77777777" w:rsidR="00591A69" w:rsidRPr="00C83045" w:rsidRDefault="00591A69" w:rsidP="00D4304B">
            <w:pPr>
              <w:pStyle w:val="EndnoteText"/>
              <w:keepNext/>
              <w:keepLines/>
              <w:widowControl w:val="0"/>
              <w:tabs>
                <w:tab w:val="clear" w:pos="567"/>
              </w:tabs>
              <w:rPr>
                <w:color w:val="000000"/>
                <w:szCs w:val="22"/>
                <w:lang w:val="sk-SK"/>
              </w:rPr>
            </w:pPr>
          </w:p>
          <w:p w14:paraId="32368581" w14:textId="77777777" w:rsidR="00591A69" w:rsidRPr="00C83045" w:rsidRDefault="00591A69" w:rsidP="00D4304B">
            <w:pPr>
              <w:pStyle w:val="EndnoteText"/>
              <w:keepNext/>
              <w:keepLines/>
              <w:widowControl w:val="0"/>
              <w:tabs>
                <w:tab w:val="clear" w:pos="567"/>
              </w:tabs>
              <w:rPr>
                <w:color w:val="000000"/>
                <w:szCs w:val="22"/>
                <w:lang w:val="sk-SK"/>
              </w:rPr>
            </w:pPr>
          </w:p>
          <w:p w14:paraId="32368582" w14:textId="77777777" w:rsidR="00591A69" w:rsidRPr="00C83045" w:rsidRDefault="00591A69" w:rsidP="00D4304B">
            <w:pPr>
              <w:pStyle w:val="EndnoteText"/>
              <w:keepNext/>
              <w:keepLines/>
              <w:widowControl w:val="0"/>
              <w:tabs>
                <w:tab w:val="clear" w:pos="567"/>
              </w:tabs>
              <w:rPr>
                <w:color w:val="000000"/>
                <w:szCs w:val="22"/>
                <w:lang w:val="sk-SK"/>
              </w:rPr>
            </w:pPr>
            <w:r w:rsidRPr="00C83045">
              <w:rPr>
                <w:color w:val="000000"/>
                <w:szCs w:val="22"/>
                <w:lang w:val="sk-SK"/>
              </w:rPr>
              <w:t>Najlepšia odpoveď</w:t>
            </w:r>
          </w:p>
        </w:tc>
        <w:tc>
          <w:tcPr>
            <w:tcW w:w="4643" w:type="dxa"/>
            <w:tcBorders>
              <w:left w:val="nil"/>
              <w:bottom w:val="single" w:sz="4" w:space="0" w:color="auto"/>
              <w:right w:val="nil"/>
            </w:tcBorders>
          </w:tcPr>
          <w:p w14:paraId="32368583" w14:textId="77777777" w:rsidR="00591A69" w:rsidRPr="00C83045" w:rsidRDefault="00591A69" w:rsidP="00D4304B">
            <w:pPr>
              <w:pStyle w:val="EndnoteText"/>
              <w:keepNext/>
              <w:keepLines/>
              <w:widowControl w:val="0"/>
              <w:tabs>
                <w:tab w:val="clear" w:pos="567"/>
              </w:tabs>
              <w:jc w:val="center"/>
              <w:rPr>
                <w:color w:val="000000"/>
                <w:szCs w:val="22"/>
                <w:lang w:val="sk-SK"/>
              </w:rPr>
            </w:pPr>
            <w:r w:rsidRPr="00C83045">
              <w:rPr>
                <w:color w:val="000000"/>
                <w:szCs w:val="22"/>
                <w:lang w:val="sk-SK"/>
              </w:rPr>
              <w:t>Všetky dávky (n=147)</w:t>
            </w:r>
          </w:p>
          <w:p w14:paraId="32368584" w14:textId="77777777" w:rsidR="00591A69" w:rsidRPr="00C83045" w:rsidRDefault="00591A69" w:rsidP="00D4304B">
            <w:pPr>
              <w:pStyle w:val="EndnoteText"/>
              <w:keepNext/>
              <w:keepLines/>
              <w:widowControl w:val="0"/>
              <w:tabs>
                <w:tab w:val="clear" w:pos="567"/>
              </w:tabs>
              <w:jc w:val="center"/>
              <w:rPr>
                <w:color w:val="000000"/>
                <w:szCs w:val="22"/>
                <w:lang w:val="sk-SK"/>
              </w:rPr>
            </w:pPr>
            <w:r w:rsidRPr="00C83045">
              <w:rPr>
                <w:color w:val="000000"/>
                <w:szCs w:val="22"/>
                <w:lang w:val="sk-SK"/>
              </w:rPr>
              <w:t>400 mg (n=73)</w:t>
            </w:r>
          </w:p>
          <w:p w14:paraId="32368585" w14:textId="77777777" w:rsidR="00591A69" w:rsidRPr="00C83045" w:rsidRDefault="00591A69" w:rsidP="00D4304B">
            <w:pPr>
              <w:pStyle w:val="EndnoteText"/>
              <w:keepNext/>
              <w:keepLines/>
              <w:widowControl w:val="0"/>
              <w:tabs>
                <w:tab w:val="clear" w:pos="567"/>
              </w:tabs>
              <w:jc w:val="center"/>
              <w:rPr>
                <w:color w:val="000000"/>
                <w:szCs w:val="22"/>
                <w:lang w:val="sk-SK"/>
              </w:rPr>
            </w:pPr>
            <w:r w:rsidRPr="00C83045">
              <w:rPr>
                <w:color w:val="000000"/>
                <w:szCs w:val="22"/>
                <w:lang w:val="sk-SK"/>
              </w:rPr>
              <w:t>600 mg (n=74)</w:t>
            </w:r>
          </w:p>
          <w:p w14:paraId="32368586" w14:textId="77777777" w:rsidR="00591A69" w:rsidRPr="00C83045" w:rsidRDefault="00591A69" w:rsidP="00D4304B">
            <w:pPr>
              <w:pStyle w:val="EndnoteText"/>
              <w:keepNext/>
              <w:keepLines/>
              <w:widowControl w:val="0"/>
              <w:tabs>
                <w:tab w:val="clear" w:pos="567"/>
              </w:tabs>
              <w:jc w:val="center"/>
              <w:rPr>
                <w:color w:val="000000"/>
                <w:szCs w:val="22"/>
                <w:lang w:val="sk-SK"/>
              </w:rPr>
            </w:pPr>
            <w:r w:rsidRPr="00C83045">
              <w:rPr>
                <w:color w:val="000000"/>
                <w:szCs w:val="22"/>
                <w:lang w:val="sk-SK"/>
              </w:rPr>
              <w:t>n (%)</w:t>
            </w:r>
          </w:p>
        </w:tc>
      </w:tr>
      <w:tr w:rsidR="00591A69" w:rsidRPr="00C83045" w14:paraId="3236858A" w14:textId="77777777" w:rsidTr="00B62C3E">
        <w:trPr>
          <w:cantSplit/>
        </w:trPr>
        <w:tc>
          <w:tcPr>
            <w:tcW w:w="4643" w:type="dxa"/>
            <w:tcBorders>
              <w:top w:val="nil"/>
              <w:left w:val="nil"/>
              <w:bottom w:val="nil"/>
              <w:right w:val="nil"/>
            </w:tcBorders>
          </w:tcPr>
          <w:p w14:paraId="32368588" w14:textId="77777777" w:rsidR="00591A69" w:rsidRPr="00C83045" w:rsidRDefault="00591A69" w:rsidP="00D4304B">
            <w:pPr>
              <w:pStyle w:val="FootnoteText"/>
              <w:keepNext/>
              <w:keepLines/>
              <w:widowControl w:val="0"/>
              <w:tabs>
                <w:tab w:val="clear" w:pos="567"/>
              </w:tabs>
              <w:spacing w:line="240" w:lineRule="auto"/>
              <w:rPr>
                <w:color w:val="000000"/>
                <w:sz w:val="22"/>
                <w:szCs w:val="22"/>
                <w:lang w:val="sk-SK"/>
              </w:rPr>
            </w:pPr>
            <w:r w:rsidRPr="00C83045">
              <w:rPr>
                <w:color w:val="000000"/>
                <w:sz w:val="22"/>
                <w:szCs w:val="22"/>
                <w:lang w:val="sk-SK"/>
              </w:rPr>
              <w:t>Kompletná odpoveď</w:t>
            </w:r>
          </w:p>
        </w:tc>
        <w:tc>
          <w:tcPr>
            <w:tcW w:w="4643" w:type="dxa"/>
            <w:tcBorders>
              <w:top w:val="nil"/>
              <w:left w:val="nil"/>
              <w:bottom w:val="nil"/>
              <w:right w:val="nil"/>
            </w:tcBorders>
          </w:tcPr>
          <w:p w14:paraId="32368589" w14:textId="77777777" w:rsidR="00591A69" w:rsidRPr="00C83045" w:rsidRDefault="00591A69" w:rsidP="00D4304B">
            <w:pPr>
              <w:pStyle w:val="FootnoteText"/>
              <w:keepNext/>
              <w:keepLines/>
              <w:widowControl w:val="0"/>
              <w:tabs>
                <w:tab w:val="clear" w:pos="567"/>
              </w:tabs>
              <w:spacing w:line="240" w:lineRule="auto"/>
              <w:jc w:val="center"/>
              <w:rPr>
                <w:color w:val="000000"/>
                <w:sz w:val="22"/>
                <w:szCs w:val="22"/>
                <w:lang w:val="sk-SK"/>
              </w:rPr>
            </w:pPr>
            <w:r w:rsidRPr="00C83045">
              <w:rPr>
                <w:rFonts w:eastAsia="MS Mincho"/>
                <w:color w:val="000000"/>
                <w:sz w:val="22"/>
                <w:szCs w:val="22"/>
                <w:lang w:val="sk-SK"/>
              </w:rPr>
              <w:t>1 (0,7)</w:t>
            </w:r>
          </w:p>
        </w:tc>
      </w:tr>
      <w:tr w:rsidR="00591A69" w:rsidRPr="00C83045" w14:paraId="3236858D" w14:textId="77777777" w:rsidTr="00B62C3E">
        <w:trPr>
          <w:cantSplit/>
        </w:trPr>
        <w:tc>
          <w:tcPr>
            <w:tcW w:w="4643" w:type="dxa"/>
            <w:tcBorders>
              <w:top w:val="nil"/>
              <w:left w:val="nil"/>
              <w:bottom w:val="nil"/>
              <w:right w:val="nil"/>
            </w:tcBorders>
          </w:tcPr>
          <w:p w14:paraId="3236858B" w14:textId="77777777" w:rsidR="00591A69" w:rsidRPr="00C83045" w:rsidRDefault="00591A69" w:rsidP="00D4304B">
            <w:pPr>
              <w:pStyle w:val="EndnoteText"/>
              <w:keepNext/>
              <w:keepLines/>
              <w:widowControl w:val="0"/>
              <w:tabs>
                <w:tab w:val="clear" w:pos="567"/>
              </w:tabs>
              <w:rPr>
                <w:color w:val="000000"/>
                <w:szCs w:val="22"/>
                <w:lang w:val="sk-SK"/>
              </w:rPr>
            </w:pPr>
            <w:r w:rsidRPr="00C83045">
              <w:rPr>
                <w:color w:val="000000"/>
                <w:szCs w:val="22"/>
                <w:lang w:val="sk-SK"/>
              </w:rPr>
              <w:t>Čiastočná odpoveď</w:t>
            </w:r>
          </w:p>
        </w:tc>
        <w:tc>
          <w:tcPr>
            <w:tcW w:w="4643" w:type="dxa"/>
            <w:tcBorders>
              <w:top w:val="nil"/>
              <w:left w:val="nil"/>
              <w:bottom w:val="nil"/>
              <w:right w:val="nil"/>
            </w:tcBorders>
          </w:tcPr>
          <w:p w14:paraId="3236858C" w14:textId="77777777" w:rsidR="00591A69" w:rsidRPr="00C83045" w:rsidRDefault="00591A69" w:rsidP="00D4304B">
            <w:pPr>
              <w:pStyle w:val="EndnoteText"/>
              <w:keepNext/>
              <w:keepLines/>
              <w:widowControl w:val="0"/>
              <w:tabs>
                <w:tab w:val="clear" w:pos="567"/>
              </w:tabs>
              <w:jc w:val="center"/>
              <w:rPr>
                <w:color w:val="000000"/>
                <w:szCs w:val="22"/>
                <w:lang w:val="sk-SK"/>
              </w:rPr>
            </w:pPr>
            <w:r w:rsidRPr="00C83045">
              <w:rPr>
                <w:rFonts w:eastAsia="MS Mincho"/>
                <w:color w:val="000000"/>
                <w:szCs w:val="22"/>
                <w:lang w:val="sk-SK"/>
              </w:rPr>
              <w:t>98 (66,7)</w:t>
            </w:r>
          </w:p>
        </w:tc>
      </w:tr>
      <w:tr w:rsidR="00591A69" w:rsidRPr="00C83045" w14:paraId="32368590" w14:textId="77777777" w:rsidTr="00B62C3E">
        <w:trPr>
          <w:cantSplit/>
        </w:trPr>
        <w:tc>
          <w:tcPr>
            <w:tcW w:w="4643" w:type="dxa"/>
            <w:tcBorders>
              <w:top w:val="nil"/>
              <w:left w:val="nil"/>
              <w:bottom w:val="nil"/>
              <w:right w:val="nil"/>
            </w:tcBorders>
          </w:tcPr>
          <w:p w14:paraId="3236858E" w14:textId="77777777" w:rsidR="00591A69" w:rsidRPr="00C83045" w:rsidRDefault="00591A69" w:rsidP="00D4304B">
            <w:pPr>
              <w:pStyle w:val="EndnoteText"/>
              <w:keepNext/>
              <w:keepLines/>
              <w:widowControl w:val="0"/>
              <w:tabs>
                <w:tab w:val="clear" w:pos="567"/>
              </w:tabs>
              <w:rPr>
                <w:color w:val="000000"/>
                <w:szCs w:val="22"/>
                <w:lang w:val="sk-SK"/>
              </w:rPr>
            </w:pPr>
            <w:r w:rsidRPr="00C83045">
              <w:rPr>
                <w:color w:val="000000"/>
                <w:szCs w:val="22"/>
                <w:lang w:val="sk-SK"/>
              </w:rPr>
              <w:t>Stabilizované ochorenie</w:t>
            </w:r>
          </w:p>
        </w:tc>
        <w:tc>
          <w:tcPr>
            <w:tcW w:w="4643" w:type="dxa"/>
            <w:tcBorders>
              <w:top w:val="nil"/>
              <w:left w:val="nil"/>
              <w:bottom w:val="nil"/>
              <w:right w:val="nil"/>
            </w:tcBorders>
          </w:tcPr>
          <w:p w14:paraId="3236858F" w14:textId="77777777" w:rsidR="00591A69" w:rsidRPr="00C83045" w:rsidRDefault="00591A69" w:rsidP="00D4304B">
            <w:pPr>
              <w:pStyle w:val="EndnoteText"/>
              <w:keepNext/>
              <w:keepLines/>
              <w:widowControl w:val="0"/>
              <w:tabs>
                <w:tab w:val="clear" w:pos="567"/>
              </w:tabs>
              <w:jc w:val="center"/>
              <w:rPr>
                <w:color w:val="000000"/>
                <w:szCs w:val="22"/>
                <w:lang w:val="sk-SK"/>
              </w:rPr>
            </w:pPr>
            <w:r w:rsidRPr="00C83045">
              <w:rPr>
                <w:rFonts w:eastAsia="MS Mincho"/>
                <w:color w:val="000000"/>
                <w:szCs w:val="22"/>
                <w:lang w:val="sk-SK"/>
              </w:rPr>
              <w:t>23 (15,6)</w:t>
            </w:r>
          </w:p>
        </w:tc>
      </w:tr>
      <w:tr w:rsidR="00591A69" w:rsidRPr="00C83045" w14:paraId="32368593" w14:textId="77777777" w:rsidTr="00B62C3E">
        <w:trPr>
          <w:cantSplit/>
        </w:trPr>
        <w:tc>
          <w:tcPr>
            <w:tcW w:w="4643" w:type="dxa"/>
            <w:tcBorders>
              <w:top w:val="nil"/>
              <w:left w:val="nil"/>
              <w:bottom w:val="nil"/>
              <w:right w:val="nil"/>
            </w:tcBorders>
          </w:tcPr>
          <w:p w14:paraId="32368591" w14:textId="77777777" w:rsidR="00591A69" w:rsidRPr="00C83045" w:rsidRDefault="00591A69" w:rsidP="00D4304B">
            <w:pPr>
              <w:pStyle w:val="EndnoteText"/>
              <w:keepNext/>
              <w:keepLines/>
              <w:widowControl w:val="0"/>
              <w:tabs>
                <w:tab w:val="clear" w:pos="567"/>
              </w:tabs>
              <w:rPr>
                <w:color w:val="000000"/>
                <w:szCs w:val="22"/>
                <w:lang w:val="sk-SK"/>
              </w:rPr>
            </w:pPr>
            <w:r w:rsidRPr="00C83045">
              <w:rPr>
                <w:color w:val="000000"/>
                <w:szCs w:val="22"/>
                <w:lang w:val="sk-SK"/>
              </w:rPr>
              <w:t>Progredujúce ochorenie</w:t>
            </w:r>
          </w:p>
        </w:tc>
        <w:tc>
          <w:tcPr>
            <w:tcW w:w="4643" w:type="dxa"/>
            <w:tcBorders>
              <w:top w:val="nil"/>
              <w:left w:val="nil"/>
              <w:bottom w:val="nil"/>
              <w:right w:val="nil"/>
            </w:tcBorders>
          </w:tcPr>
          <w:p w14:paraId="32368592" w14:textId="77777777" w:rsidR="00591A69" w:rsidRPr="00C83045" w:rsidRDefault="00591A69" w:rsidP="00D4304B">
            <w:pPr>
              <w:pStyle w:val="EndnoteText"/>
              <w:keepNext/>
              <w:keepLines/>
              <w:widowControl w:val="0"/>
              <w:tabs>
                <w:tab w:val="clear" w:pos="567"/>
              </w:tabs>
              <w:jc w:val="center"/>
              <w:rPr>
                <w:color w:val="000000"/>
                <w:szCs w:val="22"/>
                <w:lang w:val="sk-SK"/>
              </w:rPr>
            </w:pPr>
            <w:r w:rsidRPr="00C83045">
              <w:rPr>
                <w:rFonts w:eastAsia="MS Mincho"/>
                <w:color w:val="000000"/>
                <w:szCs w:val="22"/>
                <w:lang w:val="sk-SK"/>
              </w:rPr>
              <w:t>18 (12,2)</w:t>
            </w:r>
          </w:p>
        </w:tc>
      </w:tr>
      <w:tr w:rsidR="00591A69" w:rsidRPr="00C83045" w14:paraId="32368596" w14:textId="77777777" w:rsidTr="00B62C3E">
        <w:trPr>
          <w:cantSplit/>
        </w:trPr>
        <w:tc>
          <w:tcPr>
            <w:tcW w:w="4643" w:type="dxa"/>
            <w:tcBorders>
              <w:top w:val="nil"/>
              <w:left w:val="nil"/>
              <w:bottom w:val="nil"/>
              <w:right w:val="nil"/>
            </w:tcBorders>
          </w:tcPr>
          <w:p w14:paraId="32368594" w14:textId="77777777" w:rsidR="00591A69" w:rsidRPr="00C83045" w:rsidRDefault="00591A69" w:rsidP="00D4304B">
            <w:pPr>
              <w:pStyle w:val="EndnoteText"/>
              <w:keepNext/>
              <w:keepLines/>
              <w:widowControl w:val="0"/>
              <w:tabs>
                <w:tab w:val="clear" w:pos="567"/>
              </w:tabs>
              <w:rPr>
                <w:color w:val="000000"/>
                <w:szCs w:val="22"/>
                <w:lang w:val="sk-SK"/>
              </w:rPr>
            </w:pPr>
            <w:r w:rsidRPr="00C83045">
              <w:rPr>
                <w:color w:val="000000"/>
                <w:szCs w:val="22"/>
                <w:lang w:val="sk-SK"/>
              </w:rPr>
              <w:t>Nevyhodnotiteľná</w:t>
            </w:r>
          </w:p>
        </w:tc>
        <w:tc>
          <w:tcPr>
            <w:tcW w:w="4643" w:type="dxa"/>
            <w:tcBorders>
              <w:top w:val="nil"/>
              <w:left w:val="nil"/>
              <w:bottom w:val="nil"/>
              <w:right w:val="nil"/>
            </w:tcBorders>
          </w:tcPr>
          <w:p w14:paraId="32368595" w14:textId="77777777" w:rsidR="00591A69" w:rsidRPr="00C83045" w:rsidRDefault="00591A69" w:rsidP="00D4304B">
            <w:pPr>
              <w:pStyle w:val="EndnoteText"/>
              <w:keepNext/>
              <w:keepLines/>
              <w:widowControl w:val="0"/>
              <w:tabs>
                <w:tab w:val="clear" w:pos="567"/>
              </w:tabs>
              <w:jc w:val="center"/>
              <w:rPr>
                <w:color w:val="000000"/>
                <w:szCs w:val="22"/>
                <w:lang w:val="sk-SK"/>
              </w:rPr>
            </w:pPr>
            <w:r w:rsidRPr="00C83045">
              <w:rPr>
                <w:rFonts w:eastAsia="MS Mincho"/>
                <w:color w:val="000000"/>
                <w:szCs w:val="22"/>
                <w:lang w:val="sk-SK"/>
              </w:rPr>
              <w:t>5 (3,4)</w:t>
            </w:r>
          </w:p>
        </w:tc>
      </w:tr>
      <w:tr w:rsidR="00591A69" w:rsidRPr="00C83045" w14:paraId="32368599" w14:textId="77777777" w:rsidTr="00B62C3E">
        <w:trPr>
          <w:cantSplit/>
        </w:trPr>
        <w:tc>
          <w:tcPr>
            <w:tcW w:w="4643" w:type="dxa"/>
            <w:tcBorders>
              <w:top w:val="nil"/>
              <w:left w:val="nil"/>
              <w:right w:val="nil"/>
            </w:tcBorders>
          </w:tcPr>
          <w:p w14:paraId="32368597" w14:textId="77777777" w:rsidR="00591A69" w:rsidRPr="00C83045" w:rsidRDefault="00591A69" w:rsidP="00D4304B">
            <w:pPr>
              <w:pStyle w:val="EndnoteText"/>
              <w:keepNext/>
              <w:keepLines/>
              <w:widowControl w:val="0"/>
              <w:tabs>
                <w:tab w:val="clear" w:pos="567"/>
              </w:tabs>
              <w:rPr>
                <w:color w:val="000000"/>
                <w:szCs w:val="22"/>
                <w:lang w:val="sk-SK"/>
              </w:rPr>
            </w:pPr>
            <w:r w:rsidRPr="00C83045">
              <w:rPr>
                <w:color w:val="000000"/>
                <w:szCs w:val="22"/>
                <w:lang w:val="sk-SK"/>
              </w:rPr>
              <w:t>Neznáma</w:t>
            </w:r>
          </w:p>
        </w:tc>
        <w:tc>
          <w:tcPr>
            <w:tcW w:w="4643" w:type="dxa"/>
            <w:tcBorders>
              <w:top w:val="nil"/>
              <w:left w:val="nil"/>
              <w:right w:val="nil"/>
            </w:tcBorders>
          </w:tcPr>
          <w:p w14:paraId="32368598" w14:textId="77777777" w:rsidR="00591A69" w:rsidRPr="00C83045" w:rsidRDefault="00591A69" w:rsidP="00D4304B">
            <w:pPr>
              <w:pStyle w:val="EndnoteText"/>
              <w:keepNext/>
              <w:keepLines/>
              <w:widowControl w:val="0"/>
              <w:tabs>
                <w:tab w:val="clear" w:pos="567"/>
              </w:tabs>
              <w:jc w:val="center"/>
              <w:rPr>
                <w:color w:val="000000"/>
                <w:szCs w:val="22"/>
                <w:lang w:val="sk-SK"/>
              </w:rPr>
            </w:pPr>
            <w:r w:rsidRPr="00C83045">
              <w:rPr>
                <w:color w:val="000000"/>
                <w:szCs w:val="22"/>
                <w:lang w:val="sk-SK"/>
              </w:rPr>
              <w:t>2 (1,4)</w:t>
            </w:r>
          </w:p>
        </w:tc>
      </w:tr>
    </w:tbl>
    <w:p w14:paraId="3236859A" w14:textId="77777777" w:rsidR="00591A69" w:rsidRPr="00C83045" w:rsidRDefault="00591A69" w:rsidP="00D4304B">
      <w:pPr>
        <w:widowControl w:val="0"/>
        <w:ind w:left="0" w:firstLine="0"/>
        <w:rPr>
          <w:color w:val="000000"/>
          <w:szCs w:val="22"/>
        </w:rPr>
      </w:pPr>
    </w:p>
    <w:p w14:paraId="3236859B" w14:textId="77777777" w:rsidR="00591A69" w:rsidRPr="00C83045" w:rsidRDefault="00591A69" w:rsidP="00D4304B">
      <w:pPr>
        <w:widowControl w:val="0"/>
        <w:ind w:left="0" w:firstLine="0"/>
        <w:rPr>
          <w:color w:val="000000"/>
          <w:szCs w:val="22"/>
        </w:rPr>
      </w:pPr>
      <w:r w:rsidRPr="00C83045">
        <w:rPr>
          <w:color w:val="000000"/>
          <w:szCs w:val="22"/>
        </w:rPr>
        <w:t>Medzi obidvoma skupinami neboli rozdiely v stupni odpovede. Významný počet pacientov, ktorí mali v čase predbežnej analýzy stabilizované ochorenie, dosiahol čiastočnú odpoveď pri dlhšej liečbe (medián následného sledovania 31 mesiacov). Medián času do odpovede bol 13 týždňov (95% CI 12–23). Medián času do zlyhania liečby u pacientov s odpoveďou bol 122 týždňov (95% CI 106–147), zatiaľ čo u celkovej populácie v klinickom skúšaní to bolo 84 týždňov (95% CI 71–109). Medián celkového prežívania sa nedosiahol. Odhad prežívania podľa Kaplana-Meiera po 36 mesiacoch následného sledovania je 68%.</w:t>
      </w:r>
    </w:p>
    <w:p w14:paraId="3236859C" w14:textId="77777777" w:rsidR="00591A69" w:rsidRPr="00C83045" w:rsidRDefault="00591A69" w:rsidP="00D4304B">
      <w:pPr>
        <w:widowControl w:val="0"/>
        <w:ind w:left="0" w:firstLine="0"/>
        <w:rPr>
          <w:color w:val="000000"/>
          <w:szCs w:val="22"/>
        </w:rPr>
      </w:pPr>
    </w:p>
    <w:p w14:paraId="3236859D" w14:textId="77777777" w:rsidR="00591A69" w:rsidRPr="00C83045" w:rsidRDefault="00591A69" w:rsidP="00D4304B">
      <w:pPr>
        <w:widowControl w:val="0"/>
        <w:ind w:left="0" w:firstLine="0"/>
        <w:rPr>
          <w:color w:val="000000"/>
          <w:szCs w:val="22"/>
        </w:rPr>
      </w:pPr>
      <w:r w:rsidRPr="00C83045">
        <w:rPr>
          <w:color w:val="000000"/>
          <w:szCs w:val="22"/>
        </w:rPr>
        <w:t xml:space="preserve">V dvoch klinických skúšaniach (skúšanie B2222 a skúšanie medzi skupinami S0033) sa zvýšila denná dávka Glivecu na 800 mg u pacientov s progresiou pri nižších denných dávkach 400 mg alebo 600 mg. Denná dávka sa zvýšila na 800 mg u celkove 103 pacientov; po zvýšení dávky 6 pacientov dosiahlo </w:t>
      </w:r>
      <w:r w:rsidRPr="00C83045">
        <w:rPr>
          <w:color w:val="000000"/>
          <w:szCs w:val="22"/>
        </w:rPr>
        <w:lastRenderedPageBreak/>
        <w:t>čiastočnú odpoveď a 21 stabilizáciu ich ochorenia pri celkovej klinickej prospešnosti 26%. Podľa dostupných údajov o bezpečnosti sa zdá, že zvýšenie dávky na 800 mg denne u pacientov s progresiou pri nižších dávkach 400 mg alebo 600 mg denne neovplyvňuje bezpečnostný profil Glivecu.</w:t>
      </w:r>
    </w:p>
    <w:p w14:paraId="3236859E" w14:textId="77777777" w:rsidR="00591A69" w:rsidRPr="00C83045" w:rsidRDefault="00591A69" w:rsidP="00D4304B">
      <w:pPr>
        <w:widowControl w:val="0"/>
        <w:ind w:left="0" w:firstLine="0"/>
        <w:rPr>
          <w:color w:val="000000"/>
          <w:szCs w:val="22"/>
        </w:rPr>
      </w:pPr>
    </w:p>
    <w:p w14:paraId="3236859F" w14:textId="77777777" w:rsidR="00591A69" w:rsidRPr="00C83045" w:rsidRDefault="00591A69" w:rsidP="00D4304B">
      <w:pPr>
        <w:keepNext/>
        <w:widowControl w:val="0"/>
        <w:ind w:left="0" w:firstLine="0"/>
        <w:rPr>
          <w:color w:val="000000"/>
          <w:szCs w:val="22"/>
          <w:u w:val="single"/>
        </w:rPr>
      </w:pPr>
      <w:r w:rsidRPr="00C83045">
        <w:rPr>
          <w:color w:val="000000"/>
          <w:szCs w:val="22"/>
          <w:u w:val="single"/>
        </w:rPr>
        <w:t>Klinické skúšania adjuvantnej liečby GIST</w:t>
      </w:r>
    </w:p>
    <w:p w14:paraId="323685A0" w14:textId="77777777" w:rsidR="00591A69" w:rsidRPr="00C83045" w:rsidRDefault="00591A69" w:rsidP="00D4304B">
      <w:pPr>
        <w:widowControl w:val="0"/>
        <w:ind w:left="0" w:firstLine="0"/>
        <w:rPr>
          <w:rFonts w:eastAsia="MS Mincho"/>
          <w:color w:val="000000"/>
          <w:szCs w:val="22"/>
          <w:lang w:eastAsia="ja-JP"/>
        </w:rPr>
      </w:pPr>
      <w:r w:rsidRPr="00C83045">
        <w:rPr>
          <w:color w:val="000000"/>
          <w:szCs w:val="22"/>
        </w:rPr>
        <w:t xml:space="preserve">Glivec v adjuvantnom použití sa skúmal v multicentrickom, dvojito zaslepenom, dlhodobom klinickom skúšaní fázy </w:t>
      </w:r>
      <w:smartTag w:uri="urn:schemas-microsoft-com:office:smarttags" w:element="stockticker">
        <w:r w:rsidRPr="00C83045">
          <w:rPr>
            <w:color w:val="000000"/>
            <w:szCs w:val="22"/>
          </w:rPr>
          <w:t>III</w:t>
        </w:r>
      </w:smartTag>
      <w:r w:rsidRPr="00C83045">
        <w:rPr>
          <w:color w:val="000000"/>
          <w:szCs w:val="22"/>
        </w:rPr>
        <w:t xml:space="preserve"> kontrolovanom placebom </w:t>
      </w:r>
      <w:r w:rsidRPr="00C83045">
        <w:rPr>
          <w:rFonts w:eastAsia="MS Mincho"/>
          <w:color w:val="000000"/>
          <w:szCs w:val="22"/>
          <w:lang w:eastAsia="ja-JP"/>
        </w:rPr>
        <w:t>(Z9001), do ktorého bolo zaradených 773 pacientov. Vek týchto pacientov bol v rozmedzí od 18 do 91 rokov. Zaradení boli pacienti, ktorí mali histologickú diagnózu primárneho GIST s expresiou bielkoviny Kit potvrdenou imunochemicky a veľkosť nádoru bola ≥ 3 cm v najväčšom rozmere, s kompletnou hrubou resekciou primárneho GIST v období 14</w:t>
      </w:r>
      <w:r w:rsidRPr="00C83045">
        <w:rPr>
          <w:rFonts w:eastAsia="MS Mincho"/>
          <w:color w:val="000000"/>
          <w:szCs w:val="22"/>
          <w:lang w:eastAsia="ja-JP"/>
        </w:rPr>
        <w:noBreakHyphen/>
        <w:t>70 dní pred registráciou. Po resekcii primárneho GIST boli pacienti randomizovaní do jednej z dvoch skupín: Glivec 400 mg/deň, alebo zodpovedajúce placebo počas jedného roka.</w:t>
      </w:r>
    </w:p>
    <w:p w14:paraId="323685A1" w14:textId="77777777" w:rsidR="00591A69" w:rsidRPr="00C83045" w:rsidRDefault="00591A69" w:rsidP="00D4304B">
      <w:pPr>
        <w:widowControl w:val="0"/>
        <w:ind w:left="0" w:firstLine="0"/>
        <w:rPr>
          <w:rFonts w:eastAsia="MS Mincho"/>
          <w:color w:val="000000"/>
          <w:szCs w:val="22"/>
          <w:lang w:eastAsia="ja-JP"/>
        </w:rPr>
      </w:pPr>
    </w:p>
    <w:p w14:paraId="323685A2" w14:textId="77777777" w:rsidR="00591A69" w:rsidRPr="00C83045" w:rsidRDefault="00591A69" w:rsidP="00D4304B">
      <w:pPr>
        <w:widowControl w:val="0"/>
        <w:ind w:left="0" w:firstLine="0"/>
        <w:rPr>
          <w:rFonts w:eastAsia="MS Mincho"/>
          <w:color w:val="000000"/>
          <w:szCs w:val="22"/>
          <w:lang w:eastAsia="ja-JP"/>
        </w:rPr>
      </w:pPr>
      <w:r w:rsidRPr="00C83045">
        <w:rPr>
          <w:rFonts w:eastAsia="MS Mincho"/>
          <w:color w:val="000000"/>
          <w:szCs w:val="22"/>
          <w:lang w:eastAsia="ja-JP"/>
        </w:rPr>
        <w:t>Primárnym cieľom klinického skúšania bolo prežívanie bez recidívy (</w:t>
      </w:r>
      <w:smartTag w:uri="urn:schemas-microsoft-com:office:smarttags" w:element="stockticker">
        <w:r w:rsidRPr="00C83045">
          <w:rPr>
            <w:rFonts w:eastAsia="MS Mincho"/>
            <w:color w:val="000000"/>
            <w:szCs w:val="22"/>
            <w:lang w:eastAsia="ja-JP"/>
          </w:rPr>
          <w:t>RFS</w:t>
        </w:r>
      </w:smartTag>
      <w:r w:rsidRPr="00C83045">
        <w:rPr>
          <w:rFonts w:eastAsia="MS Mincho"/>
          <w:color w:val="000000"/>
          <w:szCs w:val="22"/>
          <w:lang w:eastAsia="ja-JP"/>
        </w:rPr>
        <w:t>), definované ako čas od dátumu randomizácie do dátumu recidívy alebo smrti z akejkoľvek príčiny.</w:t>
      </w:r>
    </w:p>
    <w:p w14:paraId="323685A3" w14:textId="77777777" w:rsidR="00591A69" w:rsidRPr="00C83045" w:rsidRDefault="00591A69" w:rsidP="00D4304B">
      <w:pPr>
        <w:widowControl w:val="0"/>
        <w:ind w:left="0" w:firstLine="0"/>
        <w:rPr>
          <w:rFonts w:eastAsia="MS Mincho"/>
          <w:color w:val="000000"/>
          <w:szCs w:val="22"/>
          <w:lang w:eastAsia="ja-JP"/>
        </w:rPr>
      </w:pPr>
    </w:p>
    <w:p w14:paraId="323685A4" w14:textId="77777777" w:rsidR="00591A69" w:rsidRPr="00C83045" w:rsidRDefault="00591A69" w:rsidP="00D4304B">
      <w:pPr>
        <w:pStyle w:val="Text"/>
        <w:widowControl w:val="0"/>
        <w:spacing w:before="0"/>
        <w:jc w:val="left"/>
        <w:rPr>
          <w:rFonts w:eastAsia="MS Mincho"/>
          <w:color w:val="000000"/>
          <w:sz w:val="22"/>
          <w:szCs w:val="22"/>
          <w:lang w:val="sk-SK"/>
        </w:rPr>
      </w:pPr>
      <w:r w:rsidRPr="00C83045">
        <w:rPr>
          <w:rFonts w:eastAsia="MS Mincho"/>
          <w:color w:val="000000"/>
          <w:sz w:val="22"/>
          <w:szCs w:val="22"/>
          <w:lang w:val="sk-SK"/>
        </w:rPr>
        <w:t xml:space="preserve">Glivec významne predĺžil </w:t>
      </w:r>
      <w:smartTag w:uri="urn:schemas-microsoft-com:office:smarttags" w:element="stockticker">
        <w:r w:rsidRPr="00C83045">
          <w:rPr>
            <w:rFonts w:eastAsia="MS Mincho"/>
            <w:color w:val="000000"/>
            <w:sz w:val="22"/>
            <w:szCs w:val="22"/>
            <w:lang w:val="sk-SK"/>
          </w:rPr>
          <w:t>RFS</w:t>
        </w:r>
      </w:smartTag>
      <w:r w:rsidRPr="00C83045">
        <w:rPr>
          <w:rFonts w:eastAsia="MS Mincho"/>
          <w:color w:val="000000"/>
          <w:sz w:val="22"/>
          <w:szCs w:val="22"/>
          <w:lang w:val="sk-SK"/>
        </w:rPr>
        <w:t xml:space="preserve">, 75% pacientov bolo bez recidívy po 38 mesiacoch v skupine Glivecu v porovnaní s 20 mesiacmi v skupine placeba (95% CI, [30 - neodhadnuteľné] a [14 - neodhadnuteľné] v uvedenom poradí); (pomer rizika = 0,398 [0,259-0,610], p&lt;0,0001). Po jednom roku bolo celkové </w:t>
      </w:r>
      <w:smartTag w:uri="urn:schemas-microsoft-com:office:smarttags" w:element="stockticker">
        <w:r w:rsidRPr="00C83045">
          <w:rPr>
            <w:rFonts w:eastAsia="MS Mincho"/>
            <w:color w:val="000000"/>
            <w:sz w:val="22"/>
            <w:szCs w:val="22"/>
            <w:lang w:val="sk-SK"/>
          </w:rPr>
          <w:t>RFS</w:t>
        </w:r>
      </w:smartTag>
      <w:r w:rsidRPr="00C83045">
        <w:rPr>
          <w:rFonts w:eastAsia="MS Mincho"/>
          <w:color w:val="000000"/>
          <w:sz w:val="22"/>
          <w:szCs w:val="22"/>
          <w:lang w:val="sk-SK"/>
        </w:rPr>
        <w:t xml:space="preserve"> významne lepšie pri Glivecu (97,7%) v porovnaní s placebom (82,3%), (p&lt;0,0001). Riziko recidívy sa tak znížilo približne o 89% v porovnaní s placebom (pomer rizika = 0,113 [0,049</w:t>
      </w:r>
      <w:r w:rsidRPr="00C83045">
        <w:rPr>
          <w:rFonts w:eastAsia="MS Mincho"/>
          <w:color w:val="000000"/>
          <w:sz w:val="22"/>
          <w:szCs w:val="22"/>
          <w:lang w:val="sk-SK"/>
        </w:rPr>
        <w:noBreakHyphen/>
        <w:t>0,264]).</w:t>
      </w:r>
    </w:p>
    <w:p w14:paraId="323685A5" w14:textId="77777777" w:rsidR="00591A69" w:rsidRPr="00C83045" w:rsidRDefault="00591A69" w:rsidP="00D4304B">
      <w:pPr>
        <w:pStyle w:val="Text"/>
        <w:widowControl w:val="0"/>
        <w:spacing w:before="0"/>
        <w:jc w:val="left"/>
        <w:rPr>
          <w:rFonts w:eastAsia="MS Mincho"/>
          <w:color w:val="000000"/>
          <w:sz w:val="22"/>
          <w:szCs w:val="22"/>
          <w:lang w:val="sk-SK"/>
        </w:rPr>
      </w:pPr>
    </w:p>
    <w:p w14:paraId="323685A6" w14:textId="77777777" w:rsidR="00591A69" w:rsidRPr="00C83045" w:rsidRDefault="00591A69" w:rsidP="00D4304B">
      <w:pPr>
        <w:pStyle w:val="Text"/>
        <w:widowControl w:val="0"/>
        <w:spacing w:before="0"/>
        <w:jc w:val="left"/>
        <w:rPr>
          <w:color w:val="000000"/>
          <w:sz w:val="22"/>
          <w:szCs w:val="22"/>
          <w:lang w:val="sk-SK"/>
        </w:rPr>
      </w:pPr>
      <w:r w:rsidRPr="00C83045">
        <w:rPr>
          <w:rFonts w:eastAsia="MS Mincho"/>
          <w:color w:val="000000"/>
          <w:sz w:val="22"/>
          <w:szCs w:val="22"/>
          <w:lang w:val="sk-SK"/>
        </w:rPr>
        <w:t>Riziko recidívy po chirurgickom zákroku u pacientov s primárnym GIST sa retrospektívne vyhodnotilo na základe nasledujúcich prognostických faktorov: veľkosť nádoru, mitotický index, miesto výskytu nádoru. Údaje o mitotickom indexe boli dostupné u 556 zo 713 pacientov populácie určenej na liečbu (</w:t>
      </w:r>
      <w:smartTag w:uri="urn:schemas-microsoft-com:office:smarttags" w:element="stockticker">
        <w:smartTag w:uri="urn:schemas-microsoft-com:office:smarttags" w:element="PersonName">
          <w:r w:rsidRPr="00C83045">
            <w:rPr>
              <w:rFonts w:eastAsia="MS Mincho"/>
              <w:color w:val="000000"/>
              <w:sz w:val="22"/>
              <w:szCs w:val="22"/>
              <w:lang w:val="sk-SK"/>
            </w:rPr>
            <w:t>IT</w:t>
          </w:r>
        </w:smartTag>
        <w:r w:rsidRPr="00C83045">
          <w:rPr>
            <w:rFonts w:eastAsia="MS Mincho"/>
            <w:color w:val="000000"/>
            <w:sz w:val="22"/>
            <w:szCs w:val="22"/>
            <w:lang w:val="sk-SK"/>
          </w:rPr>
          <w:t>T</w:t>
        </w:r>
      </w:smartTag>
      <w:r w:rsidRPr="00C83045">
        <w:rPr>
          <w:rFonts w:eastAsia="MS Mincho"/>
          <w:color w:val="000000"/>
          <w:sz w:val="22"/>
          <w:szCs w:val="22"/>
          <w:lang w:val="sk-SK"/>
        </w:rPr>
        <w:t xml:space="preserve">). Výsledky analýz podskupín podľa klasifikácie rizika </w:t>
      </w:r>
      <w:r w:rsidRPr="00C83045">
        <w:rPr>
          <w:rFonts w:eastAsia="MS Mincho"/>
          <w:color w:val="000000"/>
          <w:sz w:val="22"/>
          <w:szCs w:val="22"/>
          <w:lang w:val="sk-SK" w:eastAsia="ja-JP"/>
        </w:rPr>
        <w:t>United States National Institutes of Health (NIH) a Armed Forces Institute of Pathology (A</w:t>
      </w:r>
      <w:smartTag w:uri="urn:schemas-microsoft-com:office:smarttags" w:element="PersonName">
        <w:r w:rsidRPr="00C83045">
          <w:rPr>
            <w:rFonts w:eastAsia="MS Mincho"/>
            <w:color w:val="000000"/>
            <w:sz w:val="22"/>
            <w:szCs w:val="22"/>
            <w:lang w:val="sk-SK" w:eastAsia="ja-JP"/>
          </w:rPr>
          <w:t>FI</w:t>
        </w:r>
      </w:smartTag>
      <w:r w:rsidRPr="00C83045">
        <w:rPr>
          <w:rFonts w:eastAsia="MS Mincho"/>
          <w:color w:val="000000"/>
          <w:sz w:val="22"/>
          <w:szCs w:val="22"/>
          <w:lang w:val="sk-SK" w:eastAsia="ja-JP"/>
        </w:rPr>
        <w:t>P) sú uvedené v Tabuľke </w:t>
      </w:r>
      <w:r w:rsidR="00F07CBB" w:rsidRPr="00C83045">
        <w:rPr>
          <w:rFonts w:eastAsia="MS Mincho"/>
          <w:color w:val="000000"/>
          <w:sz w:val="22"/>
          <w:szCs w:val="22"/>
          <w:lang w:val="sk-SK" w:eastAsia="ja-JP"/>
        </w:rPr>
        <w:t>7</w:t>
      </w:r>
      <w:r w:rsidRPr="00C83045">
        <w:rPr>
          <w:rFonts w:eastAsia="MS Mincho"/>
          <w:color w:val="000000"/>
          <w:sz w:val="22"/>
          <w:szCs w:val="22"/>
          <w:lang w:val="sk-SK" w:eastAsia="ja-JP"/>
        </w:rPr>
        <w:t>. Žiadny prínos sa nepozoroval v skupinách s nízkym a veľmi nízkym rizikom. Nepozoroval sa prínos vzhľadom na celkové prežívanie.</w:t>
      </w:r>
    </w:p>
    <w:p w14:paraId="323685A7" w14:textId="77777777" w:rsidR="00591A69" w:rsidRPr="00C83045" w:rsidRDefault="00591A69" w:rsidP="00D4304B">
      <w:pPr>
        <w:widowControl w:val="0"/>
        <w:ind w:left="0" w:firstLine="0"/>
        <w:rPr>
          <w:iCs/>
          <w:color w:val="000000"/>
          <w:szCs w:val="22"/>
          <w:u w:val="single"/>
        </w:rPr>
      </w:pPr>
    </w:p>
    <w:p w14:paraId="323685A8" w14:textId="77777777" w:rsidR="00591A69" w:rsidRPr="00C83045" w:rsidRDefault="00591A69" w:rsidP="00D4304B">
      <w:pPr>
        <w:pStyle w:val="Heading6"/>
        <w:keepNext/>
        <w:keepLines/>
        <w:widowControl w:val="0"/>
        <w:tabs>
          <w:tab w:val="left" w:pos="1134"/>
        </w:tabs>
        <w:spacing w:before="0" w:after="0"/>
        <w:ind w:left="1134" w:hanging="1134"/>
        <w:rPr>
          <w:rFonts w:eastAsia="MS Mincho"/>
          <w:color w:val="000000"/>
          <w:lang w:eastAsia="ja-JP"/>
        </w:rPr>
      </w:pPr>
      <w:r w:rsidRPr="00C83045">
        <w:rPr>
          <w:rFonts w:eastAsia="MS Mincho"/>
          <w:color w:val="000000"/>
          <w:lang w:eastAsia="ja-JP"/>
        </w:rPr>
        <w:t>Tabuľka </w:t>
      </w:r>
      <w:r w:rsidR="00F07CBB" w:rsidRPr="00C83045">
        <w:rPr>
          <w:rFonts w:eastAsia="MS Mincho"/>
          <w:color w:val="000000"/>
          <w:lang w:eastAsia="ja-JP"/>
        </w:rPr>
        <w:t>7</w:t>
      </w:r>
      <w:r w:rsidRPr="00C83045">
        <w:rPr>
          <w:rFonts w:eastAsia="MS Mincho"/>
          <w:color w:val="000000"/>
          <w:lang w:eastAsia="ja-JP"/>
        </w:rPr>
        <w:tab/>
        <w:t xml:space="preserve">Zhrnutie analýz </w:t>
      </w:r>
      <w:smartTag w:uri="urn:schemas-microsoft-com:office:smarttags" w:element="stockticker">
        <w:r w:rsidRPr="00C83045">
          <w:rPr>
            <w:rFonts w:eastAsia="MS Mincho"/>
            <w:color w:val="000000"/>
            <w:lang w:eastAsia="ja-JP"/>
          </w:rPr>
          <w:t>RFS</w:t>
        </w:r>
      </w:smartTag>
      <w:r w:rsidRPr="00C83045">
        <w:rPr>
          <w:rFonts w:eastAsia="MS Mincho"/>
          <w:color w:val="000000"/>
          <w:lang w:eastAsia="ja-JP"/>
        </w:rPr>
        <w:t xml:space="preserve"> v klinickom skúšaní Z9001 podľa klasifikácie rizika NIH a AFIP</w:t>
      </w:r>
    </w:p>
    <w:p w14:paraId="323685A9" w14:textId="77777777" w:rsidR="00591A69" w:rsidRPr="00C83045" w:rsidRDefault="00591A69" w:rsidP="00D4304B">
      <w:pPr>
        <w:keepNext/>
        <w:keepLines/>
        <w:widowControl w:val="0"/>
        <w:rPr>
          <w:color w:val="000000"/>
          <w:szCs w:val="22"/>
          <w:lang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4"/>
        <w:gridCol w:w="1417"/>
        <w:gridCol w:w="986"/>
        <w:gridCol w:w="2083"/>
        <w:gridCol w:w="1800"/>
        <w:gridCol w:w="1440"/>
        <w:gridCol w:w="1360"/>
      </w:tblGrid>
      <w:tr w:rsidR="00591A69" w:rsidRPr="00C83045" w14:paraId="323685B1" w14:textId="77777777" w:rsidTr="00B62C3E">
        <w:trPr>
          <w:cantSplit/>
        </w:trPr>
        <w:tc>
          <w:tcPr>
            <w:tcW w:w="934" w:type="dxa"/>
            <w:vMerge w:val="restart"/>
          </w:tcPr>
          <w:p w14:paraId="323685AA"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Krité-riá rizika</w:t>
            </w:r>
          </w:p>
        </w:tc>
        <w:tc>
          <w:tcPr>
            <w:tcW w:w="1417" w:type="dxa"/>
            <w:vMerge w:val="restart"/>
            <w:tcBorders>
              <w:right w:val="single" w:sz="4" w:space="0" w:color="auto"/>
            </w:tcBorders>
          </w:tcPr>
          <w:p w14:paraId="323685AB" w14:textId="77777777" w:rsidR="00591A69" w:rsidRPr="00C83045" w:rsidRDefault="00591A69" w:rsidP="00D4304B">
            <w:pPr>
              <w:pStyle w:val="Table"/>
              <w:widowControl w:val="0"/>
              <w:tabs>
                <w:tab w:val="left" w:pos="567"/>
              </w:tabs>
              <w:spacing w:before="0" w:after="0"/>
              <w:rPr>
                <w:rFonts w:ascii="Times New Roman" w:hAnsi="Times New Roman"/>
                <w:b/>
                <w:color w:val="000000"/>
                <w:sz w:val="22"/>
                <w:szCs w:val="22"/>
                <w:lang w:val="sk-SK"/>
              </w:rPr>
            </w:pPr>
            <w:r w:rsidRPr="00C83045">
              <w:rPr>
                <w:rFonts w:ascii="Times New Roman" w:hAnsi="Times New Roman"/>
                <w:b/>
                <w:color w:val="000000"/>
                <w:sz w:val="22"/>
                <w:szCs w:val="22"/>
                <w:lang w:val="sk-SK"/>
              </w:rPr>
              <w:t>Miera rizika</w:t>
            </w:r>
          </w:p>
        </w:tc>
        <w:tc>
          <w:tcPr>
            <w:tcW w:w="986" w:type="dxa"/>
            <w:vMerge w:val="restart"/>
            <w:tcBorders>
              <w:left w:val="single" w:sz="4" w:space="0" w:color="auto"/>
              <w:right w:val="single" w:sz="4" w:space="0" w:color="auto"/>
            </w:tcBorders>
          </w:tcPr>
          <w:p w14:paraId="323685AC"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 pacien-tov</w:t>
            </w:r>
          </w:p>
        </w:tc>
        <w:tc>
          <w:tcPr>
            <w:tcW w:w="2083" w:type="dxa"/>
            <w:vMerge w:val="restart"/>
            <w:tcBorders>
              <w:left w:val="single" w:sz="4" w:space="0" w:color="auto"/>
              <w:right w:val="single" w:sz="4" w:space="0" w:color="auto"/>
            </w:tcBorders>
          </w:tcPr>
          <w:p w14:paraId="323685AD"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Počet udalostí /</w:t>
            </w:r>
          </w:p>
          <w:p w14:paraId="323685AE"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počet pacientov</w:t>
            </w:r>
          </w:p>
        </w:tc>
        <w:tc>
          <w:tcPr>
            <w:tcW w:w="1800" w:type="dxa"/>
            <w:vMerge w:val="restart"/>
            <w:tcBorders>
              <w:left w:val="single" w:sz="4" w:space="0" w:color="auto"/>
              <w:right w:val="single" w:sz="4" w:space="0" w:color="auto"/>
            </w:tcBorders>
          </w:tcPr>
          <w:p w14:paraId="323685AF"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Celkový pomer rizika (95%CI)*</w:t>
            </w:r>
          </w:p>
        </w:tc>
        <w:tc>
          <w:tcPr>
            <w:tcW w:w="2800" w:type="dxa"/>
            <w:gridSpan w:val="2"/>
            <w:tcBorders>
              <w:left w:val="single" w:sz="4" w:space="0" w:color="auto"/>
            </w:tcBorders>
          </w:tcPr>
          <w:p w14:paraId="323685B0"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 xml:space="preserve">Podiel </w:t>
            </w:r>
            <w:smartTag w:uri="urn:schemas-microsoft-com:office:smarttags" w:element="stockticker">
              <w:r w:rsidRPr="00C83045">
                <w:rPr>
                  <w:rFonts w:ascii="Times New Roman" w:hAnsi="Times New Roman"/>
                  <w:b/>
                  <w:color w:val="000000"/>
                  <w:sz w:val="22"/>
                  <w:szCs w:val="22"/>
                  <w:lang w:val="sk-SK"/>
                </w:rPr>
                <w:t>RFS</w:t>
              </w:r>
            </w:smartTag>
            <w:r w:rsidRPr="00C83045">
              <w:rPr>
                <w:rFonts w:ascii="Times New Roman" w:hAnsi="Times New Roman"/>
                <w:b/>
                <w:color w:val="000000"/>
                <w:sz w:val="22"/>
                <w:szCs w:val="22"/>
                <w:lang w:val="sk-SK"/>
              </w:rPr>
              <w:t xml:space="preserve"> (%)</w:t>
            </w:r>
          </w:p>
        </w:tc>
      </w:tr>
      <w:tr w:rsidR="00591A69" w:rsidRPr="00C83045" w14:paraId="323685B9" w14:textId="77777777" w:rsidTr="00B62C3E">
        <w:trPr>
          <w:cantSplit/>
        </w:trPr>
        <w:tc>
          <w:tcPr>
            <w:tcW w:w="934" w:type="dxa"/>
            <w:vMerge/>
          </w:tcPr>
          <w:p w14:paraId="323685B2" w14:textId="77777777" w:rsidR="00591A69" w:rsidRPr="00C83045" w:rsidRDefault="00591A69" w:rsidP="00D4304B">
            <w:pPr>
              <w:pStyle w:val="Table"/>
              <w:widowControl w:val="0"/>
              <w:tabs>
                <w:tab w:val="left" w:pos="567"/>
              </w:tabs>
              <w:spacing w:before="0" w:after="0"/>
              <w:rPr>
                <w:rFonts w:ascii="Times New Roman" w:hAnsi="Times New Roman"/>
                <w:b/>
                <w:color w:val="000000"/>
                <w:sz w:val="22"/>
                <w:szCs w:val="22"/>
                <w:lang w:val="sk-SK"/>
              </w:rPr>
            </w:pPr>
          </w:p>
        </w:tc>
        <w:tc>
          <w:tcPr>
            <w:tcW w:w="1417" w:type="dxa"/>
            <w:vMerge/>
            <w:tcBorders>
              <w:right w:val="single" w:sz="4" w:space="0" w:color="auto"/>
            </w:tcBorders>
          </w:tcPr>
          <w:p w14:paraId="323685B3" w14:textId="77777777" w:rsidR="00591A69" w:rsidRPr="00C83045" w:rsidRDefault="00591A69" w:rsidP="00D4304B">
            <w:pPr>
              <w:pStyle w:val="Table"/>
              <w:widowControl w:val="0"/>
              <w:tabs>
                <w:tab w:val="left" w:pos="567"/>
              </w:tabs>
              <w:spacing w:before="0" w:after="0"/>
              <w:rPr>
                <w:rFonts w:ascii="Times New Roman" w:hAnsi="Times New Roman"/>
                <w:b/>
                <w:color w:val="000000"/>
                <w:sz w:val="22"/>
                <w:szCs w:val="22"/>
                <w:lang w:val="sk-SK"/>
              </w:rPr>
            </w:pPr>
          </w:p>
        </w:tc>
        <w:tc>
          <w:tcPr>
            <w:tcW w:w="986" w:type="dxa"/>
            <w:vMerge/>
            <w:tcBorders>
              <w:left w:val="single" w:sz="4" w:space="0" w:color="auto"/>
              <w:right w:val="single" w:sz="4" w:space="0" w:color="auto"/>
            </w:tcBorders>
          </w:tcPr>
          <w:p w14:paraId="323685B4"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p>
        </w:tc>
        <w:tc>
          <w:tcPr>
            <w:tcW w:w="2083" w:type="dxa"/>
            <w:vMerge/>
            <w:tcBorders>
              <w:left w:val="single" w:sz="4" w:space="0" w:color="auto"/>
              <w:right w:val="single" w:sz="4" w:space="0" w:color="auto"/>
            </w:tcBorders>
          </w:tcPr>
          <w:p w14:paraId="323685B5"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p>
        </w:tc>
        <w:tc>
          <w:tcPr>
            <w:tcW w:w="1800" w:type="dxa"/>
            <w:vMerge/>
            <w:tcBorders>
              <w:left w:val="single" w:sz="4" w:space="0" w:color="auto"/>
              <w:right w:val="single" w:sz="4" w:space="0" w:color="auto"/>
            </w:tcBorders>
          </w:tcPr>
          <w:p w14:paraId="323685B6" w14:textId="77777777" w:rsidR="00591A69" w:rsidRPr="00C83045" w:rsidRDefault="00591A69" w:rsidP="00D4304B">
            <w:pPr>
              <w:pStyle w:val="Table"/>
              <w:widowControl w:val="0"/>
              <w:tabs>
                <w:tab w:val="left" w:pos="567"/>
              </w:tabs>
              <w:spacing w:before="0" w:after="0"/>
              <w:rPr>
                <w:rFonts w:ascii="Times New Roman" w:hAnsi="Times New Roman"/>
                <w:b/>
                <w:color w:val="000000"/>
                <w:sz w:val="22"/>
                <w:szCs w:val="22"/>
                <w:lang w:val="sk-SK"/>
              </w:rPr>
            </w:pPr>
          </w:p>
        </w:tc>
        <w:tc>
          <w:tcPr>
            <w:tcW w:w="1440" w:type="dxa"/>
            <w:tcBorders>
              <w:left w:val="single" w:sz="4" w:space="0" w:color="auto"/>
              <w:right w:val="single" w:sz="4" w:space="0" w:color="auto"/>
            </w:tcBorders>
          </w:tcPr>
          <w:p w14:paraId="323685B7"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12 mesiacov</w:t>
            </w:r>
          </w:p>
        </w:tc>
        <w:tc>
          <w:tcPr>
            <w:tcW w:w="1360" w:type="dxa"/>
            <w:tcBorders>
              <w:left w:val="single" w:sz="4" w:space="0" w:color="auto"/>
            </w:tcBorders>
          </w:tcPr>
          <w:p w14:paraId="323685B8"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24 mesiacov</w:t>
            </w:r>
          </w:p>
        </w:tc>
      </w:tr>
      <w:tr w:rsidR="00591A69" w:rsidRPr="00C83045" w14:paraId="323685C1" w14:textId="77777777" w:rsidTr="00B62C3E">
        <w:trPr>
          <w:cantSplit/>
        </w:trPr>
        <w:tc>
          <w:tcPr>
            <w:tcW w:w="934" w:type="dxa"/>
            <w:vMerge/>
          </w:tcPr>
          <w:p w14:paraId="323685BA" w14:textId="77777777" w:rsidR="00591A69" w:rsidRPr="00C83045" w:rsidRDefault="00591A69" w:rsidP="00D4304B">
            <w:pPr>
              <w:pStyle w:val="Table"/>
              <w:widowControl w:val="0"/>
              <w:tabs>
                <w:tab w:val="left" w:pos="567"/>
              </w:tabs>
              <w:spacing w:before="0" w:after="0"/>
              <w:rPr>
                <w:rFonts w:ascii="Times New Roman" w:hAnsi="Times New Roman"/>
                <w:b/>
                <w:color w:val="000000"/>
                <w:sz w:val="22"/>
                <w:szCs w:val="22"/>
                <w:lang w:val="sk-SK"/>
              </w:rPr>
            </w:pPr>
          </w:p>
        </w:tc>
        <w:tc>
          <w:tcPr>
            <w:tcW w:w="1417" w:type="dxa"/>
            <w:vMerge/>
            <w:tcBorders>
              <w:right w:val="single" w:sz="4" w:space="0" w:color="auto"/>
            </w:tcBorders>
          </w:tcPr>
          <w:p w14:paraId="323685BB" w14:textId="77777777" w:rsidR="00591A69" w:rsidRPr="00C83045" w:rsidRDefault="00591A69" w:rsidP="00D4304B">
            <w:pPr>
              <w:pStyle w:val="Table"/>
              <w:widowControl w:val="0"/>
              <w:tabs>
                <w:tab w:val="left" w:pos="567"/>
              </w:tabs>
              <w:spacing w:before="0" w:after="0"/>
              <w:rPr>
                <w:rFonts w:ascii="Times New Roman" w:hAnsi="Times New Roman"/>
                <w:b/>
                <w:color w:val="000000"/>
                <w:sz w:val="22"/>
                <w:szCs w:val="22"/>
                <w:lang w:val="sk-SK"/>
              </w:rPr>
            </w:pPr>
          </w:p>
        </w:tc>
        <w:tc>
          <w:tcPr>
            <w:tcW w:w="986" w:type="dxa"/>
            <w:vMerge/>
            <w:tcBorders>
              <w:left w:val="single" w:sz="4" w:space="0" w:color="auto"/>
              <w:right w:val="single" w:sz="4" w:space="0" w:color="auto"/>
            </w:tcBorders>
          </w:tcPr>
          <w:p w14:paraId="323685BC"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p>
        </w:tc>
        <w:tc>
          <w:tcPr>
            <w:tcW w:w="2083" w:type="dxa"/>
            <w:tcBorders>
              <w:left w:val="single" w:sz="4" w:space="0" w:color="auto"/>
              <w:bottom w:val="single" w:sz="4" w:space="0" w:color="auto"/>
              <w:right w:val="single" w:sz="4" w:space="0" w:color="auto"/>
            </w:tcBorders>
          </w:tcPr>
          <w:p w14:paraId="323685BD"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Glivec oproti placebu</w:t>
            </w:r>
          </w:p>
        </w:tc>
        <w:tc>
          <w:tcPr>
            <w:tcW w:w="1800" w:type="dxa"/>
            <w:vMerge/>
            <w:tcBorders>
              <w:left w:val="single" w:sz="4" w:space="0" w:color="auto"/>
              <w:bottom w:val="single" w:sz="4" w:space="0" w:color="auto"/>
              <w:right w:val="single" w:sz="4" w:space="0" w:color="auto"/>
            </w:tcBorders>
          </w:tcPr>
          <w:p w14:paraId="323685BE"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p>
        </w:tc>
        <w:tc>
          <w:tcPr>
            <w:tcW w:w="1440" w:type="dxa"/>
            <w:tcBorders>
              <w:left w:val="single" w:sz="4" w:space="0" w:color="auto"/>
              <w:bottom w:val="single" w:sz="4" w:space="0" w:color="auto"/>
              <w:right w:val="single" w:sz="4" w:space="0" w:color="auto"/>
            </w:tcBorders>
          </w:tcPr>
          <w:p w14:paraId="323685BF"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Glivec oproti placebu</w:t>
            </w:r>
          </w:p>
        </w:tc>
        <w:tc>
          <w:tcPr>
            <w:tcW w:w="1360" w:type="dxa"/>
            <w:tcBorders>
              <w:left w:val="single" w:sz="4" w:space="0" w:color="auto"/>
            </w:tcBorders>
          </w:tcPr>
          <w:p w14:paraId="323685C0" w14:textId="77777777" w:rsidR="00591A69" w:rsidRPr="00C83045" w:rsidRDefault="00591A69" w:rsidP="00D4304B">
            <w:pPr>
              <w:pStyle w:val="Table"/>
              <w:widowControl w:val="0"/>
              <w:tabs>
                <w:tab w:val="left" w:pos="567"/>
              </w:tabs>
              <w:spacing w:before="0" w:after="0"/>
              <w:jc w:val="center"/>
              <w:rPr>
                <w:rFonts w:ascii="Times New Roman" w:hAnsi="Times New Roman"/>
                <w:b/>
                <w:color w:val="000000"/>
                <w:sz w:val="22"/>
                <w:szCs w:val="22"/>
                <w:lang w:val="sk-SK"/>
              </w:rPr>
            </w:pPr>
            <w:r w:rsidRPr="00C83045">
              <w:rPr>
                <w:rFonts w:ascii="Times New Roman" w:hAnsi="Times New Roman"/>
                <w:b/>
                <w:color w:val="000000"/>
                <w:sz w:val="22"/>
                <w:szCs w:val="22"/>
                <w:lang w:val="sk-SK"/>
              </w:rPr>
              <w:t>Glivec oproti placebu</w:t>
            </w:r>
          </w:p>
        </w:tc>
      </w:tr>
      <w:tr w:rsidR="00591A69" w:rsidRPr="00C83045" w14:paraId="323685CA" w14:textId="77777777" w:rsidTr="00B62C3E">
        <w:trPr>
          <w:cantSplit/>
        </w:trPr>
        <w:tc>
          <w:tcPr>
            <w:tcW w:w="934" w:type="dxa"/>
            <w:vMerge w:val="restart"/>
            <w:shd w:val="clear" w:color="auto" w:fill="auto"/>
          </w:tcPr>
          <w:p w14:paraId="323685C2" w14:textId="77777777" w:rsidR="00591A69" w:rsidRPr="00C83045" w:rsidRDefault="00591A69" w:rsidP="00D4304B">
            <w:pPr>
              <w:pStyle w:val="Nottoc-headings"/>
              <w:widowControl w:val="0"/>
              <w:tabs>
                <w:tab w:val="left" w:pos="567"/>
              </w:tabs>
              <w:spacing w:before="0" w:after="0"/>
              <w:ind w:left="0" w:firstLine="0"/>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NIH</w:t>
            </w:r>
          </w:p>
          <w:p w14:paraId="323685C3" w14:textId="77777777" w:rsidR="00591A69" w:rsidRPr="00C83045" w:rsidRDefault="00591A69" w:rsidP="00D4304B">
            <w:pPr>
              <w:pStyle w:val="Text"/>
              <w:keepNext/>
              <w:keepLines/>
              <w:widowControl w:val="0"/>
              <w:tabs>
                <w:tab w:val="left" w:pos="567"/>
              </w:tabs>
              <w:spacing w:before="0"/>
              <w:rPr>
                <w:color w:val="000000"/>
                <w:sz w:val="22"/>
                <w:szCs w:val="22"/>
                <w:lang w:val="sk-SK"/>
              </w:rPr>
            </w:pPr>
          </w:p>
        </w:tc>
        <w:tc>
          <w:tcPr>
            <w:tcW w:w="1417" w:type="dxa"/>
            <w:tcBorders>
              <w:bottom w:val="nil"/>
              <w:right w:val="single" w:sz="4" w:space="0" w:color="auto"/>
            </w:tcBorders>
            <w:vAlign w:val="bottom"/>
          </w:tcPr>
          <w:p w14:paraId="323685C4" w14:textId="77777777" w:rsidR="00591A69" w:rsidRPr="00C83045" w:rsidRDefault="00591A69" w:rsidP="00D4304B">
            <w:pPr>
              <w:pStyle w:val="Nottoc-headings"/>
              <w:widowControl w:val="0"/>
              <w:tabs>
                <w:tab w:val="left" w:pos="567"/>
              </w:tabs>
              <w:spacing w:before="0" w:after="0"/>
              <w:ind w:left="57" w:hanging="57"/>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Nízka</w:t>
            </w:r>
          </w:p>
        </w:tc>
        <w:tc>
          <w:tcPr>
            <w:tcW w:w="986" w:type="dxa"/>
            <w:tcBorders>
              <w:left w:val="single" w:sz="4" w:space="0" w:color="auto"/>
              <w:bottom w:val="nil"/>
              <w:right w:val="single" w:sz="4" w:space="0" w:color="auto"/>
            </w:tcBorders>
            <w:vAlign w:val="bottom"/>
          </w:tcPr>
          <w:p w14:paraId="323685C5" w14:textId="77777777" w:rsidR="00591A69" w:rsidRPr="00C83045" w:rsidRDefault="00591A69" w:rsidP="00D4304B">
            <w:pPr>
              <w:pStyle w:val="Nottoc-headings"/>
              <w:widowControl w:val="0"/>
              <w:tabs>
                <w:tab w:val="left" w:pos="567"/>
              </w:tabs>
              <w:spacing w:before="0" w:after="0"/>
              <w:ind w:left="57" w:hanging="57"/>
              <w:jc w:val="center"/>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29,5</w:t>
            </w:r>
          </w:p>
        </w:tc>
        <w:tc>
          <w:tcPr>
            <w:tcW w:w="2083" w:type="dxa"/>
            <w:tcBorders>
              <w:left w:val="single" w:sz="4" w:space="0" w:color="auto"/>
              <w:bottom w:val="nil"/>
              <w:right w:val="single" w:sz="4" w:space="0" w:color="auto"/>
            </w:tcBorders>
            <w:vAlign w:val="bottom"/>
          </w:tcPr>
          <w:p w14:paraId="323685C6" w14:textId="77777777" w:rsidR="00591A69" w:rsidRPr="00C83045" w:rsidRDefault="00591A69" w:rsidP="00D4304B">
            <w:pPr>
              <w:pStyle w:val="Nottoc-headings"/>
              <w:widowControl w:val="0"/>
              <w:tabs>
                <w:tab w:val="left" w:pos="567"/>
              </w:tabs>
              <w:spacing w:before="0" w:after="0"/>
              <w:ind w:left="57" w:hanging="57"/>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0/86 oproti 2/90</w:t>
            </w:r>
          </w:p>
        </w:tc>
        <w:tc>
          <w:tcPr>
            <w:tcW w:w="1800" w:type="dxa"/>
            <w:tcBorders>
              <w:left w:val="single" w:sz="4" w:space="0" w:color="auto"/>
              <w:bottom w:val="nil"/>
              <w:right w:val="single" w:sz="4" w:space="0" w:color="auto"/>
            </w:tcBorders>
            <w:vAlign w:val="bottom"/>
          </w:tcPr>
          <w:p w14:paraId="323685C7" w14:textId="77777777" w:rsidR="00591A69" w:rsidRPr="00C83045" w:rsidRDefault="00591A69" w:rsidP="00D4304B">
            <w:pPr>
              <w:pStyle w:val="Nottoc-headings"/>
              <w:widowControl w:val="0"/>
              <w:tabs>
                <w:tab w:val="left" w:pos="567"/>
              </w:tabs>
              <w:spacing w:before="0" w:after="0"/>
              <w:ind w:left="57" w:hanging="57"/>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N.E.</w:t>
            </w:r>
          </w:p>
        </w:tc>
        <w:tc>
          <w:tcPr>
            <w:tcW w:w="1440" w:type="dxa"/>
            <w:tcBorders>
              <w:left w:val="single" w:sz="4" w:space="0" w:color="auto"/>
              <w:bottom w:val="nil"/>
              <w:right w:val="single" w:sz="4" w:space="0" w:color="auto"/>
            </w:tcBorders>
            <w:vAlign w:val="bottom"/>
          </w:tcPr>
          <w:p w14:paraId="323685C8" w14:textId="77777777" w:rsidR="00591A69" w:rsidRPr="00C83045" w:rsidRDefault="00591A69" w:rsidP="00D4304B">
            <w:pPr>
              <w:pStyle w:val="Nottoc-headings"/>
              <w:widowControl w:val="0"/>
              <w:tabs>
                <w:tab w:val="left" w:pos="567"/>
              </w:tabs>
              <w:spacing w:before="0" w:after="0"/>
              <w:ind w:left="57" w:hanging="57"/>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100 oproti 98,7</w:t>
            </w:r>
          </w:p>
        </w:tc>
        <w:tc>
          <w:tcPr>
            <w:tcW w:w="1360" w:type="dxa"/>
            <w:tcBorders>
              <w:left w:val="single" w:sz="4" w:space="0" w:color="auto"/>
              <w:bottom w:val="nil"/>
            </w:tcBorders>
            <w:vAlign w:val="bottom"/>
          </w:tcPr>
          <w:p w14:paraId="323685C9" w14:textId="77777777" w:rsidR="00591A69" w:rsidRPr="00C83045" w:rsidRDefault="00591A69" w:rsidP="00D4304B">
            <w:pPr>
              <w:pStyle w:val="Nottoc-headings"/>
              <w:widowControl w:val="0"/>
              <w:tabs>
                <w:tab w:val="left" w:pos="567"/>
              </w:tabs>
              <w:spacing w:before="0" w:after="0"/>
              <w:ind w:left="57" w:hanging="57"/>
              <w:rPr>
                <w:rFonts w:ascii="Times New Roman" w:hAnsi="Times New Roman"/>
                <w:b w:val="0"/>
                <w:color w:val="000000"/>
                <w:sz w:val="22"/>
                <w:szCs w:val="22"/>
                <w:lang w:val="sk-SK"/>
              </w:rPr>
            </w:pPr>
            <w:r w:rsidRPr="00C83045">
              <w:rPr>
                <w:rFonts w:ascii="Times New Roman" w:hAnsi="Times New Roman"/>
                <w:b w:val="0"/>
                <w:color w:val="000000"/>
                <w:sz w:val="22"/>
                <w:szCs w:val="22"/>
                <w:lang w:val="sk-SK"/>
              </w:rPr>
              <w:t>100 oproti 95,5</w:t>
            </w:r>
          </w:p>
        </w:tc>
      </w:tr>
      <w:tr w:rsidR="00591A69" w:rsidRPr="00C83045" w14:paraId="323685D2" w14:textId="77777777" w:rsidTr="00B62C3E">
        <w:trPr>
          <w:cantSplit/>
        </w:trPr>
        <w:tc>
          <w:tcPr>
            <w:tcW w:w="934" w:type="dxa"/>
            <w:vMerge/>
            <w:shd w:val="clear" w:color="auto" w:fill="auto"/>
          </w:tcPr>
          <w:p w14:paraId="323685CB" w14:textId="77777777" w:rsidR="00591A69" w:rsidRPr="00C83045" w:rsidRDefault="00591A69" w:rsidP="00D4304B">
            <w:pPr>
              <w:pStyle w:val="Nottoc-headings"/>
              <w:widowControl w:val="0"/>
              <w:tabs>
                <w:tab w:val="left" w:pos="567"/>
              </w:tabs>
              <w:spacing w:before="0" w:after="0"/>
              <w:rPr>
                <w:rFonts w:ascii="Times New Roman" w:hAnsi="Times New Roman"/>
                <w:b w:val="0"/>
                <w:color w:val="000000"/>
                <w:sz w:val="22"/>
                <w:szCs w:val="22"/>
                <w:lang w:val="sk-SK"/>
              </w:rPr>
            </w:pPr>
          </w:p>
        </w:tc>
        <w:tc>
          <w:tcPr>
            <w:tcW w:w="1417" w:type="dxa"/>
            <w:tcBorders>
              <w:top w:val="nil"/>
              <w:bottom w:val="nil"/>
              <w:right w:val="single" w:sz="4" w:space="0" w:color="auto"/>
            </w:tcBorders>
            <w:vAlign w:val="bottom"/>
          </w:tcPr>
          <w:p w14:paraId="323685CC"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Stredná</w:t>
            </w:r>
          </w:p>
        </w:tc>
        <w:tc>
          <w:tcPr>
            <w:tcW w:w="986" w:type="dxa"/>
            <w:tcBorders>
              <w:top w:val="nil"/>
              <w:left w:val="single" w:sz="4" w:space="0" w:color="auto"/>
              <w:bottom w:val="nil"/>
              <w:right w:val="single" w:sz="4" w:space="0" w:color="auto"/>
            </w:tcBorders>
            <w:vAlign w:val="bottom"/>
          </w:tcPr>
          <w:p w14:paraId="323685CD" w14:textId="77777777" w:rsidR="00591A69" w:rsidRPr="00C83045" w:rsidRDefault="00591A69" w:rsidP="00D4304B">
            <w:pPr>
              <w:pStyle w:val="Table"/>
              <w:widowControl w:val="0"/>
              <w:tabs>
                <w:tab w:val="left" w:pos="567"/>
              </w:tabs>
              <w:spacing w:before="0" w:after="0"/>
              <w:jc w:val="center"/>
              <w:rPr>
                <w:rFonts w:ascii="Times New Roman" w:hAnsi="Times New Roman"/>
                <w:color w:val="000000"/>
                <w:sz w:val="22"/>
                <w:szCs w:val="22"/>
                <w:lang w:val="sk-SK"/>
              </w:rPr>
            </w:pPr>
            <w:r w:rsidRPr="00C83045">
              <w:rPr>
                <w:rFonts w:ascii="Times New Roman" w:hAnsi="Times New Roman"/>
                <w:color w:val="000000"/>
                <w:sz w:val="22"/>
                <w:szCs w:val="22"/>
                <w:lang w:val="sk-SK"/>
              </w:rPr>
              <w:t>25,7</w:t>
            </w:r>
          </w:p>
        </w:tc>
        <w:tc>
          <w:tcPr>
            <w:tcW w:w="2083" w:type="dxa"/>
            <w:tcBorders>
              <w:top w:val="nil"/>
              <w:left w:val="single" w:sz="4" w:space="0" w:color="auto"/>
              <w:bottom w:val="nil"/>
              <w:right w:val="single" w:sz="4" w:space="0" w:color="auto"/>
            </w:tcBorders>
            <w:vAlign w:val="bottom"/>
          </w:tcPr>
          <w:p w14:paraId="323685CE"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4/75 oproti 6/78</w:t>
            </w:r>
          </w:p>
        </w:tc>
        <w:tc>
          <w:tcPr>
            <w:tcW w:w="1800" w:type="dxa"/>
            <w:tcBorders>
              <w:top w:val="nil"/>
              <w:left w:val="single" w:sz="4" w:space="0" w:color="auto"/>
              <w:bottom w:val="nil"/>
              <w:right w:val="single" w:sz="4" w:space="0" w:color="auto"/>
            </w:tcBorders>
            <w:vAlign w:val="bottom"/>
          </w:tcPr>
          <w:p w14:paraId="323685CF"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0,59 (0,17; 2,10)</w:t>
            </w:r>
          </w:p>
        </w:tc>
        <w:tc>
          <w:tcPr>
            <w:tcW w:w="1440" w:type="dxa"/>
            <w:tcBorders>
              <w:top w:val="nil"/>
              <w:left w:val="single" w:sz="4" w:space="0" w:color="auto"/>
              <w:bottom w:val="nil"/>
              <w:right w:val="single" w:sz="4" w:space="0" w:color="auto"/>
            </w:tcBorders>
            <w:vAlign w:val="bottom"/>
          </w:tcPr>
          <w:p w14:paraId="323685D0"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100 oproti 94,8</w:t>
            </w:r>
          </w:p>
        </w:tc>
        <w:tc>
          <w:tcPr>
            <w:tcW w:w="1360" w:type="dxa"/>
            <w:tcBorders>
              <w:top w:val="nil"/>
              <w:left w:val="single" w:sz="4" w:space="0" w:color="auto"/>
              <w:bottom w:val="nil"/>
            </w:tcBorders>
            <w:vAlign w:val="bottom"/>
          </w:tcPr>
          <w:p w14:paraId="323685D1"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97,8 oproti 89,5</w:t>
            </w:r>
          </w:p>
        </w:tc>
      </w:tr>
      <w:tr w:rsidR="00591A69" w:rsidRPr="00C83045" w14:paraId="323685DA" w14:textId="77777777" w:rsidTr="00B62C3E">
        <w:trPr>
          <w:cantSplit/>
        </w:trPr>
        <w:tc>
          <w:tcPr>
            <w:tcW w:w="934" w:type="dxa"/>
            <w:vMerge/>
            <w:shd w:val="clear" w:color="auto" w:fill="auto"/>
          </w:tcPr>
          <w:p w14:paraId="323685D3"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p>
        </w:tc>
        <w:tc>
          <w:tcPr>
            <w:tcW w:w="1417" w:type="dxa"/>
            <w:tcBorders>
              <w:top w:val="nil"/>
              <w:right w:val="single" w:sz="4" w:space="0" w:color="auto"/>
            </w:tcBorders>
            <w:vAlign w:val="bottom"/>
          </w:tcPr>
          <w:p w14:paraId="323685D4"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Vysoká</w:t>
            </w:r>
          </w:p>
        </w:tc>
        <w:tc>
          <w:tcPr>
            <w:tcW w:w="986" w:type="dxa"/>
            <w:tcBorders>
              <w:top w:val="nil"/>
              <w:left w:val="single" w:sz="4" w:space="0" w:color="auto"/>
              <w:right w:val="single" w:sz="4" w:space="0" w:color="auto"/>
            </w:tcBorders>
            <w:vAlign w:val="bottom"/>
          </w:tcPr>
          <w:p w14:paraId="323685D5" w14:textId="77777777" w:rsidR="00591A69" w:rsidRPr="00C83045" w:rsidRDefault="00591A69" w:rsidP="00D4304B">
            <w:pPr>
              <w:pStyle w:val="Table"/>
              <w:widowControl w:val="0"/>
              <w:tabs>
                <w:tab w:val="left" w:pos="567"/>
              </w:tabs>
              <w:spacing w:before="0" w:after="0"/>
              <w:jc w:val="center"/>
              <w:rPr>
                <w:rFonts w:ascii="Times New Roman" w:hAnsi="Times New Roman"/>
                <w:color w:val="000000"/>
                <w:sz w:val="22"/>
                <w:szCs w:val="22"/>
                <w:lang w:val="sk-SK"/>
              </w:rPr>
            </w:pPr>
            <w:r w:rsidRPr="00C83045">
              <w:rPr>
                <w:rFonts w:ascii="Times New Roman" w:hAnsi="Times New Roman"/>
                <w:color w:val="000000"/>
                <w:sz w:val="22"/>
                <w:szCs w:val="22"/>
                <w:lang w:val="sk-SK"/>
              </w:rPr>
              <w:t>44,8</w:t>
            </w:r>
          </w:p>
        </w:tc>
        <w:tc>
          <w:tcPr>
            <w:tcW w:w="2083" w:type="dxa"/>
            <w:tcBorders>
              <w:top w:val="nil"/>
              <w:left w:val="single" w:sz="4" w:space="0" w:color="auto"/>
              <w:right w:val="single" w:sz="4" w:space="0" w:color="auto"/>
            </w:tcBorders>
            <w:vAlign w:val="bottom"/>
          </w:tcPr>
          <w:p w14:paraId="323685D6"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21/140 oproti 51/127</w:t>
            </w:r>
          </w:p>
        </w:tc>
        <w:tc>
          <w:tcPr>
            <w:tcW w:w="1800" w:type="dxa"/>
            <w:tcBorders>
              <w:top w:val="nil"/>
              <w:left w:val="single" w:sz="4" w:space="0" w:color="auto"/>
              <w:right w:val="single" w:sz="4" w:space="0" w:color="auto"/>
            </w:tcBorders>
            <w:vAlign w:val="bottom"/>
          </w:tcPr>
          <w:p w14:paraId="323685D7"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0,29 (0,18; 0,49)</w:t>
            </w:r>
          </w:p>
        </w:tc>
        <w:tc>
          <w:tcPr>
            <w:tcW w:w="1440" w:type="dxa"/>
            <w:tcBorders>
              <w:top w:val="nil"/>
              <w:left w:val="single" w:sz="4" w:space="0" w:color="auto"/>
              <w:right w:val="single" w:sz="4" w:space="0" w:color="auto"/>
            </w:tcBorders>
            <w:vAlign w:val="bottom"/>
          </w:tcPr>
          <w:p w14:paraId="323685D8"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94,8 oproti 64,0</w:t>
            </w:r>
          </w:p>
        </w:tc>
        <w:tc>
          <w:tcPr>
            <w:tcW w:w="1360" w:type="dxa"/>
            <w:tcBorders>
              <w:top w:val="nil"/>
              <w:left w:val="single" w:sz="4" w:space="0" w:color="auto"/>
            </w:tcBorders>
            <w:vAlign w:val="bottom"/>
          </w:tcPr>
          <w:p w14:paraId="323685D9"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80,7 oproti 46,6</w:t>
            </w:r>
          </w:p>
        </w:tc>
      </w:tr>
      <w:tr w:rsidR="00591A69" w:rsidRPr="00C83045" w14:paraId="323685E3" w14:textId="77777777" w:rsidTr="00B62C3E">
        <w:trPr>
          <w:cantSplit/>
        </w:trPr>
        <w:tc>
          <w:tcPr>
            <w:tcW w:w="934" w:type="dxa"/>
            <w:vMerge w:val="restart"/>
            <w:shd w:val="clear" w:color="auto" w:fill="auto"/>
          </w:tcPr>
          <w:p w14:paraId="323685DB"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AFIP</w:t>
            </w:r>
          </w:p>
          <w:p w14:paraId="323685DC"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p>
        </w:tc>
        <w:tc>
          <w:tcPr>
            <w:tcW w:w="1417" w:type="dxa"/>
            <w:tcBorders>
              <w:bottom w:val="nil"/>
              <w:right w:val="single" w:sz="4" w:space="0" w:color="auto"/>
            </w:tcBorders>
            <w:vAlign w:val="bottom"/>
          </w:tcPr>
          <w:p w14:paraId="323685DD"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Veľmi nízka</w:t>
            </w:r>
          </w:p>
        </w:tc>
        <w:tc>
          <w:tcPr>
            <w:tcW w:w="986" w:type="dxa"/>
            <w:tcBorders>
              <w:left w:val="single" w:sz="4" w:space="0" w:color="auto"/>
              <w:bottom w:val="nil"/>
              <w:right w:val="single" w:sz="4" w:space="0" w:color="auto"/>
            </w:tcBorders>
            <w:vAlign w:val="bottom"/>
          </w:tcPr>
          <w:p w14:paraId="323685DE" w14:textId="77777777" w:rsidR="00591A69" w:rsidRPr="00C83045" w:rsidRDefault="00591A69" w:rsidP="00D4304B">
            <w:pPr>
              <w:pStyle w:val="Table"/>
              <w:widowControl w:val="0"/>
              <w:tabs>
                <w:tab w:val="left" w:pos="567"/>
              </w:tabs>
              <w:spacing w:before="0" w:after="0"/>
              <w:jc w:val="center"/>
              <w:rPr>
                <w:rFonts w:ascii="Times New Roman" w:hAnsi="Times New Roman"/>
                <w:color w:val="000000"/>
                <w:sz w:val="22"/>
                <w:szCs w:val="22"/>
                <w:lang w:val="sk-SK"/>
              </w:rPr>
            </w:pPr>
            <w:r w:rsidRPr="00C83045">
              <w:rPr>
                <w:rFonts w:ascii="Times New Roman" w:hAnsi="Times New Roman"/>
                <w:color w:val="000000"/>
                <w:sz w:val="22"/>
                <w:szCs w:val="22"/>
                <w:lang w:val="sk-SK"/>
              </w:rPr>
              <w:t>20,7</w:t>
            </w:r>
          </w:p>
        </w:tc>
        <w:tc>
          <w:tcPr>
            <w:tcW w:w="2083" w:type="dxa"/>
            <w:tcBorders>
              <w:left w:val="single" w:sz="4" w:space="0" w:color="auto"/>
              <w:bottom w:val="nil"/>
              <w:right w:val="single" w:sz="4" w:space="0" w:color="auto"/>
            </w:tcBorders>
            <w:vAlign w:val="bottom"/>
          </w:tcPr>
          <w:p w14:paraId="323685DF"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0/52 oproti 2/63</w:t>
            </w:r>
          </w:p>
        </w:tc>
        <w:tc>
          <w:tcPr>
            <w:tcW w:w="1800" w:type="dxa"/>
            <w:tcBorders>
              <w:left w:val="single" w:sz="4" w:space="0" w:color="auto"/>
              <w:bottom w:val="nil"/>
              <w:right w:val="single" w:sz="4" w:space="0" w:color="auto"/>
            </w:tcBorders>
            <w:vAlign w:val="bottom"/>
          </w:tcPr>
          <w:p w14:paraId="323685E0"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N.E.</w:t>
            </w:r>
          </w:p>
        </w:tc>
        <w:tc>
          <w:tcPr>
            <w:tcW w:w="1440" w:type="dxa"/>
            <w:tcBorders>
              <w:left w:val="single" w:sz="4" w:space="0" w:color="auto"/>
              <w:bottom w:val="nil"/>
              <w:right w:val="single" w:sz="4" w:space="0" w:color="auto"/>
            </w:tcBorders>
            <w:vAlign w:val="bottom"/>
          </w:tcPr>
          <w:p w14:paraId="323685E1"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100 oproti 98,1</w:t>
            </w:r>
          </w:p>
        </w:tc>
        <w:tc>
          <w:tcPr>
            <w:tcW w:w="1360" w:type="dxa"/>
            <w:tcBorders>
              <w:left w:val="single" w:sz="4" w:space="0" w:color="auto"/>
              <w:bottom w:val="nil"/>
            </w:tcBorders>
            <w:vAlign w:val="bottom"/>
          </w:tcPr>
          <w:p w14:paraId="323685E2"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100 oproti 93,0</w:t>
            </w:r>
          </w:p>
        </w:tc>
      </w:tr>
      <w:tr w:rsidR="00591A69" w:rsidRPr="00C83045" w14:paraId="323685EB" w14:textId="77777777" w:rsidTr="00B62C3E">
        <w:trPr>
          <w:cantSplit/>
        </w:trPr>
        <w:tc>
          <w:tcPr>
            <w:tcW w:w="934" w:type="dxa"/>
            <w:vMerge/>
            <w:shd w:val="clear" w:color="auto" w:fill="auto"/>
          </w:tcPr>
          <w:p w14:paraId="323685E4"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p>
        </w:tc>
        <w:tc>
          <w:tcPr>
            <w:tcW w:w="1417" w:type="dxa"/>
            <w:tcBorders>
              <w:top w:val="nil"/>
              <w:bottom w:val="nil"/>
              <w:right w:val="single" w:sz="4" w:space="0" w:color="auto"/>
            </w:tcBorders>
            <w:vAlign w:val="bottom"/>
          </w:tcPr>
          <w:p w14:paraId="323685E5"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Nízka</w:t>
            </w:r>
          </w:p>
        </w:tc>
        <w:tc>
          <w:tcPr>
            <w:tcW w:w="986" w:type="dxa"/>
            <w:tcBorders>
              <w:top w:val="nil"/>
              <w:left w:val="single" w:sz="4" w:space="0" w:color="auto"/>
              <w:bottom w:val="nil"/>
              <w:right w:val="single" w:sz="4" w:space="0" w:color="auto"/>
            </w:tcBorders>
            <w:vAlign w:val="bottom"/>
          </w:tcPr>
          <w:p w14:paraId="323685E6" w14:textId="77777777" w:rsidR="00591A69" w:rsidRPr="00C83045" w:rsidRDefault="00591A69" w:rsidP="00D4304B">
            <w:pPr>
              <w:pStyle w:val="Table"/>
              <w:widowControl w:val="0"/>
              <w:tabs>
                <w:tab w:val="left" w:pos="567"/>
              </w:tabs>
              <w:spacing w:before="0" w:after="0"/>
              <w:jc w:val="center"/>
              <w:rPr>
                <w:rFonts w:ascii="Times New Roman" w:hAnsi="Times New Roman"/>
                <w:color w:val="000000"/>
                <w:sz w:val="22"/>
                <w:szCs w:val="22"/>
                <w:lang w:val="sk-SK"/>
              </w:rPr>
            </w:pPr>
            <w:r w:rsidRPr="00C83045">
              <w:rPr>
                <w:rFonts w:ascii="Times New Roman" w:hAnsi="Times New Roman"/>
                <w:color w:val="000000"/>
                <w:sz w:val="22"/>
                <w:szCs w:val="22"/>
                <w:lang w:val="sk-SK"/>
              </w:rPr>
              <w:t>25,0</w:t>
            </w:r>
          </w:p>
        </w:tc>
        <w:tc>
          <w:tcPr>
            <w:tcW w:w="2083" w:type="dxa"/>
            <w:tcBorders>
              <w:top w:val="nil"/>
              <w:left w:val="single" w:sz="4" w:space="0" w:color="auto"/>
              <w:bottom w:val="nil"/>
              <w:right w:val="single" w:sz="4" w:space="0" w:color="auto"/>
            </w:tcBorders>
            <w:vAlign w:val="bottom"/>
          </w:tcPr>
          <w:p w14:paraId="323685E7"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2/70 oproti 0/69</w:t>
            </w:r>
          </w:p>
        </w:tc>
        <w:tc>
          <w:tcPr>
            <w:tcW w:w="1800" w:type="dxa"/>
            <w:tcBorders>
              <w:top w:val="nil"/>
              <w:left w:val="single" w:sz="4" w:space="0" w:color="auto"/>
              <w:bottom w:val="nil"/>
              <w:right w:val="single" w:sz="4" w:space="0" w:color="auto"/>
            </w:tcBorders>
            <w:vAlign w:val="bottom"/>
          </w:tcPr>
          <w:p w14:paraId="323685E8"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N.E.</w:t>
            </w:r>
          </w:p>
        </w:tc>
        <w:tc>
          <w:tcPr>
            <w:tcW w:w="1440" w:type="dxa"/>
            <w:tcBorders>
              <w:top w:val="nil"/>
              <w:left w:val="single" w:sz="4" w:space="0" w:color="auto"/>
              <w:bottom w:val="nil"/>
              <w:right w:val="single" w:sz="4" w:space="0" w:color="auto"/>
            </w:tcBorders>
            <w:vAlign w:val="bottom"/>
          </w:tcPr>
          <w:p w14:paraId="323685E9"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100 oproti 100</w:t>
            </w:r>
          </w:p>
        </w:tc>
        <w:tc>
          <w:tcPr>
            <w:tcW w:w="1360" w:type="dxa"/>
            <w:tcBorders>
              <w:top w:val="nil"/>
              <w:left w:val="single" w:sz="4" w:space="0" w:color="auto"/>
              <w:bottom w:val="nil"/>
            </w:tcBorders>
            <w:vAlign w:val="bottom"/>
          </w:tcPr>
          <w:p w14:paraId="323685EA"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97,8 oproti 100</w:t>
            </w:r>
          </w:p>
        </w:tc>
      </w:tr>
      <w:tr w:rsidR="00591A69" w:rsidRPr="00C83045" w14:paraId="323685F3" w14:textId="77777777" w:rsidTr="00B62C3E">
        <w:trPr>
          <w:cantSplit/>
        </w:trPr>
        <w:tc>
          <w:tcPr>
            <w:tcW w:w="934" w:type="dxa"/>
            <w:vMerge/>
            <w:shd w:val="clear" w:color="auto" w:fill="auto"/>
          </w:tcPr>
          <w:p w14:paraId="323685EC" w14:textId="77777777" w:rsidR="00591A69" w:rsidRPr="00C83045" w:rsidRDefault="00591A69" w:rsidP="00D4304B">
            <w:pPr>
              <w:pStyle w:val="Table"/>
              <w:widowControl w:val="0"/>
              <w:tabs>
                <w:tab w:val="left" w:pos="567"/>
              </w:tabs>
              <w:spacing w:before="0" w:after="0"/>
              <w:rPr>
                <w:rFonts w:ascii="Times New Roman" w:hAnsi="Times New Roman"/>
                <w:b/>
                <w:color w:val="000000"/>
                <w:sz w:val="22"/>
                <w:szCs w:val="22"/>
                <w:lang w:val="sk-SK"/>
              </w:rPr>
            </w:pPr>
          </w:p>
        </w:tc>
        <w:tc>
          <w:tcPr>
            <w:tcW w:w="1417" w:type="dxa"/>
            <w:tcBorders>
              <w:top w:val="nil"/>
              <w:bottom w:val="nil"/>
              <w:right w:val="single" w:sz="4" w:space="0" w:color="auto"/>
            </w:tcBorders>
            <w:vAlign w:val="bottom"/>
          </w:tcPr>
          <w:p w14:paraId="323685ED"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Stredne vysoká</w:t>
            </w:r>
          </w:p>
        </w:tc>
        <w:tc>
          <w:tcPr>
            <w:tcW w:w="986" w:type="dxa"/>
            <w:tcBorders>
              <w:top w:val="nil"/>
              <w:left w:val="single" w:sz="4" w:space="0" w:color="auto"/>
              <w:bottom w:val="nil"/>
              <w:right w:val="single" w:sz="4" w:space="0" w:color="auto"/>
            </w:tcBorders>
            <w:vAlign w:val="bottom"/>
          </w:tcPr>
          <w:p w14:paraId="323685EE" w14:textId="77777777" w:rsidR="00591A69" w:rsidRPr="00C83045" w:rsidRDefault="00591A69" w:rsidP="00D4304B">
            <w:pPr>
              <w:pStyle w:val="Table"/>
              <w:widowControl w:val="0"/>
              <w:tabs>
                <w:tab w:val="left" w:pos="567"/>
              </w:tabs>
              <w:spacing w:before="0" w:after="0"/>
              <w:jc w:val="center"/>
              <w:rPr>
                <w:rFonts w:ascii="Times New Roman" w:hAnsi="Times New Roman"/>
                <w:color w:val="000000"/>
                <w:sz w:val="22"/>
                <w:szCs w:val="22"/>
                <w:lang w:val="sk-SK"/>
              </w:rPr>
            </w:pPr>
            <w:r w:rsidRPr="00C83045">
              <w:rPr>
                <w:rFonts w:ascii="Times New Roman" w:hAnsi="Times New Roman"/>
                <w:color w:val="000000"/>
                <w:sz w:val="22"/>
                <w:szCs w:val="22"/>
                <w:lang w:val="sk-SK"/>
              </w:rPr>
              <w:t>24,6</w:t>
            </w:r>
          </w:p>
        </w:tc>
        <w:tc>
          <w:tcPr>
            <w:tcW w:w="2083" w:type="dxa"/>
            <w:tcBorders>
              <w:top w:val="nil"/>
              <w:left w:val="single" w:sz="4" w:space="0" w:color="auto"/>
              <w:bottom w:val="nil"/>
              <w:right w:val="single" w:sz="4" w:space="0" w:color="auto"/>
            </w:tcBorders>
            <w:vAlign w:val="bottom"/>
          </w:tcPr>
          <w:p w14:paraId="323685EF"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2/70 oproti 11/67</w:t>
            </w:r>
          </w:p>
        </w:tc>
        <w:tc>
          <w:tcPr>
            <w:tcW w:w="1800" w:type="dxa"/>
            <w:tcBorders>
              <w:top w:val="nil"/>
              <w:left w:val="single" w:sz="4" w:space="0" w:color="auto"/>
              <w:bottom w:val="nil"/>
              <w:right w:val="single" w:sz="4" w:space="0" w:color="auto"/>
            </w:tcBorders>
            <w:vAlign w:val="bottom"/>
          </w:tcPr>
          <w:p w14:paraId="323685F0"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0,16 (0,03; 0,70)</w:t>
            </w:r>
          </w:p>
        </w:tc>
        <w:tc>
          <w:tcPr>
            <w:tcW w:w="1440" w:type="dxa"/>
            <w:tcBorders>
              <w:top w:val="nil"/>
              <w:left w:val="single" w:sz="4" w:space="0" w:color="auto"/>
              <w:bottom w:val="nil"/>
              <w:right w:val="single" w:sz="4" w:space="0" w:color="auto"/>
            </w:tcBorders>
            <w:vAlign w:val="bottom"/>
          </w:tcPr>
          <w:p w14:paraId="323685F1"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97,9 oproti 90,8</w:t>
            </w:r>
          </w:p>
        </w:tc>
        <w:tc>
          <w:tcPr>
            <w:tcW w:w="1360" w:type="dxa"/>
            <w:tcBorders>
              <w:top w:val="nil"/>
              <w:left w:val="single" w:sz="4" w:space="0" w:color="auto"/>
              <w:bottom w:val="nil"/>
            </w:tcBorders>
            <w:vAlign w:val="bottom"/>
          </w:tcPr>
          <w:p w14:paraId="323685F2"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97,9 oproti 73,3</w:t>
            </w:r>
          </w:p>
        </w:tc>
      </w:tr>
      <w:tr w:rsidR="00591A69" w:rsidRPr="00C83045" w14:paraId="323685FB" w14:textId="77777777" w:rsidTr="00B62C3E">
        <w:trPr>
          <w:cantSplit/>
        </w:trPr>
        <w:tc>
          <w:tcPr>
            <w:tcW w:w="934" w:type="dxa"/>
            <w:vMerge/>
            <w:tcBorders>
              <w:bottom w:val="single" w:sz="4" w:space="0" w:color="auto"/>
            </w:tcBorders>
            <w:shd w:val="clear" w:color="auto" w:fill="auto"/>
          </w:tcPr>
          <w:p w14:paraId="323685F4"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p>
        </w:tc>
        <w:tc>
          <w:tcPr>
            <w:tcW w:w="1417" w:type="dxa"/>
            <w:tcBorders>
              <w:top w:val="nil"/>
              <w:bottom w:val="single" w:sz="4" w:space="0" w:color="auto"/>
              <w:right w:val="single" w:sz="4" w:space="0" w:color="auto"/>
            </w:tcBorders>
            <w:vAlign w:val="bottom"/>
          </w:tcPr>
          <w:p w14:paraId="323685F5"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Vysoká</w:t>
            </w:r>
          </w:p>
        </w:tc>
        <w:tc>
          <w:tcPr>
            <w:tcW w:w="986" w:type="dxa"/>
            <w:tcBorders>
              <w:top w:val="nil"/>
              <w:left w:val="single" w:sz="4" w:space="0" w:color="auto"/>
              <w:bottom w:val="single" w:sz="4" w:space="0" w:color="auto"/>
              <w:right w:val="single" w:sz="4" w:space="0" w:color="auto"/>
            </w:tcBorders>
            <w:vAlign w:val="bottom"/>
          </w:tcPr>
          <w:p w14:paraId="323685F6" w14:textId="77777777" w:rsidR="00591A69" w:rsidRPr="00C83045" w:rsidRDefault="00591A69" w:rsidP="00D4304B">
            <w:pPr>
              <w:pStyle w:val="Table"/>
              <w:widowControl w:val="0"/>
              <w:tabs>
                <w:tab w:val="left" w:pos="567"/>
              </w:tabs>
              <w:spacing w:before="0" w:after="0"/>
              <w:ind w:right="-3"/>
              <w:jc w:val="center"/>
              <w:rPr>
                <w:rFonts w:ascii="Times New Roman" w:hAnsi="Times New Roman"/>
                <w:color w:val="000000"/>
                <w:sz w:val="22"/>
                <w:szCs w:val="22"/>
                <w:lang w:val="sk-SK"/>
              </w:rPr>
            </w:pPr>
            <w:r w:rsidRPr="00C83045">
              <w:rPr>
                <w:rFonts w:ascii="Times New Roman" w:hAnsi="Times New Roman"/>
                <w:color w:val="000000"/>
                <w:sz w:val="22"/>
                <w:szCs w:val="22"/>
                <w:lang w:val="sk-SK"/>
              </w:rPr>
              <w:t>29,7</w:t>
            </w:r>
          </w:p>
        </w:tc>
        <w:tc>
          <w:tcPr>
            <w:tcW w:w="2083" w:type="dxa"/>
            <w:tcBorders>
              <w:top w:val="nil"/>
              <w:left w:val="single" w:sz="4" w:space="0" w:color="auto"/>
              <w:bottom w:val="single" w:sz="4" w:space="0" w:color="auto"/>
              <w:right w:val="single" w:sz="4" w:space="0" w:color="auto"/>
            </w:tcBorders>
            <w:vAlign w:val="bottom"/>
          </w:tcPr>
          <w:p w14:paraId="323685F7"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16/84 oproti 39/81</w:t>
            </w:r>
          </w:p>
        </w:tc>
        <w:tc>
          <w:tcPr>
            <w:tcW w:w="1800" w:type="dxa"/>
            <w:tcBorders>
              <w:top w:val="nil"/>
              <w:left w:val="single" w:sz="4" w:space="0" w:color="auto"/>
              <w:bottom w:val="single" w:sz="4" w:space="0" w:color="auto"/>
              <w:right w:val="single" w:sz="4" w:space="0" w:color="auto"/>
            </w:tcBorders>
            <w:vAlign w:val="bottom"/>
          </w:tcPr>
          <w:p w14:paraId="323685F8"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0,27 (0,15; 0,48)</w:t>
            </w:r>
          </w:p>
        </w:tc>
        <w:tc>
          <w:tcPr>
            <w:tcW w:w="1440" w:type="dxa"/>
            <w:tcBorders>
              <w:top w:val="nil"/>
              <w:left w:val="single" w:sz="4" w:space="0" w:color="auto"/>
              <w:bottom w:val="single" w:sz="4" w:space="0" w:color="auto"/>
              <w:right w:val="single" w:sz="4" w:space="0" w:color="auto"/>
            </w:tcBorders>
            <w:vAlign w:val="bottom"/>
          </w:tcPr>
          <w:p w14:paraId="323685F9"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98,7 oproti 56,1</w:t>
            </w:r>
          </w:p>
        </w:tc>
        <w:tc>
          <w:tcPr>
            <w:tcW w:w="1360" w:type="dxa"/>
            <w:tcBorders>
              <w:top w:val="nil"/>
              <w:left w:val="single" w:sz="4" w:space="0" w:color="auto"/>
              <w:bottom w:val="single" w:sz="4" w:space="0" w:color="auto"/>
            </w:tcBorders>
            <w:vAlign w:val="bottom"/>
          </w:tcPr>
          <w:p w14:paraId="323685FA" w14:textId="77777777" w:rsidR="00591A69" w:rsidRPr="00C83045" w:rsidRDefault="00591A69" w:rsidP="00D4304B">
            <w:pPr>
              <w:pStyle w:val="Table"/>
              <w:widowControl w:val="0"/>
              <w:tabs>
                <w:tab w:val="left" w:pos="567"/>
              </w:tabs>
              <w:spacing w:before="0" w:after="0"/>
              <w:rPr>
                <w:rFonts w:ascii="Times New Roman" w:hAnsi="Times New Roman"/>
                <w:color w:val="000000"/>
                <w:sz w:val="22"/>
                <w:szCs w:val="22"/>
                <w:lang w:val="sk-SK"/>
              </w:rPr>
            </w:pPr>
            <w:r w:rsidRPr="00C83045">
              <w:rPr>
                <w:rFonts w:ascii="Times New Roman" w:hAnsi="Times New Roman"/>
                <w:color w:val="000000"/>
                <w:sz w:val="22"/>
                <w:szCs w:val="22"/>
                <w:lang w:val="sk-SK"/>
              </w:rPr>
              <w:t>79,9 oproti 41,5</w:t>
            </w:r>
          </w:p>
        </w:tc>
      </w:tr>
    </w:tbl>
    <w:p w14:paraId="323685FC" w14:textId="77777777" w:rsidR="00591A69" w:rsidRPr="00C83045" w:rsidRDefault="00591A69" w:rsidP="00D4304B">
      <w:pPr>
        <w:pStyle w:val="Text"/>
        <w:keepNext/>
        <w:keepLines/>
        <w:widowControl w:val="0"/>
        <w:spacing w:before="0"/>
        <w:rPr>
          <w:color w:val="000000"/>
          <w:sz w:val="22"/>
          <w:szCs w:val="22"/>
          <w:lang w:val="sk-SK"/>
        </w:rPr>
      </w:pPr>
      <w:r w:rsidRPr="00C83045">
        <w:rPr>
          <w:color w:val="000000"/>
          <w:sz w:val="22"/>
          <w:szCs w:val="22"/>
          <w:lang w:val="sk-SK"/>
        </w:rPr>
        <w:t>* Celé obdobie sledovania; N.E. – nemožno odhadnúť</w:t>
      </w:r>
    </w:p>
    <w:p w14:paraId="323685FD" w14:textId="77777777" w:rsidR="00591A69" w:rsidRPr="00C83045" w:rsidRDefault="00591A69" w:rsidP="00D4304B">
      <w:pPr>
        <w:widowControl w:val="0"/>
        <w:ind w:left="0" w:firstLine="0"/>
        <w:rPr>
          <w:color w:val="000000"/>
          <w:szCs w:val="22"/>
          <w:u w:val="single"/>
        </w:rPr>
      </w:pPr>
    </w:p>
    <w:p w14:paraId="323685FE" w14:textId="77777777" w:rsidR="00591A69" w:rsidRPr="00C83045" w:rsidRDefault="00591A69" w:rsidP="00D4304B">
      <w:pPr>
        <w:widowControl w:val="0"/>
        <w:ind w:left="0" w:firstLine="0"/>
        <w:rPr>
          <w:rFonts w:eastAsia="MS Mincho"/>
          <w:iCs/>
          <w:szCs w:val="22"/>
          <w:lang w:eastAsia="ja-JP"/>
        </w:rPr>
      </w:pPr>
      <w:r w:rsidRPr="00C83045">
        <w:rPr>
          <w:rFonts w:eastAsia="MS Mincho"/>
          <w:szCs w:val="22"/>
          <w:lang w:eastAsia="ja-JP"/>
        </w:rPr>
        <w:t xml:space="preserve">V druhom multicentrickom otvorenom klinickom skúšaní fázy III (SSG XVIII/AIO) sa porovnávala liečba Glivecom 400 mg/deň trvajúca 12 mesiacov s liečbou trvajúcou 36 mesiacov u pacientov po </w:t>
      </w:r>
      <w:r w:rsidRPr="00C83045">
        <w:rPr>
          <w:rFonts w:eastAsia="MS Mincho"/>
          <w:szCs w:val="22"/>
          <w:lang w:eastAsia="ja-JP"/>
        </w:rPr>
        <w:lastRenderedPageBreak/>
        <w:t xml:space="preserve">chirurgickej resekcii GIST a s jedným z nasledujúcich kritérií: priemer nádoru </w:t>
      </w:r>
      <w:r w:rsidRPr="00C83045">
        <w:rPr>
          <w:rFonts w:eastAsia="MS Mincho"/>
          <w:iCs/>
          <w:szCs w:val="22"/>
          <w:lang w:eastAsia="ja-JP"/>
        </w:rPr>
        <w:t>&gt; 5</w:t>
      </w:r>
      <w:r w:rsidRPr="00C83045">
        <w:rPr>
          <w:rFonts w:eastAsia="MS Mincho"/>
          <w:szCs w:val="22"/>
          <w:lang w:eastAsia="ja-JP"/>
        </w:rPr>
        <w:t> </w:t>
      </w:r>
      <w:r w:rsidRPr="00C83045">
        <w:rPr>
          <w:rFonts w:eastAsia="MS Mincho"/>
          <w:iCs/>
          <w:szCs w:val="22"/>
          <w:lang w:eastAsia="ja-JP"/>
        </w:rPr>
        <w:t>cm a počet mitóz &gt; 5/50 v zornom poli s vysokým rozlíšením (HPF); alebo priemer nádoru &gt; 10</w:t>
      </w:r>
      <w:r w:rsidRPr="00C83045">
        <w:rPr>
          <w:rFonts w:eastAsia="MS Mincho"/>
          <w:szCs w:val="22"/>
          <w:lang w:eastAsia="ja-JP"/>
        </w:rPr>
        <w:t> </w:t>
      </w:r>
      <w:r w:rsidRPr="00C83045">
        <w:rPr>
          <w:rFonts w:eastAsia="MS Mincho"/>
          <w:iCs/>
          <w:szCs w:val="22"/>
          <w:lang w:eastAsia="ja-JP"/>
        </w:rPr>
        <w:t>cm a akýkoľvek počet mitóz, alebo nádor akejkoľvek veľkosti a počet mitóz &gt; 10/50 HPF, alebo rozpad nádorov v peritoneálnej dutine. Celkovo 397 pacientov dalo súhlas a bolo randomizovaných v klinickom skúšaní (199</w:t>
      </w:r>
      <w:r w:rsidRPr="00C83045">
        <w:rPr>
          <w:rFonts w:eastAsia="MS Mincho"/>
          <w:szCs w:val="22"/>
          <w:lang w:eastAsia="ja-JP"/>
        </w:rPr>
        <w:t> </w:t>
      </w:r>
      <w:r w:rsidRPr="00C83045">
        <w:rPr>
          <w:rFonts w:eastAsia="MS Mincho"/>
          <w:iCs/>
          <w:szCs w:val="22"/>
          <w:lang w:eastAsia="ja-JP"/>
        </w:rPr>
        <w:t>pacientov do skupiny 12 mesiacov a 198</w:t>
      </w:r>
      <w:r w:rsidRPr="00C83045">
        <w:rPr>
          <w:rFonts w:eastAsia="MS Mincho"/>
          <w:szCs w:val="22"/>
          <w:lang w:eastAsia="ja-JP"/>
        </w:rPr>
        <w:t> </w:t>
      </w:r>
      <w:r w:rsidRPr="00C83045">
        <w:rPr>
          <w:rFonts w:eastAsia="MS Mincho"/>
          <w:iCs/>
          <w:szCs w:val="22"/>
          <w:lang w:eastAsia="ja-JP"/>
        </w:rPr>
        <w:t xml:space="preserve">pacientov do skupiny 36 mesiacov), medián veku bol </w:t>
      </w:r>
      <w:r w:rsidRPr="00C83045">
        <w:rPr>
          <w:rFonts w:eastAsia="MS Mincho"/>
          <w:bCs/>
          <w:iCs/>
          <w:szCs w:val="22"/>
          <w:lang w:eastAsia="ja-JP"/>
        </w:rPr>
        <w:t>61</w:t>
      </w:r>
      <w:r w:rsidRPr="00C83045">
        <w:rPr>
          <w:rFonts w:eastAsia="MS Mincho"/>
          <w:szCs w:val="22"/>
          <w:lang w:eastAsia="ja-JP"/>
        </w:rPr>
        <w:t xml:space="preserve"> rokov </w:t>
      </w:r>
      <w:r w:rsidRPr="00C83045">
        <w:rPr>
          <w:rFonts w:eastAsia="MS Mincho"/>
          <w:iCs/>
          <w:szCs w:val="22"/>
          <w:lang w:eastAsia="ja-JP"/>
        </w:rPr>
        <w:t>(rozmedzie od 22 do 84</w:t>
      </w:r>
      <w:r w:rsidRPr="00C83045">
        <w:rPr>
          <w:rFonts w:eastAsia="MS Mincho"/>
          <w:szCs w:val="22"/>
          <w:lang w:eastAsia="ja-JP"/>
        </w:rPr>
        <w:t> rokov</w:t>
      </w:r>
      <w:r w:rsidRPr="00C83045">
        <w:rPr>
          <w:rFonts w:eastAsia="MS Mincho"/>
          <w:iCs/>
          <w:szCs w:val="22"/>
          <w:lang w:eastAsia="ja-JP"/>
        </w:rPr>
        <w:t>). Medián času sledovania bol 54</w:t>
      </w:r>
      <w:r w:rsidRPr="00C83045">
        <w:rPr>
          <w:rFonts w:eastAsia="MS Mincho"/>
          <w:szCs w:val="22"/>
          <w:lang w:eastAsia="ja-JP"/>
        </w:rPr>
        <w:t> </w:t>
      </w:r>
      <w:r w:rsidRPr="00C83045">
        <w:rPr>
          <w:rFonts w:eastAsia="MS Mincho"/>
          <w:iCs/>
          <w:szCs w:val="22"/>
          <w:lang w:eastAsia="ja-JP"/>
        </w:rPr>
        <w:t>mesiacov (od dátumu randomizácie do ukončenia zberu údajov), pri celkovo 83</w:t>
      </w:r>
      <w:r w:rsidRPr="00C83045">
        <w:rPr>
          <w:rFonts w:eastAsia="MS Mincho"/>
          <w:szCs w:val="22"/>
          <w:lang w:eastAsia="ja-JP"/>
        </w:rPr>
        <w:t> </w:t>
      </w:r>
      <w:r w:rsidRPr="00C83045">
        <w:rPr>
          <w:rFonts w:eastAsia="MS Mincho"/>
          <w:iCs/>
          <w:szCs w:val="22"/>
          <w:lang w:eastAsia="ja-JP"/>
        </w:rPr>
        <w:t>mesiacoch medzi randomizáciou prvého pacienta a dátumom ukončenia zberu údajov.</w:t>
      </w:r>
    </w:p>
    <w:p w14:paraId="323685FF" w14:textId="77777777" w:rsidR="00591A69" w:rsidRPr="00C83045" w:rsidRDefault="00591A69" w:rsidP="00D4304B">
      <w:pPr>
        <w:widowControl w:val="0"/>
        <w:ind w:left="0" w:firstLine="0"/>
        <w:rPr>
          <w:rFonts w:eastAsia="MS Mincho"/>
          <w:iCs/>
          <w:szCs w:val="22"/>
          <w:lang w:eastAsia="ja-JP"/>
        </w:rPr>
      </w:pPr>
    </w:p>
    <w:p w14:paraId="32368600" w14:textId="77777777" w:rsidR="00591A69" w:rsidRPr="00C83045" w:rsidRDefault="00591A69" w:rsidP="00D4304B">
      <w:pPr>
        <w:widowControl w:val="0"/>
        <w:ind w:left="0" w:firstLine="0"/>
        <w:rPr>
          <w:rFonts w:eastAsia="MS Mincho"/>
          <w:szCs w:val="22"/>
          <w:lang w:eastAsia="ja-JP"/>
        </w:rPr>
      </w:pPr>
      <w:r w:rsidRPr="00C83045">
        <w:rPr>
          <w:rFonts w:eastAsia="MS Mincho"/>
          <w:szCs w:val="22"/>
          <w:lang w:eastAsia="ja-JP"/>
        </w:rPr>
        <w:t>Primárnym parametrom v klinickom skúšaní bolo prežívanie bez recidívy (RFS), definované ako čas od dátumu randomizácie do dátumu recidívy alebo smrti z akejkoľvek príčiny.</w:t>
      </w:r>
    </w:p>
    <w:p w14:paraId="32368601" w14:textId="77777777" w:rsidR="00591A69" w:rsidRPr="00C83045" w:rsidRDefault="00591A69" w:rsidP="00D4304B">
      <w:pPr>
        <w:widowControl w:val="0"/>
        <w:ind w:left="0" w:firstLine="0"/>
        <w:rPr>
          <w:rFonts w:eastAsia="MS Mincho"/>
          <w:szCs w:val="22"/>
          <w:lang w:eastAsia="ja-JP"/>
        </w:rPr>
      </w:pPr>
    </w:p>
    <w:p w14:paraId="32368602" w14:textId="77777777" w:rsidR="00591A69" w:rsidRPr="00C83045" w:rsidRDefault="00591A69" w:rsidP="00D4304B">
      <w:pPr>
        <w:widowControl w:val="0"/>
        <w:ind w:left="0" w:firstLine="0"/>
        <w:rPr>
          <w:rFonts w:eastAsia="MS Mincho"/>
          <w:iCs/>
          <w:color w:val="000000"/>
          <w:szCs w:val="22"/>
          <w:lang w:eastAsia="ja-JP"/>
        </w:rPr>
      </w:pPr>
      <w:r w:rsidRPr="00C83045">
        <w:rPr>
          <w:rFonts w:eastAsia="MS Mincho"/>
          <w:szCs w:val="22"/>
          <w:lang w:eastAsia="ja-JP"/>
        </w:rPr>
        <w:t xml:space="preserve">Liečba Glivecom trvajúca 36 mesiacov významne predĺžila RFS v porovnaní s 12 mesiacmi liečby Glivecom (s celkovým pomerom rizika (HR) </w:t>
      </w:r>
      <w:r w:rsidRPr="00C83045">
        <w:rPr>
          <w:rFonts w:eastAsia="MS Mincho"/>
          <w:iCs/>
          <w:color w:val="000000"/>
          <w:szCs w:val="22"/>
          <w:lang w:eastAsia="ja-JP"/>
        </w:rPr>
        <w:t>= 0,46 [0,32, 0,65], p&lt;0,0001) (Tabuľka </w:t>
      </w:r>
      <w:r w:rsidR="00F07CBB" w:rsidRPr="00C83045">
        <w:rPr>
          <w:rFonts w:eastAsia="MS Mincho"/>
          <w:iCs/>
          <w:color w:val="000000"/>
          <w:szCs w:val="22"/>
          <w:lang w:eastAsia="ja-JP"/>
        </w:rPr>
        <w:t>8</w:t>
      </w:r>
      <w:r w:rsidRPr="00C83045">
        <w:rPr>
          <w:rFonts w:eastAsia="MS Mincho"/>
          <w:iCs/>
          <w:color w:val="000000"/>
          <w:szCs w:val="22"/>
          <w:lang w:eastAsia="ja-JP"/>
        </w:rPr>
        <w:t>, Obrázok 1).</w:t>
      </w:r>
    </w:p>
    <w:p w14:paraId="32368603" w14:textId="77777777" w:rsidR="00591A69" w:rsidRPr="00C83045" w:rsidRDefault="00591A69" w:rsidP="00D4304B">
      <w:pPr>
        <w:widowControl w:val="0"/>
        <w:ind w:left="0" w:firstLine="0"/>
        <w:rPr>
          <w:rFonts w:eastAsia="MS Mincho"/>
          <w:szCs w:val="22"/>
          <w:lang w:eastAsia="ja-JP"/>
        </w:rPr>
      </w:pPr>
    </w:p>
    <w:p w14:paraId="32368604" w14:textId="77777777" w:rsidR="00591A69" w:rsidRPr="00C83045" w:rsidRDefault="00591A69" w:rsidP="00D4304B">
      <w:pPr>
        <w:widowControl w:val="0"/>
        <w:ind w:left="0" w:firstLine="0"/>
        <w:rPr>
          <w:rFonts w:eastAsia="MS Mincho"/>
          <w:iCs/>
          <w:color w:val="000000"/>
          <w:szCs w:val="22"/>
          <w:lang w:eastAsia="ja-JP"/>
        </w:rPr>
      </w:pPr>
      <w:r w:rsidRPr="00C83045">
        <w:rPr>
          <w:rFonts w:eastAsia="MS Mincho"/>
          <w:szCs w:val="22"/>
          <w:lang w:eastAsia="ja-JP"/>
        </w:rPr>
        <w:t xml:space="preserve">Okrem toho 36 mesiacov liečby Glivecom významne predĺžilo celkové prežívanie (OS) v porovnaní s 12 mesiacmi liečby Glivecom </w:t>
      </w:r>
      <w:r w:rsidRPr="00C83045">
        <w:rPr>
          <w:rFonts w:eastAsia="MS Mincho"/>
          <w:iCs/>
          <w:color w:val="000000"/>
          <w:szCs w:val="22"/>
          <w:lang w:eastAsia="ja-JP"/>
        </w:rPr>
        <w:t>(HR = 0,45 [0,22, 0,89], p=0,0187) (Tabuľka</w:t>
      </w:r>
      <w:r w:rsidRPr="00C83045">
        <w:rPr>
          <w:rFonts w:eastAsia="MS Mincho"/>
          <w:color w:val="000000"/>
          <w:szCs w:val="22"/>
          <w:lang w:eastAsia="ja-JP"/>
        </w:rPr>
        <w:t> </w:t>
      </w:r>
      <w:r w:rsidR="00F07CBB" w:rsidRPr="00C83045">
        <w:rPr>
          <w:rFonts w:eastAsia="MS Mincho"/>
          <w:color w:val="000000"/>
          <w:szCs w:val="22"/>
          <w:lang w:eastAsia="ja-JP"/>
        </w:rPr>
        <w:t>8</w:t>
      </w:r>
      <w:r w:rsidRPr="00C83045">
        <w:rPr>
          <w:rFonts w:eastAsia="MS Mincho"/>
          <w:iCs/>
          <w:color w:val="000000"/>
          <w:szCs w:val="22"/>
          <w:lang w:eastAsia="ja-JP"/>
        </w:rPr>
        <w:t>, Obrázok 2).</w:t>
      </w:r>
    </w:p>
    <w:p w14:paraId="32368605" w14:textId="77777777" w:rsidR="00591A69" w:rsidRPr="00C83045" w:rsidRDefault="00591A69" w:rsidP="00D4304B">
      <w:pPr>
        <w:widowControl w:val="0"/>
        <w:ind w:left="0" w:firstLine="0"/>
        <w:rPr>
          <w:rFonts w:eastAsia="MS Mincho"/>
          <w:iCs/>
          <w:color w:val="000000"/>
          <w:szCs w:val="22"/>
          <w:lang w:eastAsia="ja-JP"/>
        </w:rPr>
      </w:pPr>
    </w:p>
    <w:p w14:paraId="32368606" w14:textId="77777777" w:rsidR="00591A69" w:rsidRPr="00C83045" w:rsidRDefault="00591A69" w:rsidP="00D4304B">
      <w:pPr>
        <w:widowControl w:val="0"/>
        <w:ind w:left="0" w:firstLine="0"/>
        <w:rPr>
          <w:rFonts w:eastAsia="MS Mincho"/>
          <w:iCs/>
          <w:color w:val="000000"/>
          <w:szCs w:val="22"/>
          <w:lang w:eastAsia="ja-JP"/>
        </w:rPr>
      </w:pPr>
      <w:r w:rsidRPr="00C83045">
        <w:rPr>
          <w:rFonts w:eastAsia="MS Mincho"/>
          <w:iCs/>
          <w:color w:val="000000"/>
          <w:szCs w:val="22"/>
          <w:lang w:eastAsia="ja-JP"/>
        </w:rPr>
        <w:t xml:space="preserve">Dlhšie trvanie liečby </w:t>
      </w:r>
      <w:r w:rsidRPr="00C83045">
        <w:rPr>
          <w:rFonts w:eastAsia="MS Mincho"/>
          <w:szCs w:val="22"/>
          <w:lang w:eastAsia="ja-JP"/>
        </w:rPr>
        <w:t>(&gt; 36 mesiacov) môže oddialiť nástup ďalších recidív; vplyv liečby na celkové prežívanie však zostáva neznámy.</w:t>
      </w:r>
    </w:p>
    <w:p w14:paraId="32368607" w14:textId="77777777" w:rsidR="00591A69" w:rsidRPr="00C83045" w:rsidRDefault="00591A69" w:rsidP="00D4304B">
      <w:pPr>
        <w:widowControl w:val="0"/>
        <w:ind w:left="0" w:firstLine="0"/>
        <w:rPr>
          <w:rFonts w:eastAsia="MS Mincho"/>
          <w:iCs/>
          <w:color w:val="000000"/>
          <w:szCs w:val="22"/>
          <w:lang w:eastAsia="ja-JP"/>
        </w:rPr>
      </w:pPr>
    </w:p>
    <w:p w14:paraId="32368608" w14:textId="77777777" w:rsidR="00591A69" w:rsidRPr="00C83045" w:rsidRDefault="00591A69" w:rsidP="00D4304B">
      <w:pPr>
        <w:widowControl w:val="0"/>
        <w:ind w:left="0" w:firstLine="0"/>
        <w:rPr>
          <w:rFonts w:eastAsia="MS Mincho"/>
          <w:iCs/>
          <w:color w:val="000000"/>
          <w:szCs w:val="22"/>
          <w:lang w:eastAsia="ja-JP"/>
        </w:rPr>
      </w:pPr>
      <w:r w:rsidRPr="00C83045">
        <w:rPr>
          <w:rFonts w:eastAsia="MS Mincho"/>
          <w:iCs/>
          <w:color w:val="000000"/>
          <w:szCs w:val="22"/>
          <w:lang w:eastAsia="ja-JP"/>
        </w:rPr>
        <w:t>Celkový počet úmrtí bol 25 v skupine 12 mesiacov liečby a 12 v skupine 36 mesiacov liečby.</w:t>
      </w:r>
    </w:p>
    <w:p w14:paraId="32368609" w14:textId="77777777" w:rsidR="00591A69" w:rsidRPr="008202CD" w:rsidRDefault="00591A69" w:rsidP="00D4304B">
      <w:pPr>
        <w:widowControl w:val="0"/>
        <w:ind w:left="0" w:firstLine="0"/>
        <w:rPr>
          <w:rFonts w:eastAsia="MS Mincho"/>
          <w:iCs/>
          <w:color w:val="000000"/>
          <w:szCs w:val="22"/>
          <w:lang w:eastAsia="ja-JP"/>
        </w:rPr>
      </w:pPr>
    </w:p>
    <w:p w14:paraId="3236860A" w14:textId="77777777" w:rsidR="00591A69" w:rsidRPr="00C83045" w:rsidRDefault="00591A69" w:rsidP="00D4304B">
      <w:pPr>
        <w:widowControl w:val="0"/>
        <w:ind w:left="0" w:firstLine="0"/>
        <w:rPr>
          <w:rFonts w:eastAsia="MS Mincho"/>
          <w:iCs/>
          <w:szCs w:val="22"/>
          <w:lang w:eastAsia="ja-JP"/>
        </w:rPr>
      </w:pPr>
      <w:r w:rsidRPr="00C83045">
        <w:rPr>
          <w:rFonts w:eastAsia="MS Mincho"/>
          <w:iCs/>
          <w:szCs w:val="22"/>
          <w:lang w:eastAsia="ja-JP"/>
        </w:rPr>
        <w:t>Liečba imatinibom trvajúca 36 mesiacov bola lepšia ako liečba trvajúca 12 mesiacov v analýze ITT, t.j. zahŕňajúcej celú populáciu v klinickom skúšaní. V plánovanej analýze podskupín podľa typu mutácie HR pre RFS pri 36 mesiacoch liečby u pacientov s mutáciou exonu 11 bol 0,35 [95% CI: 0,22, 0,56]. Pre iné podskupiny s menej častými mutáciami nemožno vyvodiť uzávery pre malý počet pozorovaných udalostí.</w:t>
      </w:r>
    </w:p>
    <w:p w14:paraId="3236860B" w14:textId="77777777" w:rsidR="00591A69" w:rsidRPr="00C83045" w:rsidRDefault="00591A69" w:rsidP="00D4304B">
      <w:pPr>
        <w:widowControl w:val="0"/>
        <w:ind w:left="0" w:firstLine="0"/>
        <w:rPr>
          <w:rFonts w:eastAsia="MS Mincho"/>
          <w:iCs/>
          <w:szCs w:val="22"/>
          <w:lang w:eastAsia="ja-JP"/>
        </w:rPr>
      </w:pPr>
    </w:p>
    <w:p w14:paraId="3236860C" w14:textId="77777777" w:rsidR="00591A69" w:rsidRPr="00C83045" w:rsidRDefault="00591A69" w:rsidP="00D4304B">
      <w:pPr>
        <w:keepNext/>
        <w:keepLines/>
        <w:widowControl w:val="0"/>
        <w:ind w:left="1134" w:hanging="1134"/>
        <w:rPr>
          <w:rFonts w:eastAsia="MS Mincho"/>
          <w:b/>
          <w:szCs w:val="22"/>
          <w:lang w:eastAsia="ja-JP"/>
        </w:rPr>
      </w:pPr>
      <w:r w:rsidRPr="00C83045">
        <w:rPr>
          <w:rFonts w:eastAsia="MS Mincho"/>
          <w:b/>
          <w:szCs w:val="22"/>
        </w:rPr>
        <w:t>Tabuľka </w:t>
      </w:r>
      <w:r w:rsidR="00F07CBB" w:rsidRPr="00C83045">
        <w:rPr>
          <w:rFonts w:eastAsia="MS Mincho"/>
          <w:b/>
          <w:szCs w:val="22"/>
        </w:rPr>
        <w:t>8</w:t>
      </w:r>
      <w:r w:rsidRPr="00C83045">
        <w:rPr>
          <w:rFonts w:eastAsia="MS Mincho"/>
          <w:b/>
          <w:szCs w:val="22"/>
        </w:rPr>
        <w:tab/>
      </w:r>
      <w:r w:rsidRPr="00C83045">
        <w:rPr>
          <w:rFonts w:eastAsia="MS Mincho"/>
          <w:b/>
          <w:szCs w:val="22"/>
          <w:lang w:eastAsia="ja-JP"/>
        </w:rPr>
        <w:t>12 mesiacov a 36 mesiacov liečby Glivecom (klinické skúšanie SSGXVIII/AIO)</w:t>
      </w:r>
    </w:p>
    <w:p w14:paraId="3236860D" w14:textId="77777777" w:rsidR="00591A69" w:rsidRPr="00C83045" w:rsidRDefault="00591A69" w:rsidP="00D4304B">
      <w:pPr>
        <w:keepNext/>
        <w:keepLines/>
        <w:widowControl w:val="0"/>
        <w:rPr>
          <w:rFonts w:eastAsia="MS Mincho"/>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591A69" w:rsidRPr="00C83045" w14:paraId="32368611" w14:textId="77777777" w:rsidTr="00B62C3E">
        <w:trPr>
          <w:cantSplit/>
        </w:trPr>
        <w:tc>
          <w:tcPr>
            <w:tcW w:w="3099" w:type="dxa"/>
            <w:tcBorders>
              <w:top w:val="single" w:sz="4" w:space="0" w:color="auto"/>
              <w:bottom w:val="nil"/>
            </w:tcBorders>
            <w:shd w:val="clear" w:color="auto" w:fill="auto"/>
          </w:tcPr>
          <w:p w14:paraId="3236860E" w14:textId="77777777" w:rsidR="00591A69" w:rsidRPr="00C83045" w:rsidRDefault="00591A69" w:rsidP="00D4304B">
            <w:pPr>
              <w:keepNext/>
              <w:keepLines/>
              <w:widowControl w:val="0"/>
              <w:tabs>
                <w:tab w:val="left" w:pos="284"/>
              </w:tabs>
              <w:rPr>
                <w:rFonts w:eastAsia="MS Mincho"/>
                <w:szCs w:val="22"/>
              </w:rPr>
            </w:pPr>
          </w:p>
        </w:tc>
        <w:tc>
          <w:tcPr>
            <w:tcW w:w="3100" w:type="dxa"/>
            <w:tcBorders>
              <w:top w:val="single" w:sz="4" w:space="0" w:color="auto"/>
              <w:bottom w:val="nil"/>
            </w:tcBorders>
            <w:shd w:val="clear" w:color="auto" w:fill="auto"/>
          </w:tcPr>
          <w:p w14:paraId="3236860F" w14:textId="77777777" w:rsidR="00591A69" w:rsidRPr="00C83045" w:rsidRDefault="00591A69" w:rsidP="00D4304B">
            <w:pPr>
              <w:keepNext/>
              <w:keepLines/>
              <w:widowControl w:val="0"/>
              <w:tabs>
                <w:tab w:val="left" w:pos="284"/>
              </w:tabs>
              <w:rPr>
                <w:rFonts w:eastAsia="MS Mincho"/>
                <w:b/>
                <w:szCs w:val="22"/>
                <w:lang w:val="en-US"/>
              </w:rPr>
            </w:pPr>
            <w:r w:rsidRPr="00C83045">
              <w:rPr>
                <w:rFonts w:eastAsia="MS Mincho"/>
                <w:b/>
                <w:szCs w:val="22"/>
                <w:lang w:val="en-US"/>
              </w:rPr>
              <w:t>Skupina 12 mesiacov liečby</w:t>
            </w:r>
          </w:p>
        </w:tc>
        <w:tc>
          <w:tcPr>
            <w:tcW w:w="3100" w:type="dxa"/>
            <w:tcBorders>
              <w:top w:val="single" w:sz="4" w:space="0" w:color="auto"/>
              <w:bottom w:val="nil"/>
            </w:tcBorders>
            <w:shd w:val="clear" w:color="auto" w:fill="auto"/>
          </w:tcPr>
          <w:p w14:paraId="32368610" w14:textId="77777777" w:rsidR="00591A69" w:rsidRPr="00C83045" w:rsidRDefault="00591A69" w:rsidP="00D4304B">
            <w:pPr>
              <w:keepNext/>
              <w:keepLines/>
              <w:widowControl w:val="0"/>
              <w:tabs>
                <w:tab w:val="left" w:pos="284"/>
              </w:tabs>
              <w:rPr>
                <w:rFonts w:eastAsia="MS Mincho"/>
                <w:b/>
                <w:szCs w:val="22"/>
                <w:lang w:val="en-US"/>
              </w:rPr>
            </w:pPr>
            <w:r w:rsidRPr="00C83045">
              <w:rPr>
                <w:rFonts w:eastAsia="MS Mincho"/>
                <w:b/>
                <w:szCs w:val="22"/>
                <w:lang w:val="en-US"/>
              </w:rPr>
              <w:t>Skupina 36 mesiacov liečby</w:t>
            </w:r>
          </w:p>
        </w:tc>
      </w:tr>
      <w:tr w:rsidR="00591A69" w:rsidRPr="00C83045" w14:paraId="32368615" w14:textId="77777777" w:rsidTr="00B62C3E">
        <w:trPr>
          <w:cantSplit/>
        </w:trPr>
        <w:tc>
          <w:tcPr>
            <w:tcW w:w="3099" w:type="dxa"/>
            <w:tcBorders>
              <w:top w:val="nil"/>
            </w:tcBorders>
            <w:shd w:val="clear" w:color="auto" w:fill="auto"/>
          </w:tcPr>
          <w:p w14:paraId="32368612" w14:textId="77777777" w:rsidR="00591A69" w:rsidRPr="00C83045" w:rsidRDefault="00591A69" w:rsidP="00D4304B">
            <w:pPr>
              <w:keepNext/>
              <w:keepLines/>
              <w:widowControl w:val="0"/>
              <w:tabs>
                <w:tab w:val="left" w:pos="284"/>
              </w:tabs>
              <w:rPr>
                <w:rFonts w:eastAsia="MS Mincho"/>
                <w:b/>
                <w:szCs w:val="22"/>
                <w:lang w:val="en-US"/>
              </w:rPr>
            </w:pPr>
            <w:r w:rsidRPr="00C83045">
              <w:rPr>
                <w:rFonts w:eastAsia="MS Mincho"/>
                <w:b/>
                <w:szCs w:val="22"/>
                <w:lang w:val="en-US"/>
              </w:rPr>
              <w:t>RFS</w:t>
            </w:r>
          </w:p>
        </w:tc>
        <w:tc>
          <w:tcPr>
            <w:tcW w:w="3100" w:type="dxa"/>
            <w:tcBorders>
              <w:top w:val="nil"/>
            </w:tcBorders>
            <w:shd w:val="clear" w:color="auto" w:fill="auto"/>
          </w:tcPr>
          <w:p w14:paraId="32368613" w14:textId="77777777" w:rsidR="00591A69" w:rsidRPr="00C83045" w:rsidRDefault="00591A69" w:rsidP="00D4304B">
            <w:pPr>
              <w:keepNext/>
              <w:keepLines/>
              <w:widowControl w:val="0"/>
              <w:tabs>
                <w:tab w:val="left" w:pos="284"/>
              </w:tabs>
              <w:rPr>
                <w:rFonts w:eastAsia="MS Mincho"/>
                <w:b/>
                <w:szCs w:val="22"/>
                <w:lang w:val="en-US"/>
              </w:rPr>
            </w:pPr>
            <w:r w:rsidRPr="00C83045">
              <w:rPr>
                <w:rFonts w:eastAsia="MS Mincho"/>
                <w:b/>
                <w:szCs w:val="22"/>
                <w:lang w:val="en-US"/>
              </w:rPr>
              <w:t>%(CI)</w:t>
            </w:r>
          </w:p>
        </w:tc>
        <w:tc>
          <w:tcPr>
            <w:tcW w:w="3100" w:type="dxa"/>
            <w:tcBorders>
              <w:top w:val="nil"/>
            </w:tcBorders>
            <w:shd w:val="clear" w:color="auto" w:fill="auto"/>
          </w:tcPr>
          <w:p w14:paraId="32368614" w14:textId="77777777" w:rsidR="00591A69" w:rsidRPr="00C83045" w:rsidRDefault="00591A69" w:rsidP="00D4304B">
            <w:pPr>
              <w:keepNext/>
              <w:keepLines/>
              <w:widowControl w:val="0"/>
              <w:tabs>
                <w:tab w:val="left" w:pos="284"/>
              </w:tabs>
              <w:rPr>
                <w:rFonts w:eastAsia="MS Mincho"/>
                <w:b/>
                <w:szCs w:val="22"/>
                <w:lang w:val="en-US"/>
              </w:rPr>
            </w:pPr>
            <w:r w:rsidRPr="00C83045">
              <w:rPr>
                <w:rFonts w:eastAsia="MS Mincho"/>
                <w:b/>
                <w:szCs w:val="22"/>
                <w:lang w:val="en-US"/>
              </w:rPr>
              <w:t>%(CI)</w:t>
            </w:r>
          </w:p>
        </w:tc>
      </w:tr>
      <w:tr w:rsidR="00591A69" w:rsidRPr="00C83045" w14:paraId="32368619" w14:textId="77777777" w:rsidTr="00B62C3E">
        <w:trPr>
          <w:cantSplit/>
        </w:trPr>
        <w:tc>
          <w:tcPr>
            <w:tcW w:w="3099" w:type="dxa"/>
            <w:shd w:val="clear" w:color="auto" w:fill="auto"/>
          </w:tcPr>
          <w:p w14:paraId="32368616" w14:textId="77777777" w:rsidR="00591A69" w:rsidRPr="00C83045" w:rsidRDefault="00591A69" w:rsidP="00D4304B">
            <w:pPr>
              <w:keepNext/>
              <w:keepLines/>
              <w:widowControl w:val="0"/>
              <w:ind w:left="284" w:firstLine="0"/>
              <w:rPr>
                <w:rFonts w:eastAsia="MS Mincho"/>
                <w:szCs w:val="22"/>
                <w:lang w:val="en-US"/>
              </w:rPr>
            </w:pPr>
            <w:r w:rsidRPr="00C83045">
              <w:rPr>
                <w:rFonts w:eastAsia="MS Mincho"/>
                <w:szCs w:val="22"/>
                <w:lang w:val="en-US"/>
              </w:rPr>
              <w:t>12</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617"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93,7 (89,2</w:t>
            </w:r>
            <w:r w:rsidRPr="00C83045">
              <w:rPr>
                <w:rFonts w:eastAsia="MS Mincho"/>
                <w:szCs w:val="22"/>
                <w:lang w:val="en-US"/>
              </w:rPr>
              <w:noBreakHyphen/>
              <w:t>96,4)</w:t>
            </w:r>
          </w:p>
        </w:tc>
        <w:tc>
          <w:tcPr>
            <w:tcW w:w="3100" w:type="dxa"/>
            <w:shd w:val="clear" w:color="auto" w:fill="auto"/>
          </w:tcPr>
          <w:p w14:paraId="32368618"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95,9 (91,9</w:t>
            </w:r>
            <w:r w:rsidRPr="00C83045">
              <w:rPr>
                <w:rFonts w:eastAsia="MS Mincho"/>
                <w:szCs w:val="22"/>
                <w:lang w:val="en-US"/>
              </w:rPr>
              <w:noBreakHyphen/>
              <w:t>97,9)</w:t>
            </w:r>
          </w:p>
        </w:tc>
      </w:tr>
      <w:tr w:rsidR="00591A69" w:rsidRPr="00C83045" w14:paraId="3236861D" w14:textId="77777777" w:rsidTr="00B62C3E">
        <w:trPr>
          <w:cantSplit/>
        </w:trPr>
        <w:tc>
          <w:tcPr>
            <w:tcW w:w="3099" w:type="dxa"/>
            <w:shd w:val="clear" w:color="auto" w:fill="auto"/>
          </w:tcPr>
          <w:p w14:paraId="3236861A" w14:textId="77777777" w:rsidR="00591A69" w:rsidRPr="00C83045" w:rsidRDefault="00591A69" w:rsidP="00D4304B">
            <w:pPr>
              <w:keepNext/>
              <w:keepLines/>
              <w:widowControl w:val="0"/>
              <w:ind w:left="284" w:firstLine="0"/>
              <w:rPr>
                <w:rFonts w:eastAsia="MS Mincho"/>
                <w:szCs w:val="22"/>
                <w:lang w:val="en-US"/>
              </w:rPr>
            </w:pPr>
            <w:r w:rsidRPr="00C83045">
              <w:rPr>
                <w:rFonts w:eastAsia="MS Mincho"/>
                <w:szCs w:val="22"/>
                <w:lang w:val="en-US"/>
              </w:rPr>
              <w:t>24</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61B"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75,4 (68,6</w:t>
            </w:r>
            <w:r w:rsidRPr="00C83045">
              <w:rPr>
                <w:rFonts w:eastAsia="MS Mincho"/>
                <w:szCs w:val="22"/>
                <w:lang w:val="en-US"/>
              </w:rPr>
              <w:noBreakHyphen/>
              <w:t>81,0)</w:t>
            </w:r>
          </w:p>
        </w:tc>
        <w:tc>
          <w:tcPr>
            <w:tcW w:w="3100" w:type="dxa"/>
            <w:shd w:val="clear" w:color="auto" w:fill="auto"/>
          </w:tcPr>
          <w:p w14:paraId="3236861C"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90,7 (85,6</w:t>
            </w:r>
            <w:r w:rsidRPr="00C83045">
              <w:rPr>
                <w:rFonts w:eastAsia="MS Mincho"/>
                <w:szCs w:val="22"/>
                <w:lang w:val="en-US"/>
              </w:rPr>
              <w:noBreakHyphen/>
              <w:t>94,0)</w:t>
            </w:r>
          </w:p>
        </w:tc>
      </w:tr>
      <w:tr w:rsidR="00591A69" w:rsidRPr="00C83045" w14:paraId="32368621" w14:textId="77777777" w:rsidTr="00B62C3E">
        <w:trPr>
          <w:cantSplit/>
        </w:trPr>
        <w:tc>
          <w:tcPr>
            <w:tcW w:w="3099" w:type="dxa"/>
            <w:shd w:val="clear" w:color="auto" w:fill="auto"/>
          </w:tcPr>
          <w:p w14:paraId="3236861E" w14:textId="77777777" w:rsidR="00591A69" w:rsidRPr="00C83045" w:rsidRDefault="00591A69" w:rsidP="00D4304B">
            <w:pPr>
              <w:keepNext/>
              <w:keepLines/>
              <w:widowControl w:val="0"/>
              <w:ind w:left="284" w:firstLine="0"/>
              <w:rPr>
                <w:rFonts w:eastAsia="MS Mincho"/>
                <w:szCs w:val="22"/>
                <w:lang w:val="en-US"/>
              </w:rPr>
            </w:pPr>
            <w:r w:rsidRPr="00C83045">
              <w:rPr>
                <w:rFonts w:eastAsia="MS Mincho"/>
                <w:szCs w:val="22"/>
                <w:lang w:val="en-US"/>
              </w:rPr>
              <w:t>36</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61F"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60,1 (52,5</w:t>
            </w:r>
            <w:r w:rsidRPr="00C83045">
              <w:rPr>
                <w:rFonts w:eastAsia="MS Mincho"/>
                <w:szCs w:val="22"/>
                <w:lang w:val="en-US"/>
              </w:rPr>
              <w:noBreakHyphen/>
              <w:t>66,9)</w:t>
            </w:r>
          </w:p>
        </w:tc>
        <w:tc>
          <w:tcPr>
            <w:tcW w:w="3100" w:type="dxa"/>
            <w:shd w:val="clear" w:color="auto" w:fill="auto"/>
          </w:tcPr>
          <w:p w14:paraId="32368620"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86,6 (80,8</w:t>
            </w:r>
            <w:r w:rsidRPr="00C83045">
              <w:rPr>
                <w:rFonts w:eastAsia="MS Mincho"/>
                <w:szCs w:val="22"/>
                <w:lang w:val="en-US"/>
              </w:rPr>
              <w:noBreakHyphen/>
              <w:t>90,8)</w:t>
            </w:r>
          </w:p>
        </w:tc>
      </w:tr>
      <w:tr w:rsidR="00591A69" w:rsidRPr="00C83045" w14:paraId="32368625" w14:textId="77777777" w:rsidTr="00B62C3E">
        <w:trPr>
          <w:cantSplit/>
        </w:trPr>
        <w:tc>
          <w:tcPr>
            <w:tcW w:w="3099" w:type="dxa"/>
            <w:shd w:val="clear" w:color="auto" w:fill="auto"/>
          </w:tcPr>
          <w:p w14:paraId="32368622" w14:textId="77777777" w:rsidR="00591A69" w:rsidRPr="00C83045" w:rsidRDefault="00591A69" w:rsidP="00D4304B">
            <w:pPr>
              <w:keepNext/>
              <w:keepLines/>
              <w:widowControl w:val="0"/>
              <w:ind w:left="284" w:firstLine="0"/>
              <w:rPr>
                <w:rFonts w:eastAsia="MS Mincho"/>
                <w:szCs w:val="22"/>
                <w:lang w:val="en-US"/>
              </w:rPr>
            </w:pPr>
            <w:r w:rsidRPr="00C83045">
              <w:rPr>
                <w:rFonts w:eastAsia="MS Mincho"/>
                <w:szCs w:val="22"/>
                <w:lang w:val="en-US"/>
              </w:rPr>
              <w:t>48</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623"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52,3 (44,0</w:t>
            </w:r>
            <w:r w:rsidRPr="00C83045">
              <w:rPr>
                <w:rFonts w:eastAsia="MS Mincho"/>
                <w:szCs w:val="22"/>
                <w:lang w:val="en-US"/>
              </w:rPr>
              <w:noBreakHyphen/>
              <w:t>59,8)</w:t>
            </w:r>
          </w:p>
        </w:tc>
        <w:tc>
          <w:tcPr>
            <w:tcW w:w="3100" w:type="dxa"/>
            <w:shd w:val="clear" w:color="auto" w:fill="auto"/>
          </w:tcPr>
          <w:p w14:paraId="32368624"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78,3 (70,8</w:t>
            </w:r>
            <w:r w:rsidRPr="00C83045">
              <w:rPr>
                <w:rFonts w:eastAsia="MS Mincho"/>
                <w:szCs w:val="22"/>
                <w:lang w:val="en-US"/>
              </w:rPr>
              <w:noBreakHyphen/>
              <w:t>84,1)</w:t>
            </w:r>
          </w:p>
        </w:tc>
      </w:tr>
      <w:tr w:rsidR="00591A69" w:rsidRPr="00C83045" w14:paraId="32368629" w14:textId="77777777" w:rsidTr="00B62C3E">
        <w:trPr>
          <w:cantSplit/>
        </w:trPr>
        <w:tc>
          <w:tcPr>
            <w:tcW w:w="3099" w:type="dxa"/>
            <w:shd w:val="clear" w:color="auto" w:fill="auto"/>
          </w:tcPr>
          <w:p w14:paraId="32368626" w14:textId="77777777" w:rsidR="00591A69" w:rsidRPr="00C83045" w:rsidRDefault="00591A69" w:rsidP="00D4304B">
            <w:pPr>
              <w:keepNext/>
              <w:keepLines/>
              <w:widowControl w:val="0"/>
              <w:ind w:left="284" w:firstLine="0"/>
              <w:rPr>
                <w:rFonts w:eastAsia="MS Mincho"/>
                <w:szCs w:val="22"/>
                <w:lang w:val="en-US"/>
              </w:rPr>
            </w:pPr>
            <w:r w:rsidRPr="00C83045">
              <w:rPr>
                <w:rFonts w:eastAsia="MS Mincho"/>
                <w:szCs w:val="22"/>
                <w:lang w:val="en-US"/>
              </w:rPr>
              <w:t>60</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627"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47,9 (39,0</w:t>
            </w:r>
            <w:r w:rsidRPr="00C83045">
              <w:rPr>
                <w:rFonts w:eastAsia="MS Mincho"/>
                <w:szCs w:val="22"/>
                <w:lang w:val="en-US"/>
              </w:rPr>
              <w:noBreakHyphen/>
              <w:t>56,3)</w:t>
            </w:r>
          </w:p>
        </w:tc>
        <w:tc>
          <w:tcPr>
            <w:tcW w:w="3100" w:type="dxa"/>
            <w:shd w:val="clear" w:color="auto" w:fill="auto"/>
          </w:tcPr>
          <w:p w14:paraId="32368628"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65,6 (56,1</w:t>
            </w:r>
            <w:r w:rsidRPr="00C83045">
              <w:rPr>
                <w:rFonts w:eastAsia="MS Mincho"/>
                <w:szCs w:val="22"/>
                <w:lang w:val="en-US"/>
              </w:rPr>
              <w:noBreakHyphen/>
              <w:t>73,4)</w:t>
            </w:r>
          </w:p>
        </w:tc>
      </w:tr>
      <w:tr w:rsidR="00591A69" w:rsidRPr="00C83045" w14:paraId="3236862D" w14:textId="77777777" w:rsidTr="00B62C3E">
        <w:trPr>
          <w:cantSplit/>
        </w:trPr>
        <w:tc>
          <w:tcPr>
            <w:tcW w:w="3099" w:type="dxa"/>
            <w:shd w:val="clear" w:color="auto" w:fill="auto"/>
          </w:tcPr>
          <w:p w14:paraId="3236862A" w14:textId="77777777" w:rsidR="00591A69" w:rsidRPr="00C83045" w:rsidRDefault="00591A69" w:rsidP="00D4304B">
            <w:pPr>
              <w:keepNext/>
              <w:keepLines/>
              <w:widowControl w:val="0"/>
              <w:tabs>
                <w:tab w:val="left" w:pos="284"/>
              </w:tabs>
              <w:rPr>
                <w:rFonts w:eastAsia="MS Mincho"/>
                <w:b/>
                <w:szCs w:val="22"/>
                <w:lang w:val="en-US"/>
              </w:rPr>
            </w:pPr>
            <w:r w:rsidRPr="00C83045">
              <w:rPr>
                <w:rFonts w:eastAsia="MS Mincho"/>
                <w:b/>
                <w:szCs w:val="22"/>
                <w:lang w:val="en-US"/>
              </w:rPr>
              <w:t>Prežívanie</w:t>
            </w:r>
          </w:p>
        </w:tc>
        <w:tc>
          <w:tcPr>
            <w:tcW w:w="3100" w:type="dxa"/>
            <w:shd w:val="clear" w:color="auto" w:fill="auto"/>
          </w:tcPr>
          <w:p w14:paraId="3236862B" w14:textId="77777777" w:rsidR="00591A69" w:rsidRPr="00C83045" w:rsidRDefault="00591A69" w:rsidP="00D4304B">
            <w:pPr>
              <w:keepNext/>
              <w:keepLines/>
              <w:widowControl w:val="0"/>
              <w:tabs>
                <w:tab w:val="left" w:pos="284"/>
              </w:tabs>
              <w:rPr>
                <w:rFonts w:eastAsia="MS Mincho"/>
                <w:szCs w:val="22"/>
                <w:lang w:val="en-US"/>
              </w:rPr>
            </w:pPr>
          </w:p>
        </w:tc>
        <w:tc>
          <w:tcPr>
            <w:tcW w:w="3100" w:type="dxa"/>
            <w:shd w:val="clear" w:color="auto" w:fill="auto"/>
          </w:tcPr>
          <w:p w14:paraId="3236862C" w14:textId="77777777" w:rsidR="00591A69" w:rsidRPr="00C83045" w:rsidRDefault="00591A69" w:rsidP="00D4304B">
            <w:pPr>
              <w:keepNext/>
              <w:keepLines/>
              <w:widowControl w:val="0"/>
              <w:tabs>
                <w:tab w:val="left" w:pos="284"/>
              </w:tabs>
              <w:rPr>
                <w:rFonts w:eastAsia="MS Mincho"/>
                <w:szCs w:val="22"/>
                <w:lang w:val="en-US"/>
              </w:rPr>
            </w:pPr>
          </w:p>
        </w:tc>
      </w:tr>
      <w:tr w:rsidR="00591A69" w:rsidRPr="00C83045" w14:paraId="32368631" w14:textId="77777777" w:rsidTr="00B62C3E">
        <w:trPr>
          <w:cantSplit/>
        </w:trPr>
        <w:tc>
          <w:tcPr>
            <w:tcW w:w="3099" w:type="dxa"/>
            <w:shd w:val="clear" w:color="auto" w:fill="auto"/>
          </w:tcPr>
          <w:p w14:paraId="3236862E" w14:textId="77777777" w:rsidR="00591A69" w:rsidRPr="00C83045" w:rsidRDefault="00591A69" w:rsidP="00D4304B">
            <w:pPr>
              <w:keepNext/>
              <w:keepLines/>
              <w:widowControl w:val="0"/>
              <w:ind w:left="284" w:firstLine="0"/>
              <w:rPr>
                <w:rFonts w:eastAsia="MS Mincho"/>
                <w:szCs w:val="22"/>
                <w:lang w:val="en-US"/>
              </w:rPr>
            </w:pPr>
            <w:r w:rsidRPr="00C83045">
              <w:rPr>
                <w:rFonts w:eastAsia="MS Mincho"/>
                <w:szCs w:val="22"/>
                <w:lang w:val="en-US"/>
              </w:rPr>
              <w:t>36</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62F"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94,0 (89,5</w:t>
            </w:r>
            <w:r w:rsidRPr="00C83045">
              <w:rPr>
                <w:rFonts w:eastAsia="MS Mincho"/>
                <w:szCs w:val="22"/>
                <w:lang w:val="en-US"/>
              </w:rPr>
              <w:noBreakHyphen/>
              <w:t>96,7)</w:t>
            </w:r>
          </w:p>
        </w:tc>
        <w:tc>
          <w:tcPr>
            <w:tcW w:w="3100" w:type="dxa"/>
            <w:shd w:val="clear" w:color="auto" w:fill="auto"/>
          </w:tcPr>
          <w:p w14:paraId="32368630"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96,3 (92,4</w:t>
            </w:r>
            <w:r w:rsidRPr="00C83045">
              <w:rPr>
                <w:rFonts w:eastAsia="MS Mincho"/>
                <w:szCs w:val="22"/>
                <w:lang w:val="en-US"/>
              </w:rPr>
              <w:noBreakHyphen/>
              <w:t>98,2)</w:t>
            </w:r>
          </w:p>
        </w:tc>
      </w:tr>
      <w:tr w:rsidR="00591A69" w:rsidRPr="00C83045" w14:paraId="32368635" w14:textId="77777777" w:rsidTr="00B62C3E">
        <w:trPr>
          <w:cantSplit/>
        </w:trPr>
        <w:tc>
          <w:tcPr>
            <w:tcW w:w="3099" w:type="dxa"/>
            <w:shd w:val="clear" w:color="auto" w:fill="auto"/>
          </w:tcPr>
          <w:p w14:paraId="32368632" w14:textId="77777777" w:rsidR="00591A69" w:rsidRPr="00C83045" w:rsidRDefault="00591A69" w:rsidP="00D4304B">
            <w:pPr>
              <w:keepNext/>
              <w:keepLines/>
              <w:widowControl w:val="0"/>
              <w:ind w:left="284" w:firstLine="0"/>
              <w:rPr>
                <w:rFonts w:eastAsia="MS Mincho"/>
                <w:szCs w:val="22"/>
                <w:lang w:val="en-US"/>
              </w:rPr>
            </w:pPr>
            <w:r w:rsidRPr="00C83045">
              <w:rPr>
                <w:rFonts w:eastAsia="MS Mincho"/>
                <w:szCs w:val="22"/>
                <w:lang w:val="en-US"/>
              </w:rPr>
              <w:t>48</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633"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87,9 (81,1</w:t>
            </w:r>
            <w:r w:rsidRPr="00C83045">
              <w:rPr>
                <w:rFonts w:eastAsia="MS Mincho"/>
                <w:szCs w:val="22"/>
                <w:lang w:val="en-US"/>
              </w:rPr>
              <w:noBreakHyphen/>
              <w:t>92,3)</w:t>
            </w:r>
          </w:p>
        </w:tc>
        <w:tc>
          <w:tcPr>
            <w:tcW w:w="3100" w:type="dxa"/>
            <w:shd w:val="clear" w:color="auto" w:fill="auto"/>
          </w:tcPr>
          <w:p w14:paraId="32368634"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95,6 (91,2</w:t>
            </w:r>
            <w:r w:rsidRPr="00C83045">
              <w:rPr>
                <w:rFonts w:eastAsia="MS Mincho"/>
                <w:szCs w:val="22"/>
                <w:lang w:val="en-US"/>
              </w:rPr>
              <w:noBreakHyphen/>
              <w:t>97,8)</w:t>
            </w:r>
          </w:p>
        </w:tc>
      </w:tr>
      <w:tr w:rsidR="00591A69" w:rsidRPr="00C83045" w14:paraId="32368639" w14:textId="77777777" w:rsidTr="00B62C3E">
        <w:trPr>
          <w:cantSplit/>
        </w:trPr>
        <w:tc>
          <w:tcPr>
            <w:tcW w:w="3099" w:type="dxa"/>
            <w:shd w:val="clear" w:color="auto" w:fill="auto"/>
          </w:tcPr>
          <w:p w14:paraId="32368636" w14:textId="77777777" w:rsidR="00591A69" w:rsidRPr="00C83045" w:rsidRDefault="00591A69" w:rsidP="00D4304B">
            <w:pPr>
              <w:keepNext/>
              <w:keepLines/>
              <w:widowControl w:val="0"/>
              <w:ind w:left="284" w:firstLine="0"/>
              <w:rPr>
                <w:rFonts w:eastAsia="MS Mincho"/>
                <w:szCs w:val="22"/>
                <w:lang w:val="en-US"/>
              </w:rPr>
            </w:pPr>
            <w:r w:rsidRPr="00C83045">
              <w:rPr>
                <w:rFonts w:eastAsia="MS Mincho"/>
                <w:szCs w:val="22"/>
                <w:lang w:val="en-US"/>
              </w:rPr>
              <w:t>60</w:t>
            </w:r>
            <w:r w:rsidRPr="00C83045">
              <w:rPr>
                <w:rFonts w:eastAsia="MS Mincho"/>
                <w:szCs w:val="22"/>
                <w:lang w:val="en-US" w:eastAsia="ja-JP"/>
              </w:rPr>
              <w:t> </w:t>
            </w:r>
            <w:r w:rsidRPr="00C83045">
              <w:rPr>
                <w:rFonts w:eastAsia="MS Mincho"/>
                <w:szCs w:val="22"/>
                <w:lang w:val="en-US"/>
              </w:rPr>
              <w:t>mesiacov</w:t>
            </w:r>
          </w:p>
        </w:tc>
        <w:tc>
          <w:tcPr>
            <w:tcW w:w="3100" w:type="dxa"/>
            <w:shd w:val="clear" w:color="auto" w:fill="auto"/>
          </w:tcPr>
          <w:p w14:paraId="32368637"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81,7 (73,0</w:t>
            </w:r>
            <w:r w:rsidRPr="00C83045">
              <w:rPr>
                <w:rFonts w:eastAsia="MS Mincho"/>
                <w:szCs w:val="22"/>
                <w:lang w:val="en-US"/>
              </w:rPr>
              <w:noBreakHyphen/>
              <w:t>87,8)</w:t>
            </w:r>
          </w:p>
        </w:tc>
        <w:tc>
          <w:tcPr>
            <w:tcW w:w="3100" w:type="dxa"/>
            <w:shd w:val="clear" w:color="auto" w:fill="auto"/>
          </w:tcPr>
          <w:p w14:paraId="32368638" w14:textId="77777777" w:rsidR="00591A69" w:rsidRPr="00C83045" w:rsidRDefault="00591A69" w:rsidP="00D4304B">
            <w:pPr>
              <w:keepNext/>
              <w:keepLines/>
              <w:widowControl w:val="0"/>
              <w:tabs>
                <w:tab w:val="left" w:pos="284"/>
              </w:tabs>
              <w:rPr>
                <w:rFonts w:eastAsia="MS Mincho"/>
                <w:szCs w:val="22"/>
                <w:lang w:val="en-US"/>
              </w:rPr>
            </w:pPr>
            <w:r w:rsidRPr="00C83045">
              <w:rPr>
                <w:rFonts w:eastAsia="MS Mincho"/>
                <w:szCs w:val="22"/>
                <w:lang w:val="en-US"/>
              </w:rPr>
              <w:t>92,0 (85,3</w:t>
            </w:r>
            <w:r w:rsidRPr="00C83045">
              <w:rPr>
                <w:rFonts w:eastAsia="MS Mincho"/>
                <w:szCs w:val="22"/>
                <w:lang w:val="en-US"/>
              </w:rPr>
              <w:noBreakHyphen/>
              <w:t>95,7)</w:t>
            </w:r>
          </w:p>
        </w:tc>
      </w:tr>
    </w:tbl>
    <w:p w14:paraId="3236863A" w14:textId="77777777" w:rsidR="00591A69" w:rsidRPr="00C83045" w:rsidRDefault="00591A69" w:rsidP="00D4304B">
      <w:pPr>
        <w:widowControl w:val="0"/>
        <w:rPr>
          <w:rFonts w:eastAsia="MS Mincho"/>
          <w:szCs w:val="22"/>
          <w:lang w:val="en-US"/>
        </w:rPr>
      </w:pPr>
    </w:p>
    <w:p w14:paraId="3236863B" w14:textId="77777777" w:rsidR="00591A69" w:rsidRPr="00CD056A" w:rsidRDefault="00DF0316" w:rsidP="00D4304B">
      <w:pPr>
        <w:keepNext/>
        <w:keepLines/>
        <w:widowControl w:val="0"/>
        <w:ind w:left="1134" w:hanging="1134"/>
        <w:rPr>
          <w:rFonts w:eastAsia="MS Mincho"/>
          <w:szCs w:val="22"/>
          <w:lang w:val="es-ES"/>
        </w:rPr>
      </w:pPr>
      <w:r w:rsidRPr="00C83045">
        <w:rPr>
          <w:noProof/>
          <w:lang w:val="en-US" w:eastAsia="en-US"/>
        </w:rPr>
        <w:lastRenderedPageBreak/>
        <mc:AlternateContent>
          <mc:Choice Requires="wps">
            <w:drawing>
              <wp:anchor distT="0" distB="0" distL="114300" distR="114300" simplePos="0" relativeHeight="251659264" behindDoc="0" locked="0" layoutInCell="1" allowOverlap="1" wp14:anchorId="32369030" wp14:editId="32369031">
                <wp:simplePos x="0" y="0"/>
                <wp:positionH relativeFrom="column">
                  <wp:posOffset>-255270</wp:posOffset>
                </wp:positionH>
                <wp:positionV relativeFrom="paragraph">
                  <wp:posOffset>56515</wp:posOffset>
                </wp:positionV>
                <wp:extent cx="354965" cy="3032125"/>
                <wp:effectExtent l="1905" t="8890" r="5080" b="698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3032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369090" w14:textId="77777777" w:rsidR="004550EF" w:rsidRPr="00A33DBA" w:rsidRDefault="004550EF" w:rsidP="00591A69">
                            <w:pPr>
                              <w:rPr>
                                <w:rFonts w:ascii="Arial" w:hAnsi="Arial" w:cs="Arial"/>
                                <w:sz w:val="20"/>
                                <w:szCs w:val="20"/>
                              </w:rPr>
                            </w:pPr>
                            <w:r w:rsidRPr="00A33DBA">
                              <w:rPr>
                                <w:rFonts w:ascii="Arial" w:hAnsi="Arial" w:cs="Arial"/>
                                <w:sz w:val="20"/>
                                <w:szCs w:val="20"/>
                              </w:rPr>
                              <w:t>Pr</w:t>
                            </w:r>
                            <w:r>
                              <w:rPr>
                                <w:rFonts w:ascii="Arial" w:hAnsi="Arial" w:cs="Arial"/>
                                <w:sz w:val="20"/>
                                <w:szCs w:val="20"/>
                              </w:rPr>
                              <w:t>avdepodobnosť prežívania bez recidívy</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69030" id="_x0000_s1032" type="#_x0000_t202" style="position:absolute;left:0;text-align:left;margin-left:-20.1pt;margin-top:4.45pt;width:27.95pt;height:2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" stroked="f">
                <v:fill opacity="0"/>
                <v:textbox style="layout-flow:vertical;mso-layout-flow-alt:bottom-to-top">
                  <w:txbxContent>
                    <w:p w14:paraId="32369090" w14:textId="77777777" w:rsidR="004550EF" w:rsidRPr="00A33DBA" w:rsidRDefault="004550EF" w:rsidP="00591A69">
                      <w:pPr>
                        <w:rPr>
                          <w:rFonts w:ascii="Arial" w:hAnsi="Arial" w:cs="Arial"/>
                          <w:sz w:val="20"/>
                          <w:szCs w:val="20"/>
                        </w:rPr>
                      </w:pPr>
                      <w:r w:rsidRPr="00A33DBA">
                        <w:rPr>
                          <w:rFonts w:ascii="Arial" w:hAnsi="Arial" w:cs="Arial"/>
                          <w:sz w:val="20"/>
                          <w:szCs w:val="20"/>
                        </w:rPr>
                        <w:t>Pr</w:t>
                      </w:r>
                      <w:r>
                        <w:rPr>
                          <w:rFonts w:ascii="Arial" w:hAnsi="Arial" w:cs="Arial"/>
                          <w:sz w:val="20"/>
                          <w:szCs w:val="20"/>
                        </w:rPr>
                        <w:t>avdepodobnosť prežívania bez recidívy</w:t>
                      </w:r>
                    </w:p>
                  </w:txbxContent>
                </v:textbox>
              </v:shape>
            </w:pict>
          </mc:Fallback>
        </mc:AlternateContent>
      </w:r>
      <w:r w:rsidR="00591A69" w:rsidRPr="00C83045">
        <w:rPr>
          <w:rFonts w:eastAsia="MS Mincho"/>
          <w:b/>
          <w:szCs w:val="22"/>
        </w:rPr>
        <w:t>Obrázok 1</w:t>
      </w:r>
      <w:r w:rsidR="00591A69" w:rsidRPr="00C83045">
        <w:rPr>
          <w:rFonts w:eastAsia="MS Mincho"/>
          <w:b/>
          <w:szCs w:val="22"/>
        </w:rPr>
        <w:tab/>
        <w:t>Odhady primárneho parametra prežívania bez recidívy podľa Kaplana-Meiera (populácia ITT)</w:t>
      </w:r>
    </w:p>
    <w:p w14:paraId="3236863C" w14:textId="77777777" w:rsidR="00591A69" w:rsidRPr="00CD056A" w:rsidRDefault="00591A69" w:rsidP="00D4304B">
      <w:pPr>
        <w:keepNext/>
        <w:keepLines/>
        <w:widowControl w:val="0"/>
        <w:rPr>
          <w:rFonts w:eastAsia="MS Mincho"/>
          <w:szCs w:val="22"/>
          <w:lang w:val="es-ES"/>
        </w:rPr>
      </w:pPr>
    </w:p>
    <w:p w14:paraId="3236863D" w14:textId="77777777" w:rsidR="00591A69" w:rsidRPr="00C83045" w:rsidRDefault="00DF0316" w:rsidP="00D4304B">
      <w:pPr>
        <w:keepNext/>
        <w:keepLines/>
        <w:widowControl w:val="0"/>
        <w:rPr>
          <w:rFonts w:eastAsia="MS Mincho"/>
          <w:szCs w:val="22"/>
          <w:lang w:val="en-US"/>
        </w:rPr>
      </w:pPr>
      <w:r w:rsidRPr="00C83045">
        <w:rPr>
          <w:noProof/>
          <w:lang w:val="en-US" w:eastAsia="en-US"/>
        </w:rPr>
        <mc:AlternateContent>
          <mc:Choice Requires="wps">
            <w:drawing>
              <wp:anchor distT="0" distB="0" distL="114300" distR="114300" simplePos="0" relativeHeight="251660288" behindDoc="0" locked="0" layoutInCell="1" allowOverlap="1" wp14:anchorId="32369032" wp14:editId="32369033">
                <wp:simplePos x="0" y="0"/>
                <wp:positionH relativeFrom="column">
                  <wp:posOffset>350520</wp:posOffset>
                </wp:positionH>
                <wp:positionV relativeFrom="paragraph">
                  <wp:posOffset>1188085</wp:posOffset>
                </wp:positionV>
                <wp:extent cx="4585335" cy="1171575"/>
                <wp:effectExtent l="0" t="0" r="0" b="25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17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984"/>
                              <w:gridCol w:w="2464"/>
                              <w:gridCol w:w="851"/>
                              <w:gridCol w:w="709"/>
                              <w:gridCol w:w="861"/>
                            </w:tblGrid>
                            <w:tr w:rsidR="004550EF" w:rsidRPr="0055776F" w14:paraId="32369094" w14:textId="77777777" w:rsidTr="007C2055">
                              <w:trPr>
                                <w:gridAfter w:val="3"/>
                                <w:wAfter w:w="2410" w:type="dxa"/>
                              </w:trPr>
                              <w:tc>
                                <w:tcPr>
                                  <w:tcW w:w="3281" w:type="dxa"/>
                                  <w:gridSpan w:val="2"/>
                                  <w:shd w:val="clear" w:color="auto" w:fill="auto"/>
                                </w:tcPr>
                                <w:p w14:paraId="32369091" w14:textId="77777777" w:rsidR="004550EF" w:rsidRPr="0055776F" w:rsidRDefault="004550EF" w:rsidP="007C2055">
                                  <w:pPr>
                                    <w:rPr>
                                      <w:rFonts w:ascii="Arial" w:hAnsi="Arial" w:cs="Arial"/>
                                      <w:sz w:val="20"/>
                                    </w:rPr>
                                  </w:pPr>
                                  <w:r>
                                    <w:rPr>
                                      <w:rFonts w:ascii="Arial" w:hAnsi="Arial" w:cs="Arial"/>
                                      <w:sz w:val="20"/>
                                    </w:rPr>
                                    <w:t>P &lt; 0,0001</w:t>
                                  </w:r>
                                </w:p>
                                <w:p w14:paraId="32369092" w14:textId="77777777" w:rsidR="004550EF" w:rsidRPr="0055776F" w:rsidRDefault="004550EF" w:rsidP="007C2055">
                                  <w:pPr>
                                    <w:rPr>
                                      <w:rFonts w:ascii="Arial" w:hAnsi="Arial" w:cs="Arial"/>
                                      <w:sz w:val="20"/>
                                    </w:rPr>
                                  </w:pPr>
                                  <w:r>
                                    <w:rPr>
                                      <w:rFonts w:ascii="Arial" w:hAnsi="Arial" w:cs="Arial"/>
                                      <w:sz w:val="20"/>
                                    </w:rPr>
                                    <w:t>Pomer rizika 0,</w:t>
                                  </w:r>
                                  <w:r w:rsidRPr="0055776F">
                                    <w:rPr>
                                      <w:rFonts w:ascii="Arial" w:hAnsi="Arial" w:cs="Arial"/>
                                      <w:sz w:val="20"/>
                                    </w:rPr>
                                    <w:t>4</w:t>
                                  </w:r>
                                  <w:r>
                                    <w:rPr>
                                      <w:rFonts w:ascii="Arial" w:hAnsi="Arial" w:cs="Arial"/>
                                      <w:sz w:val="20"/>
                                    </w:rPr>
                                    <w:t>6</w:t>
                                  </w:r>
                                </w:p>
                                <w:p w14:paraId="32369093" w14:textId="77777777" w:rsidR="004550EF" w:rsidRPr="0055776F" w:rsidRDefault="004550EF" w:rsidP="007C2055">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4550EF" w:rsidRPr="0055776F" w14:paraId="3236909A" w14:textId="77777777" w:rsidTr="000322A8">
                              <w:tc>
                                <w:tcPr>
                                  <w:tcW w:w="817" w:type="dxa"/>
                                  <w:shd w:val="clear" w:color="auto" w:fill="auto"/>
                                </w:tcPr>
                                <w:p w14:paraId="32369095" w14:textId="77777777" w:rsidR="004550EF" w:rsidRPr="0055776F" w:rsidRDefault="004550EF" w:rsidP="000322A8">
                                  <w:pPr>
                                    <w:rPr>
                                      <w:rFonts w:ascii="Arial" w:hAnsi="Arial" w:cs="Arial"/>
                                      <w:sz w:val="20"/>
                                      <w:szCs w:val="20"/>
                                    </w:rPr>
                                  </w:pPr>
                                </w:p>
                              </w:tc>
                              <w:tc>
                                <w:tcPr>
                                  <w:tcW w:w="2464" w:type="dxa"/>
                                  <w:shd w:val="clear" w:color="auto" w:fill="auto"/>
                                </w:tcPr>
                                <w:p w14:paraId="32369096" w14:textId="77777777" w:rsidR="004550EF" w:rsidRPr="0055776F" w:rsidRDefault="004550EF" w:rsidP="000322A8">
                                  <w:pPr>
                                    <w:rPr>
                                      <w:rFonts w:ascii="Arial" w:hAnsi="Arial" w:cs="Arial"/>
                                      <w:sz w:val="20"/>
                                      <w:szCs w:val="20"/>
                                    </w:rPr>
                                  </w:pPr>
                                </w:p>
                              </w:tc>
                              <w:tc>
                                <w:tcPr>
                                  <w:tcW w:w="851" w:type="dxa"/>
                                  <w:tcBorders>
                                    <w:bottom w:val="single" w:sz="4" w:space="0" w:color="auto"/>
                                  </w:tcBorders>
                                  <w:shd w:val="clear" w:color="auto" w:fill="auto"/>
                                </w:tcPr>
                                <w:p w14:paraId="32369097" w14:textId="77777777" w:rsidR="004550EF" w:rsidRPr="0055776F" w:rsidRDefault="004550EF" w:rsidP="000322A8">
                                  <w:pPr>
                                    <w:rPr>
                                      <w:rFonts w:ascii="Arial" w:hAnsi="Arial" w:cs="Arial"/>
                                      <w:sz w:val="20"/>
                                      <w:szCs w:val="20"/>
                                    </w:rPr>
                                  </w:pPr>
                                  <w:r w:rsidRPr="0055776F">
                                    <w:rPr>
                                      <w:rFonts w:ascii="Arial" w:hAnsi="Arial" w:cs="Arial"/>
                                      <w:sz w:val="20"/>
                                      <w:szCs w:val="20"/>
                                      <w:lang w:val="de-DE"/>
                                    </w:rPr>
                                    <w:t>N</w:t>
                                  </w:r>
                                </w:p>
                              </w:tc>
                              <w:tc>
                                <w:tcPr>
                                  <w:tcW w:w="709" w:type="dxa"/>
                                  <w:tcBorders>
                                    <w:bottom w:val="single" w:sz="4" w:space="0" w:color="auto"/>
                                  </w:tcBorders>
                                  <w:shd w:val="clear" w:color="auto" w:fill="auto"/>
                                </w:tcPr>
                                <w:p w14:paraId="32369098" w14:textId="77777777" w:rsidR="004550EF" w:rsidRPr="0055776F" w:rsidRDefault="004550EF" w:rsidP="009F7365">
                                  <w:pPr>
                                    <w:rPr>
                                      <w:rFonts w:ascii="Arial" w:hAnsi="Arial" w:cs="Arial"/>
                                      <w:sz w:val="20"/>
                                      <w:szCs w:val="20"/>
                                    </w:rPr>
                                  </w:pPr>
                                  <w:r>
                                    <w:rPr>
                                      <w:rFonts w:ascii="Arial" w:hAnsi="Arial" w:cs="Arial"/>
                                      <w:sz w:val="20"/>
                                      <w:szCs w:val="20"/>
                                      <w:lang w:val="de-DE"/>
                                    </w:rPr>
                                    <w:t>Udal</w:t>
                                  </w:r>
                                </w:p>
                              </w:tc>
                              <w:tc>
                                <w:tcPr>
                                  <w:tcW w:w="850" w:type="dxa"/>
                                  <w:tcBorders>
                                    <w:bottom w:val="single" w:sz="4" w:space="0" w:color="auto"/>
                                  </w:tcBorders>
                                  <w:shd w:val="clear" w:color="auto" w:fill="auto"/>
                                </w:tcPr>
                                <w:p w14:paraId="32369099" w14:textId="77777777" w:rsidR="004550EF" w:rsidRPr="0055776F" w:rsidRDefault="004550EF" w:rsidP="009F7365">
                                  <w:pPr>
                                    <w:rPr>
                                      <w:rFonts w:ascii="Arial" w:hAnsi="Arial" w:cs="Arial"/>
                                      <w:sz w:val="20"/>
                                      <w:szCs w:val="20"/>
                                    </w:rPr>
                                  </w:pPr>
                                  <w:r w:rsidRPr="0055776F">
                                    <w:rPr>
                                      <w:rFonts w:ascii="Arial" w:hAnsi="Arial" w:cs="Arial"/>
                                      <w:sz w:val="20"/>
                                      <w:szCs w:val="20"/>
                                      <w:lang w:val="de-DE"/>
                                    </w:rPr>
                                    <w:t>Cen</w:t>
                                  </w:r>
                                  <w:r>
                                    <w:rPr>
                                      <w:rFonts w:ascii="Arial" w:hAnsi="Arial" w:cs="Arial"/>
                                      <w:sz w:val="20"/>
                                      <w:szCs w:val="20"/>
                                      <w:lang w:val="de-DE"/>
                                    </w:rPr>
                                    <w:t>zor</w:t>
                                  </w:r>
                                </w:p>
                              </w:tc>
                            </w:tr>
                            <w:tr w:rsidR="004550EF" w:rsidRPr="0055776F" w14:paraId="323690A0" w14:textId="77777777" w:rsidTr="000322A8">
                              <w:tc>
                                <w:tcPr>
                                  <w:tcW w:w="817" w:type="dxa"/>
                                  <w:shd w:val="clear" w:color="auto" w:fill="auto"/>
                                </w:tcPr>
                                <w:p w14:paraId="3236909B" w14:textId="77777777" w:rsidR="004550EF" w:rsidRPr="0055776F" w:rsidRDefault="004550EF" w:rsidP="000322A8">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3236909C" w14:textId="77777777" w:rsidR="004550EF" w:rsidRPr="0055776F" w:rsidRDefault="004550EF" w:rsidP="00E01A71">
                                  <w:pPr>
                                    <w:ind w:hanging="675"/>
                                    <w:rPr>
                                      <w:rFonts w:ascii="Arial" w:hAnsi="Arial" w:cs="Arial"/>
                                      <w:sz w:val="20"/>
                                      <w:szCs w:val="20"/>
                                    </w:rPr>
                                  </w:pPr>
                                  <w:r>
                                    <w:rPr>
                                      <w:rFonts w:ascii="Arial" w:hAnsi="Arial" w:cs="Arial"/>
                                      <w:sz w:val="20"/>
                                      <w:szCs w:val="20"/>
                                    </w:rPr>
                                    <w:t>(1) Imatinib 12 mes:</w:t>
                                  </w:r>
                                </w:p>
                              </w:tc>
                              <w:tc>
                                <w:tcPr>
                                  <w:tcW w:w="851" w:type="dxa"/>
                                  <w:tcBorders>
                                    <w:top w:val="single" w:sz="4" w:space="0" w:color="auto"/>
                                  </w:tcBorders>
                                  <w:shd w:val="clear" w:color="auto" w:fill="auto"/>
                                </w:tcPr>
                                <w:p w14:paraId="3236909D" w14:textId="77777777" w:rsidR="004550EF" w:rsidRPr="0055776F" w:rsidRDefault="004550EF" w:rsidP="000322A8">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3236909E" w14:textId="77777777" w:rsidR="004550EF" w:rsidRPr="0055776F" w:rsidRDefault="004550EF" w:rsidP="000322A8">
                                  <w:pPr>
                                    <w:rPr>
                                      <w:rFonts w:ascii="Arial" w:hAnsi="Arial" w:cs="Arial"/>
                                      <w:sz w:val="20"/>
                                      <w:szCs w:val="20"/>
                                    </w:rPr>
                                  </w:pPr>
                                  <w:r w:rsidRPr="0055776F">
                                    <w:rPr>
                                      <w:rFonts w:ascii="Arial" w:hAnsi="Arial" w:cs="Arial"/>
                                      <w:sz w:val="20"/>
                                      <w:szCs w:val="20"/>
                                    </w:rPr>
                                    <w:t>84</w:t>
                                  </w:r>
                                </w:p>
                              </w:tc>
                              <w:tc>
                                <w:tcPr>
                                  <w:tcW w:w="850" w:type="dxa"/>
                                  <w:tcBorders>
                                    <w:top w:val="single" w:sz="4" w:space="0" w:color="auto"/>
                                  </w:tcBorders>
                                  <w:shd w:val="clear" w:color="auto" w:fill="auto"/>
                                </w:tcPr>
                                <w:p w14:paraId="3236909F" w14:textId="77777777" w:rsidR="004550EF" w:rsidRPr="0055776F" w:rsidRDefault="004550EF" w:rsidP="000322A8">
                                  <w:pPr>
                                    <w:rPr>
                                      <w:rFonts w:ascii="Arial" w:hAnsi="Arial" w:cs="Arial"/>
                                      <w:sz w:val="20"/>
                                      <w:szCs w:val="20"/>
                                    </w:rPr>
                                  </w:pPr>
                                  <w:r w:rsidRPr="0055776F">
                                    <w:rPr>
                                      <w:rFonts w:ascii="Arial" w:hAnsi="Arial" w:cs="Arial"/>
                                      <w:sz w:val="20"/>
                                      <w:szCs w:val="20"/>
                                    </w:rPr>
                                    <w:t>115</w:t>
                                  </w:r>
                                </w:p>
                              </w:tc>
                            </w:tr>
                            <w:tr w:rsidR="004550EF" w:rsidRPr="0055776F" w14:paraId="323690A6" w14:textId="77777777" w:rsidTr="000322A8">
                              <w:tc>
                                <w:tcPr>
                                  <w:tcW w:w="817" w:type="dxa"/>
                                  <w:shd w:val="clear" w:color="auto" w:fill="auto"/>
                                </w:tcPr>
                                <w:p w14:paraId="323690A1"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A2" w14:textId="77777777" w:rsidR="004550EF" w:rsidRPr="0055776F" w:rsidRDefault="004550EF" w:rsidP="00E01A71">
                                  <w:pPr>
                                    <w:ind w:hanging="675"/>
                                    <w:rPr>
                                      <w:rFonts w:ascii="Arial" w:hAnsi="Arial" w:cs="Arial"/>
                                      <w:sz w:val="20"/>
                                      <w:szCs w:val="20"/>
                                    </w:rPr>
                                  </w:pPr>
                                  <w:r>
                                    <w:rPr>
                                      <w:rFonts w:ascii="Arial" w:hAnsi="Arial" w:cs="Arial"/>
                                      <w:sz w:val="20"/>
                                      <w:szCs w:val="20"/>
                                    </w:rPr>
                                    <w:t>(2) Imatinib 36 mes:</w:t>
                                  </w:r>
                                </w:p>
                              </w:tc>
                              <w:tc>
                                <w:tcPr>
                                  <w:tcW w:w="851" w:type="dxa"/>
                                  <w:tcBorders>
                                    <w:bottom w:val="single" w:sz="4" w:space="0" w:color="auto"/>
                                  </w:tcBorders>
                                  <w:shd w:val="clear" w:color="auto" w:fill="auto"/>
                                </w:tcPr>
                                <w:p w14:paraId="323690A3" w14:textId="77777777" w:rsidR="004550EF" w:rsidRPr="0055776F" w:rsidRDefault="004550EF" w:rsidP="000322A8">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323690A4" w14:textId="77777777" w:rsidR="004550EF" w:rsidRPr="0055776F" w:rsidRDefault="004550EF" w:rsidP="000322A8">
                                  <w:pPr>
                                    <w:rPr>
                                      <w:rFonts w:ascii="Arial" w:hAnsi="Arial" w:cs="Arial"/>
                                      <w:sz w:val="20"/>
                                      <w:szCs w:val="20"/>
                                    </w:rPr>
                                  </w:pPr>
                                  <w:r w:rsidRPr="0055776F">
                                    <w:rPr>
                                      <w:rFonts w:ascii="Arial" w:hAnsi="Arial" w:cs="Arial"/>
                                      <w:sz w:val="20"/>
                                      <w:szCs w:val="20"/>
                                    </w:rPr>
                                    <w:t>50</w:t>
                                  </w:r>
                                </w:p>
                              </w:tc>
                              <w:tc>
                                <w:tcPr>
                                  <w:tcW w:w="850" w:type="dxa"/>
                                  <w:tcBorders>
                                    <w:bottom w:val="single" w:sz="4" w:space="0" w:color="auto"/>
                                  </w:tcBorders>
                                  <w:shd w:val="clear" w:color="auto" w:fill="auto"/>
                                </w:tcPr>
                                <w:p w14:paraId="323690A5" w14:textId="77777777" w:rsidR="004550EF" w:rsidRPr="0055776F" w:rsidRDefault="004550EF" w:rsidP="000322A8">
                                  <w:pPr>
                                    <w:rPr>
                                      <w:rFonts w:ascii="Arial" w:hAnsi="Arial" w:cs="Arial"/>
                                      <w:sz w:val="20"/>
                                      <w:szCs w:val="20"/>
                                    </w:rPr>
                                  </w:pPr>
                                  <w:r w:rsidRPr="0055776F">
                                    <w:rPr>
                                      <w:rFonts w:ascii="Arial" w:hAnsi="Arial" w:cs="Arial"/>
                                      <w:sz w:val="20"/>
                                      <w:szCs w:val="20"/>
                                    </w:rPr>
                                    <w:t>148</w:t>
                                  </w:r>
                                </w:p>
                              </w:tc>
                            </w:tr>
                            <w:tr w:rsidR="004550EF" w:rsidRPr="0055776F" w14:paraId="323690AC" w14:textId="77777777" w:rsidTr="000322A8">
                              <w:tc>
                                <w:tcPr>
                                  <w:tcW w:w="817" w:type="dxa"/>
                                  <w:shd w:val="clear" w:color="auto" w:fill="auto"/>
                                </w:tcPr>
                                <w:p w14:paraId="323690A7"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A8" w14:textId="77777777" w:rsidR="004550EF" w:rsidRPr="0055776F" w:rsidRDefault="004550EF" w:rsidP="00E01A71">
                                  <w:pPr>
                                    <w:ind w:hanging="675"/>
                                    <w:rPr>
                                      <w:rFonts w:ascii="Arial" w:hAnsi="Arial" w:cs="Arial"/>
                                      <w:sz w:val="20"/>
                                      <w:szCs w:val="20"/>
                                    </w:rPr>
                                  </w:pPr>
                                  <w:r w:rsidRPr="0055776F">
                                    <w:rPr>
                                      <w:rFonts w:ascii="Arial" w:hAnsi="Arial" w:cs="Arial"/>
                                      <w:sz w:val="20"/>
                                      <w:szCs w:val="20"/>
                                    </w:rPr>
                                    <w:t>Cen</w:t>
                                  </w:r>
                                  <w:r>
                                    <w:rPr>
                                      <w:rFonts w:ascii="Arial" w:hAnsi="Arial" w:cs="Arial"/>
                                      <w:sz w:val="20"/>
                                      <w:szCs w:val="20"/>
                                    </w:rPr>
                                    <w:t>zorované pozorovania</w:t>
                                  </w:r>
                                </w:p>
                              </w:tc>
                              <w:tc>
                                <w:tcPr>
                                  <w:tcW w:w="851" w:type="dxa"/>
                                  <w:tcBorders>
                                    <w:top w:val="single" w:sz="4" w:space="0" w:color="auto"/>
                                  </w:tcBorders>
                                  <w:shd w:val="clear" w:color="auto" w:fill="auto"/>
                                </w:tcPr>
                                <w:p w14:paraId="323690A9" w14:textId="77777777" w:rsidR="004550EF" w:rsidRPr="0055776F" w:rsidRDefault="004550EF" w:rsidP="000322A8">
                                  <w:pPr>
                                    <w:rPr>
                                      <w:rFonts w:ascii="Arial" w:hAnsi="Arial" w:cs="Arial"/>
                                      <w:sz w:val="20"/>
                                      <w:szCs w:val="20"/>
                                    </w:rPr>
                                  </w:pPr>
                                </w:p>
                              </w:tc>
                              <w:tc>
                                <w:tcPr>
                                  <w:tcW w:w="709" w:type="dxa"/>
                                  <w:tcBorders>
                                    <w:top w:val="single" w:sz="4" w:space="0" w:color="auto"/>
                                  </w:tcBorders>
                                  <w:shd w:val="clear" w:color="auto" w:fill="auto"/>
                                </w:tcPr>
                                <w:p w14:paraId="323690AA" w14:textId="77777777" w:rsidR="004550EF" w:rsidRPr="0055776F" w:rsidRDefault="004550EF" w:rsidP="000322A8">
                                  <w:pPr>
                                    <w:rPr>
                                      <w:rFonts w:ascii="Arial" w:hAnsi="Arial" w:cs="Arial"/>
                                      <w:sz w:val="20"/>
                                      <w:szCs w:val="20"/>
                                    </w:rPr>
                                  </w:pPr>
                                </w:p>
                              </w:tc>
                              <w:tc>
                                <w:tcPr>
                                  <w:tcW w:w="850" w:type="dxa"/>
                                  <w:tcBorders>
                                    <w:top w:val="single" w:sz="4" w:space="0" w:color="auto"/>
                                  </w:tcBorders>
                                  <w:shd w:val="clear" w:color="auto" w:fill="auto"/>
                                </w:tcPr>
                                <w:p w14:paraId="323690AB" w14:textId="77777777" w:rsidR="004550EF" w:rsidRPr="0055776F" w:rsidRDefault="004550EF" w:rsidP="000322A8">
                                  <w:pPr>
                                    <w:rPr>
                                      <w:rFonts w:ascii="Arial" w:hAnsi="Arial" w:cs="Arial"/>
                                      <w:sz w:val="20"/>
                                      <w:szCs w:val="20"/>
                                    </w:rPr>
                                  </w:pPr>
                                </w:p>
                              </w:tc>
                            </w:tr>
                          </w:tbl>
                          <w:p w14:paraId="323690AD" w14:textId="77777777" w:rsidR="004550EF" w:rsidRPr="00A33DBA" w:rsidRDefault="004550EF" w:rsidP="00591A69">
                            <w:pPr>
                              <w:rPr>
                                <w:rFonts w:ascii="Arial" w:hAnsi="Arial" w:cs="Arial"/>
                                <w:sz w:val="20"/>
                                <w:szCs w:val="20"/>
                              </w:rPr>
                            </w:pPr>
                          </w:p>
                          <w:p w14:paraId="323690AE" w14:textId="77777777" w:rsidR="004550EF" w:rsidRPr="00A33DBA" w:rsidRDefault="004550EF" w:rsidP="00591A69">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69032" id="_x0000_s1033" type="#_x0000_t202" style="position:absolute;left:0;text-align:left;margin-left:27.6pt;margin-top:93.55pt;width:361.05pt;height:9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" filled="f" stroked="f">
                <v:textbox>
                  <w:txbxContent>
                    <w:tbl>
                      <w:tblPr>
                        <w:tblW w:w="0" w:type="auto"/>
                        <w:tblLook w:val="04A0" w:firstRow="1" w:lastRow="0" w:firstColumn="1" w:lastColumn="0" w:noHBand="0" w:noVBand="1"/>
                      </w:tblPr>
                      <w:tblGrid>
                        <w:gridCol w:w="984"/>
                        <w:gridCol w:w="2464"/>
                        <w:gridCol w:w="851"/>
                        <w:gridCol w:w="709"/>
                        <w:gridCol w:w="861"/>
                      </w:tblGrid>
                      <w:tr w:rsidR="004550EF" w:rsidRPr="0055776F" w14:paraId="32369094" w14:textId="77777777" w:rsidTr="007C2055">
                        <w:trPr>
                          <w:gridAfter w:val="3"/>
                          <w:wAfter w:w="2410" w:type="dxa"/>
                        </w:trPr>
                        <w:tc>
                          <w:tcPr>
                            <w:tcW w:w="3281" w:type="dxa"/>
                            <w:gridSpan w:val="2"/>
                            <w:shd w:val="clear" w:color="auto" w:fill="auto"/>
                          </w:tcPr>
                          <w:p w14:paraId="32369091" w14:textId="77777777" w:rsidR="004550EF" w:rsidRPr="0055776F" w:rsidRDefault="004550EF" w:rsidP="007C2055">
                            <w:pPr>
                              <w:rPr>
                                <w:rFonts w:ascii="Arial" w:hAnsi="Arial" w:cs="Arial"/>
                                <w:sz w:val="20"/>
                              </w:rPr>
                            </w:pPr>
                            <w:r>
                              <w:rPr>
                                <w:rFonts w:ascii="Arial" w:hAnsi="Arial" w:cs="Arial"/>
                                <w:sz w:val="20"/>
                              </w:rPr>
                              <w:t>P &lt; 0,0001</w:t>
                            </w:r>
                          </w:p>
                          <w:p w14:paraId="32369092" w14:textId="77777777" w:rsidR="004550EF" w:rsidRPr="0055776F" w:rsidRDefault="004550EF" w:rsidP="007C2055">
                            <w:pPr>
                              <w:rPr>
                                <w:rFonts w:ascii="Arial" w:hAnsi="Arial" w:cs="Arial"/>
                                <w:sz w:val="20"/>
                              </w:rPr>
                            </w:pPr>
                            <w:r>
                              <w:rPr>
                                <w:rFonts w:ascii="Arial" w:hAnsi="Arial" w:cs="Arial"/>
                                <w:sz w:val="20"/>
                              </w:rPr>
                              <w:t>Pomer rizika 0,</w:t>
                            </w:r>
                            <w:r w:rsidRPr="0055776F">
                              <w:rPr>
                                <w:rFonts w:ascii="Arial" w:hAnsi="Arial" w:cs="Arial"/>
                                <w:sz w:val="20"/>
                              </w:rPr>
                              <w:t>4</w:t>
                            </w:r>
                            <w:r>
                              <w:rPr>
                                <w:rFonts w:ascii="Arial" w:hAnsi="Arial" w:cs="Arial"/>
                                <w:sz w:val="20"/>
                              </w:rPr>
                              <w:t>6</w:t>
                            </w:r>
                          </w:p>
                          <w:p w14:paraId="32369093" w14:textId="77777777" w:rsidR="004550EF" w:rsidRPr="0055776F" w:rsidRDefault="004550EF" w:rsidP="007C2055">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4550EF" w:rsidRPr="0055776F" w14:paraId="3236909A" w14:textId="77777777" w:rsidTr="000322A8">
                        <w:tc>
                          <w:tcPr>
                            <w:tcW w:w="817" w:type="dxa"/>
                            <w:shd w:val="clear" w:color="auto" w:fill="auto"/>
                          </w:tcPr>
                          <w:p w14:paraId="32369095" w14:textId="77777777" w:rsidR="004550EF" w:rsidRPr="0055776F" w:rsidRDefault="004550EF" w:rsidP="000322A8">
                            <w:pPr>
                              <w:rPr>
                                <w:rFonts w:ascii="Arial" w:hAnsi="Arial" w:cs="Arial"/>
                                <w:sz w:val="20"/>
                                <w:szCs w:val="20"/>
                              </w:rPr>
                            </w:pPr>
                          </w:p>
                        </w:tc>
                        <w:tc>
                          <w:tcPr>
                            <w:tcW w:w="2464" w:type="dxa"/>
                            <w:shd w:val="clear" w:color="auto" w:fill="auto"/>
                          </w:tcPr>
                          <w:p w14:paraId="32369096" w14:textId="77777777" w:rsidR="004550EF" w:rsidRPr="0055776F" w:rsidRDefault="004550EF" w:rsidP="000322A8">
                            <w:pPr>
                              <w:rPr>
                                <w:rFonts w:ascii="Arial" w:hAnsi="Arial" w:cs="Arial"/>
                                <w:sz w:val="20"/>
                                <w:szCs w:val="20"/>
                              </w:rPr>
                            </w:pPr>
                          </w:p>
                        </w:tc>
                        <w:tc>
                          <w:tcPr>
                            <w:tcW w:w="851" w:type="dxa"/>
                            <w:tcBorders>
                              <w:bottom w:val="single" w:sz="4" w:space="0" w:color="auto"/>
                            </w:tcBorders>
                            <w:shd w:val="clear" w:color="auto" w:fill="auto"/>
                          </w:tcPr>
                          <w:p w14:paraId="32369097" w14:textId="77777777" w:rsidR="004550EF" w:rsidRPr="0055776F" w:rsidRDefault="004550EF" w:rsidP="000322A8">
                            <w:pPr>
                              <w:rPr>
                                <w:rFonts w:ascii="Arial" w:hAnsi="Arial" w:cs="Arial"/>
                                <w:sz w:val="20"/>
                                <w:szCs w:val="20"/>
                              </w:rPr>
                            </w:pPr>
                            <w:r w:rsidRPr="0055776F">
                              <w:rPr>
                                <w:rFonts w:ascii="Arial" w:hAnsi="Arial" w:cs="Arial"/>
                                <w:sz w:val="20"/>
                                <w:szCs w:val="20"/>
                                <w:lang w:val="de-DE"/>
                              </w:rPr>
                              <w:t>N</w:t>
                            </w:r>
                          </w:p>
                        </w:tc>
                        <w:tc>
                          <w:tcPr>
                            <w:tcW w:w="709" w:type="dxa"/>
                            <w:tcBorders>
                              <w:bottom w:val="single" w:sz="4" w:space="0" w:color="auto"/>
                            </w:tcBorders>
                            <w:shd w:val="clear" w:color="auto" w:fill="auto"/>
                          </w:tcPr>
                          <w:p w14:paraId="32369098" w14:textId="77777777" w:rsidR="004550EF" w:rsidRPr="0055776F" w:rsidRDefault="004550EF" w:rsidP="009F7365">
                            <w:pPr>
                              <w:rPr>
                                <w:rFonts w:ascii="Arial" w:hAnsi="Arial" w:cs="Arial"/>
                                <w:sz w:val="20"/>
                                <w:szCs w:val="20"/>
                              </w:rPr>
                            </w:pPr>
                            <w:r>
                              <w:rPr>
                                <w:rFonts w:ascii="Arial" w:hAnsi="Arial" w:cs="Arial"/>
                                <w:sz w:val="20"/>
                                <w:szCs w:val="20"/>
                                <w:lang w:val="de-DE"/>
                              </w:rPr>
                              <w:t>Udal</w:t>
                            </w:r>
                          </w:p>
                        </w:tc>
                        <w:tc>
                          <w:tcPr>
                            <w:tcW w:w="850" w:type="dxa"/>
                            <w:tcBorders>
                              <w:bottom w:val="single" w:sz="4" w:space="0" w:color="auto"/>
                            </w:tcBorders>
                            <w:shd w:val="clear" w:color="auto" w:fill="auto"/>
                          </w:tcPr>
                          <w:p w14:paraId="32369099" w14:textId="77777777" w:rsidR="004550EF" w:rsidRPr="0055776F" w:rsidRDefault="004550EF" w:rsidP="009F7365">
                            <w:pPr>
                              <w:rPr>
                                <w:rFonts w:ascii="Arial" w:hAnsi="Arial" w:cs="Arial"/>
                                <w:sz w:val="20"/>
                                <w:szCs w:val="20"/>
                              </w:rPr>
                            </w:pPr>
                            <w:r w:rsidRPr="0055776F">
                              <w:rPr>
                                <w:rFonts w:ascii="Arial" w:hAnsi="Arial" w:cs="Arial"/>
                                <w:sz w:val="20"/>
                                <w:szCs w:val="20"/>
                                <w:lang w:val="de-DE"/>
                              </w:rPr>
                              <w:t>Cen</w:t>
                            </w:r>
                            <w:r>
                              <w:rPr>
                                <w:rFonts w:ascii="Arial" w:hAnsi="Arial" w:cs="Arial"/>
                                <w:sz w:val="20"/>
                                <w:szCs w:val="20"/>
                                <w:lang w:val="de-DE"/>
                              </w:rPr>
                              <w:t>zor</w:t>
                            </w:r>
                          </w:p>
                        </w:tc>
                      </w:tr>
                      <w:tr w:rsidR="004550EF" w:rsidRPr="0055776F" w14:paraId="323690A0" w14:textId="77777777" w:rsidTr="000322A8">
                        <w:tc>
                          <w:tcPr>
                            <w:tcW w:w="817" w:type="dxa"/>
                            <w:shd w:val="clear" w:color="auto" w:fill="auto"/>
                          </w:tcPr>
                          <w:p w14:paraId="3236909B" w14:textId="77777777" w:rsidR="004550EF" w:rsidRPr="0055776F" w:rsidRDefault="004550EF" w:rsidP="000322A8">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3236909C" w14:textId="77777777" w:rsidR="004550EF" w:rsidRPr="0055776F" w:rsidRDefault="004550EF" w:rsidP="00E01A71">
                            <w:pPr>
                              <w:ind w:hanging="675"/>
                              <w:rPr>
                                <w:rFonts w:ascii="Arial" w:hAnsi="Arial" w:cs="Arial"/>
                                <w:sz w:val="20"/>
                                <w:szCs w:val="20"/>
                              </w:rPr>
                            </w:pPr>
                            <w:r>
                              <w:rPr>
                                <w:rFonts w:ascii="Arial" w:hAnsi="Arial" w:cs="Arial"/>
                                <w:sz w:val="20"/>
                                <w:szCs w:val="20"/>
                              </w:rPr>
                              <w:t>(1) Imatinib 12 mes:</w:t>
                            </w:r>
                          </w:p>
                        </w:tc>
                        <w:tc>
                          <w:tcPr>
                            <w:tcW w:w="851" w:type="dxa"/>
                            <w:tcBorders>
                              <w:top w:val="single" w:sz="4" w:space="0" w:color="auto"/>
                            </w:tcBorders>
                            <w:shd w:val="clear" w:color="auto" w:fill="auto"/>
                          </w:tcPr>
                          <w:p w14:paraId="3236909D" w14:textId="77777777" w:rsidR="004550EF" w:rsidRPr="0055776F" w:rsidRDefault="004550EF" w:rsidP="000322A8">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3236909E" w14:textId="77777777" w:rsidR="004550EF" w:rsidRPr="0055776F" w:rsidRDefault="004550EF" w:rsidP="000322A8">
                            <w:pPr>
                              <w:rPr>
                                <w:rFonts w:ascii="Arial" w:hAnsi="Arial" w:cs="Arial"/>
                                <w:sz w:val="20"/>
                                <w:szCs w:val="20"/>
                              </w:rPr>
                            </w:pPr>
                            <w:r w:rsidRPr="0055776F">
                              <w:rPr>
                                <w:rFonts w:ascii="Arial" w:hAnsi="Arial" w:cs="Arial"/>
                                <w:sz w:val="20"/>
                                <w:szCs w:val="20"/>
                              </w:rPr>
                              <w:t>84</w:t>
                            </w:r>
                          </w:p>
                        </w:tc>
                        <w:tc>
                          <w:tcPr>
                            <w:tcW w:w="850" w:type="dxa"/>
                            <w:tcBorders>
                              <w:top w:val="single" w:sz="4" w:space="0" w:color="auto"/>
                            </w:tcBorders>
                            <w:shd w:val="clear" w:color="auto" w:fill="auto"/>
                          </w:tcPr>
                          <w:p w14:paraId="3236909F" w14:textId="77777777" w:rsidR="004550EF" w:rsidRPr="0055776F" w:rsidRDefault="004550EF" w:rsidP="000322A8">
                            <w:pPr>
                              <w:rPr>
                                <w:rFonts w:ascii="Arial" w:hAnsi="Arial" w:cs="Arial"/>
                                <w:sz w:val="20"/>
                                <w:szCs w:val="20"/>
                              </w:rPr>
                            </w:pPr>
                            <w:r w:rsidRPr="0055776F">
                              <w:rPr>
                                <w:rFonts w:ascii="Arial" w:hAnsi="Arial" w:cs="Arial"/>
                                <w:sz w:val="20"/>
                                <w:szCs w:val="20"/>
                              </w:rPr>
                              <w:t>115</w:t>
                            </w:r>
                          </w:p>
                        </w:tc>
                      </w:tr>
                      <w:tr w:rsidR="004550EF" w:rsidRPr="0055776F" w14:paraId="323690A6" w14:textId="77777777" w:rsidTr="000322A8">
                        <w:tc>
                          <w:tcPr>
                            <w:tcW w:w="817" w:type="dxa"/>
                            <w:shd w:val="clear" w:color="auto" w:fill="auto"/>
                          </w:tcPr>
                          <w:p w14:paraId="323690A1"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A2" w14:textId="77777777" w:rsidR="004550EF" w:rsidRPr="0055776F" w:rsidRDefault="004550EF" w:rsidP="00E01A71">
                            <w:pPr>
                              <w:ind w:hanging="675"/>
                              <w:rPr>
                                <w:rFonts w:ascii="Arial" w:hAnsi="Arial" w:cs="Arial"/>
                                <w:sz w:val="20"/>
                                <w:szCs w:val="20"/>
                              </w:rPr>
                            </w:pPr>
                            <w:r>
                              <w:rPr>
                                <w:rFonts w:ascii="Arial" w:hAnsi="Arial" w:cs="Arial"/>
                                <w:sz w:val="20"/>
                                <w:szCs w:val="20"/>
                              </w:rPr>
                              <w:t>(2) Imatinib 36 mes:</w:t>
                            </w:r>
                          </w:p>
                        </w:tc>
                        <w:tc>
                          <w:tcPr>
                            <w:tcW w:w="851" w:type="dxa"/>
                            <w:tcBorders>
                              <w:bottom w:val="single" w:sz="4" w:space="0" w:color="auto"/>
                            </w:tcBorders>
                            <w:shd w:val="clear" w:color="auto" w:fill="auto"/>
                          </w:tcPr>
                          <w:p w14:paraId="323690A3" w14:textId="77777777" w:rsidR="004550EF" w:rsidRPr="0055776F" w:rsidRDefault="004550EF" w:rsidP="000322A8">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323690A4" w14:textId="77777777" w:rsidR="004550EF" w:rsidRPr="0055776F" w:rsidRDefault="004550EF" w:rsidP="000322A8">
                            <w:pPr>
                              <w:rPr>
                                <w:rFonts w:ascii="Arial" w:hAnsi="Arial" w:cs="Arial"/>
                                <w:sz w:val="20"/>
                                <w:szCs w:val="20"/>
                              </w:rPr>
                            </w:pPr>
                            <w:r w:rsidRPr="0055776F">
                              <w:rPr>
                                <w:rFonts w:ascii="Arial" w:hAnsi="Arial" w:cs="Arial"/>
                                <w:sz w:val="20"/>
                                <w:szCs w:val="20"/>
                              </w:rPr>
                              <w:t>50</w:t>
                            </w:r>
                          </w:p>
                        </w:tc>
                        <w:tc>
                          <w:tcPr>
                            <w:tcW w:w="850" w:type="dxa"/>
                            <w:tcBorders>
                              <w:bottom w:val="single" w:sz="4" w:space="0" w:color="auto"/>
                            </w:tcBorders>
                            <w:shd w:val="clear" w:color="auto" w:fill="auto"/>
                          </w:tcPr>
                          <w:p w14:paraId="323690A5" w14:textId="77777777" w:rsidR="004550EF" w:rsidRPr="0055776F" w:rsidRDefault="004550EF" w:rsidP="000322A8">
                            <w:pPr>
                              <w:rPr>
                                <w:rFonts w:ascii="Arial" w:hAnsi="Arial" w:cs="Arial"/>
                                <w:sz w:val="20"/>
                                <w:szCs w:val="20"/>
                              </w:rPr>
                            </w:pPr>
                            <w:r w:rsidRPr="0055776F">
                              <w:rPr>
                                <w:rFonts w:ascii="Arial" w:hAnsi="Arial" w:cs="Arial"/>
                                <w:sz w:val="20"/>
                                <w:szCs w:val="20"/>
                              </w:rPr>
                              <w:t>148</w:t>
                            </w:r>
                          </w:p>
                        </w:tc>
                      </w:tr>
                      <w:tr w:rsidR="004550EF" w:rsidRPr="0055776F" w14:paraId="323690AC" w14:textId="77777777" w:rsidTr="000322A8">
                        <w:tc>
                          <w:tcPr>
                            <w:tcW w:w="817" w:type="dxa"/>
                            <w:shd w:val="clear" w:color="auto" w:fill="auto"/>
                          </w:tcPr>
                          <w:p w14:paraId="323690A7"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A8" w14:textId="77777777" w:rsidR="004550EF" w:rsidRPr="0055776F" w:rsidRDefault="004550EF" w:rsidP="00E01A71">
                            <w:pPr>
                              <w:ind w:hanging="675"/>
                              <w:rPr>
                                <w:rFonts w:ascii="Arial" w:hAnsi="Arial" w:cs="Arial"/>
                                <w:sz w:val="20"/>
                                <w:szCs w:val="20"/>
                              </w:rPr>
                            </w:pPr>
                            <w:r w:rsidRPr="0055776F">
                              <w:rPr>
                                <w:rFonts w:ascii="Arial" w:hAnsi="Arial" w:cs="Arial"/>
                                <w:sz w:val="20"/>
                                <w:szCs w:val="20"/>
                              </w:rPr>
                              <w:t>Cen</w:t>
                            </w:r>
                            <w:r>
                              <w:rPr>
                                <w:rFonts w:ascii="Arial" w:hAnsi="Arial" w:cs="Arial"/>
                                <w:sz w:val="20"/>
                                <w:szCs w:val="20"/>
                              </w:rPr>
                              <w:t>zorované pozorovania</w:t>
                            </w:r>
                          </w:p>
                        </w:tc>
                        <w:tc>
                          <w:tcPr>
                            <w:tcW w:w="851" w:type="dxa"/>
                            <w:tcBorders>
                              <w:top w:val="single" w:sz="4" w:space="0" w:color="auto"/>
                            </w:tcBorders>
                            <w:shd w:val="clear" w:color="auto" w:fill="auto"/>
                          </w:tcPr>
                          <w:p w14:paraId="323690A9" w14:textId="77777777" w:rsidR="004550EF" w:rsidRPr="0055776F" w:rsidRDefault="004550EF" w:rsidP="000322A8">
                            <w:pPr>
                              <w:rPr>
                                <w:rFonts w:ascii="Arial" w:hAnsi="Arial" w:cs="Arial"/>
                                <w:sz w:val="20"/>
                                <w:szCs w:val="20"/>
                              </w:rPr>
                            </w:pPr>
                          </w:p>
                        </w:tc>
                        <w:tc>
                          <w:tcPr>
                            <w:tcW w:w="709" w:type="dxa"/>
                            <w:tcBorders>
                              <w:top w:val="single" w:sz="4" w:space="0" w:color="auto"/>
                            </w:tcBorders>
                            <w:shd w:val="clear" w:color="auto" w:fill="auto"/>
                          </w:tcPr>
                          <w:p w14:paraId="323690AA" w14:textId="77777777" w:rsidR="004550EF" w:rsidRPr="0055776F" w:rsidRDefault="004550EF" w:rsidP="000322A8">
                            <w:pPr>
                              <w:rPr>
                                <w:rFonts w:ascii="Arial" w:hAnsi="Arial" w:cs="Arial"/>
                                <w:sz w:val="20"/>
                                <w:szCs w:val="20"/>
                              </w:rPr>
                            </w:pPr>
                          </w:p>
                        </w:tc>
                        <w:tc>
                          <w:tcPr>
                            <w:tcW w:w="850" w:type="dxa"/>
                            <w:tcBorders>
                              <w:top w:val="single" w:sz="4" w:space="0" w:color="auto"/>
                            </w:tcBorders>
                            <w:shd w:val="clear" w:color="auto" w:fill="auto"/>
                          </w:tcPr>
                          <w:p w14:paraId="323690AB" w14:textId="77777777" w:rsidR="004550EF" w:rsidRPr="0055776F" w:rsidRDefault="004550EF" w:rsidP="000322A8">
                            <w:pPr>
                              <w:rPr>
                                <w:rFonts w:ascii="Arial" w:hAnsi="Arial" w:cs="Arial"/>
                                <w:sz w:val="20"/>
                                <w:szCs w:val="20"/>
                              </w:rPr>
                            </w:pPr>
                          </w:p>
                        </w:tc>
                      </w:tr>
                    </w:tbl>
                    <w:p w14:paraId="323690AD" w14:textId="77777777" w:rsidR="004550EF" w:rsidRPr="00A33DBA" w:rsidRDefault="004550EF" w:rsidP="00591A69">
                      <w:pPr>
                        <w:rPr>
                          <w:rFonts w:ascii="Arial" w:hAnsi="Arial" w:cs="Arial"/>
                          <w:sz w:val="20"/>
                          <w:szCs w:val="20"/>
                        </w:rPr>
                      </w:pPr>
                    </w:p>
                    <w:p w14:paraId="323690AE" w14:textId="77777777" w:rsidR="004550EF" w:rsidRPr="00A33DBA" w:rsidRDefault="004550EF" w:rsidP="00591A69">
                      <w:pPr>
                        <w:rPr>
                          <w:rFonts w:ascii="Arial" w:hAnsi="Arial" w:cs="Arial"/>
                          <w:sz w:val="20"/>
                          <w:szCs w:val="20"/>
                        </w:rPr>
                      </w:pPr>
                    </w:p>
                  </w:txbxContent>
                </v:textbox>
              </v:shape>
            </w:pict>
          </mc:Fallback>
        </mc:AlternateContent>
      </w:r>
      <w:r w:rsidRPr="00C83045">
        <w:rPr>
          <w:noProof/>
          <w:lang w:val="en-US" w:eastAsia="en-US"/>
        </w:rPr>
        <w:drawing>
          <wp:inline distT="0" distB="0" distL="0" distR="0" wp14:anchorId="32369034" wp14:editId="32369035">
            <wp:extent cx="5937885" cy="267779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2677795"/>
                    </a:xfrm>
                    <a:prstGeom prst="rect">
                      <a:avLst/>
                    </a:prstGeom>
                    <a:noFill/>
                    <a:ln>
                      <a:noFill/>
                    </a:ln>
                  </pic:spPr>
                </pic:pic>
              </a:graphicData>
            </a:graphic>
          </wp:inline>
        </w:drawing>
      </w:r>
    </w:p>
    <w:p w14:paraId="3236863E" w14:textId="77777777" w:rsidR="00591A69" w:rsidRPr="00C83045" w:rsidRDefault="00DF0316" w:rsidP="00D4304B">
      <w:pPr>
        <w:keepNext/>
        <w:keepLines/>
        <w:widowControl w:val="0"/>
        <w:rPr>
          <w:rFonts w:eastAsia="MS Mincho"/>
          <w:szCs w:val="22"/>
          <w:lang w:val="en-US"/>
        </w:rPr>
      </w:pPr>
      <w:r w:rsidRPr="00C83045">
        <w:rPr>
          <w:rFonts w:eastAsia="MS Mincho"/>
          <w:noProof/>
          <w:szCs w:val="22"/>
          <w:lang w:val="en-US" w:eastAsia="en-US"/>
        </w:rPr>
        <mc:AlternateContent>
          <mc:Choice Requires="wps">
            <w:drawing>
              <wp:anchor distT="0" distB="0" distL="114300" distR="114300" simplePos="0" relativeHeight="251661312" behindDoc="0" locked="0" layoutInCell="1" allowOverlap="1" wp14:anchorId="32369036" wp14:editId="32369037">
                <wp:simplePos x="0" y="0"/>
                <wp:positionH relativeFrom="column">
                  <wp:posOffset>2177415</wp:posOffset>
                </wp:positionH>
                <wp:positionV relativeFrom="paragraph">
                  <wp:posOffset>37465</wp:posOffset>
                </wp:positionV>
                <wp:extent cx="1873885" cy="278765"/>
                <wp:effectExtent l="5715" t="8890" r="6350" b="76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885" cy="2787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3690AF" w14:textId="77777777" w:rsidR="004550EF" w:rsidRPr="00A33DBA" w:rsidRDefault="004550EF" w:rsidP="00591A69">
                            <w:pPr>
                              <w:rPr>
                                <w:rFonts w:ascii="Arial" w:hAnsi="Arial" w:cs="Arial"/>
                                <w:sz w:val="20"/>
                                <w:szCs w:val="20"/>
                              </w:rPr>
                            </w:pPr>
                            <w:r>
                              <w:rPr>
                                <w:rFonts w:ascii="Arial" w:hAnsi="Arial" w:cs="Arial"/>
                                <w:sz w:val="20"/>
                                <w:szCs w:val="20"/>
                                <w:lang w:val="de-DE"/>
                              </w:rPr>
                              <w:t>Čas prežívania v mesiacoch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69036" id="_x0000_s1034" type="#_x0000_t202" style="position:absolute;left:0;text-align:left;margin-left:171.45pt;margin-top:2.95pt;width:147.55pt;height:2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" stroked="f">
                <v:fill opacity="0"/>
                <v:textbox>
                  <w:txbxContent>
                    <w:p w14:paraId="323690AF" w14:textId="77777777" w:rsidR="004550EF" w:rsidRPr="00A33DBA" w:rsidRDefault="004550EF" w:rsidP="00591A69">
                      <w:pPr>
                        <w:rPr>
                          <w:rFonts w:ascii="Arial" w:hAnsi="Arial" w:cs="Arial"/>
                          <w:sz w:val="20"/>
                          <w:szCs w:val="20"/>
                        </w:rPr>
                      </w:pPr>
                      <w:r>
                        <w:rPr>
                          <w:rFonts w:ascii="Arial" w:hAnsi="Arial" w:cs="Arial"/>
                          <w:sz w:val="20"/>
                          <w:szCs w:val="20"/>
                          <w:lang w:val="de-DE"/>
                        </w:rPr>
                        <w:t>Čas prežívania v mesiacoch</w:t>
                      </w:r>
                    </w:p>
                  </w:txbxContent>
                </v:textbox>
              </v:shape>
            </w:pict>
          </mc:Fallback>
        </mc:AlternateContent>
      </w:r>
    </w:p>
    <w:p w14:paraId="3236863F" w14:textId="77777777" w:rsidR="00591A69" w:rsidRPr="00C83045" w:rsidRDefault="00591A69" w:rsidP="00D4304B">
      <w:pPr>
        <w:keepNext/>
        <w:keepLines/>
        <w:widowControl w:val="0"/>
        <w:ind w:left="0" w:firstLine="0"/>
        <w:rPr>
          <w:noProof/>
          <w:sz w:val="24"/>
          <w:lang w:val="en-US" w:eastAsia="en-US"/>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591A69" w:rsidRPr="00C83045" w14:paraId="32368641" w14:textId="77777777" w:rsidTr="00BC13B5">
        <w:tc>
          <w:tcPr>
            <w:tcW w:w="10599" w:type="dxa"/>
            <w:gridSpan w:val="16"/>
            <w:shd w:val="clear" w:color="auto" w:fill="auto"/>
          </w:tcPr>
          <w:p w14:paraId="32368640" w14:textId="77777777" w:rsidR="00591A69" w:rsidRPr="00C83045" w:rsidRDefault="00591A69" w:rsidP="00D4304B">
            <w:pPr>
              <w:keepNext/>
              <w:keepLines/>
              <w:widowControl w:val="0"/>
              <w:ind w:left="-27" w:firstLine="0"/>
              <w:rPr>
                <w:rFonts w:ascii="Arial" w:hAnsi="Arial" w:cs="Arial"/>
                <w:sz w:val="16"/>
                <w:szCs w:val="16"/>
                <w:lang w:val="en-US" w:eastAsia="en-US"/>
              </w:rPr>
            </w:pPr>
            <w:r w:rsidRPr="00C83045">
              <w:rPr>
                <w:rFonts w:ascii="Arial" w:hAnsi="Arial" w:cs="Arial"/>
                <w:sz w:val="20"/>
                <w:szCs w:val="20"/>
                <w:lang w:val="en-US" w:eastAsia="en-US"/>
              </w:rPr>
              <w:t>V riziku : udalosti</w:t>
            </w:r>
          </w:p>
        </w:tc>
      </w:tr>
      <w:tr w:rsidR="00591A69" w:rsidRPr="00C83045" w14:paraId="32368652" w14:textId="77777777" w:rsidTr="00BC13B5">
        <w:tc>
          <w:tcPr>
            <w:tcW w:w="450" w:type="dxa"/>
            <w:shd w:val="clear" w:color="auto" w:fill="auto"/>
          </w:tcPr>
          <w:p w14:paraId="32368642" w14:textId="77777777" w:rsidR="00591A69" w:rsidRPr="00C83045" w:rsidRDefault="00591A69" w:rsidP="00D4304B">
            <w:pPr>
              <w:keepNext/>
              <w:keepLines/>
              <w:widowControl w:val="0"/>
              <w:ind w:left="0" w:firstLine="0"/>
              <w:rPr>
                <w:sz w:val="20"/>
                <w:szCs w:val="20"/>
                <w:lang w:val="en-US" w:eastAsia="en-US"/>
              </w:rPr>
            </w:pPr>
            <w:r w:rsidRPr="00C83045">
              <w:rPr>
                <w:sz w:val="20"/>
                <w:szCs w:val="20"/>
                <w:lang w:val="en-US" w:eastAsia="en-US"/>
              </w:rPr>
              <w:t>(1)</w:t>
            </w:r>
          </w:p>
        </w:tc>
        <w:tc>
          <w:tcPr>
            <w:tcW w:w="646" w:type="dxa"/>
            <w:shd w:val="clear" w:color="auto" w:fill="auto"/>
          </w:tcPr>
          <w:p w14:paraId="32368643"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199:0</w:t>
            </w:r>
          </w:p>
        </w:tc>
        <w:tc>
          <w:tcPr>
            <w:tcW w:w="645" w:type="dxa"/>
            <w:shd w:val="clear" w:color="auto" w:fill="auto"/>
          </w:tcPr>
          <w:p w14:paraId="32368644"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182:8</w:t>
            </w:r>
          </w:p>
        </w:tc>
        <w:tc>
          <w:tcPr>
            <w:tcW w:w="745" w:type="dxa"/>
            <w:shd w:val="clear" w:color="auto" w:fill="auto"/>
          </w:tcPr>
          <w:p w14:paraId="32368645"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177:12</w:t>
            </w:r>
          </w:p>
        </w:tc>
        <w:tc>
          <w:tcPr>
            <w:tcW w:w="745" w:type="dxa"/>
            <w:shd w:val="clear" w:color="auto" w:fill="auto"/>
          </w:tcPr>
          <w:p w14:paraId="32368646"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163:25</w:t>
            </w:r>
          </w:p>
        </w:tc>
        <w:tc>
          <w:tcPr>
            <w:tcW w:w="745" w:type="dxa"/>
            <w:shd w:val="clear" w:color="auto" w:fill="auto"/>
          </w:tcPr>
          <w:p w14:paraId="32368647"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137:46</w:t>
            </w:r>
          </w:p>
        </w:tc>
        <w:tc>
          <w:tcPr>
            <w:tcW w:w="752" w:type="dxa"/>
            <w:shd w:val="clear" w:color="auto" w:fill="auto"/>
          </w:tcPr>
          <w:p w14:paraId="32368648"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105:65</w:t>
            </w:r>
          </w:p>
        </w:tc>
        <w:tc>
          <w:tcPr>
            <w:tcW w:w="745" w:type="dxa"/>
            <w:shd w:val="clear" w:color="auto" w:fill="auto"/>
          </w:tcPr>
          <w:p w14:paraId="32368649"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88:72</w:t>
            </w:r>
          </w:p>
        </w:tc>
        <w:tc>
          <w:tcPr>
            <w:tcW w:w="745" w:type="dxa"/>
            <w:shd w:val="clear" w:color="auto" w:fill="auto"/>
          </w:tcPr>
          <w:p w14:paraId="3236864A"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61:77</w:t>
            </w:r>
          </w:p>
        </w:tc>
        <w:tc>
          <w:tcPr>
            <w:tcW w:w="652" w:type="dxa"/>
            <w:shd w:val="clear" w:color="auto" w:fill="auto"/>
          </w:tcPr>
          <w:p w14:paraId="3236864B"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49:81</w:t>
            </w:r>
          </w:p>
        </w:tc>
        <w:tc>
          <w:tcPr>
            <w:tcW w:w="652" w:type="dxa"/>
            <w:shd w:val="clear" w:color="auto" w:fill="auto"/>
          </w:tcPr>
          <w:p w14:paraId="3236864C"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36:83</w:t>
            </w:r>
          </w:p>
        </w:tc>
        <w:tc>
          <w:tcPr>
            <w:tcW w:w="649" w:type="dxa"/>
            <w:shd w:val="clear" w:color="auto" w:fill="auto"/>
          </w:tcPr>
          <w:p w14:paraId="3236864D"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27:84</w:t>
            </w:r>
          </w:p>
        </w:tc>
        <w:tc>
          <w:tcPr>
            <w:tcW w:w="660" w:type="dxa"/>
            <w:shd w:val="clear" w:color="auto" w:fill="auto"/>
          </w:tcPr>
          <w:p w14:paraId="3236864E"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14:84</w:t>
            </w:r>
          </w:p>
        </w:tc>
        <w:tc>
          <w:tcPr>
            <w:tcW w:w="649" w:type="dxa"/>
            <w:shd w:val="clear" w:color="auto" w:fill="auto"/>
          </w:tcPr>
          <w:p w14:paraId="3236864F"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10:84</w:t>
            </w:r>
          </w:p>
        </w:tc>
        <w:tc>
          <w:tcPr>
            <w:tcW w:w="564" w:type="dxa"/>
            <w:shd w:val="clear" w:color="auto" w:fill="auto"/>
          </w:tcPr>
          <w:p w14:paraId="32368650"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2:84</w:t>
            </w:r>
          </w:p>
        </w:tc>
        <w:tc>
          <w:tcPr>
            <w:tcW w:w="555" w:type="dxa"/>
            <w:shd w:val="clear" w:color="auto" w:fill="auto"/>
          </w:tcPr>
          <w:p w14:paraId="32368651"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0:84</w:t>
            </w:r>
          </w:p>
        </w:tc>
      </w:tr>
      <w:tr w:rsidR="00591A69" w:rsidRPr="00C83045" w14:paraId="32368663" w14:textId="77777777" w:rsidTr="00BC13B5">
        <w:tc>
          <w:tcPr>
            <w:tcW w:w="450" w:type="dxa"/>
            <w:shd w:val="clear" w:color="auto" w:fill="auto"/>
          </w:tcPr>
          <w:p w14:paraId="32368653" w14:textId="77777777" w:rsidR="00591A69" w:rsidRPr="00C83045" w:rsidRDefault="00591A69" w:rsidP="00D4304B">
            <w:pPr>
              <w:keepNext/>
              <w:keepLines/>
              <w:widowControl w:val="0"/>
              <w:ind w:left="0" w:firstLine="0"/>
              <w:rPr>
                <w:sz w:val="20"/>
                <w:szCs w:val="20"/>
                <w:lang w:val="en-US" w:eastAsia="en-US"/>
              </w:rPr>
            </w:pPr>
            <w:r w:rsidRPr="00C83045">
              <w:rPr>
                <w:sz w:val="20"/>
                <w:szCs w:val="20"/>
                <w:lang w:val="en-US" w:eastAsia="en-US"/>
              </w:rPr>
              <w:t>(2)</w:t>
            </w:r>
          </w:p>
        </w:tc>
        <w:tc>
          <w:tcPr>
            <w:tcW w:w="646" w:type="dxa"/>
            <w:shd w:val="clear" w:color="auto" w:fill="auto"/>
          </w:tcPr>
          <w:p w14:paraId="32368654"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198:0</w:t>
            </w:r>
          </w:p>
        </w:tc>
        <w:tc>
          <w:tcPr>
            <w:tcW w:w="645" w:type="dxa"/>
            <w:shd w:val="clear" w:color="auto" w:fill="auto"/>
          </w:tcPr>
          <w:p w14:paraId="32368655"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189:5</w:t>
            </w:r>
          </w:p>
        </w:tc>
        <w:tc>
          <w:tcPr>
            <w:tcW w:w="745" w:type="dxa"/>
            <w:shd w:val="clear" w:color="auto" w:fill="auto"/>
          </w:tcPr>
          <w:p w14:paraId="32368656"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184:8</w:t>
            </w:r>
          </w:p>
        </w:tc>
        <w:tc>
          <w:tcPr>
            <w:tcW w:w="745" w:type="dxa"/>
            <w:shd w:val="clear" w:color="auto" w:fill="auto"/>
          </w:tcPr>
          <w:p w14:paraId="32368657"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181:11</w:t>
            </w:r>
          </w:p>
        </w:tc>
        <w:tc>
          <w:tcPr>
            <w:tcW w:w="745" w:type="dxa"/>
            <w:shd w:val="clear" w:color="auto" w:fill="auto"/>
          </w:tcPr>
          <w:p w14:paraId="32368658"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173:18</w:t>
            </w:r>
          </w:p>
        </w:tc>
        <w:tc>
          <w:tcPr>
            <w:tcW w:w="752" w:type="dxa"/>
            <w:shd w:val="clear" w:color="auto" w:fill="auto"/>
          </w:tcPr>
          <w:p w14:paraId="32368659"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152:22</w:t>
            </w:r>
          </w:p>
        </w:tc>
        <w:tc>
          <w:tcPr>
            <w:tcW w:w="745" w:type="dxa"/>
            <w:shd w:val="clear" w:color="auto" w:fill="auto"/>
          </w:tcPr>
          <w:p w14:paraId="3236865A"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133:25</w:t>
            </w:r>
          </w:p>
        </w:tc>
        <w:tc>
          <w:tcPr>
            <w:tcW w:w="745" w:type="dxa"/>
            <w:shd w:val="clear" w:color="auto" w:fill="auto"/>
          </w:tcPr>
          <w:p w14:paraId="3236865B"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102:29</w:t>
            </w:r>
          </w:p>
        </w:tc>
        <w:tc>
          <w:tcPr>
            <w:tcW w:w="652" w:type="dxa"/>
            <w:shd w:val="clear" w:color="auto" w:fill="auto"/>
          </w:tcPr>
          <w:p w14:paraId="3236865C"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82:35</w:t>
            </w:r>
          </w:p>
        </w:tc>
        <w:tc>
          <w:tcPr>
            <w:tcW w:w="652" w:type="dxa"/>
            <w:shd w:val="clear" w:color="auto" w:fill="auto"/>
          </w:tcPr>
          <w:p w14:paraId="3236865D"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54:46</w:t>
            </w:r>
          </w:p>
        </w:tc>
        <w:tc>
          <w:tcPr>
            <w:tcW w:w="649" w:type="dxa"/>
            <w:shd w:val="clear" w:color="auto" w:fill="auto"/>
          </w:tcPr>
          <w:p w14:paraId="3236865E"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39:47</w:t>
            </w:r>
          </w:p>
        </w:tc>
        <w:tc>
          <w:tcPr>
            <w:tcW w:w="660" w:type="dxa"/>
            <w:shd w:val="clear" w:color="auto" w:fill="auto"/>
          </w:tcPr>
          <w:p w14:paraId="3236865F"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21:49</w:t>
            </w:r>
          </w:p>
        </w:tc>
        <w:tc>
          <w:tcPr>
            <w:tcW w:w="649" w:type="dxa"/>
            <w:shd w:val="clear" w:color="auto" w:fill="auto"/>
          </w:tcPr>
          <w:p w14:paraId="32368660"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8:50</w:t>
            </w:r>
          </w:p>
        </w:tc>
        <w:tc>
          <w:tcPr>
            <w:tcW w:w="564" w:type="dxa"/>
            <w:shd w:val="clear" w:color="auto" w:fill="auto"/>
          </w:tcPr>
          <w:p w14:paraId="32368661" w14:textId="77777777" w:rsidR="00591A69" w:rsidRPr="00C83045" w:rsidRDefault="00591A69" w:rsidP="00D4304B">
            <w:pPr>
              <w:keepNext/>
              <w:keepLines/>
              <w:widowControl w:val="0"/>
              <w:ind w:left="-27" w:firstLine="0"/>
              <w:rPr>
                <w:sz w:val="20"/>
                <w:szCs w:val="20"/>
                <w:lang w:val="en-US" w:eastAsia="en-US"/>
              </w:rPr>
            </w:pPr>
            <w:r w:rsidRPr="00C83045">
              <w:rPr>
                <w:sz w:val="20"/>
                <w:szCs w:val="20"/>
                <w:lang w:val="en-US" w:eastAsia="en-US"/>
              </w:rPr>
              <w:t>0:50</w:t>
            </w:r>
          </w:p>
        </w:tc>
        <w:tc>
          <w:tcPr>
            <w:tcW w:w="555" w:type="dxa"/>
            <w:shd w:val="clear" w:color="auto" w:fill="auto"/>
          </w:tcPr>
          <w:p w14:paraId="32368662" w14:textId="77777777" w:rsidR="00591A69" w:rsidRPr="00C83045" w:rsidRDefault="00591A69" w:rsidP="00D4304B">
            <w:pPr>
              <w:keepNext/>
              <w:keepLines/>
              <w:widowControl w:val="0"/>
              <w:ind w:left="-27" w:firstLine="0"/>
              <w:rPr>
                <w:sz w:val="20"/>
                <w:szCs w:val="20"/>
                <w:lang w:val="en-US" w:eastAsia="en-US"/>
              </w:rPr>
            </w:pPr>
          </w:p>
        </w:tc>
      </w:tr>
    </w:tbl>
    <w:p w14:paraId="32368664" w14:textId="77777777" w:rsidR="00591A69" w:rsidRPr="00C83045" w:rsidRDefault="00591A69" w:rsidP="00D4304B">
      <w:pPr>
        <w:widowControl w:val="0"/>
        <w:rPr>
          <w:rFonts w:eastAsia="MS Mincho"/>
          <w:szCs w:val="22"/>
          <w:lang w:val="en-US"/>
        </w:rPr>
      </w:pPr>
    </w:p>
    <w:p w14:paraId="32368665" w14:textId="77777777" w:rsidR="00591A69" w:rsidRPr="00C83045" w:rsidRDefault="00591A69" w:rsidP="00D4304B">
      <w:pPr>
        <w:keepNext/>
        <w:keepLines/>
        <w:widowControl w:val="0"/>
        <w:ind w:left="1134" w:hanging="1134"/>
        <w:outlineLvl w:val="6"/>
        <w:rPr>
          <w:rFonts w:eastAsia="MS Mincho"/>
          <w:b/>
          <w:szCs w:val="22"/>
        </w:rPr>
      </w:pPr>
      <w:r w:rsidRPr="00C83045">
        <w:rPr>
          <w:rFonts w:eastAsia="MS Mincho"/>
          <w:b/>
          <w:szCs w:val="22"/>
        </w:rPr>
        <w:t>Obrázok 2</w:t>
      </w:r>
      <w:r w:rsidRPr="00C83045">
        <w:rPr>
          <w:rFonts w:eastAsia="MS Mincho"/>
          <w:b/>
          <w:szCs w:val="22"/>
        </w:rPr>
        <w:tab/>
        <w:t>Odhady celkového prežívania podľa Kaplana-Meiera (populácia ITT)</w:t>
      </w:r>
    </w:p>
    <w:p w14:paraId="32368666" w14:textId="77777777" w:rsidR="00591A69" w:rsidRPr="00C83045" w:rsidRDefault="00591A69" w:rsidP="00D4304B">
      <w:pPr>
        <w:keepNext/>
        <w:keepLines/>
        <w:widowControl w:val="0"/>
        <w:rPr>
          <w:rFonts w:eastAsia="MS Mincho"/>
          <w:szCs w:val="22"/>
        </w:rPr>
      </w:pPr>
    </w:p>
    <w:p w14:paraId="32368667" w14:textId="77777777" w:rsidR="00591A69" w:rsidRPr="00C83045" w:rsidRDefault="00DF0316" w:rsidP="00D4304B">
      <w:pPr>
        <w:keepNext/>
        <w:keepLines/>
        <w:widowControl w:val="0"/>
        <w:rPr>
          <w:rFonts w:eastAsia="MS Mincho"/>
          <w:szCs w:val="22"/>
          <w:lang w:val="en-US"/>
        </w:rPr>
      </w:pPr>
      <w:r w:rsidRPr="00C83045">
        <w:rPr>
          <w:noProof/>
          <w:lang w:val="en-US" w:eastAsia="en-US"/>
        </w:rPr>
        <mc:AlternateContent>
          <mc:Choice Requires="wps">
            <w:drawing>
              <wp:anchor distT="0" distB="0" distL="114300" distR="114300" simplePos="0" relativeHeight="251662336" behindDoc="0" locked="0" layoutInCell="1" allowOverlap="1" wp14:anchorId="32369038" wp14:editId="32369039">
                <wp:simplePos x="0" y="0"/>
                <wp:positionH relativeFrom="column">
                  <wp:posOffset>-255270</wp:posOffset>
                </wp:positionH>
                <wp:positionV relativeFrom="paragraph">
                  <wp:posOffset>71755</wp:posOffset>
                </wp:positionV>
                <wp:extent cx="402590" cy="2357755"/>
                <wp:effectExtent l="1905" t="5080" r="508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23577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3690B0" w14:textId="77777777" w:rsidR="004550EF" w:rsidRPr="00A33DBA" w:rsidRDefault="004550EF" w:rsidP="00591A69">
                            <w:pPr>
                              <w:rPr>
                                <w:rFonts w:ascii="Arial" w:hAnsi="Arial" w:cs="Arial"/>
                                <w:sz w:val="20"/>
                                <w:szCs w:val="20"/>
                              </w:rPr>
                            </w:pPr>
                            <w:r w:rsidRPr="00A33DBA">
                              <w:rPr>
                                <w:rFonts w:ascii="Arial" w:hAnsi="Arial" w:cs="Arial"/>
                                <w:sz w:val="20"/>
                                <w:szCs w:val="20"/>
                              </w:rPr>
                              <w:t>Pr</w:t>
                            </w:r>
                            <w:r>
                              <w:rPr>
                                <w:rFonts w:ascii="Arial" w:hAnsi="Arial" w:cs="Arial"/>
                                <w:sz w:val="20"/>
                                <w:szCs w:val="20"/>
                              </w:rPr>
                              <w:t>avdepodobnosť celkového prežívania</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69038" id="_x0000_s1035" type="#_x0000_t202" style="position:absolute;left:0;text-align:left;margin-left:-20.1pt;margin-top:5.65pt;width:31.7pt;height:18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" stroked="f">
                <v:fill opacity="0"/>
                <v:textbox style="layout-flow:vertical;mso-layout-flow-alt:bottom-to-top">
                  <w:txbxContent>
                    <w:p w14:paraId="323690B0" w14:textId="77777777" w:rsidR="004550EF" w:rsidRPr="00A33DBA" w:rsidRDefault="004550EF" w:rsidP="00591A69">
                      <w:pPr>
                        <w:rPr>
                          <w:rFonts w:ascii="Arial" w:hAnsi="Arial" w:cs="Arial"/>
                          <w:sz w:val="20"/>
                          <w:szCs w:val="20"/>
                        </w:rPr>
                      </w:pPr>
                      <w:r w:rsidRPr="00A33DBA">
                        <w:rPr>
                          <w:rFonts w:ascii="Arial" w:hAnsi="Arial" w:cs="Arial"/>
                          <w:sz w:val="20"/>
                          <w:szCs w:val="20"/>
                        </w:rPr>
                        <w:t>Pr</w:t>
                      </w:r>
                      <w:r>
                        <w:rPr>
                          <w:rFonts w:ascii="Arial" w:hAnsi="Arial" w:cs="Arial"/>
                          <w:sz w:val="20"/>
                          <w:szCs w:val="20"/>
                        </w:rPr>
                        <w:t>avdepodobnosť celkového prežívania</w:t>
                      </w:r>
                    </w:p>
                  </w:txbxContent>
                </v:textbox>
              </v:shape>
            </w:pict>
          </mc:Fallback>
        </mc:AlternateContent>
      </w:r>
      <w:r w:rsidRPr="00C83045">
        <w:rPr>
          <w:noProof/>
          <w:lang w:val="en-US" w:eastAsia="en-US"/>
        </w:rPr>
        <mc:AlternateContent>
          <mc:Choice Requires="wps">
            <w:drawing>
              <wp:anchor distT="0" distB="0" distL="114300" distR="114300" simplePos="0" relativeHeight="251663360" behindDoc="0" locked="0" layoutInCell="1" allowOverlap="1" wp14:anchorId="3236903A" wp14:editId="3236903B">
                <wp:simplePos x="0" y="0"/>
                <wp:positionH relativeFrom="column">
                  <wp:posOffset>340995</wp:posOffset>
                </wp:positionH>
                <wp:positionV relativeFrom="paragraph">
                  <wp:posOffset>938530</wp:posOffset>
                </wp:positionV>
                <wp:extent cx="4585335" cy="1428750"/>
                <wp:effectExtent l="0" t="0" r="0" b="44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690B1" w14:textId="77777777" w:rsidR="004550EF" w:rsidRDefault="004550EF" w:rsidP="00591A69">
                            <w:pPr>
                              <w:rPr>
                                <w:rFonts w:ascii="Arial" w:hAnsi="Arial" w:cs="Arial"/>
                                <w:sz w:val="20"/>
                                <w:szCs w:val="20"/>
                              </w:rPr>
                            </w:pPr>
                          </w:p>
                          <w:tbl>
                            <w:tblPr>
                              <w:tblW w:w="0" w:type="auto"/>
                              <w:tblLook w:val="04A0" w:firstRow="1" w:lastRow="0" w:firstColumn="1" w:lastColumn="0" w:noHBand="0" w:noVBand="1"/>
                            </w:tblPr>
                            <w:tblGrid>
                              <w:gridCol w:w="984"/>
                              <w:gridCol w:w="2464"/>
                              <w:gridCol w:w="851"/>
                              <w:gridCol w:w="709"/>
                              <w:gridCol w:w="861"/>
                            </w:tblGrid>
                            <w:tr w:rsidR="004550EF" w:rsidRPr="0055776F" w14:paraId="323690B5" w14:textId="77777777" w:rsidTr="000322A8">
                              <w:tc>
                                <w:tcPr>
                                  <w:tcW w:w="5691" w:type="dxa"/>
                                  <w:gridSpan w:val="5"/>
                                  <w:shd w:val="clear" w:color="auto" w:fill="auto"/>
                                </w:tcPr>
                                <w:p w14:paraId="323690B2" w14:textId="77777777" w:rsidR="004550EF" w:rsidRPr="0055776F" w:rsidRDefault="004550EF" w:rsidP="000322A8">
                                  <w:pPr>
                                    <w:rPr>
                                      <w:rFonts w:ascii="Arial" w:hAnsi="Arial" w:cs="Arial"/>
                                      <w:sz w:val="20"/>
                                      <w:szCs w:val="20"/>
                                    </w:rPr>
                                  </w:pPr>
                                  <w:r>
                                    <w:rPr>
                                      <w:rFonts w:ascii="Arial" w:hAnsi="Arial" w:cs="Arial"/>
                                      <w:sz w:val="20"/>
                                      <w:szCs w:val="20"/>
                                    </w:rPr>
                                    <w:t>P =</w:t>
                                  </w:r>
                                  <w:r w:rsidRPr="0055776F">
                                    <w:rPr>
                                      <w:rFonts w:ascii="Arial" w:hAnsi="Arial" w:cs="Arial"/>
                                      <w:sz w:val="20"/>
                                      <w:szCs w:val="20"/>
                                    </w:rPr>
                                    <w:t xml:space="preserve"> 0</w:t>
                                  </w:r>
                                  <w:r>
                                    <w:rPr>
                                      <w:rFonts w:ascii="Arial" w:hAnsi="Arial" w:cs="Arial"/>
                                      <w:sz w:val="20"/>
                                      <w:szCs w:val="20"/>
                                    </w:rPr>
                                    <w:t>,0</w:t>
                                  </w:r>
                                  <w:r w:rsidRPr="0055776F">
                                    <w:rPr>
                                      <w:rFonts w:ascii="Arial" w:hAnsi="Arial" w:cs="Arial"/>
                                      <w:sz w:val="20"/>
                                      <w:szCs w:val="20"/>
                                    </w:rPr>
                                    <w:t>19</w:t>
                                  </w:r>
                                </w:p>
                                <w:p w14:paraId="323690B3" w14:textId="77777777" w:rsidR="004550EF" w:rsidRPr="0055776F" w:rsidRDefault="004550EF" w:rsidP="000322A8">
                                  <w:pPr>
                                    <w:rPr>
                                      <w:rFonts w:ascii="Arial" w:hAnsi="Arial" w:cs="Arial"/>
                                      <w:sz w:val="20"/>
                                      <w:szCs w:val="20"/>
                                    </w:rPr>
                                  </w:pPr>
                                  <w:r>
                                    <w:rPr>
                                      <w:rFonts w:ascii="Arial" w:hAnsi="Arial" w:cs="Arial"/>
                                      <w:sz w:val="20"/>
                                      <w:szCs w:val="20"/>
                                    </w:rPr>
                                    <w:t xml:space="preserve">Pomer rizika </w:t>
                                  </w:r>
                                  <w:r w:rsidRPr="0055776F">
                                    <w:rPr>
                                      <w:rFonts w:ascii="Arial" w:hAnsi="Arial" w:cs="Arial"/>
                                      <w:sz w:val="20"/>
                                      <w:szCs w:val="20"/>
                                    </w:rPr>
                                    <w:t>0</w:t>
                                  </w:r>
                                  <w:r>
                                    <w:rPr>
                                      <w:rFonts w:ascii="Arial" w:hAnsi="Arial" w:cs="Arial"/>
                                      <w:sz w:val="20"/>
                                      <w:szCs w:val="20"/>
                                    </w:rPr>
                                    <w:t>,</w:t>
                                  </w:r>
                                  <w:r w:rsidRPr="0055776F">
                                    <w:rPr>
                                      <w:rFonts w:ascii="Arial" w:hAnsi="Arial" w:cs="Arial"/>
                                      <w:sz w:val="20"/>
                                      <w:szCs w:val="20"/>
                                    </w:rPr>
                                    <w:t>45</w:t>
                                  </w:r>
                                </w:p>
                                <w:p w14:paraId="323690B4" w14:textId="77777777" w:rsidR="004550EF" w:rsidRPr="0055776F" w:rsidRDefault="004550EF" w:rsidP="006A3A5F">
                                  <w:pPr>
                                    <w:rPr>
                                      <w:rFonts w:ascii="Arial" w:hAnsi="Arial" w:cs="Arial"/>
                                      <w:sz w:val="20"/>
                                      <w:szCs w:val="20"/>
                                      <w:lang w:val="de-DE"/>
                                    </w:rPr>
                                  </w:pPr>
                                  <w:r w:rsidRPr="0055776F">
                                    <w:rPr>
                                      <w:rFonts w:ascii="Arial" w:hAnsi="Arial" w:cs="Arial"/>
                                      <w:sz w:val="20"/>
                                      <w:szCs w:val="20"/>
                                    </w:rPr>
                                    <w:t>(9</w:t>
                                  </w:r>
                                  <w:r>
                                    <w:rPr>
                                      <w:rFonts w:ascii="Arial" w:hAnsi="Arial" w:cs="Arial"/>
                                      <w:sz w:val="20"/>
                                      <w:szCs w:val="20"/>
                                    </w:rPr>
                                    <w:t>5% Cl, 0,22</w:t>
                                  </w:r>
                                  <w:r>
                                    <w:rPr>
                                      <w:rFonts w:ascii="Arial" w:hAnsi="Arial" w:cs="Arial"/>
                                      <w:sz w:val="20"/>
                                      <w:szCs w:val="20"/>
                                    </w:rPr>
                                    <w:noBreakHyphen/>
                                  </w:r>
                                  <w:r w:rsidRPr="0055776F">
                                    <w:rPr>
                                      <w:rFonts w:ascii="Arial" w:hAnsi="Arial" w:cs="Arial"/>
                                      <w:sz w:val="20"/>
                                      <w:szCs w:val="20"/>
                                    </w:rPr>
                                    <w:t>0</w:t>
                                  </w:r>
                                  <w:r>
                                    <w:rPr>
                                      <w:rFonts w:ascii="Arial" w:hAnsi="Arial" w:cs="Arial"/>
                                      <w:sz w:val="20"/>
                                      <w:szCs w:val="20"/>
                                    </w:rPr>
                                    <w:t>,</w:t>
                                  </w:r>
                                  <w:r w:rsidRPr="0055776F">
                                    <w:rPr>
                                      <w:rFonts w:ascii="Arial" w:hAnsi="Arial" w:cs="Arial"/>
                                      <w:sz w:val="20"/>
                                      <w:szCs w:val="20"/>
                                    </w:rPr>
                                    <w:t>89)</w:t>
                                  </w:r>
                                </w:p>
                              </w:tc>
                            </w:tr>
                            <w:tr w:rsidR="004550EF" w:rsidRPr="0055776F" w14:paraId="323690BB" w14:textId="77777777" w:rsidTr="000322A8">
                              <w:tc>
                                <w:tcPr>
                                  <w:tcW w:w="817" w:type="dxa"/>
                                  <w:shd w:val="clear" w:color="auto" w:fill="auto"/>
                                </w:tcPr>
                                <w:p w14:paraId="323690B6" w14:textId="77777777" w:rsidR="004550EF" w:rsidRPr="0055776F" w:rsidRDefault="004550EF" w:rsidP="000322A8">
                                  <w:pPr>
                                    <w:rPr>
                                      <w:rFonts w:ascii="Arial" w:hAnsi="Arial" w:cs="Arial"/>
                                      <w:sz w:val="20"/>
                                      <w:szCs w:val="20"/>
                                    </w:rPr>
                                  </w:pPr>
                                </w:p>
                              </w:tc>
                              <w:tc>
                                <w:tcPr>
                                  <w:tcW w:w="2464" w:type="dxa"/>
                                  <w:shd w:val="clear" w:color="auto" w:fill="auto"/>
                                </w:tcPr>
                                <w:p w14:paraId="323690B7" w14:textId="77777777" w:rsidR="004550EF" w:rsidRPr="0055776F" w:rsidRDefault="004550EF" w:rsidP="000322A8">
                                  <w:pPr>
                                    <w:rPr>
                                      <w:rFonts w:ascii="Arial" w:hAnsi="Arial" w:cs="Arial"/>
                                      <w:sz w:val="20"/>
                                      <w:szCs w:val="20"/>
                                    </w:rPr>
                                  </w:pPr>
                                </w:p>
                              </w:tc>
                              <w:tc>
                                <w:tcPr>
                                  <w:tcW w:w="851" w:type="dxa"/>
                                  <w:tcBorders>
                                    <w:bottom w:val="single" w:sz="4" w:space="0" w:color="auto"/>
                                  </w:tcBorders>
                                  <w:shd w:val="clear" w:color="auto" w:fill="auto"/>
                                </w:tcPr>
                                <w:p w14:paraId="323690B8" w14:textId="77777777" w:rsidR="004550EF" w:rsidRPr="0055776F" w:rsidRDefault="004550EF" w:rsidP="000322A8">
                                  <w:pPr>
                                    <w:rPr>
                                      <w:rFonts w:ascii="Arial" w:hAnsi="Arial" w:cs="Arial"/>
                                      <w:sz w:val="20"/>
                                      <w:szCs w:val="20"/>
                                    </w:rPr>
                                  </w:pPr>
                                  <w:r w:rsidRPr="0055776F">
                                    <w:rPr>
                                      <w:rFonts w:ascii="Arial" w:hAnsi="Arial" w:cs="Arial"/>
                                      <w:sz w:val="20"/>
                                      <w:szCs w:val="20"/>
                                      <w:lang w:val="de-DE"/>
                                    </w:rPr>
                                    <w:t>N</w:t>
                                  </w:r>
                                </w:p>
                              </w:tc>
                              <w:tc>
                                <w:tcPr>
                                  <w:tcW w:w="709" w:type="dxa"/>
                                  <w:tcBorders>
                                    <w:bottom w:val="single" w:sz="4" w:space="0" w:color="auto"/>
                                  </w:tcBorders>
                                  <w:shd w:val="clear" w:color="auto" w:fill="auto"/>
                                </w:tcPr>
                                <w:p w14:paraId="323690B9" w14:textId="77777777" w:rsidR="004550EF" w:rsidRPr="0055776F" w:rsidRDefault="004550EF" w:rsidP="009F7365">
                                  <w:pPr>
                                    <w:rPr>
                                      <w:rFonts w:ascii="Arial" w:hAnsi="Arial" w:cs="Arial"/>
                                      <w:sz w:val="20"/>
                                      <w:szCs w:val="20"/>
                                    </w:rPr>
                                  </w:pPr>
                                  <w:r>
                                    <w:rPr>
                                      <w:rFonts w:ascii="Arial" w:hAnsi="Arial" w:cs="Arial"/>
                                      <w:sz w:val="20"/>
                                      <w:szCs w:val="20"/>
                                      <w:lang w:val="de-DE"/>
                                    </w:rPr>
                                    <w:t>Udal</w:t>
                                  </w:r>
                                </w:p>
                              </w:tc>
                              <w:tc>
                                <w:tcPr>
                                  <w:tcW w:w="850" w:type="dxa"/>
                                  <w:tcBorders>
                                    <w:bottom w:val="single" w:sz="4" w:space="0" w:color="auto"/>
                                  </w:tcBorders>
                                  <w:shd w:val="clear" w:color="auto" w:fill="auto"/>
                                </w:tcPr>
                                <w:p w14:paraId="323690BA" w14:textId="77777777" w:rsidR="004550EF" w:rsidRPr="0055776F" w:rsidRDefault="004550EF" w:rsidP="009F7365">
                                  <w:pPr>
                                    <w:rPr>
                                      <w:rFonts w:ascii="Arial" w:hAnsi="Arial" w:cs="Arial"/>
                                      <w:sz w:val="20"/>
                                      <w:szCs w:val="20"/>
                                    </w:rPr>
                                  </w:pPr>
                                  <w:r w:rsidRPr="0055776F">
                                    <w:rPr>
                                      <w:rFonts w:ascii="Arial" w:hAnsi="Arial" w:cs="Arial"/>
                                      <w:sz w:val="20"/>
                                      <w:szCs w:val="20"/>
                                      <w:lang w:val="de-DE"/>
                                    </w:rPr>
                                    <w:t>Cen</w:t>
                                  </w:r>
                                  <w:r>
                                    <w:rPr>
                                      <w:rFonts w:ascii="Arial" w:hAnsi="Arial" w:cs="Arial"/>
                                      <w:sz w:val="20"/>
                                      <w:szCs w:val="20"/>
                                      <w:lang w:val="de-DE"/>
                                    </w:rPr>
                                    <w:t>zor</w:t>
                                  </w:r>
                                </w:p>
                              </w:tc>
                            </w:tr>
                            <w:tr w:rsidR="004550EF" w:rsidRPr="0055776F" w14:paraId="323690C1" w14:textId="77777777" w:rsidTr="000322A8">
                              <w:tc>
                                <w:tcPr>
                                  <w:tcW w:w="817" w:type="dxa"/>
                                  <w:shd w:val="clear" w:color="auto" w:fill="auto"/>
                                </w:tcPr>
                                <w:p w14:paraId="323690BC" w14:textId="77777777" w:rsidR="004550EF" w:rsidRPr="0055776F" w:rsidRDefault="004550EF" w:rsidP="000322A8">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323690BD" w14:textId="77777777" w:rsidR="004550EF" w:rsidRPr="0055776F" w:rsidRDefault="004550EF" w:rsidP="00094DF4">
                                  <w:pPr>
                                    <w:ind w:hanging="675"/>
                                    <w:rPr>
                                      <w:rFonts w:ascii="Arial" w:hAnsi="Arial" w:cs="Arial"/>
                                      <w:sz w:val="20"/>
                                      <w:szCs w:val="20"/>
                                    </w:rPr>
                                  </w:pPr>
                                  <w:r>
                                    <w:rPr>
                                      <w:rFonts w:ascii="Arial" w:hAnsi="Arial" w:cs="Arial"/>
                                      <w:sz w:val="20"/>
                                      <w:szCs w:val="20"/>
                                    </w:rPr>
                                    <w:t>(1) Imatinib 12 mes</w:t>
                                  </w:r>
                                  <w:r w:rsidRPr="0055776F">
                                    <w:rPr>
                                      <w:rFonts w:ascii="Arial" w:hAnsi="Arial" w:cs="Arial"/>
                                      <w:sz w:val="20"/>
                                      <w:szCs w:val="20"/>
                                    </w:rPr>
                                    <w:t>:</w:t>
                                  </w:r>
                                </w:p>
                              </w:tc>
                              <w:tc>
                                <w:tcPr>
                                  <w:tcW w:w="851" w:type="dxa"/>
                                  <w:tcBorders>
                                    <w:top w:val="single" w:sz="4" w:space="0" w:color="auto"/>
                                  </w:tcBorders>
                                  <w:shd w:val="clear" w:color="auto" w:fill="auto"/>
                                </w:tcPr>
                                <w:p w14:paraId="323690BE" w14:textId="77777777" w:rsidR="004550EF" w:rsidRPr="0055776F" w:rsidRDefault="004550EF" w:rsidP="000322A8">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323690BF" w14:textId="77777777" w:rsidR="004550EF" w:rsidRPr="0055776F" w:rsidRDefault="004550EF" w:rsidP="000322A8">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323690C0" w14:textId="77777777" w:rsidR="004550EF" w:rsidRPr="0055776F" w:rsidRDefault="004550EF" w:rsidP="000322A8">
                                  <w:pPr>
                                    <w:rPr>
                                      <w:rFonts w:ascii="Arial" w:hAnsi="Arial" w:cs="Arial"/>
                                      <w:sz w:val="20"/>
                                      <w:szCs w:val="20"/>
                                    </w:rPr>
                                  </w:pPr>
                                  <w:r w:rsidRPr="0055776F">
                                    <w:rPr>
                                      <w:rFonts w:ascii="Arial" w:hAnsi="Arial" w:cs="Arial"/>
                                      <w:sz w:val="20"/>
                                      <w:szCs w:val="20"/>
                                    </w:rPr>
                                    <w:t>174</w:t>
                                  </w:r>
                                </w:p>
                              </w:tc>
                            </w:tr>
                            <w:tr w:rsidR="004550EF" w:rsidRPr="0055776F" w14:paraId="323690C7" w14:textId="77777777" w:rsidTr="000322A8">
                              <w:tc>
                                <w:tcPr>
                                  <w:tcW w:w="817" w:type="dxa"/>
                                  <w:shd w:val="clear" w:color="auto" w:fill="auto"/>
                                </w:tcPr>
                                <w:p w14:paraId="323690C2"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C3" w14:textId="77777777" w:rsidR="004550EF" w:rsidRPr="0055776F" w:rsidRDefault="004550EF" w:rsidP="00094DF4">
                                  <w:pPr>
                                    <w:ind w:hanging="675"/>
                                    <w:rPr>
                                      <w:rFonts w:ascii="Arial" w:hAnsi="Arial" w:cs="Arial"/>
                                      <w:sz w:val="20"/>
                                      <w:szCs w:val="20"/>
                                    </w:rPr>
                                  </w:pPr>
                                  <w:r>
                                    <w:rPr>
                                      <w:rFonts w:ascii="Arial" w:hAnsi="Arial" w:cs="Arial"/>
                                      <w:sz w:val="20"/>
                                      <w:szCs w:val="20"/>
                                    </w:rPr>
                                    <w:t>(2) Imatinib 36 mes</w:t>
                                  </w:r>
                                  <w:r w:rsidRPr="0055776F">
                                    <w:rPr>
                                      <w:rFonts w:ascii="Arial" w:hAnsi="Arial" w:cs="Arial"/>
                                      <w:sz w:val="20"/>
                                      <w:szCs w:val="20"/>
                                    </w:rPr>
                                    <w:t>:</w:t>
                                  </w:r>
                                </w:p>
                              </w:tc>
                              <w:tc>
                                <w:tcPr>
                                  <w:tcW w:w="851" w:type="dxa"/>
                                  <w:tcBorders>
                                    <w:bottom w:val="single" w:sz="4" w:space="0" w:color="auto"/>
                                  </w:tcBorders>
                                  <w:shd w:val="clear" w:color="auto" w:fill="auto"/>
                                </w:tcPr>
                                <w:p w14:paraId="323690C4" w14:textId="77777777" w:rsidR="004550EF" w:rsidRPr="0055776F" w:rsidRDefault="004550EF" w:rsidP="000322A8">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323690C5" w14:textId="77777777" w:rsidR="004550EF" w:rsidRPr="0055776F" w:rsidRDefault="004550EF" w:rsidP="000322A8">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323690C6" w14:textId="77777777" w:rsidR="004550EF" w:rsidRPr="0055776F" w:rsidRDefault="004550EF" w:rsidP="000322A8">
                                  <w:pPr>
                                    <w:rPr>
                                      <w:rFonts w:ascii="Arial" w:hAnsi="Arial" w:cs="Arial"/>
                                      <w:sz w:val="20"/>
                                      <w:szCs w:val="20"/>
                                    </w:rPr>
                                  </w:pPr>
                                  <w:r w:rsidRPr="0055776F">
                                    <w:rPr>
                                      <w:rFonts w:ascii="Arial" w:hAnsi="Arial" w:cs="Arial"/>
                                      <w:sz w:val="20"/>
                                      <w:szCs w:val="20"/>
                                    </w:rPr>
                                    <w:t>186</w:t>
                                  </w:r>
                                </w:p>
                              </w:tc>
                            </w:tr>
                            <w:tr w:rsidR="004550EF" w:rsidRPr="0055776F" w14:paraId="323690CD" w14:textId="77777777" w:rsidTr="000322A8">
                              <w:tc>
                                <w:tcPr>
                                  <w:tcW w:w="817" w:type="dxa"/>
                                  <w:shd w:val="clear" w:color="auto" w:fill="auto"/>
                                </w:tcPr>
                                <w:p w14:paraId="323690C8"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C9" w14:textId="77777777" w:rsidR="004550EF" w:rsidRPr="0055776F" w:rsidRDefault="004550EF" w:rsidP="00094DF4">
                                  <w:pPr>
                                    <w:ind w:hanging="675"/>
                                    <w:rPr>
                                      <w:rFonts w:ascii="Arial" w:hAnsi="Arial" w:cs="Arial"/>
                                      <w:sz w:val="20"/>
                                      <w:szCs w:val="20"/>
                                    </w:rPr>
                                  </w:pPr>
                                  <w:r w:rsidRPr="0055776F">
                                    <w:rPr>
                                      <w:rFonts w:ascii="Arial" w:hAnsi="Arial" w:cs="Arial"/>
                                      <w:sz w:val="20"/>
                                      <w:szCs w:val="20"/>
                                    </w:rPr>
                                    <w:t>Cen</w:t>
                                  </w:r>
                                  <w:r>
                                    <w:rPr>
                                      <w:rFonts w:ascii="Arial" w:hAnsi="Arial" w:cs="Arial"/>
                                      <w:sz w:val="20"/>
                                      <w:szCs w:val="20"/>
                                    </w:rPr>
                                    <w:t>zorované pozorovania</w:t>
                                  </w:r>
                                </w:p>
                              </w:tc>
                              <w:tc>
                                <w:tcPr>
                                  <w:tcW w:w="851" w:type="dxa"/>
                                  <w:tcBorders>
                                    <w:top w:val="single" w:sz="4" w:space="0" w:color="auto"/>
                                  </w:tcBorders>
                                  <w:shd w:val="clear" w:color="auto" w:fill="auto"/>
                                </w:tcPr>
                                <w:p w14:paraId="323690CA" w14:textId="77777777" w:rsidR="004550EF" w:rsidRPr="0055776F" w:rsidRDefault="004550EF" w:rsidP="000322A8">
                                  <w:pPr>
                                    <w:rPr>
                                      <w:rFonts w:ascii="Arial" w:hAnsi="Arial" w:cs="Arial"/>
                                      <w:sz w:val="20"/>
                                      <w:szCs w:val="20"/>
                                    </w:rPr>
                                  </w:pPr>
                                </w:p>
                              </w:tc>
                              <w:tc>
                                <w:tcPr>
                                  <w:tcW w:w="709" w:type="dxa"/>
                                  <w:tcBorders>
                                    <w:top w:val="single" w:sz="4" w:space="0" w:color="auto"/>
                                  </w:tcBorders>
                                  <w:shd w:val="clear" w:color="auto" w:fill="auto"/>
                                </w:tcPr>
                                <w:p w14:paraId="323690CB" w14:textId="77777777" w:rsidR="004550EF" w:rsidRPr="0055776F" w:rsidRDefault="004550EF" w:rsidP="000322A8">
                                  <w:pPr>
                                    <w:rPr>
                                      <w:rFonts w:ascii="Arial" w:hAnsi="Arial" w:cs="Arial"/>
                                      <w:sz w:val="20"/>
                                      <w:szCs w:val="20"/>
                                    </w:rPr>
                                  </w:pPr>
                                </w:p>
                              </w:tc>
                              <w:tc>
                                <w:tcPr>
                                  <w:tcW w:w="850" w:type="dxa"/>
                                  <w:tcBorders>
                                    <w:top w:val="single" w:sz="4" w:space="0" w:color="auto"/>
                                  </w:tcBorders>
                                  <w:shd w:val="clear" w:color="auto" w:fill="auto"/>
                                </w:tcPr>
                                <w:p w14:paraId="323690CC" w14:textId="77777777" w:rsidR="004550EF" w:rsidRPr="0055776F" w:rsidRDefault="004550EF" w:rsidP="000322A8">
                                  <w:pPr>
                                    <w:rPr>
                                      <w:rFonts w:ascii="Arial" w:hAnsi="Arial" w:cs="Arial"/>
                                      <w:sz w:val="20"/>
                                      <w:szCs w:val="20"/>
                                    </w:rPr>
                                  </w:pPr>
                                </w:p>
                              </w:tc>
                            </w:tr>
                          </w:tbl>
                          <w:p w14:paraId="323690CE" w14:textId="77777777" w:rsidR="004550EF" w:rsidRPr="00A33DBA" w:rsidRDefault="004550EF" w:rsidP="00591A69">
                            <w:pPr>
                              <w:rPr>
                                <w:rFonts w:ascii="Arial" w:hAnsi="Arial" w:cs="Arial"/>
                                <w:sz w:val="20"/>
                                <w:szCs w:val="20"/>
                              </w:rPr>
                            </w:pPr>
                          </w:p>
                          <w:p w14:paraId="323690CF" w14:textId="77777777" w:rsidR="004550EF" w:rsidRPr="00A33DBA" w:rsidRDefault="004550EF" w:rsidP="00591A69">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6903A" id="_x0000_s1036" type="#_x0000_t202" style="position:absolute;left:0;text-align:left;margin-left:26.85pt;margin-top:73.9pt;width:361.0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" filled="f" stroked="f">
                <v:textbox>
                  <w:txbxContent>
                    <w:p w14:paraId="323690B1" w14:textId="77777777" w:rsidR="004550EF" w:rsidRDefault="004550EF" w:rsidP="00591A69">
                      <w:pPr>
                        <w:rPr>
                          <w:rFonts w:ascii="Arial" w:hAnsi="Arial" w:cs="Arial"/>
                          <w:sz w:val="20"/>
                          <w:szCs w:val="20"/>
                        </w:rPr>
                      </w:pPr>
                    </w:p>
                    <w:tbl>
                      <w:tblPr>
                        <w:tblW w:w="0" w:type="auto"/>
                        <w:tblLook w:val="04A0" w:firstRow="1" w:lastRow="0" w:firstColumn="1" w:lastColumn="0" w:noHBand="0" w:noVBand="1"/>
                      </w:tblPr>
                      <w:tblGrid>
                        <w:gridCol w:w="984"/>
                        <w:gridCol w:w="2464"/>
                        <w:gridCol w:w="851"/>
                        <w:gridCol w:w="709"/>
                        <w:gridCol w:w="861"/>
                      </w:tblGrid>
                      <w:tr w:rsidR="004550EF" w:rsidRPr="0055776F" w14:paraId="323690B5" w14:textId="77777777" w:rsidTr="000322A8">
                        <w:tc>
                          <w:tcPr>
                            <w:tcW w:w="5691" w:type="dxa"/>
                            <w:gridSpan w:val="5"/>
                            <w:shd w:val="clear" w:color="auto" w:fill="auto"/>
                          </w:tcPr>
                          <w:p w14:paraId="323690B2" w14:textId="77777777" w:rsidR="004550EF" w:rsidRPr="0055776F" w:rsidRDefault="004550EF" w:rsidP="000322A8">
                            <w:pPr>
                              <w:rPr>
                                <w:rFonts w:ascii="Arial" w:hAnsi="Arial" w:cs="Arial"/>
                                <w:sz w:val="20"/>
                                <w:szCs w:val="20"/>
                              </w:rPr>
                            </w:pPr>
                            <w:r>
                              <w:rPr>
                                <w:rFonts w:ascii="Arial" w:hAnsi="Arial" w:cs="Arial"/>
                                <w:sz w:val="20"/>
                                <w:szCs w:val="20"/>
                              </w:rPr>
                              <w:t>P =</w:t>
                            </w:r>
                            <w:r w:rsidRPr="0055776F">
                              <w:rPr>
                                <w:rFonts w:ascii="Arial" w:hAnsi="Arial" w:cs="Arial"/>
                                <w:sz w:val="20"/>
                                <w:szCs w:val="20"/>
                              </w:rPr>
                              <w:t xml:space="preserve"> 0</w:t>
                            </w:r>
                            <w:r>
                              <w:rPr>
                                <w:rFonts w:ascii="Arial" w:hAnsi="Arial" w:cs="Arial"/>
                                <w:sz w:val="20"/>
                                <w:szCs w:val="20"/>
                              </w:rPr>
                              <w:t>,0</w:t>
                            </w:r>
                            <w:r w:rsidRPr="0055776F">
                              <w:rPr>
                                <w:rFonts w:ascii="Arial" w:hAnsi="Arial" w:cs="Arial"/>
                                <w:sz w:val="20"/>
                                <w:szCs w:val="20"/>
                              </w:rPr>
                              <w:t>19</w:t>
                            </w:r>
                          </w:p>
                          <w:p w14:paraId="323690B3" w14:textId="77777777" w:rsidR="004550EF" w:rsidRPr="0055776F" w:rsidRDefault="004550EF" w:rsidP="000322A8">
                            <w:pPr>
                              <w:rPr>
                                <w:rFonts w:ascii="Arial" w:hAnsi="Arial" w:cs="Arial"/>
                                <w:sz w:val="20"/>
                                <w:szCs w:val="20"/>
                              </w:rPr>
                            </w:pPr>
                            <w:r>
                              <w:rPr>
                                <w:rFonts w:ascii="Arial" w:hAnsi="Arial" w:cs="Arial"/>
                                <w:sz w:val="20"/>
                                <w:szCs w:val="20"/>
                              </w:rPr>
                              <w:t xml:space="preserve">Pomer rizika </w:t>
                            </w:r>
                            <w:r w:rsidRPr="0055776F">
                              <w:rPr>
                                <w:rFonts w:ascii="Arial" w:hAnsi="Arial" w:cs="Arial"/>
                                <w:sz w:val="20"/>
                                <w:szCs w:val="20"/>
                              </w:rPr>
                              <w:t>0</w:t>
                            </w:r>
                            <w:r>
                              <w:rPr>
                                <w:rFonts w:ascii="Arial" w:hAnsi="Arial" w:cs="Arial"/>
                                <w:sz w:val="20"/>
                                <w:szCs w:val="20"/>
                              </w:rPr>
                              <w:t>,</w:t>
                            </w:r>
                            <w:r w:rsidRPr="0055776F">
                              <w:rPr>
                                <w:rFonts w:ascii="Arial" w:hAnsi="Arial" w:cs="Arial"/>
                                <w:sz w:val="20"/>
                                <w:szCs w:val="20"/>
                              </w:rPr>
                              <w:t>45</w:t>
                            </w:r>
                          </w:p>
                          <w:p w14:paraId="323690B4" w14:textId="77777777" w:rsidR="004550EF" w:rsidRPr="0055776F" w:rsidRDefault="004550EF" w:rsidP="006A3A5F">
                            <w:pPr>
                              <w:rPr>
                                <w:rFonts w:ascii="Arial" w:hAnsi="Arial" w:cs="Arial"/>
                                <w:sz w:val="20"/>
                                <w:szCs w:val="20"/>
                                <w:lang w:val="de-DE"/>
                              </w:rPr>
                            </w:pPr>
                            <w:r w:rsidRPr="0055776F">
                              <w:rPr>
                                <w:rFonts w:ascii="Arial" w:hAnsi="Arial" w:cs="Arial"/>
                                <w:sz w:val="20"/>
                                <w:szCs w:val="20"/>
                              </w:rPr>
                              <w:t>(9</w:t>
                            </w:r>
                            <w:r>
                              <w:rPr>
                                <w:rFonts w:ascii="Arial" w:hAnsi="Arial" w:cs="Arial"/>
                                <w:sz w:val="20"/>
                                <w:szCs w:val="20"/>
                              </w:rPr>
                              <w:t>5% Cl, 0,22</w:t>
                            </w:r>
                            <w:r>
                              <w:rPr>
                                <w:rFonts w:ascii="Arial" w:hAnsi="Arial" w:cs="Arial"/>
                                <w:sz w:val="20"/>
                                <w:szCs w:val="20"/>
                              </w:rPr>
                              <w:noBreakHyphen/>
                            </w:r>
                            <w:r w:rsidRPr="0055776F">
                              <w:rPr>
                                <w:rFonts w:ascii="Arial" w:hAnsi="Arial" w:cs="Arial"/>
                                <w:sz w:val="20"/>
                                <w:szCs w:val="20"/>
                              </w:rPr>
                              <w:t>0</w:t>
                            </w:r>
                            <w:r>
                              <w:rPr>
                                <w:rFonts w:ascii="Arial" w:hAnsi="Arial" w:cs="Arial"/>
                                <w:sz w:val="20"/>
                                <w:szCs w:val="20"/>
                              </w:rPr>
                              <w:t>,</w:t>
                            </w:r>
                            <w:r w:rsidRPr="0055776F">
                              <w:rPr>
                                <w:rFonts w:ascii="Arial" w:hAnsi="Arial" w:cs="Arial"/>
                                <w:sz w:val="20"/>
                                <w:szCs w:val="20"/>
                              </w:rPr>
                              <w:t>89)</w:t>
                            </w:r>
                          </w:p>
                        </w:tc>
                      </w:tr>
                      <w:tr w:rsidR="004550EF" w:rsidRPr="0055776F" w14:paraId="323690BB" w14:textId="77777777" w:rsidTr="000322A8">
                        <w:tc>
                          <w:tcPr>
                            <w:tcW w:w="817" w:type="dxa"/>
                            <w:shd w:val="clear" w:color="auto" w:fill="auto"/>
                          </w:tcPr>
                          <w:p w14:paraId="323690B6" w14:textId="77777777" w:rsidR="004550EF" w:rsidRPr="0055776F" w:rsidRDefault="004550EF" w:rsidP="000322A8">
                            <w:pPr>
                              <w:rPr>
                                <w:rFonts w:ascii="Arial" w:hAnsi="Arial" w:cs="Arial"/>
                                <w:sz w:val="20"/>
                                <w:szCs w:val="20"/>
                              </w:rPr>
                            </w:pPr>
                          </w:p>
                        </w:tc>
                        <w:tc>
                          <w:tcPr>
                            <w:tcW w:w="2464" w:type="dxa"/>
                            <w:shd w:val="clear" w:color="auto" w:fill="auto"/>
                          </w:tcPr>
                          <w:p w14:paraId="323690B7" w14:textId="77777777" w:rsidR="004550EF" w:rsidRPr="0055776F" w:rsidRDefault="004550EF" w:rsidP="000322A8">
                            <w:pPr>
                              <w:rPr>
                                <w:rFonts w:ascii="Arial" w:hAnsi="Arial" w:cs="Arial"/>
                                <w:sz w:val="20"/>
                                <w:szCs w:val="20"/>
                              </w:rPr>
                            </w:pPr>
                          </w:p>
                        </w:tc>
                        <w:tc>
                          <w:tcPr>
                            <w:tcW w:w="851" w:type="dxa"/>
                            <w:tcBorders>
                              <w:bottom w:val="single" w:sz="4" w:space="0" w:color="auto"/>
                            </w:tcBorders>
                            <w:shd w:val="clear" w:color="auto" w:fill="auto"/>
                          </w:tcPr>
                          <w:p w14:paraId="323690B8" w14:textId="77777777" w:rsidR="004550EF" w:rsidRPr="0055776F" w:rsidRDefault="004550EF" w:rsidP="000322A8">
                            <w:pPr>
                              <w:rPr>
                                <w:rFonts w:ascii="Arial" w:hAnsi="Arial" w:cs="Arial"/>
                                <w:sz w:val="20"/>
                                <w:szCs w:val="20"/>
                              </w:rPr>
                            </w:pPr>
                            <w:r w:rsidRPr="0055776F">
                              <w:rPr>
                                <w:rFonts w:ascii="Arial" w:hAnsi="Arial" w:cs="Arial"/>
                                <w:sz w:val="20"/>
                                <w:szCs w:val="20"/>
                                <w:lang w:val="de-DE"/>
                              </w:rPr>
                              <w:t>N</w:t>
                            </w:r>
                          </w:p>
                        </w:tc>
                        <w:tc>
                          <w:tcPr>
                            <w:tcW w:w="709" w:type="dxa"/>
                            <w:tcBorders>
                              <w:bottom w:val="single" w:sz="4" w:space="0" w:color="auto"/>
                            </w:tcBorders>
                            <w:shd w:val="clear" w:color="auto" w:fill="auto"/>
                          </w:tcPr>
                          <w:p w14:paraId="323690B9" w14:textId="77777777" w:rsidR="004550EF" w:rsidRPr="0055776F" w:rsidRDefault="004550EF" w:rsidP="009F7365">
                            <w:pPr>
                              <w:rPr>
                                <w:rFonts w:ascii="Arial" w:hAnsi="Arial" w:cs="Arial"/>
                                <w:sz w:val="20"/>
                                <w:szCs w:val="20"/>
                              </w:rPr>
                            </w:pPr>
                            <w:r>
                              <w:rPr>
                                <w:rFonts w:ascii="Arial" w:hAnsi="Arial" w:cs="Arial"/>
                                <w:sz w:val="20"/>
                                <w:szCs w:val="20"/>
                                <w:lang w:val="de-DE"/>
                              </w:rPr>
                              <w:t>Udal</w:t>
                            </w:r>
                          </w:p>
                        </w:tc>
                        <w:tc>
                          <w:tcPr>
                            <w:tcW w:w="850" w:type="dxa"/>
                            <w:tcBorders>
                              <w:bottom w:val="single" w:sz="4" w:space="0" w:color="auto"/>
                            </w:tcBorders>
                            <w:shd w:val="clear" w:color="auto" w:fill="auto"/>
                          </w:tcPr>
                          <w:p w14:paraId="323690BA" w14:textId="77777777" w:rsidR="004550EF" w:rsidRPr="0055776F" w:rsidRDefault="004550EF" w:rsidP="009F7365">
                            <w:pPr>
                              <w:rPr>
                                <w:rFonts w:ascii="Arial" w:hAnsi="Arial" w:cs="Arial"/>
                                <w:sz w:val="20"/>
                                <w:szCs w:val="20"/>
                              </w:rPr>
                            </w:pPr>
                            <w:r w:rsidRPr="0055776F">
                              <w:rPr>
                                <w:rFonts w:ascii="Arial" w:hAnsi="Arial" w:cs="Arial"/>
                                <w:sz w:val="20"/>
                                <w:szCs w:val="20"/>
                                <w:lang w:val="de-DE"/>
                              </w:rPr>
                              <w:t>Cen</w:t>
                            </w:r>
                            <w:r>
                              <w:rPr>
                                <w:rFonts w:ascii="Arial" w:hAnsi="Arial" w:cs="Arial"/>
                                <w:sz w:val="20"/>
                                <w:szCs w:val="20"/>
                                <w:lang w:val="de-DE"/>
                              </w:rPr>
                              <w:t>zor</w:t>
                            </w:r>
                          </w:p>
                        </w:tc>
                      </w:tr>
                      <w:tr w:rsidR="004550EF" w:rsidRPr="0055776F" w14:paraId="323690C1" w14:textId="77777777" w:rsidTr="000322A8">
                        <w:tc>
                          <w:tcPr>
                            <w:tcW w:w="817" w:type="dxa"/>
                            <w:shd w:val="clear" w:color="auto" w:fill="auto"/>
                          </w:tcPr>
                          <w:p w14:paraId="323690BC" w14:textId="77777777" w:rsidR="004550EF" w:rsidRPr="0055776F" w:rsidRDefault="004550EF" w:rsidP="000322A8">
                            <w:pPr>
                              <w:rPr>
                                <w:rFonts w:ascii="Arial" w:hAnsi="Arial" w:cs="Arial"/>
                                <w:sz w:val="20"/>
                                <w:szCs w:val="20"/>
                              </w:rPr>
                            </w:pPr>
                            <w:r w:rsidRPr="0055776F">
                              <w:rPr>
                                <w:rFonts w:ascii="Arial" w:hAnsi="Arial" w:cs="Arial"/>
                                <w:b/>
                                <w:sz w:val="20"/>
                                <w:szCs w:val="20"/>
                              </w:rPr>
                              <w:t>——</w:t>
                            </w:r>
                          </w:p>
                        </w:tc>
                        <w:tc>
                          <w:tcPr>
                            <w:tcW w:w="2464" w:type="dxa"/>
                            <w:shd w:val="clear" w:color="auto" w:fill="auto"/>
                          </w:tcPr>
                          <w:p w14:paraId="323690BD" w14:textId="77777777" w:rsidR="004550EF" w:rsidRPr="0055776F" w:rsidRDefault="004550EF" w:rsidP="00094DF4">
                            <w:pPr>
                              <w:ind w:hanging="675"/>
                              <w:rPr>
                                <w:rFonts w:ascii="Arial" w:hAnsi="Arial" w:cs="Arial"/>
                                <w:sz w:val="20"/>
                                <w:szCs w:val="20"/>
                              </w:rPr>
                            </w:pPr>
                            <w:r>
                              <w:rPr>
                                <w:rFonts w:ascii="Arial" w:hAnsi="Arial" w:cs="Arial"/>
                                <w:sz w:val="20"/>
                                <w:szCs w:val="20"/>
                              </w:rPr>
                              <w:t>(1) Imatinib 12 mes</w:t>
                            </w:r>
                            <w:r w:rsidRPr="0055776F">
                              <w:rPr>
                                <w:rFonts w:ascii="Arial" w:hAnsi="Arial" w:cs="Arial"/>
                                <w:sz w:val="20"/>
                                <w:szCs w:val="20"/>
                              </w:rPr>
                              <w:t>:</w:t>
                            </w:r>
                          </w:p>
                        </w:tc>
                        <w:tc>
                          <w:tcPr>
                            <w:tcW w:w="851" w:type="dxa"/>
                            <w:tcBorders>
                              <w:top w:val="single" w:sz="4" w:space="0" w:color="auto"/>
                            </w:tcBorders>
                            <w:shd w:val="clear" w:color="auto" w:fill="auto"/>
                          </w:tcPr>
                          <w:p w14:paraId="323690BE" w14:textId="77777777" w:rsidR="004550EF" w:rsidRPr="0055776F" w:rsidRDefault="004550EF" w:rsidP="000322A8">
                            <w:pPr>
                              <w:rPr>
                                <w:rFonts w:ascii="Arial" w:hAnsi="Arial" w:cs="Arial"/>
                                <w:sz w:val="20"/>
                                <w:szCs w:val="20"/>
                              </w:rPr>
                            </w:pPr>
                            <w:r w:rsidRPr="0055776F">
                              <w:rPr>
                                <w:rFonts w:ascii="Arial" w:hAnsi="Arial" w:cs="Arial"/>
                                <w:sz w:val="20"/>
                                <w:szCs w:val="20"/>
                              </w:rPr>
                              <w:t>199</w:t>
                            </w:r>
                          </w:p>
                        </w:tc>
                        <w:tc>
                          <w:tcPr>
                            <w:tcW w:w="709" w:type="dxa"/>
                            <w:tcBorders>
                              <w:top w:val="single" w:sz="4" w:space="0" w:color="auto"/>
                            </w:tcBorders>
                            <w:shd w:val="clear" w:color="auto" w:fill="auto"/>
                          </w:tcPr>
                          <w:p w14:paraId="323690BF" w14:textId="77777777" w:rsidR="004550EF" w:rsidRPr="0055776F" w:rsidRDefault="004550EF" w:rsidP="000322A8">
                            <w:pPr>
                              <w:rPr>
                                <w:rFonts w:ascii="Arial" w:hAnsi="Arial" w:cs="Arial"/>
                                <w:sz w:val="20"/>
                                <w:szCs w:val="20"/>
                              </w:rPr>
                            </w:pPr>
                            <w:r w:rsidRPr="0055776F">
                              <w:rPr>
                                <w:rFonts w:ascii="Arial" w:hAnsi="Arial" w:cs="Arial"/>
                                <w:sz w:val="20"/>
                                <w:szCs w:val="20"/>
                              </w:rPr>
                              <w:t>25</w:t>
                            </w:r>
                          </w:p>
                        </w:tc>
                        <w:tc>
                          <w:tcPr>
                            <w:tcW w:w="850" w:type="dxa"/>
                            <w:tcBorders>
                              <w:top w:val="single" w:sz="4" w:space="0" w:color="auto"/>
                            </w:tcBorders>
                            <w:shd w:val="clear" w:color="auto" w:fill="auto"/>
                          </w:tcPr>
                          <w:p w14:paraId="323690C0" w14:textId="77777777" w:rsidR="004550EF" w:rsidRPr="0055776F" w:rsidRDefault="004550EF" w:rsidP="000322A8">
                            <w:pPr>
                              <w:rPr>
                                <w:rFonts w:ascii="Arial" w:hAnsi="Arial" w:cs="Arial"/>
                                <w:sz w:val="20"/>
                                <w:szCs w:val="20"/>
                              </w:rPr>
                            </w:pPr>
                            <w:r w:rsidRPr="0055776F">
                              <w:rPr>
                                <w:rFonts w:ascii="Arial" w:hAnsi="Arial" w:cs="Arial"/>
                                <w:sz w:val="20"/>
                                <w:szCs w:val="20"/>
                              </w:rPr>
                              <w:t>174</w:t>
                            </w:r>
                          </w:p>
                        </w:tc>
                      </w:tr>
                      <w:tr w:rsidR="004550EF" w:rsidRPr="0055776F" w14:paraId="323690C7" w14:textId="77777777" w:rsidTr="000322A8">
                        <w:tc>
                          <w:tcPr>
                            <w:tcW w:w="817" w:type="dxa"/>
                            <w:shd w:val="clear" w:color="auto" w:fill="auto"/>
                          </w:tcPr>
                          <w:p w14:paraId="323690C2"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C3" w14:textId="77777777" w:rsidR="004550EF" w:rsidRPr="0055776F" w:rsidRDefault="004550EF" w:rsidP="00094DF4">
                            <w:pPr>
                              <w:ind w:hanging="675"/>
                              <w:rPr>
                                <w:rFonts w:ascii="Arial" w:hAnsi="Arial" w:cs="Arial"/>
                                <w:sz w:val="20"/>
                                <w:szCs w:val="20"/>
                              </w:rPr>
                            </w:pPr>
                            <w:r>
                              <w:rPr>
                                <w:rFonts w:ascii="Arial" w:hAnsi="Arial" w:cs="Arial"/>
                                <w:sz w:val="20"/>
                                <w:szCs w:val="20"/>
                              </w:rPr>
                              <w:t>(2) Imatinib 36 mes</w:t>
                            </w:r>
                            <w:r w:rsidRPr="0055776F">
                              <w:rPr>
                                <w:rFonts w:ascii="Arial" w:hAnsi="Arial" w:cs="Arial"/>
                                <w:sz w:val="20"/>
                                <w:szCs w:val="20"/>
                              </w:rPr>
                              <w:t>:</w:t>
                            </w:r>
                          </w:p>
                        </w:tc>
                        <w:tc>
                          <w:tcPr>
                            <w:tcW w:w="851" w:type="dxa"/>
                            <w:tcBorders>
                              <w:bottom w:val="single" w:sz="4" w:space="0" w:color="auto"/>
                            </w:tcBorders>
                            <w:shd w:val="clear" w:color="auto" w:fill="auto"/>
                          </w:tcPr>
                          <w:p w14:paraId="323690C4" w14:textId="77777777" w:rsidR="004550EF" w:rsidRPr="0055776F" w:rsidRDefault="004550EF" w:rsidP="000322A8">
                            <w:pPr>
                              <w:rPr>
                                <w:rFonts w:ascii="Arial" w:hAnsi="Arial" w:cs="Arial"/>
                                <w:sz w:val="20"/>
                                <w:szCs w:val="20"/>
                              </w:rPr>
                            </w:pPr>
                            <w:r w:rsidRPr="0055776F">
                              <w:rPr>
                                <w:rFonts w:ascii="Arial" w:hAnsi="Arial" w:cs="Arial"/>
                                <w:sz w:val="20"/>
                                <w:szCs w:val="20"/>
                              </w:rPr>
                              <w:t>198</w:t>
                            </w:r>
                          </w:p>
                        </w:tc>
                        <w:tc>
                          <w:tcPr>
                            <w:tcW w:w="709" w:type="dxa"/>
                            <w:tcBorders>
                              <w:bottom w:val="single" w:sz="4" w:space="0" w:color="auto"/>
                            </w:tcBorders>
                            <w:shd w:val="clear" w:color="auto" w:fill="auto"/>
                          </w:tcPr>
                          <w:p w14:paraId="323690C5" w14:textId="77777777" w:rsidR="004550EF" w:rsidRPr="0055776F" w:rsidRDefault="004550EF" w:rsidP="000322A8">
                            <w:pPr>
                              <w:rPr>
                                <w:rFonts w:ascii="Arial" w:hAnsi="Arial" w:cs="Arial"/>
                                <w:sz w:val="20"/>
                                <w:szCs w:val="20"/>
                              </w:rPr>
                            </w:pPr>
                            <w:r w:rsidRPr="0055776F">
                              <w:rPr>
                                <w:rFonts w:ascii="Arial" w:hAnsi="Arial" w:cs="Arial"/>
                                <w:sz w:val="20"/>
                                <w:szCs w:val="20"/>
                              </w:rPr>
                              <w:t>12</w:t>
                            </w:r>
                          </w:p>
                        </w:tc>
                        <w:tc>
                          <w:tcPr>
                            <w:tcW w:w="850" w:type="dxa"/>
                            <w:tcBorders>
                              <w:bottom w:val="single" w:sz="4" w:space="0" w:color="auto"/>
                            </w:tcBorders>
                            <w:shd w:val="clear" w:color="auto" w:fill="auto"/>
                          </w:tcPr>
                          <w:p w14:paraId="323690C6" w14:textId="77777777" w:rsidR="004550EF" w:rsidRPr="0055776F" w:rsidRDefault="004550EF" w:rsidP="000322A8">
                            <w:pPr>
                              <w:rPr>
                                <w:rFonts w:ascii="Arial" w:hAnsi="Arial" w:cs="Arial"/>
                                <w:sz w:val="20"/>
                                <w:szCs w:val="20"/>
                              </w:rPr>
                            </w:pPr>
                            <w:r w:rsidRPr="0055776F">
                              <w:rPr>
                                <w:rFonts w:ascii="Arial" w:hAnsi="Arial" w:cs="Arial"/>
                                <w:sz w:val="20"/>
                                <w:szCs w:val="20"/>
                              </w:rPr>
                              <w:t>186</w:t>
                            </w:r>
                          </w:p>
                        </w:tc>
                      </w:tr>
                      <w:tr w:rsidR="004550EF" w:rsidRPr="0055776F" w14:paraId="323690CD" w14:textId="77777777" w:rsidTr="000322A8">
                        <w:tc>
                          <w:tcPr>
                            <w:tcW w:w="817" w:type="dxa"/>
                            <w:shd w:val="clear" w:color="auto" w:fill="auto"/>
                          </w:tcPr>
                          <w:p w14:paraId="323690C8" w14:textId="77777777" w:rsidR="004550EF" w:rsidRPr="0055776F" w:rsidRDefault="004550EF" w:rsidP="000322A8">
                            <w:pPr>
                              <w:rPr>
                                <w:rFonts w:ascii="Arial" w:hAnsi="Arial" w:cs="Arial"/>
                                <w:sz w:val="20"/>
                                <w:szCs w:val="20"/>
                              </w:rPr>
                            </w:pPr>
                            <w:r w:rsidRPr="0055776F">
                              <w:rPr>
                                <w:rFonts w:ascii="Arial" w:hAnsi="Arial" w:cs="Arial"/>
                                <w:sz w:val="20"/>
                                <w:szCs w:val="20"/>
                              </w:rPr>
                              <w:t>│││</w:t>
                            </w:r>
                          </w:p>
                        </w:tc>
                        <w:tc>
                          <w:tcPr>
                            <w:tcW w:w="2464" w:type="dxa"/>
                            <w:shd w:val="clear" w:color="auto" w:fill="auto"/>
                          </w:tcPr>
                          <w:p w14:paraId="323690C9" w14:textId="77777777" w:rsidR="004550EF" w:rsidRPr="0055776F" w:rsidRDefault="004550EF" w:rsidP="00094DF4">
                            <w:pPr>
                              <w:ind w:hanging="675"/>
                              <w:rPr>
                                <w:rFonts w:ascii="Arial" w:hAnsi="Arial" w:cs="Arial"/>
                                <w:sz w:val="20"/>
                                <w:szCs w:val="20"/>
                              </w:rPr>
                            </w:pPr>
                            <w:r w:rsidRPr="0055776F">
                              <w:rPr>
                                <w:rFonts w:ascii="Arial" w:hAnsi="Arial" w:cs="Arial"/>
                                <w:sz w:val="20"/>
                                <w:szCs w:val="20"/>
                              </w:rPr>
                              <w:t>Cen</w:t>
                            </w:r>
                            <w:r>
                              <w:rPr>
                                <w:rFonts w:ascii="Arial" w:hAnsi="Arial" w:cs="Arial"/>
                                <w:sz w:val="20"/>
                                <w:szCs w:val="20"/>
                              </w:rPr>
                              <w:t>zorované pozorovania</w:t>
                            </w:r>
                          </w:p>
                        </w:tc>
                        <w:tc>
                          <w:tcPr>
                            <w:tcW w:w="851" w:type="dxa"/>
                            <w:tcBorders>
                              <w:top w:val="single" w:sz="4" w:space="0" w:color="auto"/>
                            </w:tcBorders>
                            <w:shd w:val="clear" w:color="auto" w:fill="auto"/>
                          </w:tcPr>
                          <w:p w14:paraId="323690CA" w14:textId="77777777" w:rsidR="004550EF" w:rsidRPr="0055776F" w:rsidRDefault="004550EF" w:rsidP="000322A8">
                            <w:pPr>
                              <w:rPr>
                                <w:rFonts w:ascii="Arial" w:hAnsi="Arial" w:cs="Arial"/>
                                <w:sz w:val="20"/>
                                <w:szCs w:val="20"/>
                              </w:rPr>
                            </w:pPr>
                          </w:p>
                        </w:tc>
                        <w:tc>
                          <w:tcPr>
                            <w:tcW w:w="709" w:type="dxa"/>
                            <w:tcBorders>
                              <w:top w:val="single" w:sz="4" w:space="0" w:color="auto"/>
                            </w:tcBorders>
                            <w:shd w:val="clear" w:color="auto" w:fill="auto"/>
                          </w:tcPr>
                          <w:p w14:paraId="323690CB" w14:textId="77777777" w:rsidR="004550EF" w:rsidRPr="0055776F" w:rsidRDefault="004550EF" w:rsidP="000322A8">
                            <w:pPr>
                              <w:rPr>
                                <w:rFonts w:ascii="Arial" w:hAnsi="Arial" w:cs="Arial"/>
                                <w:sz w:val="20"/>
                                <w:szCs w:val="20"/>
                              </w:rPr>
                            </w:pPr>
                          </w:p>
                        </w:tc>
                        <w:tc>
                          <w:tcPr>
                            <w:tcW w:w="850" w:type="dxa"/>
                            <w:tcBorders>
                              <w:top w:val="single" w:sz="4" w:space="0" w:color="auto"/>
                            </w:tcBorders>
                            <w:shd w:val="clear" w:color="auto" w:fill="auto"/>
                          </w:tcPr>
                          <w:p w14:paraId="323690CC" w14:textId="77777777" w:rsidR="004550EF" w:rsidRPr="0055776F" w:rsidRDefault="004550EF" w:rsidP="000322A8">
                            <w:pPr>
                              <w:rPr>
                                <w:rFonts w:ascii="Arial" w:hAnsi="Arial" w:cs="Arial"/>
                                <w:sz w:val="20"/>
                                <w:szCs w:val="20"/>
                              </w:rPr>
                            </w:pPr>
                          </w:p>
                        </w:tc>
                      </w:tr>
                    </w:tbl>
                    <w:p w14:paraId="323690CE" w14:textId="77777777" w:rsidR="004550EF" w:rsidRPr="00A33DBA" w:rsidRDefault="004550EF" w:rsidP="00591A69">
                      <w:pPr>
                        <w:rPr>
                          <w:rFonts w:ascii="Arial" w:hAnsi="Arial" w:cs="Arial"/>
                          <w:sz w:val="20"/>
                          <w:szCs w:val="20"/>
                        </w:rPr>
                      </w:pPr>
                    </w:p>
                    <w:p w14:paraId="323690CF" w14:textId="77777777" w:rsidR="004550EF" w:rsidRPr="00A33DBA" w:rsidRDefault="004550EF" w:rsidP="00591A69">
                      <w:pPr>
                        <w:rPr>
                          <w:rFonts w:ascii="Arial" w:hAnsi="Arial" w:cs="Arial"/>
                          <w:sz w:val="20"/>
                          <w:szCs w:val="20"/>
                        </w:rPr>
                      </w:pPr>
                    </w:p>
                  </w:txbxContent>
                </v:textbox>
              </v:shape>
            </w:pict>
          </mc:Fallback>
        </mc:AlternateContent>
      </w:r>
      <w:r w:rsidRPr="00C83045">
        <w:rPr>
          <w:noProof/>
          <w:lang w:val="en-US" w:eastAsia="en-US"/>
        </w:rPr>
        <w:drawing>
          <wp:inline distT="0" distB="0" distL="0" distR="0" wp14:anchorId="3236903C" wp14:editId="3236903D">
            <wp:extent cx="5949315" cy="263461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315" cy="2634615"/>
                    </a:xfrm>
                    <a:prstGeom prst="rect">
                      <a:avLst/>
                    </a:prstGeom>
                    <a:noFill/>
                    <a:ln>
                      <a:noFill/>
                    </a:ln>
                  </pic:spPr>
                </pic:pic>
              </a:graphicData>
            </a:graphic>
          </wp:inline>
        </w:drawing>
      </w:r>
    </w:p>
    <w:p w14:paraId="32368668" w14:textId="77777777" w:rsidR="00591A69" w:rsidRPr="00C83045" w:rsidRDefault="00DF0316" w:rsidP="00D4304B">
      <w:pPr>
        <w:keepNext/>
        <w:keepLines/>
        <w:widowControl w:val="0"/>
        <w:rPr>
          <w:rFonts w:eastAsia="MS Mincho"/>
          <w:szCs w:val="22"/>
          <w:lang w:val="en-US"/>
        </w:rPr>
      </w:pPr>
      <w:r w:rsidRPr="00C83045">
        <w:rPr>
          <w:rFonts w:eastAsia="MS Mincho"/>
          <w:noProof/>
          <w:szCs w:val="22"/>
          <w:lang w:val="en-US" w:eastAsia="en-US"/>
        </w:rPr>
        <mc:AlternateContent>
          <mc:Choice Requires="wps">
            <w:drawing>
              <wp:anchor distT="0" distB="0" distL="114300" distR="114300" simplePos="0" relativeHeight="251664384" behindDoc="0" locked="0" layoutInCell="1" allowOverlap="1" wp14:anchorId="3236903E" wp14:editId="3236903F">
                <wp:simplePos x="0" y="0"/>
                <wp:positionH relativeFrom="column">
                  <wp:posOffset>2186940</wp:posOffset>
                </wp:positionH>
                <wp:positionV relativeFrom="paragraph">
                  <wp:posOffset>6350</wp:posOffset>
                </wp:positionV>
                <wp:extent cx="1876425" cy="295275"/>
                <wp:effectExtent l="5715" t="6350" r="3810" b="31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95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3690D0" w14:textId="77777777" w:rsidR="004550EF" w:rsidRPr="00A33DBA" w:rsidRDefault="004550EF" w:rsidP="00591A69">
                            <w:pPr>
                              <w:rPr>
                                <w:rFonts w:ascii="Arial" w:hAnsi="Arial" w:cs="Arial"/>
                                <w:sz w:val="20"/>
                                <w:szCs w:val="20"/>
                              </w:rPr>
                            </w:pPr>
                            <w:r>
                              <w:rPr>
                                <w:rFonts w:ascii="Arial" w:hAnsi="Arial" w:cs="Arial"/>
                                <w:sz w:val="20"/>
                                <w:szCs w:val="20"/>
                                <w:lang w:val="de-DE"/>
                              </w:rPr>
                              <w:t>Čas prežívania v mesiacoch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36903E" id="_x0000_s1037" type="#_x0000_t202" style="position:absolute;left:0;text-align:left;margin-left:172.2pt;margin-top:.5pt;width:147.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" stroked="f">
                <v:fill opacity="0"/>
                <v:textbox>
                  <w:txbxContent>
                    <w:p w14:paraId="323690D0" w14:textId="77777777" w:rsidR="004550EF" w:rsidRPr="00A33DBA" w:rsidRDefault="004550EF" w:rsidP="00591A69">
                      <w:pPr>
                        <w:rPr>
                          <w:rFonts w:ascii="Arial" w:hAnsi="Arial" w:cs="Arial"/>
                          <w:sz w:val="20"/>
                          <w:szCs w:val="20"/>
                        </w:rPr>
                      </w:pPr>
                      <w:r>
                        <w:rPr>
                          <w:rFonts w:ascii="Arial" w:hAnsi="Arial" w:cs="Arial"/>
                          <w:sz w:val="20"/>
                          <w:szCs w:val="20"/>
                          <w:lang w:val="de-DE"/>
                        </w:rPr>
                        <w:t>Čas prežívania v mesiacoch</w:t>
                      </w:r>
                    </w:p>
                  </w:txbxContent>
                </v:textbox>
              </v:shape>
            </w:pict>
          </mc:Fallback>
        </mc:AlternateContent>
      </w:r>
    </w:p>
    <w:p w14:paraId="32368669" w14:textId="77777777" w:rsidR="00591A69" w:rsidRPr="00C83045" w:rsidRDefault="00591A69" w:rsidP="00D4304B">
      <w:pPr>
        <w:keepNext/>
        <w:keepLines/>
        <w:widowControl w:val="0"/>
        <w:rPr>
          <w:rFonts w:eastAsia="MS Mincho"/>
          <w:szCs w:val="22"/>
          <w:lang w:val="en-US"/>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591A69" w:rsidRPr="00C83045" w14:paraId="3236866B" w14:textId="77777777" w:rsidTr="00BC13B5">
        <w:tc>
          <w:tcPr>
            <w:tcW w:w="10632" w:type="dxa"/>
            <w:gridSpan w:val="16"/>
            <w:shd w:val="clear" w:color="auto" w:fill="auto"/>
          </w:tcPr>
          <w:p w14:paraId="3236866A" w14:textId="77777777" w:rsidR="00591A69" w:rsidRPr="00C83045" w:rsidRDefault="00591A69" w:rsidP="00D4304B">
            <w:pPr>
              <w:keepNext/>
              <w:keepLines/>
              <w:widowControl w:val="0"/>
              <w:ind w:left="-27" w:firstLine="0"/>
              <w:rPr>
                <w:rFonts w:ascii="Arial" w:hAnsi="Arial" w:cs="Arial"/>
                <w:sz w:val="16"/>
                <w:szCs w:val="16"/>
                <w:lang w:val="en-US" w:eastAsia="en-US"/>
              </w:rPr>
            </w:pPr>
            <w:r w:rsidRPr="00C83045">
              <w:rPr>
                <w:rFonts w:ascii="Arial" w:hAnsi="Arial" w:cs="Arial"/>
                <w:sz w:val="20"/>
                <w:szCs w:val="20"/>
                <w:lang w:val="en-US" w:eastAsia="en-US"/>
              </w:rPr>
              <w:t>V riziku : udalosti</w:t>
            </w:r>
          </w:p>
        </w:tc>
      </w:tr>
      <w:tr w:rsidR="00591A69" w:rsidRPr="00C83045" w14:paraId="3236867C" w14:textId="77777777" w:rsidTr="00BC13B5">
        <w:tc>
          <w:tcPr>
            <w:tcW w:w="450" w:type="dxa"/>
            <w:shd w:val="clear" w:color="auto" w:fill="auto"/>
          </w:tcPr>
          <w:p w14:paraId="3236866C" w14:textId="77777777" w:rsidR="00591A69" w:rsidRPr="00C83045" w:rsidRDefault="00591A69" w:rsidP="00D4304B">
            <w:pPr>
              <w:keepNext/>
              <w:keepLines/>
              <w:widowControl w:val="0"/>
              <w:ind w:left="0" w:firstLine="0"/>
              <w:rPr>
                <w:sz w:val="20"/>
                <w:szCs w:val="20"/>
                <w:lang w:val="en-US" w:eastAsia="en-US"/>
              </w:rPr>
            </w:pPr>
            <w:r w:rsidRPr="00C83045">
              <w:rPr>
                <w:sz w:val="20"/>
                <w:szCs w:val="20"/>
                <w:lang w:val="en-US" w:eastAsia="en-US"/>
              </w:rPr>
              <w:t>(1)</w:t>
            </w:r>
          </w:p>
        </w:tc>
        <w:tc>
          <w:tcPr>
            <w:tcW w:w="687" w:type="dxa"/>
            <w:shd w:val="clear" w:color="auto" w:fill="auto"/>
          </w:tcPr>
          <w:p w14:paraId="3236866D"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199:0</w:t>
            </w:r>
          </w:p>
        </w:tc>
        <w:tc>
          <w:tcPr>
            <w:tcW w:w="670" w:type="dxa"/>
            <w:shd w:val="clear" w:color="auto" w:fill="auto"/>
          </w:tcPr>
          <w:p w14:paraId="3236866E"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190:2</w:t>
            </w:r>
          </w:p>
        </w:tc>
        <w:tc>
          <w:tcPr>
            <w:tcW w:w="710" w:type="dxa"/>
            <w:shd w:val="clear" w:color="auto" w:fill="auto"/>
          </w:tcPr>
          <w:p w14:paraId="3236866F"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188:2</w:t>
            </w:r>
          </w:p>
        </w:tc>
        <w:tc>
          <w:tcPr>
            <w:tcW w:w="717" w:type="dxa"/>
            <w:shd w:val="clear" w:color="auto" w:fill="auto"/>
          </w:tcPr>
          <w:p w14:paraId="32368670"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183:6</w:t>
            </w:r>
          </w:p>
        </w:tc>
        <w:tc>
          <w:tcPr>
            <w:tcW w:w="691" w:type="dxa"/>
            <w:shd w:val="clear" w:color="auto" w:fill="auto"/>
          </w:tcPr>
          <w:p w14:paraId="32368671"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176:8</w:t>
            </w:r>
          </w:p>
        </w:tc>
        <w:tc>
          <w:tcPr>
            <w:tcW w:w="770" w:type="dxa"/>
            <w:shd w:val="clear" w:color="auto" w:fill="auto"/>
          </w:tcPr>
          <w:p w14:paraId="32368672"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156:10</w:t>
            </w:r>
          </w:p>
        </w:tc>
        <w:tc>
          <w:tcPr>
            <w:tcW w:w="779" w:type="dxa"/>
            <w:shd w:val="clear" w:color="auto" w:fill="auto"/>
          </w:tcPr>
          <w:p w14:paraId="32368673"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140:11</w:t>
            </w:r>
          </w:p>
        </w:tc>
        <w:tc>
          <w:tcPr>
            <w:tcW w:w="794" w:type="dxa"/>
            <w:shd w:val="clear" w:color="auto" w:fill="auto"/>
          </w:tcPr>
          <w:p w14:paraId="32368674"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105:14</w:t>
            </w:r>
          </w:p>
        </w:tc>
        <w:tc>
          <w:tcPr>
            <w:tcW w:w="653" w:type="dxa"/>
            <w:shd w:val="clear" w:color="auto" w:fill="auto"/>
          </w:tcPr>
          <w:p w14:paraId="32368675"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87:18</w:t>
            </w:r>
          </w:p>
        </w:tc>
        <w:tc>
          <w:tcPr>
            <w:tcW w:w="630" w:type="dxa"/>
            <w:shd w:val="clear" w:color="auto" w:fill="auto"/>
          </w:tcPr>
          <w:p w14:paraId="32368676"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64:22</w:t>
            </w:r>
          </w:p>
        </w:tc>
        <w:tc>
          <w:tcPr>
            <w:tcW w:w="643" w:type="dxa"/>
            <w:shd w:val="clear" w:color="auto" w:fill="auto"/>
          </w:tcPr>
          <w:p w14:paraId="32368677"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46:23</w:t>
            </w:r>
          </w:p>
        </w:tc>
        <w:tc>
          <w:tcPr>
            <w:tcW w:w="670" w:type="dxa"/>
            <w:shd w:val="clear" w:color="auto" w:fill="auto"/>
          </w:tcPr>
          <w:p w14:paraId="32368678"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27:25</w:t>
            </w:r>
          </w:p>
        </w:tc>
        <w:tc>
          <w:tcPr>
            <w:tcW w:w="683" w:type="dxa"/>
            <w:shd w:val="clear" w:color="auto" w:fill="auto"/>
          </w:tcPr>
          <w:p w14:paraId="32368679"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20:25</w:t>
            </w:r>
          </w:p>
        </w:tc>
        <w:tc>
          <w:tcPr>
            <w:tcW w:w="558" w:type="dxa"/>
            <w:shd w:val="clear" w:color="auto" w:fill="auto"/>
          </w:tcPr>
          <w:p w14:paraId="3236867A"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2:25</w:t>
            </w:r>
          </w:p>
        </w:tc>
        <w:tc>
          <w:tcPr>
            <w:tcW w:w="527" w:type="dxa"/>
            <w:shd w:val="clear" w:color="auto" w:fill="auto"/>
          </w:tcPr>
          <w:p w14:paraId="3236867B"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0:25</w:t>
            </w:r>
          </w:p>
        </w:tc>
      </w:tr>
      <w:tr w:rsidR="00591A69" w:rsidRPr="00C83045" w14:paraId="3236868D" w14:textId="77777777" w:rsidTr="00BC13B5">
        <w:tc>
          <w:tcPr>
            <w:tcW w:w="450" w:type="dxa"/>
            <w:shd w:val="clear" w:color="auto" w:fill="auto"/>
          </w:tcPr>
          <w:p w14:paraId="3236867D" w14:textId="77777777" w:rsidR="00591A69" w:rsidRPr="00C83045" w:rsidRDefault="00591A69" w:rsidP="00D4304B">
            <w:pPr>
              <w:keepNext/>
              <w:keepLines/>
              <w:widowControl w:val="0"/>
              <w:ind w:left="0" w:firstLine="0"/>
              <w:rPr>
                <w:sz w:val="20"/>
                <w:szCs w:val="20"/>
                <w:lang w:val="en-US" w:eastAsia="en-US"/>
              </w:rPr>
            </w:pPr>
            <w:r w:rsidRPr="00C83045">
              <w:rPr>
                <w:sz w:val="20"/>
                <w:szCs w:val="20"/>
                <w:lang w:val="en-US" w:eastAsia="en-US"/>
              </w:rPr>
              <w:t>(2)</w:t>
            </w:r>
          </w:p>
        </w:tc>
        <w:tc>
          <w:tcPr>
            <w:tcW w:w="687" w:type="dxa"/>
            <w:shd w:val="clear" w:color="auto" w:fill="auto"/>
          </w:tcPr>
          <w:p w14:paraId="3236867E"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198:0</w:t>
            </w:r>
          </w:p>
        </w:tc>
        <w:tc>
          <w:tcPr>
            <w:tcW w:w="670" w:type="dxa"/>
            <w:shd w:val="clear" w:color="auto" w:fill="auto"/>
          </w:tcPr>
          <w:p w14:paraId="3236867F"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196:0</w:t>
            </w:r>
          </w:p>
        </w:tc>
        <w:tc>
          <w:tcPr>
            <w:tcW w:w="710" w:type="dxa"/>
            <w:shd w:val="clear" w:color="auto" w:fill="auto"/>
          </w:tcPr>
          <w:p w14:paraId="32368680"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192:0</w:t>
            </w:r>
          </w:p>
        </w:tc>
        <w:tc>
          <w:tcPr>
            <w:tcW w:w="717" w:type="dxa"/>
            <w:shd w:val="clear" w:color="auto" w:fill="auto"/>
          </w:tcPr>
          <w:p w14:paraId="32368681"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187:4</w:t>
            </w:r>
          </w:p>
        </w:tc>
        <w:tc>
          <w:tcPr>
            <w:tcW w:w="691" w:type="dxa"/>
            <w:shd w:val="clear" w:color="auto" w:fill="auto"/>
          </w:tcPr>
          <w:p w14:paraId="32368682"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184:5</w:t>
            </w:r>
          </w:p>
        </w:tc>
        <w:tc>
          <w:tcPr>
            <w:tcW w:w="770" w:type="dxa"/>
            <w:shd w:val="clear" w:color="auto" w:fill="auto"/>
          </w:tcPr>
          <w:p w14:paraId="32368683"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164 :7</w:t>
            </w:r>
          </w:p>
        </w:tc>
        <w:tc>
          <w:tcPr>
            <w:tcW w:w="779" w:type="dxa"/>
            <w:shd w:val="clear" w:color="auto" w:fill="auto"/>
          </w:tcPr>
          <w:p w14:paraId="32368684"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152:7</w:t>
            </w:r>
          </w:p>
        </w:tc>
        <w:tc>
          <w:tcPr>
            <w:tcW w:w="794" w:type="dxa"/>
            <w:shd w:val="clear" w:color="auto" w:fill="auto"/>
          </w:tcPr>
          <w:p w14:paraId="32368685"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119:8</w:t>
            </w:r>
          </w:p>
        </w:tc>
        <w:tc>
          <w:tcPr>
            <w:tcW w:w="653" w:type="dxa"/>
            <w:shd w:val="clear" w:color="auto" w:fill="auto"/>
          </w:tcPr>
          <w:p w14:paraId="32368686"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100:8</w:t>
            </w:r>
          </w:p>
        </w:tc>
        <w:tc>
          <w:tcPr>
            <w:tcW w:w="630" w:type="dxa"/>
            <w:shd w:val="clear" w:color="auto" w:fill="auto"/>
          </w:tcPr>
          <w:p w14:paraId="32368687"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76:10</w:t>
            </w:r>
          </w:p>
        </w:tc>
        <w:tc>
          <w:tcPr>
            <w:tcW w:w="643" w:type="dxa"/>
            <w:shd w:val="clear" w:color="auto" w:fill="auto"/>
          </w:tcPr>
          <w:p w14:paraId="32368688"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56:11</w:t>
            </w:r>
          </w:p>
        </w:tc>
        <w:tc>
          <w:tcPr>
            <w:tcW w:w="670" w:type="dxa"/>
            <w:shd w:val="clear" w:color="auto" w:fill="auto"/>
          </w:tcPr>
          <w:p w14:paraId="32368689"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31:11</w:t>
            </w:r>
          </w:p>
        </w:tc>
        <w:tc>
          <w:tcPr>
            <w:tcW w:w="683" w:type="dxa"/>
            <w:shd w:val="clear" w:color="auto" w:fill="auto"/>
          </w:tcPr>
          <w:p w14:paraId="3236868A"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13:12</w:t>
            </w:r>
          </w:p>
        </w:tc>
        <w:tc>
          <w:tcPr>
            <w:tcW w:w="558" w:type="dxa"/>
            <w:shd w:val="clear" w:color="auto" w:fill="auto"/>
          </w:tcPr>
          <w:p w14:paraId="3236868B" w14:textId="77777777" w:rsidR="00591A69" w:rsidRPr="00C83045" w:rsidRDefault="00591A69" w:rsidP="00D4304B">
            <w:pPr>
              <w:keepNext/>
              <w:keepLines/>
              <w:widowControl w:val="0"/>
              <w:ind w:left="-45" w:firstLine="0"/>
              <w:rPr>
                <w:sz w:val="20"/>
                <w:szCs w:val="20"/>
                <w:lang w:val="en-US" w:eastAsia="en-US"/>
              </w:rPr>
            </w:pPr>
            <w:r w:rsidRPr="00C83045">
              <w:rPr>
                <w:sz w:val="20"/>
                <w:szCs w:val="20"/>
                <w:lang w:val="en-US" w:eastAsia="en-US"/>
              </w:rPr>
              <w:t>0:12</w:t>
            </w:r>
          </w:p>
        </w:tc>
        <w:tc>
          <w:tcPr>
            <w:tcW w:w="527" w:type="dxa"/>
            <w:shd w:val="clear" w:color="auto" w:fill="auto"/>
          </w:tcPr>
          <w:p w14:paraId="3236868C" w14:textId="77777777" w:rsidR="00591A69" w:rsidRPr="00C83045" w:rsidRDefault="00591A69" w:rsidP="00D4304B">
            <w:pPr>
              <w:keepNext/>
              <w:keepLines/>
              <w:widowControl w:val="0"/>
              <w:ind w:left="-45" w:firstLine="0"/>
              <w:rPr>
                <w:sz w:val="20"/>
                <w:szCs w:val="20"/>
                <w:lang w:val="en-US" w:eastAsia="en-US"/>
              </w:rPr>
            </w:pPr>
          </w:p>
        </w:tc>
      </w:tr>
    </w:tbl>
    <w:p w14:paraId="3236868E" w14:textId="77777777" w:rsidR="00591A69" w:rsidRPr="00C83045" w:rsidRDefault="00591A69" w:rsidP="00D4304B">
      <w:pPr>
        <w:widowControl w:val="0"/>
        <w:ind w:left="0" w:firstLine="0"/>
        <w:rPr>
          <w:color w:val="000000"/>
          <w:szCs w:val="22"/>
          <w:u w:val="single"/>
        </w:rPr>
      </w:pPr>
    </w:p>
    <w:p w14:paraId="3236868F" w14:textId="77777777" w:rsidR="00591A69" w:rsidRPr="00C83045" w:rsidRDefault="00591A69" w:rsidP="00D4304B">
      <w:pPr>
        <w:pStyle w:val="EndnoteText"/>
        <w:widowControl w:val="0"/>
        <w:tabs>
          <w:tab w:val="clear" w:pos="567"/>
        </w:tabs>
        <w:rPr>
          <w:color w:val="000000"/>
          <w:szCs w:val="22"/>
          <w:lang w:val="sk-SK"/>
        </w:rPr>
      </w:pPr>
      <w:r w:rsidRPr="00C83045">
        <w:rPr>
          <w:color w:val="000000"/>
          <w:szCs w:val="22"/>
          <w:lang w:val="sk-SK"/>
        </w:rPr>
        <w:t>U pediatrických pacientov s GIST s pozitivitou c-Kit nie sú kontrolované klinické skúšania. V 7 publikáciách boli správy o 17 pacientoch s GIST (s mutáciami Kit a PDGFR alebo bez nich). Vek týchto pacientov bol v rozmedzí od 8 do 18 rokov a imatinib sa im podával v adjuvantnej liečbe, ako aj pri metastázach v dávkach od 300 do 800 mg denne. U väčšiny pediatrických pacientov liečených pre GIST chýbali údaje potvrdzujúce mutácie c-kit alebo PDGFR, čo mohlo viesť k zmiešaným klinickým výsledkom.</w:t>
      </w:r>
    </w:p>
    <w:p w14:paraId="32368690" w14:textId="77777777" w:rsidR="00591A69" w:rsidRPr="00C83045" w:rsidRDefault="00591A69" w:rsidP="00D4304B">
      <w:pPr>
        <w:pStyle w:val="EndnoteText"/>
        <w:widowControl w:val="0"/>
        <w:tabs>
          <w:tab w:val="clear" w:pos="567"/>
        </w:tabs>
        <w:rPr>
          <w:color w:val="000000"/>
          <w:szCs w:val="22"/>
          <w:lang w:val="sk-SK"/>
        </w:rPr>
      </w:pPr>
    </w:p>
    <w:p w14:paraId="32368691" w14:textId="77777777" w:rsidR="00591A69" w:rsidRPr="00C83045" w:rsidRDefault="00591A69" w:rsidP="00D4304B">
      <w:pPr>
        <w:keepNext/>
        <w:widowControl w:val="0"/>
        <w:ind w:left="0" w:firstLine="0"/>
        <w:rPr>
          <w:color w:val="000000"/>
          <w:szCs w:val="22"/>
          <w:u w:val="single"/>
        </w:rPr>
      </w:pPr>
      <w:r w:rsidRPr="00C83045">
        <w:rPr>
          <w:color w:val="000000"/>
          <w:szCs w:val="22"/>
          <w:u w:val="single"/>
        </w:rPr>
        <w:lastRenderedPageBreak/>
        <w:t>Klinické skúšania pri DFSP</w:t>
      </w:r>
    </w:p>
    <w:p w14:paraId="32368692" w14:textId="77777777" w:rsidR="00591A69" w:rsidRPr="00C83045" w:rsidRDefault="00591A69" w:rsidP="00D4304B">
      <w:pPr>
        <w:pStyle w:val="Text"/>
        <w:widowControl w:val="0"/>
        <w:spacing w:before="0"/>
        <w:jc w:val="left"/>
        <w:rPr>
          <w:rFonts w:eastAsia="MS Mincho"/>
          <w:strike/>
          <w:color w:val="000000"/>
          <w:sz w:val="22"/>
          <w:szCs w:val="22"/>
          <w:lang w:val="sk-SK" w:eastAsia="ja-JP"/>
        </w:rPr>
      </w:pPr>
      <w:r w:rsidRPr="00C83045">
        <w:rPr>
          <w:color w:val="000000"/>
          <w:sz w:val="22"/>
          <w:szCs w:val="22"/>
          <w:lang w:val="sk-SK"/>
        </w:rPr>
        <w:t xml:space="preserve">Vykonalo sa jedno otvorené multicentrické klinické skúšanie fázy II (štúdia B2225), do ktorého bolo zaradených 12 pacientov s DFSP, ktorým sa podával Glivec 800 mg denne. Vek pacientov s DFSP bol v rozmedzí od 23 do 75 rokov; DFSP bol metastazujúci, lokálne rekurentný po pôvodnej resekcii a v čase zaradenia do klinického skúšania sa nepovažoval za vhodný pre ďalšiu resekciu. Primárny dôkaz účinnosti bol založený na podiele objektívnych odpovedí. Z 12 zaradených pacientov sa u 9 dosiahla odpoveď na liečbu, u jedného kompletná a u 8 čiastočná. U 3 pacientov s čiastočnou odpoveďou sa ochorenie následne odstránilo chirurgickým zákrokom. Medián trvania liečby v klinickom skúšaní B2225 bol 6,2 mesiacov, maximálne trvanie 24,3 mesiacov. Správy o ďalších 6 pacientoch s DFSP liečených Glivecom, ktorých vek bol v rozmedzí od 18 mesiacov do 49 rokov, boli v 5 publikovaných hláseniach o prípadoch. Dospelí pacienti, o ktorých boli správy v publikovanej literatúre, dostávali buď 400 mg (4 prípady), alebo 800 mg (1 prípad) Glivecu denne. </w:t>
      </w:r>
      <w:r w:rsidRPr="00C83045">
        <w:rPr>
          <w:rFonts w:eastAsia="MS Mincho"/>
          <w:color w:val="000000"/>
          <w:sz w:val="22"/>
          <w:szCs w:val="22"/>
          <w:lang w:val="sk-SK" w:eastAsia="ja-JP"/>
        </w:rPr>
        <w:t xml:space="preserve">Odpoveď na liečbu sa dosiahla u 5 pacientov, u 3 kompletná a u 2 čiastočná. </w:t>
      </w:r>
      <w:r w:rsidRPr="00C83045">
        <w:rPr>
          <w:color w:val="000000"/>
          <w:sz w:val="22"/>
          <w:szCs w:val="22"/>
          <w:lang w:val="sk-SK"/>
        </w:rPr>
        <w:t>Medián trvania liečby v publikovanej literatúre bol v rozmedzí 4 týždne a viac ako 20 mesiacov.</w:t>
      </w:r>
      <w:r w:rsidRPr="00C83045">
        <w:rPr>
          <w:color w:val="000000"/>
          <w:sz w:val="22"/>
          <w:szCs w:val="22"/>
          <w:lang w:val="sk-SK" w:eastAsia="ja-JP"/>
        </w:rPr>
        <w:t xml:space="preserve"> Translokácia t(17:22)[(q22:q13)] alebo jej génový produkt bola prítomná u takmer všetkých pacientov s odpoveďou na liečbu Glivecom.</w:t>
      </w:r>
    </w:p>
    <w:p w14:paraId="32368693" w14:textId="77777777" w:rsidR="00591A69" w:rsidRPr="00C83045" w:rsidRDefault="00591A69" w:rsidP="00D4304B">
      <w:pPr>
        <w:widowControl w:val="0"/>
        <w:ind w:left="0" w:firstLine="0"/>
        <w:rPr>
          <w:noProof/>
          <w:color w:val="000000"/>
          <w:szCs w:val="22"/>
        </w:rPr>
      </w:pPr>
    </w:p>
    <w:p w14:paraId="32368694" w14:textId="77777777" w:rsidR="00591A69" w:rsidRPr="00C83045" w:rsidRDefault="00591A69" w:rsidP="00D4304B">
      <w:pPr>
        <w:pStyle w:val="EndnoteText"/>
        <w:widowControl w:val="0"/>
        <w:tabs>
          <w:tab w:val="clear" w:pos="567"/>
        </w:tabs>
        <w:rPr>
          <w:color w:val="000000"/>
          <w:szCs w:val="22"/>
          <w:lang w:val="sk-SK"/>
        </w:rPr>
      </w:pPr>
      <w:r w:rsidRPr="00C83045">
        <w:rPr>
          <w:color w:val="000000"/>
          <w:szCs w:val="22"/>
          <w:lang w:val="sk-SK"/>
        </w:rPr>
        <w:t xml:space="preserve">U pediatrických pacientov s DFSP nie sú kontrolované klinické skúšania. V 3 publikáciách boli správy o 5 pacientoch s DFSP a s preskupeniami génu PDGFR. Vek týchto pacientov bol v rozmedzí od novorodencov do 14 rokov a imatinib sa im podával v dávke </w:t>
      </w:r>
      <w:r w:rsidRPr="00C83045">
        <w:rPr>
          <w:color w:val="000000"/>
          <w:szCs w:val="22"/>
          <w:lang w:val="sk-SK" w:eastAsia="ja-JP"/>
        </w:rPr>
        <w:t>50</w:t>
      </w:r>
      <w:r w:rsidRPr="00C83045">
        <w:rPr>
          <w:color w:val="000000"/>
          <w:szCs w:val="22"/>
          <w:lang w:val="sk-SK"/>
        </w:rPr>
        <w:t> </w:t>
      </w:r>
      <w:r w:rsidRPr="00C83045">
        <w:rPr>
          <w:color w:val="000000"/>
          <w:szCs w:val="22"/>
          <w:lang w:val="sk-SK" w:eastAsia="ja-JP"/>
        </w:rPr>
        <w:t>mg</w:t>
      </w:r>
      <w:r w:rsidRPr="00C83045">
        <w:rPr>
          <w:color w:val="000000"/>
          <w:szCs w:val="22"/>
          <w:lang w:val="sk-SK"/>
        </w:rPr>
        <w:t xml:space="preserve"> denne alebo v dávkach od </w:t>
      </w:r>
      <w:r w:rsidRPr="00C83045">
        <w:rPr>
          <w:color w:val="000000"/>
          <w:szCs w:val="22"/>
          <w:lang w:val="sk-SK" w:eastAsia="ja-JP"/>
        </w:rPr>
        <w:t>400 do 520</w:t>
      </w:r>
      <w:r w:rsidRPr="00C83045">
        <w:rPr>
          <w:color w:val="000000"/>
          <w:szCs w:val="22"/>
          <w:lang w:val="sk-SK"/>
        </w:rPr>
        <w:t> </w:t>
      </w:r>
      <w:r w:rsidRPr="00C83045">
        <w:rPr>
          <w:color w:val="000000"/>
          <w:szCs w:val="22"/>
          <w:lang w:val="sk-SK" w:eastAsia="ja-JP"/>
        </w:rPr>
        <w:t>mg/m</w:t>
      </w:r>
      <w:r w:rsidRPr="00C83045">
        <w:rPr>
          <w:color w:val="000000"/>
          <w:szCs w:val="22"/>
          <w:vertAlign w:val="superscript"/>
          <w:lang w:val="sk-SK" w:eastAsia="ja-JP"/>
        </w:rPr>
        <w:t>2</w:t>
      </w:r>
      <w:r w:rsidRPr="00C83045">
        <w:rPr>
          <w:color w:val="000000"/>
          <w:szCs w:val="22"/>
          <w:lang w:val="sk-SK" w:eastAsia="ja-JP"/>
        </w:rPr>
        <w:t xml:space="preserve"> denne</w:t>
      </w:r>
      <w:r w:rsidRPr="00C83045">
        <w:rPr>
          <w:color w:val="000000"/>
          <w:szCs w:val="22"/>
          <w:lang w:val="sk-SK"/>
        </w:rPr>
        <w:t>. Všetci pacienti dosiahli čiastočnú a/alebo kompletnú odpoveď.</w:t>
      </w:r>
    </w:p>
    <w:p w14:paraId="32368695" w14:textId="77777777" w:rsidR="00591A69" w:rsidRPr="00C83045" w:rsidRDefault="00591A69" w:rsidP="00D4304B">
      <w:pPr>
        <w:widowControl w:val="0"/>
        <w:ind w:left="560" w:hanging="560"/>
        <w:rPr>
          <w:bCs/>
          <w:color w:val="000000"/>
          <w:szCs w:val="22"/>
        </w:rPr>
      </w:pPr>
    </w:p>
    <w:p w14:paraId="32368696" w14:textId="77777777" w:rsidR="0043631E" w:rsidRPr="00C83045" w:rsidRDefault="0043631E" w:rsidP="00D4304B">
      <w:pPr>
        <w:keepNext/>
        <w:widowControl w:val="0"/>
        <w:ind w:left="560" w:hanging="560"/>
        <w:rPr>
          <w:b/>
          <w:bCs/>
          <w:color w:val="000000"/>
          <w:szCs w:val="22"/>
        </w:rPr>
      </w:pPr>
      <w:r w:rsidRPr="00C83045">
        <w:rPr>
          <w:b/>
          <w:bCs/>
          <w:color w:val="000000"/>
          <w:szCs w:val="22"/>
        </w:rPr>
        <w:t>5.2</w:t>
      </w:r>
      <w:r w:rsidRPr="00C83045">
        <w:rPr>
          <w:b/>
          <w:bCs/>
          <w:color w:val="000000"/>
          <w:szCs w:val="22"/>
        </w:rPr>
        <w:tab/>
        <w:t>Farmakokinetické vlastnosti</w:t>
      </w:r>
    </w:p>
    <w:p w14:paraId="32368697" w14:textId="77777777" w:rsidR="0043631E" w:rsidRPr="00C83045" w:rsidRDefault="0043631E" w:rsidP="00D4304B">
      <w:pPr>
        <w:keepNext/>
        <w:widowControl w:val="0"/>
        <w:ind w:left="0" w:firstLine="0"/>
        <w:rPr>
          <w:color w:val="000000"/>
          <w:szCs w:val="22"/>
        </w:rPr>
      </w:pPr>
    </w:p>
    <w:p w14:paraId="32368698" w14:textId="77777777" w:rsidR="0043631E" w:rsidRPr="00C83045" w:rsidRDefault="0043631E" w:rsidP="00D4304B">
      <w:pPr>
        <w:pStyle w:val="Heading2"/>
        <w:widowControl w:val="0"/>
        <w:autoSpaceDE/>
        <w:autoSpaceDN/>
        <w:rPr>
          <w:b w:val="0"/>
          <w:i w:val="0"/>
          <w:color w:val="000000"/>
          <w:sz w:val="22"/>
          <w:szCs w:val="22"/>
          <w:u w:val="single"/>
        </w:rPr>
      </w:pPr>
      <w:r w:rsidRPr="00C83045">
        <w:rPr>
          <w:b w:val="0"/>
          <w:i w:val="0"/>
          <w:color w:val="000000"/>
          <w:sz w:val="22"/>
          <w:szCs w:val="22"/>
          <w:u w:val="single"/>
        </w:rPr>
        <w:t>Farmakokinetika Glivecu</w:t>
      </w:r>
    </w:p>
    <w:p w14:paraId="32368699" w14:textId="77777777" w:rsidR="0043631E" w:rsidRPr="00C83045" w:rsidRDefault="0043631E" w:rsidP="00D4304B">
      <w:pPr>
        <w:widowControl w:val="0"/>
        <w:ind w:left="0" w:firstLine="0"/>
        <w:rPr>
          <w:color w:val="000000"/>
          <w:szCs w:val="22"/>
        </w:rPr>
      </w:pPr>
      <w:r w:rsidRPr="00C83045">
        <w:rPr>
          <w:color w:val="000000"/>
          <w:szCs w:val="22"/>
        </w:rPr>
        <w:t>Farmakokinetika Glivecu sa hodnotila v rozmedzí dávok od 25 do 1 000 mg. Farmakokinetické profily v plazme sa stanovili v 1. deň a buď na 7., alebo 28. deň, keď koncentrácie v plazme dosiahli rovnovážny stav.</w:t>
      </w:r>
    </w:p>
    <w:p w14:paraId="3236869A" w14:textId="77777777" w:rsidR="0043631E" w:rsidRPr="00C83045" w:rsidRDefault="0043631E" w:rsidP="00D4304B">
      <w:pPr>
        <w:widowControl w:val="0"/>
        <w:ind w:left="0" w:firstLine="0"/>
        <w:rPr>
          <w:color w:val="000000"/>
          <w:szCs w:val="22"/>
        </w:rPr>
      </w:pPr>
    </w:p>
    <w:p w14:paraId="3236869B" w14:textId="77777777" w:rsidR="000F592D" w:rsidRPr="00C83045" w:rsidRDefault="003835DA" w:rsidP="00D4304B">
      <w:pPr>
        <w:pStyle w:val="Heading2"/>
        <w:widowControl w:val="0"/>
        <w:autoSpaceDE/>
        <w:autoSpaceDN/>
        <w:rPr>
          <w:b w:val="0"/>
          <w:i w:val="0"/>
          <w:color w:val="000000"/>
          <w:sz w:val="22"/>
          <w:szCs w:val="22"/>
          <w:u w:val="single"/>
        </w:rPr>
      </w:pPr>
      <w:r w:rsidRPr="00C83045">
        <w:rPr>
          <w:b w:val="0"/>
          <w:i w:val="0"/>
          <w:color w:val="000000"/>
          <w:sz w:val="22"/>
          <w:szCs w:val="22"/>
          <w:u w:val="single"/>
        </w:rPr>
        <w:t>Ab</w:t>
      </w:r>
      <w:r w:rsidR="000F592D" w:rsidRPr="00C83045">
        <w:rPr>
          <w:b w:val="0"/>
          <w:i w:val="0"/>
          <w:color w:val="000000"/>
          <w:sz w:val="22"/>
          <w:szCs w:val="22"/>
          <w:u w:val="single"/>
        </w:rPr>
        <w:t>sorpcia</w:t>
      </w:r>
    </w:p>
    <w:p w14:paraId="3236869C" w14:textId="77777777" w:rsidR="000F592D" w:rsidRPr="00C83045" w:rsidRDefault="000F592D" w:rsidP="00D4304B">
      <w:pPr>
        <w:pStyle w:val="Footer"/>
        <w:widowControl w:val="0"/>
        <w:ind w:left="0" w:firstLine="0"/>
        <w:rPr>
          <w:color w:val="000000"/>
          <w:szCs w:val="22"/>
        </w:rPr>
      </w:pPr>
      <w:r w:rsidRPr="00C83045">
        <w:rPr>
          <w:color w:val="000000"/>
          <w:szCs w:val="22"/>
        </w:rPr>
        <w:t xml:space="preserve">Priemerná absolútna biologická dostupnosť imatinibu je 98%. Po perorálnom podaní bola medzi pacientmi vysoká variabilita hodnôt AUC imatinibu v plazme. Pri podaní s jedlom s vysokým obsahom tukov sa miera </w:t>
      </w:r>
      <w:r w:rsidR="003835DA" w:rsidRPr="00C83045">
        <w:rPr>
          <w:color w:val="000000"/>
          <w:szCs w:val="22"/>
        </w:rPr>
        <w:t>ab</w:t>
      </w:r>
      <w:r w:rsidRPr="00C83045">
        <w:rPr>
          <w:color w:val="000000"/>
          <w:szCs w:val="22"/>
        </w:rPr>
        <w:t>sorpcie imatinibu trochu znížila (pokles C</w:t>
      </w:r>
      <w:r w:rsidRPr="00C83045">
        <w:rPr>
          <w:color w:val="000000"/>
          <w:szCs w:val="22"/>
          <w:vertAlign w:val="subscript"/>
        </w:rPr>
        <w:t>max</w:t>
      </w:r>
      <w:r w:rsidRPr="00C83045">
        <w:rPr>
          <w:color w:val="000000"/>
          <w:szCs w:val="22"/>
        </w:rPr>
        <w:t xml:space="preserve"> o 11% a predĺženie t</w:t>
      </w:r>
      <w:r w:rsidRPr="00C83045">
        <w:rPr>
          <w:color w:val="000000"/>
          <w:szCs w:val="22"/>
          <w:vertAlign w:val="subscript"/>
        </w:rPr>
        <w:t>max</w:t>
      </w:r>
      <w:r w:rsidRPr="00C83045">
        <w:rPr>
          <w:color w:val="000000"/>
          <w:szCs w:val="22"/>
        </w:rPr>
        <w:t xml:space="preserve"> o 1,5 hod) a o málo sa zmenšila hodnota AUC (7,4%) v porovnaní s podaním nalačno. Účinok gastrointestinálneho chirurgického zákroku na </w:t>
      </w:r>
      <w:r w:rsidR="003835DA" w:rsidRPr="00C83045">
        <w:rPr>
          <w:color w:val="000000"/>
          <w:szCs w:val="22"/>
        </w:rPr>
        <w:t>ab</w:t>
      </w:r>
      <w:r w:rsidRPr="00C83045">
        <w:rPr>
          <w:color w:val="000000"/>
          <w:szCs w:val="22"/>
        </w:rPr>
        <w:t>sorpciu liečiva pri neskoršom podávaní sa nesledoval.</w:t>
      </w:r>
    </w:p>
    <w:p w14:paraId="3236869D" w14:textId="77777777" w:rsidR="000F592D" w:rsidRPr="00C83045" w:rsidRDefault="000F592D" w:rsidP="00D4304B">
      <w:pPr>
        <w:pStyle w:val="Footer"/>
        <w:widowControl w:val="0"/>
        <w:ind w:left="0" w:firstLine="0"/>
        <w:rPr>
          <w:color w:val="000000"/>
          <w:szCs w:val="22"/>
        </w:rPr>
      </w:pPr>
    </w:p>
    <w:p w14:paraId="3236869E" w14:textId="77777777" w:rsidR="000F592D" w:rsidRPr="00C83045" w:rsidRDefault="000F592D" w:rsidP="00D4304B">
      <w:pPr>
        <w:pStyle w:val="Footer"/>
        <w:keepNext/>
        <w:widowControl w:val="0"/>
        <w:ind w:left="0" w:firstLine="0"/>
        <w:rPr>
          <w:color w:val="000000"/>
          <w:szCs w:val="22"/>
          <w:u w:val="single"/>
        </w:rPr>
      </w:pPr>
      <w:r w:rsidRPr="00C83045">
        <w:rPr>
          <w:color w:val="000000"/>
          <w:szCs w:val="22"/>
          <w:u w:val="single"/>
        </w:rPr>
        <w:t>Distribúcia</w:t>
      </w:r>
    </w:p>
    <w:p w14:paraId="3236869F" w14:textId="77777777" w:rsidR="000F592D" w:rsidRPr="00C83045" w:rsidRDefault="000F592D" w:rsidP="00D4304B">
      <w:pPr>
        <w:pStyle w:val="Footer"/>
        <w:widowControl w:val="0"/>
        <w:ind w:left="0" w:firstLine="0"/>
        <w:rPr>
          <w:color w:val="000000"/>
          <w:szCs w:val="22"/>
        </w:rPr>
      </w:pPr>
      <w:r w:rsidRPr="00C83045">
        <w:rPr>
          <w:color w:val="000000"/>
          <w:szCs w:val="22"/>
        </w:rPr>
        <w:t xml:space="preserve">Pri klinicky významných koncentráciách sa na bielkoviny plazmy pri pokusoch </w:t>
      </w:r>
      <w:r w:rsidRPr="00C83045">
        <w:rPr>
          <w:i/>
          <w:color w:val="000000"/>
          <w:szCs w:val="22"/>
        </w:rPr>
        <w:t>in vitro</w:t>
      </w:r>
      <w:r w:rsidRPr="00C83045">
        <w:rPr>
          <w:color w:val="000000"/>
          <w:szCs w:val="22"/>
        </w:rPr>
        <w:t xml:space="preserve"> viazalo približne 95% imatinibu, najviac na albumín a kyslý alfa-glykoproteín, s nízkym podielom viazaným na lipoproteíny.</w:t>
      </w:r>
    </w:p>
    <w:p w14:paraId="323686A0" w14:textId="77777777" w:rsidR="000F592D" w:rsidRPr="00C83045" w:rsidRDefault="000F592D" w:rsidP="00D4304B">
      <w:pPr>
        <w:pStyle w:val="Footer"/>
        <w:widowControl w:val="0"/>
        <w:ind w:left="0" w:firstLine="0"/>
        <w:rPr>
          <w:color w:val="000000"/>
          <w:szCs w:val="22"/>
        </w:rPr>
      </w:pPr>
    </w:p>
    <w:p w14:paraId="323686A1" w14:textId="77777777" w:rsidR="005E64A4" w:rsidRPr="00C83045" w:rsidRDefault="005E64A4" w:rsidP="00D4304B">
      <w:pPr>
        <w:pStyle w:val="Footer"/>
        <w:keepNext/>
        <w:widowControl w:val="0"/>
        <w:ind w:left="0" w:firstLine="0"/>
        <w:rPr>
          <w:color w:val="000000"/>
          <w:szCs w:val="22"/>
          <w:u w:val="single"/>
        </w:rPr>
      </w:pPr>
      <w:r w:rsidRPr="00C83045">
        <w:rPr>
          <w:color w:val="000000"/>
          <w:szCs w:val="22"/>
          <w:u w:val="single"/>
        </w:rPr>
        <w:t>Biotransformácia</w:t>
      </w:r>
    </w:p>
    <w:p w14:paraId="323686A2" w14:textId="77777777" w:rsidR="000F592D" w:rsidRPr="00C83045" w:rsidRDefault="000F592D" w:rsidP="00D4304B">
      <w:pPr>
        <w:pStyle w:val="Footer"/>
        <w:widowControl w:val="0"/>
        <w:ind w:left="0" w:firstLine="0"/>
        <w:rPr>
          <w:color w:val="000000"/>
          <w:szCs w:val="22"/>
        </w:rPr>
      </w:pPr>
      <w:r w:rsidRPr="00C83045">
        <w:rPr>
          <w:color w:val="000000"/>
          <w:szCs w:val="22"/>
        </w:rPr>
        <w:t xml:space="preserve">Hlavným cirkulujúcim metabolitom u ľudí je N-demetylovaný piperazínový derivát, ktorý vykazuje </w:t>
      </w:r>
      <w:r w:rsidRPr="00C83045">
        <w:rPr>
          <w:i/>
          <w:color w:val="000000"/>
          <w:szCs w:val="22"/>
        </w:rPr>
        <w:t>in vitro</w:t>
      </w:r>
      <w:r w:rsidRPr="00C83045">
        <w:rPr>
          <w:color w:val="000000"/>
          <w:szCs w:val="22"/>
        </w:rPr>
        <w:t xml:space="preserve"> podobnú účinnosť ako nezmenené liečivo. Zistilo sa, že hodnota AUC tohto metabolitu v plazme dosahuje len 16% AUC imatinibu.</w:t>
      </w:r>
      <w:r w:rsidR="009B7663" w:rsidRPr="00C83045">
        <w:rPr>
          <w:color w:val="000000"/>
          <w:szCs w:val="22"/>
        </w:rPr>
        <w:t xml:space="preserve"> Väzba na bielkoviny plazmy N-demetylovaného metabolitu je podobná ako pri nezmenenom liečive.</w:t>
      </w:r>
    </w:p>
    <w:p w14:paraId="323686A3" w14:textId="77777777" w:rsidR="000F592D" w:rsidRPr="00C83045" w:rsidRDefault="000F592D" w:rsidP="00D4304B">
      <w:pPr>
        <w:pStyle w:val="Footer"/>
        <w:widowControl w:val="0"/>
        <w:ind w:left="0" w:firstLine="0"/>
        <w:rPr>
          <w:color w:val="000000"/>
          <w:szCs w:val="22"/>
        </w:rPr>
      </w:pPr>
    </w:p>
    <w:p w14:paraId="323686A4" w14:textId="77777777" w:rsidR="000F592D" w:rsidRPr="00C83045" w:rsidRDefault="000F592D" w:rsidP="00D4304B">
      <w:pPr>
        <w:pStyle w:val="Footer"/>
        <w:widowControl w:val="0"/>
        <w:ind w:left="0" w:firstLine="0"/>
        <w:rPr>
          <w:color w:val="000000"/>
          <w:szCs w:val="22"/>
        </w:rPr>
      </w:pPr>
      <w:r w:rsidRPr="00C83045">
        <w:rPr>
          <w:color w:val="000000"/>
          <w:szCs w:val="22"/>
        </w:rPr>
        <w:t>Imatinib a jeho N-demetylovaný metabolit spolu predstavovali 65% cirkulujúcej rádioaktivity (AUC</w:t>
      </w:r>
      <w:r w:rsidRPr="00C83045">
        <w:rPr>
          <w:color w:val="000000"/>
          <w:szCs w:val="22"/>
          <w:vertAlign w:val="subscript"/>
        </w:rPr>
        <w:t>0</w:t>
      </w:r>
      <w:r w:rsidRPr="00C83045">
        <w:rPr>
          <w:color w:val="000000"/>
          <w:szCs w:val="22"/>
          <w:vertAlign w:val="subscript"/>
        </w:rPr>
        <w:noBreakHyphen/>
        <w:t>48h</w:t>
      </w:r>
      <w:r w:rsidRPr="00C83045">
        <w:rPr>
          <w:color w:val="000000"/>
          <w:szCs w:val="22"/>
        </w:rPr>
        <w:t>). Zvyšná cirkulujúca rádioaktivita sa pripísala radu vedľajších metabolitov.</w:t>
      </w:r>
    </w:p>
    <w:p w14:paraId="323686A5" w14:textId="77777777" w:rsidR="000F592D" w:rsidRPr="00C83045" w:rsidRDefault="000F592D" w:rsidP="00D4304B">
      <w:pPr>
        <w:pStyle w:val="Footer"/>
        <w:widowControl w:val="0"/>
        <w:ind w:left="0" w:firstLine="0"/>
        <w:rPr>
          <w:color w:val="000000"/>
          <w:szCs w:val="22"/>
        </w:rPr>
      </w:pPr>
    </w:p>
    <w:p w14:paraId="323686A6" w14:textId="77777777" w:rsidR="000F592D" w:rsidRPr="00C83045" w:rsidRDefault="000F592D" w:rsidP="00D4304B">
      <w:pPr>
        <w:pStyle w:val="Footer"/>
        <w:widowControl w:val="0"/>
        <w:ind w:left="0" w:firstLine="0"/>
        <w:rPr>
          <w:color w:val="000000"/>
          <w:szCs w:val="22"/>
        </w:rPr>
      </w:pPr>
      <w:r w:rsidRPr="00C83045">
        <w:rPr>
          <w:color w:val="000000"/>
          <w:szCs w:val="22"/>
        </w:rPr>
        <w:t xml:space="preserve">Výsledky </w:t>
      </w:r>
      <w:r w:rsidRPr="00C83045">
        <w:rPr>
          <w:i/>
          <w:color w:val="000000"/>
          <w:szCs w:val="22"/>
        </w:rPr>
        <w:t>in vitro</w:t>
      </w:r>
      <w:r w:rsidRPr="00C83045">
        <w:rPr>
          <w:color w:val="000000"/>
          <w:szCs w:val="22"/>
        </w:rPr>
        <w:t xml:space="preserve"> ukázali, že CYP3A4 bol hlavný ľudský enzým P450, ktorý katalyzuje biotransformáciu imatinibu. Zo skupiny liečiv, pri ktorých prichádza do úvahy súčasné podávanie (paracetamol, aciklovir, alopurinol, amfotericín, cytarabín, erytromycín, flukonazol, hydroxymočovina, norfloxacín, penicilín V), len pri erytromycíne (IC</w:t>
      </w:r>
      <w:r w:rsidRPr="00C83045">
        <w:rPr>
          <w:color w:val="000000"/>
          <w:szCs w:val="22"/>
          <w:vertAlign w:val="subscript"/>
        </w:rPr>
        <w:t>50</w:t>
      </w:r>
      <w:r w:rsidRPr="00C83045">
        <w:rPr>
          <w:color w:val="000000"/>
          <w:szCs w:val="22"/>
        </w:rPr>
        <w:t xml:space="preserve"> 50 </w:t>
      </w:r>
      <w:r w:rsidRPr="00C83045">
        <w:rPr>
          <w:color w:val="000000"/>
          <w:szCs w:val="22"/>
        </w:rPr>
        <w:sym w:font="Symbol" w:char="F06D"/>
      </w:r>
      <w:r w:rsidRPr="00C83045">
        <w:rPr>
          <w:color w:val="000000"/>
          <w:szCs w:val="22"/>
        </w:rPr>
        <w:t>mol/l) a flukonazole (IC</w:t>
      </w:r>
      <w:r w:rsidRPr="00C83045">
        <w:rPr>
          <w:color w:val="000000"/>
          <w:szCs w:val="22"/>
          <w:vertAlign w:val="subscript"/>
        </w:rPr>
        <w:t>50</w:t>
      </w:r>
      <w:r w:rsidRPr="00C83045">
        <w:rPr>
          <w:color w:val="000000"/>
          <w:szCs w:val="22"/>
        </w:rPr>
        <w:t xml:space="preserve"> 118 </w:t>
      </w:r>
      <w:r w:rsidRPr="00C83045">
        <w:rPr>
          <w:color w:val="000000"/>
          <w:szCs w:val="22"/>
        </w:rPr>
        <w:sym w:font="Symbol" w:char="F06D"/>
      </w:r>
      <w:r w:rsidRPr="00C83045">
        <w:rPr>
          <w:color w:val="000000"/>
          <w:szCs w:val="22"/>
        </w:rPr>
        <w:t>mol/l) sa preukázala inhibícia metabolizmu imatinibu, ktorá by mohla byť klinicky významná.</w:t>
      </w:r>
    </w:p>
    <w:p w14:paraId="323686A7" w14:textId="77777777" w:rsidR="000F592D" w:rsidRPr="00C83045" w:rsidRDefault="000F592D" w:rsidP="00D4304B">
      <w:pPr>
        <w:pStyle w:val="Footer"/>
        <w:widowControl w:val="0"/>
        <w:ind w:left="0" w:firstLine="0"/>
        <w:rPr>
          <w:color w:val="000000"/>
          <w:szCs w:val="22"/>
        </w:rPr>
      </w:pPr>
    </w:p>
    <w:p w14:paraId="323686A8" w14:textId="77777777" w:rsidR="000F592D" w:rsidRPr="00C83045" w:rsidRDefault="000F592D" w:rsidP="00D4304B">
      <w:pPr>
        <w:pStyle w:val="Footer"/>
        <w:widowControl w:val="0"/>
        <w:ind w:left="0" w:firstLine="0"/>
        <w:rPr>
          <w:color w:val="000000"/>
          <w:szCs w:val="22"/>
        </w:rPr>
      </w:pPr>
      <w:r w:rsidRPr="00C83045">
        <w:rPr>
          <w:color w:val="000000"/>
          <w:szCs w:val="22"/>
        </w:rPr>
        <w:t xml:space="preserve">Ukázalo sa, že imatinib je </w:t>
      </w:r>
      <w:r w:rsidRPr="00C83045">
        <w:rPr>
          <w:i/>
          <w:color w:val="000000"/>
          <w:szCs w:val="22"/>
        </w:rPr>
        <w:t>in vitro</w:t>
      </w:r>
      <w:r w:rsidRPr="00C83045">
        <w:rPr>
          <w:color w:val="000000"/>
          <w:szCs w:val="22"/>
        </w:rPr>
        <w:t xml:space="preserve"> kompetitívny inhibítor markerových substrátov CYP2C9, CYP2D6 </w:t>
      </w:r>
      <w:r w:rsidRPr="00C83045">
        <w:rPr>
          <w:color w:val="000000"/>
          <w:szCs w:val="22"/>
        </w:rPr>
        <w:lastRenderedPageBreak/>
        <w:t>a CYP3A4/5. Príslušné hodnoty K</w:t>
      </w:r>
      <w:r w:rsidRPr="00C83045">
        <w:rPr>
          <w:color w:val="000000"/>
          <w:szCs w:val="22"/>
          <w:vertAlign w:val="subscript"/>
        </w:rPr>
        <w:t>i</w:t>
      </w:r>
      <w:r w:rsidRPr="00C83045">
        <w:rPr>
          <w:color w:val="000000"/>
          <w:szCs w:val="22"/>
        </w:rPr>
        <w:t xml:space="preserve"> v ľudských pečeňových mikrozómoch boli 27, 7,5 a 7,9 </w:t>
      </w:r>
      <w:r w:rsidRPr="00C83045">
        <w:rPr>
          <w:color w:val="000000"/>
          <w:szCs w:val="22"/>
        </w:rPr>
        <w:sym w:font="Symbol" w:char="F06D"/>
      </w:r>
      <w:r w:rsidRPr="00C83045">
        <w:rPr>
          <w:color w:val="000000"/>
          <w:szCs w:val="22"/>
        </w:rPr>
        <w:t>mol/l. Maximálne plazmatické koncentrácie imatinibu u pacientov sú 2–4 </w:t>
      </w:r>
      <w:r w:rsidRPr="00C83045">
        <w:rPr>
          <w:color w:val="000000"/>
          <w:szCs w:val="22"/>
        </w:rPr>
        <w:sym w:font="Symbol" w:char="F06D"/>
      </w:r>
      <w:r w:rsidRPr="00C83045">
        <w:rPr>
          <w:color w:val="000000"/>
          <w:szCs w:val="22"/>
        </w:rPr>
        <w:t>mol/l, z čoho vyplýva, že je možná inhibícia metabolizmu súčasne podávaných liečiv, na ktorom sa podieľajú CYP2D6 a/alebo CYP3A4/5. Imatinib neovplyvňoval biotransformáciu 5-fluorouracilu, ale inhiboval metabolizmus paklitaxelu ako následok kompetitívnej inhibície CYP2C8 (K</w:t>
      </w:r>
      <w:r w:rsidRPr="00C83045">
        <w:rPr>
          <w:color w:val="000000"/>
          <w:szCs w:val="22"/>
          <w:vertAlign w:val="subscript"/>
        </w:rPr>
        <w:t>i</w:t>
      </w:r>
      <w:r w:rsidRPr="00C83045">
        <w:rPr>
          <w:color w:val="000000"/>
          <w:szCs w:val="22"/>
        </w:rPr>
        <w:t xml:space="preserve"> = 34,7 </w:t>
      </w:r>
      <w:r w:rsidRPr="00C83045">
        <w:rPr>
          <w:color w:val="000000"/>
          <w:szCs w:val="22"/>
        </w:rPr>
        <w:sym w:font="Symbol" w:char="F06D"/>
      </w:r>
      <w:r w:rsidRPr="00C83045">
        <w:rPr>
          <w:color w:val="000000"/>
          <w:szCs w:val="22"/>
        </w:rPr>
        <w:t>mol/l). Táto hodnota K</w:t>
      </w:r>
      <w:r w:rsidRPr="00C83045">
        <w:rPr>
          <w:color w:val="000000"/>
          <w:szCs w:val="22"/>
          <w:vertAlign w:val="subscript"/>
        </w:rPr>
        <w:t>i</w:t>
      </w:r>
      <w:r w:rsidRPr="00C83045">
        <w:rPr>
          <w:color w:val="000000"/>
          <w:szCs w:val="22"/>
        </w:rPr>
        <w:t xml:space="preserve"> je oveľa vyššia ako očakávané hladiny imatinibu v plazme pacientov, z čoho vyplýva, že sa neočakáva interakcia pri súčasnom podávaní imatinibu s 5-fluorouracilom, ani s paklitaxelom.</w:t>
      </w:r>
    </w:p>
    <w:p w14:paraId="323686A9" w14:textId="77777777" w:rsidR="000F592D" w:rsidRPr="00C83045" w:rsidRDefault="000F592D" w:rsidP="00D4304B">
      <w:pPr>
        <w:pStyle w:val="Footer"/>
        <w:widowControl w:val="0"/>
        <w:ind w:left="0" w:firstLine="0"/>
        <w:rPr>
          <w:color w:val="000000"/>
          <w:szCs w:val="22"/>
        </w:rPr>
      </w:pPr>
    </w:p>
    <w:p w14:paraId="323686AA" w14:textId="77777777" w:rsidR="000F592D" w:rsidRPr="00C83045" w:rsidRDefault="000F592D" w:rsidP="00D4304B">
      <w:pPr>
        <w:pStyle w:val="Footer"/>
        <w:keepNext/>
        <w:widowControl w:val="0"/>
        <w:ind w:left="0" w:firstLine="0"/>
        <w:rPr>
          <w:color w:val="000000"/>
          <w:szCs w:val="22"/>
          <w:u w:val="single"/>
        </w:rPr>
      </w:pPr>
      <w:r w:rsidRPr="00C83045">
        <w:rPr>
          <w:color w:val="000000"/>
          <w:szCs w:val="22"/>
          <w:u w:val="single"/>
        </w:rPr>
        <w:t>Eliminácia</w:t>
      </w:r>
    </w:p>
    <w:p w14:paraId="323686AB" w14:textId="77777777" w:rsidR="000F592D" w:rsidRPr="00C83045" w:rsidRDefault="000F592D" w:rsidP="00D4304B">
      <w:pPr>
        <w:pStyle w:val="Footer"/>
        <w:widowControl w:val="0"/>
        <w:ind w:left="0" w:firstLine="0"/>
        <w:rPr>
          <w:color w:val="000000"/>
          <w:szCs w:val="22"/>
        </w:rPr>
      </w:pPr>
      <w:r w:rsidRPr="00C83045">
        <w:rPr>
          <w:color w:val="000000"/>
          <w:szCs w:val="22"/>
        </w:rPr>
        <w:t xml:space="preserve">Pri stanovení zlúčenín po perorálnom podaní imatinibu označeného </w:t>
      </w:r>
      <w:r w:rsidRPr="00C83045">
        <w:rPr>
          <w:color w:val="000000"/>
          <w:szCs w:val="22"/>
          <w:vertAlign w:val="superscript"/>
        </w:rPr>
        <w:t>14</w:t>
      </w:r>
      <w:r w:rsidRPr="00C83045">
        <w:rPr>
          <w:color w:val="000000"/>
          <w:szCs w:val="22"/>
        </w:rPr>
        <w:t>C sa približne 81% dávky našlo v priebehu 7 dní v stolici (68% dávky) a v moči (13% dávky). Ako nezmenený imatinib sa vylúčilo 25% dávky (5% močom, 20% stolicou), zvyšok boli metabolity.</w:t>
      </w:r>
    </w:p>
    <w:p w14:paraId="323686AC" w14:textId="77777777" w:rsidR="000F592D" w:rsidRPr="00C83045" w:rsidRDefault="000F592D" w:rsidP="00D4304B">
      <w:pPr>
        <w:pStyle w:val="Footer"/>
        <w:widowControl w:val="0"/>
        <w:ind w:left="0" w:firstLine="0"/>
        <w:rPr>
          <w:color w:val="000000"/>
          <w:szCs w:val="22"/>
        </w:rPr>
      </w:pPr>
    </w:p>
    <w:p w14:paraId="323686AD" w14:textId="77777777" w:rsidR="000F592D" w:rsidRPr="00C83045" w:rsidRDefault="000F592D" w:rsidP="00D4304B">
      <w:pPr>
        <w:pStyle w:val="Footer"/>
        <w:keepNext/>
        <w:widowControl w:val="0"/>
        <w:ind w:left="0" w:firstLine="0"/>
        <w:rPr>
          <w:color w:val="000000"/>
          <w:szCs w:val="22"/>
          <w:u w:val="single"/>
        </w:rPr>
      </w:pPr>
      <w:r w:rsidRPr="00C83045">
        <w:rPr>
          <w:color w:val="000000"/>
          <w:szCs w:val="22"/>
          <w:u w:val="single"/>
        </w:rPr>
        <w:t>Farmakokinetika v plazme</w:t>
      </w:r>
    </w:p>
    <w:p w14:paraId="323686AE" w14:textId="77777777" w:rsidR="000F592D" w:rsidRPr="00C83045" w:rsidRDefault="000F592D" w:rsidP="00D4304B">
      <w:pPr>
        <w:pStyle w:val="Footer"/>
        <w:widowControl w:val="0"/>
        <w:ind w:left="0" w:firstLine="0"/>
        <w:rPr>
          <w:color w:val="000000"/>
          <w:szCs w:val="22"/>
        </w:rPr>
      </w:pPr>
      <w:r w:rsidRPr="00C83045">
        <w:rPr>
          <w:color w:val="000000"/>
          <w:szCs w:val="22"/>
        </w:rPr>
        <w:t>Po perorálnom podaní zdravým dobrovoľníkom bol t</w:t>
      </w:r>
      <w:r w:rsidRPr="00C83045">
        <w:rPr>
          <w:color w:val="000000"/>
          <w:szCs w:val="22"/>
          <w:vertAlign w:val="subscript"/>
        </w:rPr>
        <w:t>1/2</w:t>
      </w:r>
      <w:r w:rsidRPr="00C83045">
        <w:rPr>
          <w:color w:val="000000"/>
          <w:szCs w:val="22"/>
        </w:rPr>
        <w:t xml:space="preserve"> asi 18 hodín, z čoho možno usudzovať, že podávanie 1-krát denne postačuje. Zvyšovanie priemernej hodnoty AUC so zvyšujúcou sa dávkou bolo po perorálnom podaní imatinibu lineárne a úmerné dávke v rozmedzí 25–1 000 mg. Kinetika imatinibu sa pri opakovanom podávaní nemenila a pri rovnovážnom stave a podávaní 1-krát denne bola akumulácia 1,5- až 2,5-násobná.</w:t>
      </w:r>
    </w:p>
    <w:p w14:paraId="323686AF" w14:textId="77777777" w:rsidR="000F592D" w:rsidRPr="00C83045" w:rsidRDefault="000F592D" w:rsidP="00D4304B">
      <w:pPr>
        <w:pStyle w:val="Footer"/>
        <w:widowControl w:val="0"/>
        <w:ind w:left="0" w:firstLine="0"/>
        <w:rPr>
          <w:color w:val="000000"/>
          <w:szCs w:val="22"/>
        </w:rPr>
      </w:pPr>
    </w:p>
    <w:p w14:paraId="323686B0" w14:textId="77777777" w:rsidR="000F592D" w:rsidRPr="00C83045" w:rsidRDefault="000F592D" w:rsidP="00D4304B">
      <w:pPr>
        <w:pStyle w:val="Footer"/>
        <w:keepNext/>
        <w:widowControl w:val="0"/>
        <w:ind w:left="0" w:firstLine="0"/>
        <w:rPr>
          <w:color w:val="000000"/>
          <w:szCs w:val="22"/>
          <w:u w:val="single"/>
        </w:rPr>
      </w:pPr>
      <w:r w:rsidRPr="00C83045">
        <w:rPr>
          <w:color w:val="000000"/>
          <w:szCs w:val="22"/>
          <w:u w:val="single"/>
        </w:rPr>
        <w:t>Farmakokinetika u pacientov s GIST</w:t>
      </w:r>
    </w:p>
    <w:p w14:paraId="323686B1" w14:textId="77777777" w:rsidR="000F592D" w:rsidRPr="00C83045" w:rsidRDefault="000F592D" w:rsidP="00D4304B">
      <w:pPr>
        <w:pStyle w:val="Footer"/>
        <w:widowControl w:val="0"/>
        <w:ind w:left="0" w:firstLine="0"/>
        <w:rPr>
          <w:color w:val="000000"/>
          <w:szCs w:val="22"/>
        </w:rPr>
      </w:pPr>
      <w:r w:rsidRPr="00C83045">
        <w:rPr>
          <w:color w:val="000000"/>
          <w:szCs w:val="22"/>
        </w:rPr>
        <w:t>U pacientov s GIST bola expozícia v rovnovážnom stave 1,5-násobne vyššia, ako sa pozorovala u pacientov s CML pri rovnakom dávkovaní (400 mg denne). Pri predbežnej analýze farmakokinetiky v skupine pacientov s GIST sa zistilo, že tri premenné (albumín, WBC a bilirubín) majú štatisticky významnú súvislosť s farmakokinetikou imatinibu. Znížené hodnoty albumínu spôsobili zníženie klírensu (CL/f) a vyššie hodnoty WBC mali za následok zníženie CL/f. Tieto súvislosti však nie sú natoľko významné, aby si vyžiadali úpravu dávkovania. V tejto skupine pacientov môže prítomnosť metastáz v pečeni viesť k insuficiencii pečene a zníženiu metabolizmu.</w:t>
      </w:r>
    </w:p>
    <w:p w14:paraId="323686B2" w14:textId="77777777" w:rsidR="000F592D" w:rsidRPr="00C83045" w:rsidRDefault="000F592D" w:rsidP="00D4304B">
      <w:pPr>
        <w:pStyle w:val="Footer"/>
        <w:widowControl w:val="0"/>
        <w:ind w:left="0" w:firstLine="0"/>
        <w:rPr>
          <w:color w:val="000000"/>
          <w:szCs w:val="22"/>
        </w:rPr>
      </w:pPr>
    </w:p>
    <w:p w14:paraId="323686B3" w14:textId="77777777" w:rsidR="000F592D" w:rsidRPr="00C83045" w:rsidRDefault="000F592D" w:rsidP="00D4304B">
      <w:pPr>
        <w:pStyle w:val="Footer"/>
        <w:keepNext/>
        <w:widowControl w:val="0"/>
        <w:ind w:left="0" w:firstLine="0"/>
        <w:rPr>
          <w:color w:val="000000"/>
          <w:szCs w:val="22"/>
          <w:u w:val="single"/>
        </w:rPr>
      </w:pPr>
      <w:r w:rsidRPr="00C83045">
        <w:rPr>
          <w:color w:val="000000"/>
          <w:szCs w:val="22"/>
          <w:u w:val="single"/>
        </w:rPr>
        <w:t>Farmakokinetika u špeciálnych skupín pacientov</w:t>
      </w:r>
    </w:p>
    <w:p w14:paraId="323686B4" w14:textId="77777777" w:rsidR="000F592D" w:rsidRPr="00C83045" w:rsidRDefault="000F592D" w:rsidP="00D4304B">
      <w:pPr>
        <w:pStyle w:val="Footer"/>
        <w:widowControl w:val="0"/>
        <w:ind w:left="0" w:firstLine="0"/>
        <w:rPr>
          <w:color w:val="000000"/>
          <w:szCs w:val="22"/>
        </w:rPr>
      </w:pPr>
      <w:r w:rsidRPr="00C83045">
        <w:rPr>
          <w:color w:val="000000"/>
          <w:szCs w:val="22"/>
        </w:rPr>
        <w:t xml:space="preserve">Pri analýze farmakokinetiky u špeciálnych skupín pacientov s CML sa zistil len malý vplyv veku na distribučný objem (zvýšenie o 12% u pacientov vo veku </w:t>
      </w:r>
      <w:r w:rsidRPr="00C83045">
        <w:rPr>
          <w:color w:val="000000"/>
          <w:szCs w:val="22"/>
        </w:rPr>
        <w:sym w:font="Symbol" w:char="F03E"/>
      </w:r>
      <w:r w:rsidRPr="00C83045">
        <w:rPr>
          <w:color w:val="000000"/>
          <w:szCs w:val="22"/>
        </w:rPr>
        <w:t> 65 rokov). Táto zmena sa nepovažuje za klinicky významnú. Vplyv telesnej hmotnosti na klírens imatinibu je taký, že u pacienta s hmotnosťou 50 kg sa očakáva priemerný klírens 8,5 l/hod, zatiaľ čo u pacienta s hmotnosťou 100 kg sa klírens zvýši na 11,8 l/hod. Tieto zmeny sa nepovažujú za dostačujúce, aby bolo potrebné upraviť dávkovanie na základe kg telesnej hmotnosti. Pohlavie nemá vplyv na kinetiku imatinibu.</w:t>
      </w:r>
    </w:p>
    <w:p w14:paraId="323686B5" w14:textId="77777777" w:rsidR="000F592D" w:rsidRPr="00C83045" w:rsidRDefault="000F592D" w:rsidP="00D4304B">
      <w:pPr>
        <w:pStyle w:val="Footer"/>
        <w:widowControl w:val="0"/>
        <w:ind w:left="0" w:firstLine="0"/>
        <w:rPr>
          <w:color w:val="000000"/>
          <w:szCs w:val="22"/>
        </w:rPr>
      </w:pPr>
    </w:p>
    <w:p w14:paraId="323686B6" w14:textId="77777777" w:rsidR="000F592D" w:rsidRPr="00C83045" w:rsidRDefault="000F592D" w:rsidP="00D4304B">
      <w:pPr>
        <w:pStyle w:val="Footer"/>
        <w:keepNext/>
        <w:widowControl w:val="0"/>
        <w:ind w:left="0" w:firstLine="0"/>
        <w:rPr>
          <w:color w:val="000000"/>
          <w:szCs w:val="22"/>
          <w:u w:val="single"/>
        </w:rPr>
      </w:pPr>
      <w:r w:rsidRPr="00C83045">
        <w:rPr>
          <w:color w:val="000000"/>
          <w:szCs w:val="22"/>
          <w:u w:val="single"/>
        </w:rPr>
        <w:t>Farmakokinetika u detí</w:t>
      </w:r>
    </w:p>
    <w:p w14:paraId="323686B7" w14:textId="77777777" w:rsidR="004D4F0C" w:rsidRPr="00C83045" w:rsidRDefault="004D4F0C" w:rsidP="00D4304B">
      <w:pPr>
        <w:pStyle w:val="Footer"/>
        <w:widowControl w:val="0"/>
        <w:ind w:left="0" w:firstLine="0"/>
        <w:rPr>
          <w:color w:val="000000"/>
          <w:szCs w:val="22"/>
        </w:rPr>
      </w:pPr>
      <w:r w:rsidRPr="00C83045">
        <w:rPr>
          <w:color w:val="000000"/>
          <w:szCs w:val="22"/>
        </w:rPr>
        <w:t>Tak ako aj u dospelých pacientov, imatinib sa rýchlo resorboval po perorálnom podaní u pediatrických pacientov v klinických skúšaniach fázy I aj fázy II. Dávkami 260 a 340 mg/m</w:t>
      </w:r>
      <w:r w:rsidRPr="00C83045">
        <w:rPr>
          <w:color w:val="000000"/>
          <w:szCs w:val="22"/>
          <w:vertAlign w:val="superscript"/>
        </w:rPr>
        <w:t>2</w:t>
      </w:r>
      <w:r w:rsidRPr="00C83045">
        <w:rPr>
          <w:color w:val="000000"/>
          <w:szCs w:val="22"/>
        </w:rPr>
        <w:t>/deň sa u detí dosiahla rovnaká expozícia ako dávkami 400 mg a 600 mg u dospelých pacientov. Porovnaním AUC</w:t>
      </w:r>
      <w:r w:rsidRPr="00C83045">
        <w:rPr>
          <w:color w:val="000000"/>
          <w:szCs w:val="22"/>
          <w:vertAlign w:val="subscript"/>
        </w:rPr>
        <w:t>(0</w:t>
      </w:r>
      <w:r w:rsidRPr="00C83045">
        <w:rPr>
          <w:color w:val="000000"/>
          <w:szCs w:val="22"/>
          <w:vertAlign w:val="subscript"/>
        </w:rPr>
        <w:noBreakHyphen/>
        <w:t xml:space="preserve">24) </w:t>
      </w:r>
      <w:r w:rsidRPr="00C83045">
        <w:rPr>
          <w:color w:val="000000"/>
          <w:szCs w:val="22"/>
        </w:rPr>
        <w:t>na 8. a 1. deň pri hladine dávok 340 mg/m</w:t>
      </w:r>
      <w:r w:rsidRPr="00C83045">
        <w:rPr>
          <w:color w:val="000000"/>
          <w:szCs w:val="22"/>
          <w:vertAlign w:val="superscript"/>
        </w:rPr>
        <w:t>2</w:t>
      </w:r>
      <w:r w:rsidRPr="00C83045">
        <w:rPr>
          <w:color w:val="000000"/>
          <w:szCs w:val="22"/>
        </w:rPr>
        <w:t>/deň sa zistilo, že dochádza k 1,7-násobnej akumulácii liečiva po opakovanom podávaní raz denne.</w:t>
      </w:r>
    </w:p>
    <w:p w14:paraId="323686B8" w14:textId="77777777" w:rsidR="006370F4" w:rsidRPr="00C83045" w:rsidRDefault="006370F4" w:rsidP="00D4304B">
      <w:pPr>
        <w:pStyle w:val="EndnoteText"/>
        <w:widowControl w:val="0"/>
        <w:rPr>
          <w:color w:val="000000"/>
          <w:szCs w:val="22"/>
          <w:lang w:val="sk-SK"/>
        </w:rPr>
      </w:pPr>
    </w:p>
    <w:p w14:paraId="323686B9" w14:textId="77777777" w:rsidR="006370F4" w:rsidRPr="00C83045" w:rsidRDefault="006370F4" w:rsidP="00D4304B">
      <w:pPr>
        <w:pStyle w:val="EndnoteText"/>
        <w:widowControl w:val="0"/>
        <w:rPr>
          <w:color w:val="000000"/>
          <w:szCs w:val="22"/>
          <w:lang w:val="sk-SK"/>
        </w:rPr>
      </w:pPr>
      <w:r w:rsidRPr="00C83045">
        <w:rPr>
          <w:color w:val="000000"/>
          <w:szCs w:val="22"/>
          <w:lang w:val="sk-SK"/>
        </w:rPr>
        <w:t>Podľa združenej populačnej farmakokinetickej analýzy u pediatrických pacientov s hematologickými poruchami (CML, Ph+ALL alebo iné hematologické poruchy liečené imatinibom) sa klírens imatinibu zvyšuje s narastajúcou plochou povrchu tela (BSA). Po korekcii vplyvu plochy povrchu tela nemali ostatné demografické údaje ako vek, telesná hmotnosť a index telesnej hmotnosti klinicky významný účinok na expozíciu imatinibu. Analýza potvrdila, že expozícia imatinibu u pediatrických pacientov dostávajúcich dávku 260 mg/m</w:t>
      </w:r>
      <w:r w:rsidRPr="00C83045">
        <w:rPr>
          <w:color w:val="000000"/>
          <w:szCs w:val="22"/>
          <w:vertAlign w:val="superscript"/>
          <w:lang w:val="sk-SK"/>
        </w:rPr>
        <w:t>2</w:t>
      </w:r>
      <w:r w:rsidRPr="00C83045">
        <w:rPr>
          <w:color w:val="000000"/>
          <w:szCs w:val="22"/>
          <w:lang w:val="sk-SK"/>
        </w:rPr>
        <w:t xml:space="preserve"> raz denne (neprekračujúc dávku 400 mg raz denne) alebo 340 mg/m</w:t>
      </w:r>
      <w:r w:rsidRPr="00C83045">
        <w:rPr>
          <w:color w:val="000000"/>
          <w:szCs w:val="22"/>
          <w:vertAlign w:val="superscript"/>
          <w:lang w:val="sk-SK"/>
        </w:rPr>
        <w:t>2</w:t>
      </w:r>
      <w:r w:rsidRPr="00C83045">
        <w:rPr>
          <w:color w:val="000000"/>
          <w:szCs w:val="22"/>
          <w:lang w:val="sk-SK"/>
        </w:rPr>
        <w:t xml:space="preserve"> raz denne (neprekračujúc dávku 600 mg raz denne) bola podobná ako u dospelých pacientov dostávajúcich dávky imatinibu 400 mg alebo 600 mg raz denne.</w:t>
      </w:r>
    </w:p>
    <w:p w14:paraId="323686BA" w14:textId="77777777" w:rsidR="000F592D" w:rsidRPr="00C83045" w:rsidRDefault="000F592D" w:rsidP="00D4304B">
      <w:pPr>
        <w:pStyle w:val="Footer"/>
        <w:widowControl w:val="0"/>
        <w:ind w:left="0" w:firstLine="0"/>
        <w:rPr>
          <w:color w:val="000000"/>
          <w:szCs w:val="22"/>
        </w:rPr>
      </w:pPr>
    </w:p>
    <w:p w14:paraId="323686BB" w14:textId="77777777" w:rsidR="003A260A" w:rsidRPr="00C83045" w:rsidRDefault="003A260A" w:rsidP="00D4304B">
      <w:pPr>
        <w:pStyle w:val="Footer"/>
        <w:keepNext/>
        <w:widowControl w:val="0"/>
        <w:ind w:left="0" w:firstLine="0"/>
        <w:rPr>
          <w:color w:val="000000"/>
          <w:szCs w:val="22"/>
          <w:u w:val="single"/>
        </w:rPr>
      </w:pPr>
      <w:r w:rsidRPr="00C83045">
        <w:rPr>
          <w:color w:val="000000"/>
          <w:szCs w:val="22"/>
          <w:u w:val="single"/>
        </w:rPr>
        <w:t>Zhoršenie funkcie orgánov</w:t>
      </w:r>
    </w:p>
    <w:p w14:paraId="323686BC" w14:textId="77777777" w:rsidR="003A260A" w:rsidRPr="00C83045" w:rsidRDefault="003A260A" w:rsidP="00D4304B">
      <w:pPr>
        <w:pStyle w:val="Footer"/>
        <w:widowControl w:val="0"/>
        <w:ind w:left="0" w:firstLine="0"/>
        <w:rPr>
          <w:color w:val="000000"/>
          <w:szCs w:val="22"/>
        </w:rPr>
      </w:pPr>
      <w:r w:rsidRPr="00C83045">
        <w:rPr>
          <w:color w:val="000000"/>
          <w:szCs w:val="22"/>
        </w:rPr>
        <w:t xml:space="preserve">Imatinib a jeho metabolity sa nevylučujú vo významnom rozsahu obličkami. U pacientov s ľahkým a stredne ťažkým zhoršením funkcie obličiek sa plazmatická expozícia zdá byť vyššia ako u pacientov s normálnou funkciou obličiek. Zvýšenie je približne 1,5- až 2-násobné, čo zodpovedá 1,5-násobnému </w:t>
      </w:r>
      <w:r w:rsidRPr="00C83045">
        <w:rPr>
          <w:color w:val="000000"/>
          <w:szCs w:val="22"/>
        </w:rPr>
        <w:lastRenderedPageBreak/>
        <w:t>stúpnutiu plazmatického AGP, na ktorý sa imatinib pevne viaže. Klírens imatinibu ako voľného liečiva je pravdepodobne podobný u pacientov so zhoršenou funkciou obličiek a normálnou funkciou obličiek, pretože vylučovanie obličkami predstavuje pri imatinibe len menej významnú dráhu eliminácie (pozri časti 4.2 a 4.4).</w:t>
      </w:r>
    </w:p>
    <w:p w14:paraId="323686BD" w14:textId="77777777" w:rsidR="00F81568" w:rsidRPr="00C83045" w:rsidRDefault="00F81568" w:rsidP="00D4304B">
      <w:pPr>
        <w:pStyle w:val="Footer"/>
        <w:widowControl w:val="0"/>
        <w:ind w:left="0" w:firstLine="0"/>
        <w:rPr>
          <w:color w:val="000000"/>
          <w:szCs w:val="22"/>
        </w:rPr>
      </w:pPr>
    </w:p>
    <w:p w14:paraId="323686BE" w14:textId="77777777" w:rsidR="00F81568" w:rsidRPr="00C83045" w:rsidRDefault="00F81568" w:rsidP="00D4304B">
      <w:pPr>
        <w:pStyle w:val="Footer"/>
        <w:widowControl w:val="0"/>
        <w:ind w:left="0" w:firstLine="0"/>
        <w:rPr>
          <w:color w:val="000000"/>
          <w:szCs w:val="22"/>
        </w:rPr>
      </w:pPr>
      <w:r w:rsidRPr="00C83045">
        <w:rPr>
          <w:color w:val="000000"/>
          <w:szCs w:val="22"/>
        </w:rPr>
        <w:t>Hoci výsledky farmakokinetickej analýzy ukázali, že medzi jedincami je značná variabilita, priemerná expozícia imatinibu sa nezvýšila u pacientov s rôznym stupňom poruchy funkcie pečene v porovnaní s pacientmi s normálnou funkciou pečene (pozri časti 4.2, 4.4 a 4.8).</w:t>
      </w:r>
    </w:p>
    <w:p w14:paraId="323686BF" w14:textId="77777777" w:rsidR="000F592D" w:rsidRPr="00C83045" w:rsidRDefault="000F592D" w:rsidP="00D4304B">
      <w:pPr>
        <w:pStyle w:val="Footer"/>
        <w:widowControl w:val="0"/>
        <w:ind w:left="0" w:firstLine="0"/>
        <w:rPr>
          <w:color w:val="000000"/>
          <w:szCs w:val="22"/>
        </w:rPr>
      </w:pPr>
    </w:p>
    <w:p w14:paraId="323686C0" w14:textId="77777777" w:rsidR="000F592D" w:rsidRPr="00C83045" w:rsidRDefault="000F592D" w:rsidP="00D4304B">
      <w:pPr>
        <w:keepNext/>
        <w:widowControl w:val="0"/>
        <w:rPr>
          <w:b/>
          <w:bCs/>
          <w:color w:val="000000"/>
          <w:szCs w:val="22"/>
        </w:rPr>
      </w:pPr>
      <w:r w:rsidRPr="00C83045">
        <w:rPr>
          <w:b/>
          <w:bCs/>
          <w:color w:val="000000"/>
          <w:szCs w:val="22"/>
        </w:rPr>
        <w:t>5.3</w:t>
      </w:r>
      <w:r w:rsidRPr="00C83045">
        <w:rPr>
          <w:b/>
          <w:bCs/>
          <w:color w:val="000000"/>
          <w:szCs w:val="22"/>
        </w:rPr>
        <w:tab/>
        <w:t>Predklinické údaje o bezpečnosti</w:t>
      </w:r>
    </w:p>
    <w:p w14:paraId="323686C1" w14:textId="77777777" w:rsidR="000F592D" w:rsidRPr="00C83045" w:rsidRDefault="000F592D" w:rsidP="00D4304B">
      <w:pPr>
        <w:keepNext/>
        <w:widowControl w:val="0"/>
        <w:rPr>
          <w:color w:val="000000"/>
          <w:szCs w:val="22"/>
        </w:rPr>
      </w:pPr>
    </w:p>
    <w:p w14:paraId="323686C2" w14:textId="77777777" w:rsidR="000F592D" w:rsidRPr="00C83045" w:rsidRDefault="000F592D" w:rsidP="00D4304B">
      <w:pPr>
        <w:widowControl w:val="0"/>
        <w:ind w:left="0" w:firstLine="0"/>
        <w:rPr>
          <w:color w:val="000000"/>
          <w:szCs w:val="22"/>
        </w:rPr>
      </w:pPr>
      <w:r w:rsidRPr="00C83045">
        <w:rPr>
          <w:color w:val="000000"/>
          <w:szCs w:val="22"/>
        </w:rPr>
        <w:t>Profil predklinickej bezpečnosti imatinibu sa stanovil na potkanoch, psoch, opiciach a králikoch.</w:t>
      </w:r>
    </w:p>
    <w:p w14:paraId="323686C3" w14:textId="77777777" w:rsidR="000F592D" w:rsidRPr="00C83045" w:rsidRDefault="000F592D" w:rsidP="00D4304B">
      <w:pPr>
        <w:widowControl w:val="0"/>
        <w:ind w:left="0" w:firstLine="0"/>
        <w:rPr>
          <w:color w:val="000000"/>
          <w:szCs w:val="22"/>
        </w:rPr>
      </w:pPr>
    </w:p>
    <w:p w14:paraId="323686C4" w14:textId="77777777" w:rsidR="000F592D" w:rsidRPr="00C83045" w:rsidRDefault="000F592D" w:rsidP="00D4304B">
      <w:pPr>
        <w:widowControl w:val="0"/>
        <w:ind w:left="0" w:firstLine="0"/>
        <w:rPr>
          <w:color w:val="000000"/>
          <w:szCs w:val="22"/>
        </w:rPr>
      </w:pPr>
      <w:r w:rsidRPr="00C83045">
        <w:rPr>
          <w:color w:val="000000"/>
          <w:szCs w:val="22"/>
        </w:rPr>
        <w:t>Štúdie toxicity po opakovanom podávaní u potkanov, psov a opíc ukázali malé až stredne veľké hematologické zmeny, ktoré sprevádzali zmeny kostnej drene u potkanov a psov.</w:t>
      </w:r>
    </w:p>
    <w:p w14:paraId="323686C5" w14:textId="77777777" w:rsidR="000F592D" w:rsidRPr="00C83045" w:rsidRDefault="000F592D" w:rsidP="00D4304B">
      <w:pPr>
        <w:widowControl w:val="0"/>
        <w:ind w:left="0" w:firstLine="0"/>
        <w:rPr>
          <w:color w:val="000000"/>
          <w:szCs w:val="22"/>
        </w:rPr>
      </w:pPr>
    </w:p>
    <w:p w14:paraId="323686C6" w14:textId="77777777" w:rsidR="000F592D" w:rsidRPr="00C83045" w:rsidRDefault="000F592D" w:rsidP="00D4304B">
      <w:pPr>
        <w:widowControl w:val="0"/>
        <w:ind w:left="0" w:firstLine="0"/>
        <w:rPr>
          <w:color w:val="000000"/>
          <w:szCs w:val="22"/>
        </w:rPr>
      </w:pPr>
      <w:r w:rsidRPr="00C83045">
        <w:rPr>
          <w:color w:val="000000"/>
          <w:szCs w:val="22"/>
        </w:rPr>
        <w:t>Pečeň bola cieľovým orgánom u potkanov a psov. Mierne až stredne veľké zvýšenie aminotransferáz a malý pokles hladín cholesterolu, triacylglycerolov, celkových bielkovín a albumínu sa pozorovali u oboch druhov zvierat. V pečeni potkanov sa nezistili žiadne histopatologické zmeny. Prejavy závažnej toxicity sa pozorovali v pečeni psov, ktorí dostávali imatinib počas 2 týždňov, a u ktorých došlo k zvýšeniu pečeňových enzýmov, hepatocelulárnej nekróze, nekróze žlčových ciest a hyperplázii žlčových ciest.</w:t>
      </w:r>
    </w:p>
    <w:p w14:paraId="323686C7" w14:textId="77777777" w:rsidR="000F592D" w:rsidRPr="00C83045" w:rsidRDefault="000F592D" w:rsidP="00D4304B">
      <w:pPr>
        <w:widowControl w:val="0"/>
        <w:ind w:left="0" w:firstLine="0"/>
        <w:rPr>
          <w:color w:val="000000"/>
          <w:szCs w:val="22"/>
        </w:rPr>
      </w:pPr>
    </w:p>
    <w:p w14:paraId="323686C8" w14:textId="77777777" w:rsidR="000F592D" w:rsidRPr="00C83045" w:rsidRDefault="003F503A" w:rsidP="00D4304B">
      <w:pPr>
        <w:widowControl w:val="0"/>
        <w:ind w:left="0" w:firstLine="0"/>
        <w:rPr>
          <w:color w:val="000000"/>
          <w:szCs w:val="22"/>
        </w:rPr>
      </w:pPr>
      <w:r w:rsidRPr="00C83045">
        <w:rPr>
          <w:color w:val="000000"/>
          <w:szCs w:val="22"/>
        </w:rPr>
        <w:t xml:space="preserve">Toxicita pre obličky sa pozorovala u opíc, ktoré dostávali imatinib počas 2 týždňov a u ktorých vznikla ložisková mineralizácia, rozšírenie obličkových tubulov a tubulárna nefróza. Zvýšenie dusíka močoviny v krvi (BUN) a kreatinínu sa pozorovalo u niekoľkých zvierat. Hyperplázia prechodného epitelu v obličkovej papile a v močovom mechúre bez zmien biochemických ukazovateľov v sére a moči sa pozorovala u potkanov, ktoré dostávali dávky </w:t>
      </w:r>
      <w:r w:rsidRPr="00C83045">
        <w:rPr>
          <w:color w:val="000000"/>
          <w:szCs w:val="22"/>
        </w:rPr>
        <w:sym w:font="Symbol" w:char="F0B3"/>
      </w:r>
      <w:r w:rsidRPr="00C83045">
        <w:rPr>
          <w:color w:val="000000"/>
          <w:szCs w:val="22"/>
        </w:rPr>
        <w:t> 6 mg/kg v štúdii trvajúcej 13 týždňov. Pri chronickom podávaní imatinibu sa pozoroval zvýšený výskyt oportúnnych infekcií.</w:t>
      </w:r>
    </w:p>
    <w:p w14:paraId="323686C9" w14:textId="77777777" w:rsidR="000F592D" w:rsidRPr="00C83045" w:rsidRDefault="000F592D" w:rsidP="00D4304B">
      <w:pPr>
        <w:widowControl w:val="0"/>
        <w:ind w:left="0" w:firstLine="0"/>
        <w:rPr>
          <w:color w:val="000000"/>
          <w:szCs w:val="22"/>
        </w:rPr>
      </w:pPr>
    </w:p>
    <w:p w14:paraId="323686CA" w14:textId="77777777" w:rsidR="000F592D" w:rsidRPr="00C83045" w:rsidRDefault="006B39D8" w:rsidP="00D4304B">
      <w:pPr>
        <w:widowControl w:val="0"/>
        <w:ind w:left="0" w:firstLine="0"/>
        <w:rPr>
          <w:color w:val="000000"/>
          <w:szCs w:val="22"/>
        </w:rPr>
      </w:pPr>
      <w:r w:rsidRPr="00C83045">
        <w:rPr>
          <w:color w:val="000000"/>
          <w:szCs w:val="22"/>
        </w:rPr>
        <w:t>V štúdii na opiciach trvajúcej 39 týždňov sa nezistila NOAEL (hladina bez pozorovaných nežiaducich účinkov) ani pri najnižšej dávke 15 mg/kg, čo je približne jedna tretina maximálnej dávky 800 mg u ľudí, prepočítanej na povrch tela. Liečba mala za následok zhoršenie normálne potlačených infekcií malárie u týchto zvierat.</w:t>
      </w:r>
    </w:p>
    <w:p w14:paraId="323686CB" w14:textId="77777777" w:rsidR="000F592D" w:rsidRPr="00C83045" w:rsidRDefault="000F592D" w:rsidP="00D4304B">
      <w:pPr>
        <w:widowControl w:val="0"/>
        <w:ind w:left="0" w:firstLine="0"/>
        <w:rPr>
          <w:color w:val="000000"/>
          <w:szCs w:val="22"/>
        </w:rPr>
      </w:pPr>
    </w:p>
    <w:p w14:paraId="323686CC" w14:textId="77777777" w:rsidR="000F592D" w:rsidRPr="00C83045" w:rsidRDefault="000F592D" w:rsidP="00D4304B">
      <w:pPr>
        <w:widowControl w:val="0"/>
        <w:ind w:left="0" w:firstLine="0"/>
        <w:rPr>
          <w:color w:val="000000"/>
          <w:szCs w:val="22"/>
        </w:rPr>
      </w:pPr>
      <w:r w:rsidRPr="00C83045">
        <w:rPr>
          <w:color w:val="000000"/>
          <w:szCs w:val="22"/>
        </w:rPr>
        <w:t xml:space="preserve">Imatinib sa nepovažoval za genotoxický pri skúšaní </w:t>
      </w:r>
      <w:r w:rsidRPr="00C83045">
        <w:rPr>
          <w:i/>
          <w:color w:val="000000"/>
          <w:szCs w:val="22"/>
        </w:rPr>
        <w:t>in vitro</w:t>
      </w:r>
      <w:r w:rsidRPr="00C83045">
        <w:rPr>
          <w:color w:val="000000"/>
          <w:szCs w:val="22"/>
        </w:rPr>
        <w:t xml:space="preserve"> na bakteriálnych bunkách (Amesov test), </w:t>
      </w:r>
      <w:r w:rsidRPr="00C83045">
        <w:rPr>
          <w:i/>
          <w:color w:val="000000"/>
          <w:szCs w:val="22"/>
        </w:rPr>
        <w:t>in vitro</w:t>
      </w:r>
      <w:r w:rsidRPr="00C83045">
        <w:rPr>
          <w:color w:val="000000"/>
          <w:szCs w:val="22"/>
        </w:rPr>
        <w:t xml:space="preserve"> na cicavčích bunkách (myšací lymfóm) a </w:t>
      </w:r>
      <w:r w:rsidRPr="00C83045">
        <w:rPr>
          <w:i/>
          <w:color w:val="000000"/>
          <w:szCs w:val="22"/>
        </w:rPr>
        <w:t>in vivo</w:t>
      </w:r>
      <w:r w:rsidRPr="00C83045">
        <w:rPr>
          <w:color w:val="000000"/>
          <w:szCs w:val="22"/>
        </w:rPr>
        <w:t xml:space="preserve"> na potkaních mikronukleoch. Pozitívne genotoxické účinky imatinibu sa pozorovali pri jednom skúšaní </w:t>
      </w:r>
      <w:r w:rsidRPr="00C83045">
        <w:rPr>
          <w:i/>
          <w:color w:val="000000"/>
          <w:szCs w:val="22"/>
        </w:rPr>
        <w:t>in vitro</w:t>
      </w:r>
      <w:r w:rsidRPr="00C83045">
        <w:rPr>
          <w:color w:val="000000"/>
          <w:szCs w:val="22"/>
        </w:rPr>
        <w:t xml:space="preserve"> na cicavčích bunkách (ovárium čínskeho škrečka), pri ktorom sa zistila klastogenita (chromozómová aberácia) po metabolickej aktivácii. Dva medziprodukty z výrobného procesu, ktoré sú prítomné aj v lieku, majú mutagénne účinky v Amesovom teste. Jeden z týchto medziproduktov bol pozitívny aj v teste na myšacom lymfóme.</w:t>
      </w:r>
    </w:p>
    <w:p w14:paraId="323686CD" w14:textId="77777777" w:rsidR="000F592D" w:rsidRPr="00C83045" w:rsidRDefault="000F592D" w:rsidP="00D4304B">
      <w:pPr>
        <w:widowControl w:val="0"/>
        <w:ind w:left="0" w:firstLine="0"/>
        <w:rPr>
          <w:color w:val="000000"/>
          <w:szCs w:val="22"/>
        </w:rPr>
      </w:pPr>
    </w:p>
    <w:p w14:paraId="323686CE" w14:textId="77777777" w:rsidR="000F592D" w:rsidRPr="00C83045" w:rsidRDefault="000F592D" w:rsidP="00D4304B">
      <w:pPr>
        <w:widowControl w:val="0"/>
        <w:ind w:left="0" w:firstLine="0"/>
        <w:rPr>
          <w:color w:val="000000"/>
          <w:szCs w:val="22"/>
        </w:rPr>
      </w:pPr>
      <w:r w:rsidRPr="00C83045">
        <w:rPr>
          <w:color w:val="000000"/>
          <w:szCs w:val="22"/>
        </w:rPr>
        <w:t xml:space="preserve">V štúdii fertility sa po podávaní potkaním samcom počas 70 dní pred párením znížila hmotnosť semenníkov a nadsemenníkov a podiel pohyblivých spermií pri dávke 60 mg/kg, čo sa približne rovná maximálnej klinickej dávke 800 mg/deň, prepočítanej na povrch tela. Toto sa nepozorovalo pri dávkach </w:t>
      </w:r>
      <w:r w:rsidRPr="00C83045">
        <w:rPr>
          <w:color w:val="000000"/>
          <w:szCs w:val="22"/>
        </w:rPr>
        <w:sym w:font="Symbol" w:char="F0A3"/>
      </w:r>
      <w:r w:rsidRPr="00C83045">
        <w:rPr>
          <w:color w:val="000000"/>
          <w:szCs w:val="22"/>
        </w:rPr>
        <w:t xml:space="preserve"> 20 mg/kg. Malý až stredne veľký pokles spermatogenézy sa tiež pozoroval u psov pri perorálnych dávkach </w:t>
      </w:r>
      <w:r w:rsidRPr="00C83045">
        <w:rPr>
          <w:color w:val="000000"/>
          <w:szCs w:val="22"/>
        </w:rPr>
        <w:sym w:font="Symbol" w:char="F0B3"/>
      </w:r>
      <w:r w:rsidRPr="00C83045">
        <w:rPr>
          <w:color w:val="000000"/>
          <w:szCs w:val="22"/>
        </w:rPr>
        <w:t xml:space="preserve"> 30 mg/kg. Keď sa potkaním samiciam podával imatinib počas 14 dní pred párením a potom až do 6. dňa gravidity, neovplyvnilo to párenie, ani počet gravidných samíc. Pri dávke 60 mg/kg u potkaních samíc došlo k významnej poimplantačnej strate plodov a k zníženiu počtu živých plodov. Toto sa nepozorovalo pri dávkach </w:t>
      </w:r>
      <w:r w:rsidRPr="00C83045">
        <w:rPr>
          <w:color w:val="000000"/>
          <w:szCs w:val="22"/>
        </w:rPr>
        <w:sym w:font="Symbol" w:char="F0A3"/>
      </w:r>
      <w:r w:rsidRPr="00C83045">
        <w:rPr>
          <w:color w:val="000000"/>
          <w:szCs w:val="22"/>
        </w:rPr>
        <w:t> 20 mg/kg.</w:t>
      </w:r>
    </w:p>
    <w:p w14:paraId="323686CF" w14:textId="77777777" w:rsidR="000F592D" w:rsidRPr="00C83045" w:rsidRDefault="000F592D" w:rsidP="00D4304B">
      <w:pPr>
        <w:widowControl w:val="0"/>
        <w:ind w:left="0" w:firstLine="0"/>
        <w:rPr>
          <w:color w:val="000000"/>
          <w:szCs w:val="22"/>
        </w:rPr>
      </w:pPr>
    </w:p>
    <w:p w14:paraId="323686D0" w14:textId="77777777" w:rsidR="000F592D" w:rsidRPr="00C83045" w:rsidRDefault="000F592D" w:rsidP="00D4304B">
      <w:pPr>
        <w:widowControl w:val="0"/>
        <w:ind w:left="0" w:firstLine="0"/>
        <w:rPr>
          <w:color w:val="000000"/>
          <w:szCs w:val="22"/>
        </w:rPr>
      </w:pPr>
      <w:r w:rsidRPr="00C83045">
        <w:rPr>
          <w:color w:val="000000"/>
          <w:szCs w:val="22"/>
        </w:rPr>
        <w:t>V štúdii pre- a postnatálneho vývoja potkanov sa pri perorálnom podávaní v skupine dávky 45 mg/kg/deň pozoroval červený vaginálny výtok buď na 14., alebo na 15. deň gravidity. Pri tejto dávke sa zvýšil počet mŕtvonarodených mláďat, ako aj úmrtí mláďat v dňoch 0 až 4 po pôrode. U potomkov F</w:t>
      </w:r>
      <w:r w:rsidRPr="00C83045">
        <w:rPr>
          <w:color w:val="000000"/>
          <w:szCs w:val="22"/>
          <w:vertAlign w:val="subscript"/>
        </w:rPr>
        <w:t>1</w:t>
      </w:r>
      <w:r w:rsidRPr="00C83045">
        <w:rPr>
          <w:color w:val="000000"/>
          <w:szCs w:val="22"/>
        </w:rPr>
        <w:t xml:space="preserve"> bola pri tejto hladine dávok nižšia priemerná telesná hmotnosť od narodenia až po utratenie zvierat a počet mláďat, ktoré splnili kritérium oddelenia predkožky, sa mierne znížil. </w:t>
      </w:r>
      <w:r w:rsidRPr="00C83045">
        <w:rPr>
          <w:color w:val="000000"/>
          <w:szCs w:val="22"/>
        </w:rPr>
        <w:lastRenderedPageBreak/>
        <w:t>Plodnosť u F</w:t>
      </w:r>
      <w:r w:rsidRPr="00C83045">
        <w:rPr>
          <w:color w:val="000000"/>
          <w:szCs w:val="22"/>
          <w:vertAlign w:val="subscript"/>
        </w:rPr>
        <w:t xml:space="preserve">1 </w:t>
      </w:r>
      <w:r w:rsidRPr="00C83045">
        <w:rPr>
          <w:color w:val="000000"/>
          <w:szCs w:val="22"/>
        </w:rPr>
        <w:t xml:space="preserve">nebola ovplyvnená, ale pri dávke 45 mg/kg/deň sa pozoroval zvýšený počet resorpcií a znížený počet životaschopných plodov. </w:t>
      </w:r>
      <w:r w:rsidR="006B39D8" w:rsidRPr="00C83045">
        <w:rPr>
          <w:color w:val="000000"/>
          <w:szCs w:val="22"/>
        </w:rPr>
        <w:t xml:space="preserve">Hladina bez pozorovaných účinkov (NOEL) </w:t>
      </w:r>
      <w:r w:rsidRPr="00C83045">
        <w:rPr>
          <w:color w:val="000000"/>
          <w:szCs w:val="22"/>
        </w:rPr>
        <w:t>u matiek aj generácie F</w:t>
      </w:r>
      <w:r w:rsidRPr="00C83045">
        <w:rPr>
          <w:color w:val="000000"/>
          <w:szCs w:val="22"/>
          <w:vertAlign w:val="subscript"/>
        </w:rPr>
        <w:t>1</w:t>
      </w:r>
      <w:r w:rsidRPr="00C83045">
        <w:rPr>
          <w:color w:val="000000"/>
          <w:szCs w:val="22"/>
        </w:rPr>
        <w:t xml:space="preserve"> bola 15 mg/kg/deň (štvrtina maximálnej dávky u ľudí, ktorá je 800 mg).</w:t>
      </w:r>
    </w:p>
    <w:p w14:paraId="323686D1" w14:textId="77777777" w:rsidR="000F592D" w:rsidRPr="00C83045" w:rsidRDefault="000F592D" w:rsidP="00D4304B">
      <w:pPr>
        <w:widowControl w:val="0"/>
        <w:ind w:left="0" w:firstLine="0"/>
        <w:rPr>
          <w:color w:val="000000"/>
          <w:szCs w:val="22"/>
        </w:rPr>
      </w:pPr>
    </w:p>
    <w:p w14:paraId="323686D2" w14:textId="77777777" w:rsidR="000F592D" w:rsidRPr="00C83045" w:rsidRDefault="000F592D" w:rsidP="00D4304B">
      <w:pPr>
        <w:widowControl w:val="0"/>
        <w:ind w:left="0" w:firstLine="0"/>
        <w:rPr>
          <w:color w:val="000000"/>
          <w:szCs w:val="22"/>
        </w:rPr>
      </w:pPr>
      <w:r w:rsidRPr="00C83045">
        <w:rPr>
          <w:color w:val="000000"/>
          <w:szCs w:val="22"/>
        </w:rPr>
        <w:t xml:space="preserve">Imatinib bol teratogénny u potkanov, keď sa podával počas organogenézy v dávkach </w:t>
      </w:r>
      <w:r w:rsidRPr="00C83045">
        <w:rPr>
          <w:color w:val="000000"/>
          <w:szCs w:val="22"/>
        </w:rPr>
        <w:sym w:font="Symbol" w:char="F0B3"/>
      </w:r>
      <w:r w:rsidRPr="00C83045">
        <w:rPr>
          <w:color w:val="000000"/>
          <w:szCs w:val="22"/>
        </w:rPr>
        <w:t> 100 mg/kg, čo sa približne rovná maximálnej klinickej dávke 800 mg</w:t>
      </w:r>
      <w:r w:rsidR="00670B45" w:rsidRPr="00C83045">
        <w:rPr>
          <w:color w:val="000000"/>
          <w:szCs w:val="22"/>
        </w:rPr>
        <w:t>/deň</w:t>
      </w:r>
      <w:r w:rsidRPr="00C83045">
        <w:rPr>
          <w:color w:val="000000"/>
          <w:szCs w:val="22"/>
        </w:rPr>
        <w:t xml:space="preserve">, prepočítanej na povrch tela. Teratogénne účinky zahŕňali exencefáliu alebo encefalokélu a neprítomnosť alebo zmenšenie frontálnych a neprítomnosť parietálnych kostí. Tieto účinky sa nezistili pri dávkach </w:t>
      </w:r>
      <w:r w:rsidRPr="00C83045">
        <w:rPr>
          <w:color w:val="000000"/>
          <w:szCs w:val="22"/>
        </w:rPr>
        <w:sym w:font="Symbol" w:char="F0A3"/>
      </w:r>
      <w:r w:rsidRPr="00C83045">
        <w:rPr>
          <w:color w:val="000000"/>
          <w:szCs w:val="22"/>
        </w:rPr>
        <w:t> 30 mg/kg.</w:t>
      </w:r>
    </w:p>
    <w:p w14:paraId="323686D3" w14:textId="77777777" w:rsidR="00753F79" w:rsidRPr="00C83045" w:rsidRDefault="00753F79" w:rsidP="00D4304B">
      <w:pPr>
        <w:pStyle w:val="Text"/>
        <w:widowControl w:val="0"/>
        <w:spacing w:before="0"/>
        <w:jc w:val="left"/>
        <w:rPr>
          <w:color w:val="000000"/>
          <w:sz w:val="22"/>
          <w:szCs w:val="22"/>
          <w:lang w:val="sk-SK"/>
        </w:rPr>
      </w:pPr>
    </w:p>
    <w:p w14:paraId="323686D4" w14:textId="77777777" w:rsidR="00753F79" w:rsidRPr="00C83045" w:rsidRDefault="00753F79" w:rsidP="00D4304B">
      <w:pPr>
        <w:pStyle w:val="Text"/>
        <w:widowControl w:val="0"/>
        <w:spacing w:before="0"/>
        <w:jc w:val="left"/>
        <w:rPr>
          <w:color w:val="000000"/>
          <w:sz w:val="22"/>
          <w:szCs w:val="22"/>
          <w:lang w:val="sk-SK"/>
        </w:rPr>
      </w:pPr>
      <w:r w:rsidRPr="00C83045">
        <w:rPr>
          <w:color w:val="000000"/>
          <w:sz w:val="22"/>
          <w:szCs w:val="22"/>
          <w:lang w:val="sk-SK"/>
        </w:rPr>
        <w:t>V toxikologickej vývojovej štúdii u juvenilných potkanov neboli zistené žiadne nové cieľové orgány (deň 10 až 70 postpartum) s ohľadom na už známe cieľové orgány u dospelých potkanov. V tejto štúdii bol pri dávkach 0,3- až 2-násobne vyšších, ako je priemerná expozícia u detí pri najvyššej odporúčanej dávke 340 mg/m</w:t>
      </w:r>
      <w:r w:rsidRPr="00C83045">
        <w:rPr>
          <w:color w:val="000000"/>
          <w:sz w:val="22"/>
          <w:szCs w:val="22"/>
          <w:vertAlign w:val="superscript"/>
          <w:lang w:val="sk-SK"/>
        </w:rPr>
        <w:t>2</w:t>
      </w:r>
      <w:r w:rsidRPr="00C83045">
        <w:rPr>
          <w:color w:val="000000"/>
          <w:sz w:val="22"/>
          <w:szCs w:val="22"/>
          <w:lang w:val="sk-SK"/>
        </w:rPr>
        <w:t>,</w:t>
      </w:r>
      <w:r w:rsidRPr="00C83045">
        <w:rPr>
          <w:color w:val="000000"/>
          <w:sz w:val="22"/>
          <w:szCs w:val="22"/>
          <w:vertAlign w:val="superscript"/>
          <w:lang w:val="sk-SK"/>
        </w:rPr>
        <w:t xml:space="preserve"> </w:t>
      </w:r>
      <w:r w:rsidRPr="00C83045">
        <w:rPr>
          <w:color w:val="000000"/>
          <w:sz w:val="22"/>
          <w:szCs w:val="22"/>
          <w:lang w:val="sk-SK"/>
        </w:rPr>
        <w:t>zaznamenaný vplyv na rast, oneskorený vývin vaginálneho otvoru a separácie predkožky. Pri dávkach zhruba 2-násobne vyšších, ako je priemerná expozícia u detí pri najvyššej odporúčanej dávke 340 mg/m</w:t>
      </w:r>
      <w:r w:rsidRPr="00C83045">
        <w:rPr>
          <w:color w:val="000000"/>
          <w:sz w:val="22"/>
          <w:szCs w:val="22"/>
          <w:vertAlign w:val="superscript"/>
          <w:lang w:val="sk-SK"/>
        </w:rPr>
        <w:t>2</w:t>
      </w:r>
      <w:r w:rsidRPr="00C83045">
        <w:rPr>
          <w:color w:val="000000"/>
          <w:sz w:val="22"/>
          <w:szCs w:val="22"/>
          <w:lang w:val="sk-SK"/>
        </w:rPr>
        <w:t>,</w:t>
      </w:r>
      <w:r w:rsidRPr="00C83045">
        <w:rPr>
          <w:color w:val="000000"/>
          <w:sz w:val="22"/>
          <w:szCs w:val="22"/>
          <w:vertAlign w:val="superscript"/>
          <w:lang w:val="sk-SK"/>
        </w:rPr>
        <w:t xml:space="preserve"> </w:t>
      </w:r>
      <w:r w:rsidRPr="00C83045">
        <w:rPr>
          <w:color w:val="000000"/>
          <w:sz w:val="22"/>
          <w:szCs w:val="22"/>
          <w:lang w:val="sk-SK"/>
        </w:rPr>
        <w:t>bola okrem toho zaznamenaná u mláďat mortalita (približne v období odstavenia mláďat).</w:t>
      </w:r>
    </w:p>
    <w:p w14:paraId="323686D5" w14:textId="77777777" w:rsidR="000F592D" w:rsidRPr="00C83045" w:rsidRDefault="000F592D" w:rsidP="00D4304B">
      <w:pPr>
        <w:widowControl w:val="0"/>
        <w:ind w:left="0" w:firstLine="0"/>
        <w:rPr>
          <w:color w:val="000000"/>
          <w:szCs w:val="22"/>
        </w:rPr>
      </w:pPr>
    </w:p>
    <w:p w14:paraId="323686D6" w14:textId="77777777" w:rsidR="000C1AFD" w:rsidRPr="00C83045" w:rsidRDefault="000C1AFD" w:rsidP="00D4304B">
      <w:pPr>
        <w:widowControl w:val="0"/>
        <w:ind w:left="0" w:firstLine="0"/>
        <w:rPr>
          <w:color w:val="000000"/>
          <w:szCs w:val="22"/>
        </w:rPr>
      </w:pPr>
      <w:r w:rsidRPr="00C83045">
        <w:rPr>
          <w:color w:val="000000"/>
          <w:szCs w:val="22"/>
        </w:rPr>
        <w:t>V štúdii karcinogenity na potkanoch</w:t>
      </w:r>
      <w:r w:rsidR="0022087B" w:rsidRPr="00C83045">
        <w:rPr>
          <w:color w:val="000000"/>
          <w:szCs w:val="22"/>
        </w:rPr>
        <w:t>,</w:t>
      </w:r>
      <w:r w:rsidRPr="00C83045">
        <w:rPr>
          <w:color w:val="000000"/>
          <w:szCs w:val="22"/>
        </w:rPr>
        <w:t xml:space="preserve"> trvajúcej 2 roky</w:t>
      </w:r>
      <w:r w:rsidR="0022087B" w:rsidRPr="00C83045">
        <w:rPr>
          <w:color w:val="000000"/>
          <w:szCs w:val="22"/>
        </w:rPr>
        <w:t>,</w:t>
      </w:r>
      <w:r w:rsidRPr="00C83045">
        <w:rPr>
          <w:color w:val="000000"/>
          <w:szCs w:val="22"/>
        </w:rPr>
        <w:t xml:space="preserve"> malo podávanie imatinibu v dávkach 15, 30 a 60 mg/kg/deň za následok štatisticky významné skrátenie života u samcov pri 60 mg/kg/deň a u samíc pri ≥ 30 mg/kg/deň. Histopatologické vyšetrenie potomstva ukázalo kardiomyopatiu (obe pohlavia), chronickú progresívnu nefropatiu (samice) a papilóm predkožkovej žľazy ako hlavné príčiny smrti alebo dôvody na utratenie. Cieľovými orgánmi pre neoplastické zmeny boli obličky, močový mechúr, uretra, predkožková a klitorisová žľaza, tenké črevo, prištítne telieska, nadobličky a </w:t>
      </w:r>
      <w:r w:rsidR="00850884" w:rsidRPr="00C83045">
        <w:rPr>
          <w:color w:val="000000"/>
          <w:szCs w:val="22"/>
        </w:rPr>
        <w:t>bezžľazová časť žalúdka.</w:t>
      </w:r>
    </w:p>
    <w:p w14:paraId="323686D7" w14:textId="77777777" w:rsidR="006B39D8" w:rsidRPr="00C83045" w:rsidRDefault="006B39D8" w:rsidP="00D4304B">
      <w:pPr>
        <w:widowControl w:val="0"/>
        <w:ind w:left="0" w:firstLine="0"/>
        <w:rPr>
          <w:color w:val="000000"/>
          <w:szCs w:val="22"/>
        </w:rPr>
      </w:pPr>
    </w:p>
    <w:p w14:paraId="323686D8" w14:textId="77777777" w:rsidR="005932FE" w:rsidRPr="00C83045" w:rsidRDefault="006B39D8" w:rsidP="00D4304B">
      <w:pPr>
        <w:widowControl w:val="0"/>
        <w:ind w:left="0" w:firstLine="0"/>
        <w:rPr>
          <w:bCs/>
          <w:color w:val="000000"/>
          <w:szCs w:val="22"/>
        </w:rPr>
      </w:pPr>
      <w:r w:rsidRPr="00C83045">
        <w:rPr>
          <w:color w:val="000000"/>
          <w:szCs w:val="22"/>
        </w:rPr>
        <w:t xml:space="preserve">Papilómy/karcinómy predkožkovej/klitorisovej žľazy sa pozorovali </w:t>
      </w:r>
      <w:r w:rsidR="005932FE" w:rsidRPr="00C83045">
        <w:rPr>
          <w:color w:val="000000"/>
          <w:szCs w:val="22"/>
        </w:rPr>
        <w:t>pri dávkach</w:t>
      </w:r>
      <w:r w:rsidRPr="00C83045">
        <w:rPr>
          <w:color w:val="000000"/>
          <w:szCs w:val="22"/>
        </w:rPr>
        <w:t xml:space="preserve"> 30 mg/kg/deň</w:t>
      </w:r>
      <w:r w:rsidR="005932FE" w:rsidRPr="00C83045">
        <w:rPr>
          <w:color w:val="000000"/>
          <w:szCs w:val="22"/>
        </w:rPr>
        <w:t xml:space="preserve"> a vyšších</w:t>
      </w:r>
      <w:r w:rsidRPr="00C83045">
        <w:rPr>
          <w:color w:val="000000"/>
          <w:szCs w:val="22"/>
        </w:rPr>
        <w:t xml:space="preserve">, čo predstavuje približne 0,5- alebo 0,3-násobok dennej expozície u ľudí (založenej na AUC) pri 400 mg/deň alebo 800 mg/deň, a 0,4-násobok dennej expozície u detí (založenej na AUC) pri </w:t>
      </w:r>
      <w:r w:rsidRPr="00C83045">
        <w:rPr>
          <w:bCs/>
          <w:color w:val="000000"/>
          <w:szCs w:val="22"/>
        </w:rPr>
        <w:t>340 mg/m</w:t>
      </w:r>
      <w:r w:rsidRPr="00C83045">
        <w:rPr>
          <w:bCs/>
          <w:color w:val="000000"/>
          <w:szCs w:val="22"/>
          <w:vertAlign w:val="superscript"/>
        </w:rPr>
        <w:t>2</w:t>
      </w:r>
      <w:r w:rsidR="005932FE" w:rsidRPr="00C83045">
        <w:rPr>
          <w:bCs/>
          <w:color w:val="000000"/>
          <w:szCs w:val="22"/>
        </w:rPr>
        <w:t>/deň.</w:t>
      </w:r>
      <w:r w:rsidR="005932FE" w:rsidRPr="00C83045">
        <w:rPr>
          <w:color w:val="000000"/>
          <w:szCs w:val="22"/>
        </w:rPr>
        <w:t xml:space="preserve"> Hladina bez pozorovaných účinkov (NOEL) bola 15</w:t>
      </w:r>
      <w:r w:rsidR="005932FE" w:rsidRPr="00C83045">
        <w:rPr>
          <w:bCs/>
          <w:color w:val="000000"/>
          <w:szCs w:val="22"/>
        </w:rPr>
        <w:t xml:space="preserve"> mg/kg/deň. </w:t>
      </w:r>
      <w:r w:rsidR="005932FE" w:rsidRPr="00C83045">
        <w:rPr>
          <w:color w:val="000000"/>
          <w:szCs w:val="22"/>
        </w:rPr>
        <w:t xml:space="preserve">Adenóm/karcinóm obličiek, papilóm močového mechúra a uretry, adenokarcinómy tenkého čreva, adenómy prištítnych teliesok, benígne a malígne nádory drene nadobličiek a papilómy/karcinómy </w:t>
      </w:r>
      <w:r w:rsidR="00850884" w:rsidRPr="00C83045">
        <w:rPr>
          <w:color w:val="000000"/>
          <w:szCs w:val="22"/>
        </w:rPr>
        <w:t>bezžľazovej časti žalúdka</w:t>
      </w:r>
      <w:r w:rsidR="005932FE" w:rsidRPr="00C83045">
        <w:rPr>
          <w:color w:val="000000"/>
          <w:szCs w:val="22"/>
        </w:rPr>
        <w:t xml:space="preserve"> sa zaznamenali pri </w:t>
      </w:r>
      <w:r w:rsidR="005932FE" w:rsidRPr="00C83045">
        <w:rPr>
          <w:bCs/>
          <w:color w:val="000000"/>
          <w:szCs w:val="22"/>
        </w:rPr>
        <w:t xml:space="preserve">60 mg/kg/deň, čo predstavuje </w:t>
      </w:r>
      <w:r w:rsidR="005932FE" w:rsidRPr="00C83045">
        <w:rPr>
          <w:color w:val="000000"/>
          <w:szCs w:val="22"/>
        </w:rPr>
        <w:t xml:space="preserve">približne </w:t>
      </w:r>
      <w:r w:rsidR="00FD527F" w:rsidRPr="00C83045">
        <w:rPr>
          <w:color w:val="000000"/>
          <w:szCs w:val="22"/>
        </w:rPr>
        <w:t xml:space="preserve">1,7- alebo 1-násobok </w:t>
      </w:r>
      <w:r w:rsidR="005932FE" w:rsidRPr="00C83045">
        <w:rPr>
          <w:color w:val="000000"/>
          <w:szCs w:val="22"/>
        </w:rPr>
        <w:t xml:space="preserve">dennej expozície u ľudí (založenej na AUC) pri 400 mg/deň alebo 800 mg/deň a 1,2-násobok dennej expozície u detí (založenej na AUC) pri </w:t>
      </w:r>
      <w:r w:rsidR="005932FE" w:rsidRPr="00C83045">
        <w:rPr>
          <w:bCs/>
          <w:color w:val="000000"/>
          <w:szCs w:val="22"/>
        </w:rPr>
        <w:t>340 mg/m</w:t>
      </w:r>
      <w:r w:rsidR="005932FE" w:rsidRPr="00C83045">
        <w:rPr>
          <w:bCs/>
          <w:color w:val="000000"/>
          <w:szCs w:val="22"/>
          <w:vertAlign w:val="superscript"/>
        </w:rPr>
        <w:t>2</w:t>
      </w:r>
      <w:r w:rsidR="005932FE" w:rsidRPr="00C83045">
        <w:rPr>
          <w:bCs/>
          <w:color w:val="000000"/>
          <w:szCs w:val="22"/>
        </w:rPr>
        <w:t xml:space="preserve">/deň. </w:t>
      </w:r>
      <w:r w:rsidR="005932FE" w:rsidRPr="00C83045">
        <w:rPr>
          <w:color w:val="000000"/>
          <w:szCs w:val="22"/>
        </w:rPr>
        <w:t>Hladina bez pozorovaných účinkov (NOEL) bola 30</w:t>
      </w:r>
      <w:r w:rsidR="005932FE" w:rsidRPr="00C83045">
        <w:rPr>
          <w:bCs/>
          <w:color w:val="000000"/>
          <w:szCs w:val="22"/>
        </w:rPr>
        <w:t> mg/kg/deň.</w:t>
      </w:r>
    </w:p>
    <w:p w14:paraId="323686D9" w14:textId="77777777" w:rsidR="006B39D8" w:rsidRPr="00C83045" w:rsidRDefault="006B39D8" w:rsidP="00D4304B">
      <w:pPr>
        <w:widowControl w:val="0"/>
        <w:ind w:left="0" w:firstLine="0"/>
        <w:rPr>
          <w:bCs/>
          <w:color w:val="000000"/>
          <w:szCs w:val="22"/>
        </w:rPr>
      </w:pPr>
    </w:p>
    <w:p w14:paraId="323686DA" w14:textId="77777777" w:rsidR="006B39D8" w:rsidRPr="00C83045" w:rsidRDefault="006B39D8" w:rsidP="00D4304B">
      <w:pPr>
        <w:widowControl w:val="0"/>
        <w:ind w:left="0" w:firstLine="0"/>
        <w:rPr>
          <w:bCs/>
          <w:color w:val="000000"/>
          <w:szCs w:val="22"/>
        </w:rPr>
      </w:pPr>
      <w:r w:rsidRPr="00C83045">
        <w:rPr>
          <w:bCs/>
          <w:color w:val="000000"/>
          <w:szCs w:val="22"/>
        </w:rPr>
        <w:t xml:space="preserve">Mechanizmus a významnosť týchto nálezov v štúdii karcinogenity na potkanoch nie sú ešte </w:t>
      </w:r>
      <w:r w:rsidR="00850884" w:rsidRPr="00C83045">
        <w:rPr>
          <w:bCs/>
          <w:color w:val="000000"/>
          <w:szCs w:val="22"/>
        </w:rPr>
        <w:t xml:space="preserve">u ľudí </w:t>
      </w:r>
      <w:r w:rsidRPr="00C83045">
        <w:rPr>
          <w:bCs/>
          <w:color w:val="000000"/>
          <w:szCs w:val="22"/>
        </w:rPr>
        <w:t>objasnené.</w:t>
      </w:r>
    </w:p>
    <w:p w14:paraId="323686DB" w14:textId="77777777" w:rsidR="003A0075" w:rsidRPr="00C83045" w:rsidRDefault="003A0075" w:rsidP="00D4304B">
      <w:pPr>
        <w:widowControl w:val="0"/>
        <w:ind w:left="0" w:firstLine="0"/>
        <w:rPr>
          <w:bCs/>
          <w:color w:val="000000"/>
          <w:szCs w:val="22"/>
        </w:rPr>
      </w:pPr>
    </w:p>
    <w:p w14:paraId="323686DC" w14:textId="77777777" w:rsidR="003A0075" w:rsidRPr="00C83045" w:rsidRDefault="003A0075" w:rsidP="00D4304B">
      <w:pPr>
        <w:widowControl w:val="0"/>
        <w:ind w:left="0" w:firstLine="0"/>
        <w:rPr>
          <w:bCs/>
          <w:color w:val="000000"/>
          <w:szCs w:val="22"/>
        </w:rPr>
      </w:pPr>
      <w:r w:rsidRPr="00C83045">
        <w:rPr>
          <w:bCs/>
          <w:color w:val="000000"/>
          <w:szCs w:val="22"/>
        </w:rPr>
        <w:t>N</w:t>
      </w:r>
      <w:r w:rsidR="00850884" w:rsidRPr="00C83045">
        <w:rPr>
          <w:bCs/>
          <w:color w:val="000000"/>
          <w:szCs w:val="22"/>
        </w:rPr>
        <w:t>on-</w:t>
      </w:r>
      <w:r w:rsidRPr="00C83045">
        <w:rPr>
          <w:bCs/>
          <w:color w:val="000000"/>
          <w:szCs w:val="22"/>
        </w:rPr>
        <w:t>neoplastické lézie, ktoré sa nezistili v predchádzajúcich predklinických štúdiách, boli v kardiovaskulárnom systéme, pankrease, endokrinných orgánoch a zuboch. Najdôležitejšie zmeny zahŕňali hypertrofiu a dilatáciu srdca, ktoré viedli u niektorých zvierat k príznakom insuficiencie srdca.</w:t>
      </w:r>
    </w:p>
    <w:p w14:paraId="323686DD" w14:textId="77777777" w:rsidR="000F592D" w:rsidRPr="00C83045" w:rsidRDefault="000F592D" w:rsidP="00D4304B">
      <w:pPr>
        <w:widowControl w:val="0"/>
        <w:rPr>
          <w:color w:val="000000"/>
          <w:szCs w:val="22"/>
        </w:rPr>
      </w:pPr>
    </w:p>
    <w:p w14:paraId="323686DE" w14:textId="77777777" w:rsidR="006370F4" w:rsidRPr="00C83045" w:rsidRDefault="006370F4" w:rsidP="00D4304B">
      <w:pPr>
        <w:widowControl w:val="0"/>
        <w:rPr>
          <w:color w:val="000000"/>
        </w:rPr>
      </w:pPr>
      <w:r w:rsidRPr="00C83045">
        <w:rPr>
          <w:bCs/>
          <w:color w:val="000000"/>
        </w:rPr>
        <w:t>Liečivo imatinib predstavuje pre organizmy žijúce v sedimentoch environmentálne riziko.</w:t>
      </w:r>
    </w:p>
    <w:p w14:paraId="323686DF" w14:textId="77777777" w:rsidR="006370F4" w:rsidRPr="00C83045" w:rsidRDefault="006370F4" w:rsidP="00D4304B">
      <w:pPr>
        <w:widowControl w:val="0"/>
        <w:rPr>
          <w:color w:val="000000"/>
          <w:szCs w:val="22"/>
        </w:rPr>
      </w:pPr>
    </w:p>
    <w:p w14:paraId="323686E0" w14:textId="77777777" w:rsidR="000F592D" w:rsidRPr="00C83045" w:rsidRDefault="000F592D" w:rsidP="00D4304B">
      <w:pPr>
        <w:widowControl w:val="0"/>
        <w:rPr>
          <w:color w:val="000000"/>
          <w:szCs w:val="22"/>
        </w:rPr>
      </w:pPr>
    </w:p>
    <w:p w14:paraId="323686E1" w14:textId="77777777" w:rsidR="000F592D" w:rsidRPr="00C83045" w:rsidRDefault="000F592D" w:rsidP="00D4304B">
      <w:pPr>
        <w:keepNext/>
        <w:widowControl w:val="0"/>
        <w:rPr>
          <w:b/>
          <w:color w:val="000000"/>
          <w:szCs w:val="22"/>
        </w:rPr>
      </w:pPr>
      <w:r w:rsidRPr="00C83045">
        <w:rPr>
          <w:b/>
          <w:color w:val="000000"/>
          <w:szCs w:val="22"/>
        </w:rPr>
        <w:t>6.</w:t>
      </w:r>
      <w:r w:rsidRPr="00C83045">
        <w:rPr>
          <w:b/>
          <w:color w:val="000000"/>
          <w:szCs w:val="22"/>
        </w:rPr>
        <w:tab/>
        <w:t>FARMACEUTICKÉ INFORMÁCIE</w:t>
      </w:r>
    </w:p>
    <w:p w14:paraId="323686E2" w14:textId="77777777" w:rsidR="000F592D" w:rsidRPr="00C83045" w:rsidRDefault="000F592D" w:rsidP="00D4304B">
      <w:pPr>
        <w:keepNext/>
        <w:widowControl w:val="0"/>
        <w:rPr>
          <w:color w:val="000000"/>
          <w:szCs w:val="22"/>
        </w:rPr>
      </w:pPr>
    </w:p>
    <w:p w14:paraId="323686E3" w14:textId="77777777" w:rsidR="000F592D" w:rsidRPr="00C83045" w:rsidRDefault="000F592D" w:rsidP="00D4304B">
      <w:pPr>
        <w:keepNext/>
        <w:widowControl w:val="0"/>
        <w:rPr>
          <w:b/>
          <w:bCs/>
          <w:color w:val="000000"/>
          <w:szCs w:val="22"/>
        </w:rPr>
      </w:pPr>
      <w:r w:rsidRPr="00C83045">
        <w:rPr>
          <w:b/>
          <w:bCs/>
          <w:color w:val="000000"/>
          <w:szCs w:val="22"/>
        </w:rPr>
        <w:t>6.1</w:t>
      </w:r>
      <w:r w:rsidRPr="00C83045">
        <w:rPr>
          <w:b/>
          <w:bCs/>
          <w:color w:val="000000"/>
          <w:szCs w:val="22"/>
        </w:rPr>
        <w:tab/>
        <w:t>Zoznam pomocných látok</w:t>
      </w:r>
    </w:p>
    <w:p w14:paraId="323686E4" w14:textId="77777777" w:rsidR="000F592D" w:rsidRPr="00C83045" w:rsidRDefault="000F592D" w:rsidP="00D4304B">
      <w:pPr>
        <w:keepNext/>
        <w:widowControl w:val="0"/>
        <w:rPr>
          <w:color w:val="000000"/>
          <w:szCs w:val="22"/>
        </w:rPr>
      </w:pPr>
    </w:p>
    <w:p w14:paraId="323686E5" w14:textId="77777777" w:rsidR="003F503A" w:rsidRPr="00C83045" w:rsidRDefault="003F503A" w:rsidP="00D4304B">
      <w:pPr>
        <w:keepNext/>
        <w:widowControl w:val="0"/>
        <w:tabs>
          <w:tab w:val="left" w:pos="2160"/>
        </w:tabs>
        <w:ind w:left="0" w:firstLine="0"/>
        <w:rPr>
          <w:color w:val="000000"/>
          <w:szCs w:val="22"/>
        </w:rPr>
      </w:pPr>
      <w:r w:rsidRPr="00C83045">
        <w:rPr>
          <w:color w:val="000000"/>
          <w:szCs w:val="22"/>
        </w:rPr>
        <w:t>Jadro tablety:</w:t>
      </w:r>
    </w:p>
    <w:p w14:paraId="323686E6" w14:textId="77777777" w:rsidR="003F503A" w:rsidRPr="00C83045" w:rsidRDefault="003F503A" w:rsidP="00D4304B">
      <w:pPr>
        <w:keepNext/>
        <w:widowControl w:val="0"/>
        <w:tabs>
          <w:tab w:val="left" w:pos="2160"/>
        </w:tabs>
        <w:ind w:left="0" w:firstLine="0"/>
        <w:rPr>
          <w:color w:val="000000"/>
          <w:szCs w:val="22"/>
        </w:rPr>
      </w:pPr>
      <w:r w:rsidRPr="00C83045">
        <w:rPr>
          <w:color w:val="000000"/>
          <w:szCs w:val="22"/>
        </w:rPr>
        <w:t>mikrokryštalická celulóza</w:t>
      </w:r>
    </w:p>
    <w:p w14:paraId="323686E7" w14:textId="77777777" w:rsidR="003F503A" w:rsidRPr="00C83045" w:rsidRDefault="003F503A" w:rsidP="00D4304B">
      <w:pPr>
        <w:keepNext/>
        <w:widowControl w:val="0"/>
        <w:rPr>
          <w:color w:val="000000"/>
          <w:szCs w:val="22"/>
        </w:rPr>
      </w:pPr>
      <w:r w:rsidRPr="00C83045">
        <w:rPr>
          <w:color w:val="000000"/>
          <w:szCs w:val="22"/>
        </w:rPr>
        <w:t>krospovidón</w:t>
      </w:r>
    </w:p>
    <w:p w14:paraId="323686E8" w14:textId="77777777" w:rsidR="003F503A" w:rsidRPr="00583DD0" w:rsidRDefault="003F503A" w:rsidP="00D4304B">
      <w:pPr>
        <w:pStyle w:val="BodyText"/>
        <w:keepNext/>
        <w:widowControl w:val="0"/>
        <w:autoSpaceDE/>
        <w:autoSpaceDN/>
        <w:rPr>
          <w:color w:val="000000"/>
          <w:sz w:val="22"/>
          <w:szCs w:val="22"/>
        </w:rPr>
      </w:pPr>
      <w:r w:rsidRPr="00583DD0">
        <w:rPr>
          <w:color w:val="000000"/>
          <w:sz w:val="22"/>
          <w:szCs w:val="22"/>
        </w:rPr>
        <w:t>hypromelóza</w:t>
      </w:r>
    </w:p>
    <w:p w14:paraId="323686E9" w14:textId="05113B6A" w:rsidR="003F503A" w:rsidRPr="00583DD0" w:rsidRDefault="00DB7BC9" w:rsidP="00D4304B">
      <w:pPr>
        <w:pStyle w:val="BodyText"/>
        <w:keepNext/>
        <w:widowControl w:val="0"/>
        <w:autoSpaceDE/>
        <w:autoSpaceDN/>
        <w:rPr>
          <w:color w:val="000000"/>
          <w:sz w:val="22"/>
          <w:szCs w:val="22"/>
        </w:rPr>
      </w:pPr>
      <w:r w:rsidRPr="00583DD0">
        <w:rPr>
          <w:color w:val="000000"/>
          <w:sz w:val="22"/>
          <w:szCs w:val="22"/>
        </w:rPr>
        <w:t>S</w:t>
      </w:r>
      <w:r w:rsidR="003F503A" w:rsidRPr="00583DD0">
        <w:rPr>
          <w:color w:val="000000"/>
          <w:sz w:val="22"/>
          <w:szCs w:val="22"/>
        </w:rPr>
        <w:t>tearát</w:t>
      </w:r>
      <w:r w:rsidRPr="00583DD0">
        <w:rPr>
          <w:color w:val="000000"/>
          <w:sz w:val="22"/>
          <w:szCs w:val="22"/>
        </w:rPr>
        <w:t xml:space="preserve"> horečnatý</w:t>
      </w:r>
    </w:p>
    <w:p w14:paraId="323686EA" w14:textId="77777777" w:rsidR="003F503A" w:rsidRPr="00C83045" w:rsidRDefault="003F503A" w:rsidP="00D4304B">
      <w:pPr>
        <w:pStyle w:val="BodyText"/>
        <w:widowControl w:val="0"/>
        <w:autoSpaceDE/>
        <w:autoSpaceDN/>
        <w:rPr>
          <w:color w:val="000000"/>
          <w:sz w:val="22"/>
          <w:szCs w:val="22"/>
        </w:rPr>
      </w:pPr>
      <w:r w:rsidRPr="00583DD0">
        <w:rPr>
          <w:color w:val="000000"/>
          <w:sz w:val="22"/>
          <w:szCs w:val="22"/>
        </w:rPr>
        <w:t>koloidný oxid</w:t>
      </w:r>
      <w:r w:rsidRPr="00C83045">
        <w:rPr>
          <w:color w:val="000000"/>
          <w:sz w:val="22"/>
          <w:szCs w:val="22"/>
        </w:rPr>
        <w:t xml:space="preserve"> kremičitý</w:t>
      </w:r>
      <w:r w:rsidR="00FA0059" w:rsidRPr="00C83045">
        <w:rPr>
          <w:color w:val="000000"/>
          <w:sz w:val="22"/>
          <w:szCs w:val="22"/>
        </w:rPr>
        <w:t xml:space="preserve"> bezvodý</w:t>
      </w:r>
    </w:p>
    <w:p w14:paraId="323686EB" w14:textId="77777777" w:rsidR="003F503A" w:rsidRPr="00C83045" w:rsidRDefault="003F503A" w:rsidP="00D4304B">
      <w:pPr>
        <w:widowControl w:val="0"/>
        <w:ind w:left="0" w:firstLine="0"/>
        <w:rPr>
          <w:color w:val="000000"/>
          <w:szCs w:val="22"/>
        </w:rPr>
      </w:pPr>
    </w:p>
    <w:p w14:paraId="323686EC" w14:textId="77777777" w:rsidR="003F503A" w:rsidRPr="00C83045" w:rsidRDefault="003F503A" w:rsidP="00D4304B">
      <w:pPr>
        <w:keepNext/>
        <w:widowControl w:val="0"/>
        <w:tabs>
          <w:tab w:val="left" w:pos="2160"/>
        </w:tabs>
        <w:ind w:left="0" w:firstLine="0"/>
        <w:rPr>
          <w:color w:val="000000"/>
          <w:szCs w:val="22"/>
        </w:rPr>
      </w:pPr>
      <w:r w:rsidRPr="00C83045">
        <w:rPr>
          <w:color w:val="000000"/>
          <w:szCs w:val="22"/>
        </w:rPr>
        <w:t>Obalová vrstva:</w:t>
      </w:r>
    </w:p>
    <w:p w14:paraId="323686ED" w14:textId="77777777" w:rsidR="003F503A" w:rsidRPr="00C83045" w:rsidRDefault="003F503A" w:rsidP="00D4304B">
      <w:pPr>
        <w:keepNext/>
        <w:widowControl w:val="0"/>
        <w:rPr>
          <w:color w:val="000000"/>
          <w:szCs w:val="22"/>
        </w:rPr>
      </w:pPr>
      <w:r w:rsidRPr="00C83045">
        <w:rPr>
          <w:color w:val="000000"/>
          <w:szCs w:val="22"/>
        </w:rPr>
        <w:t>červený oxid železitý (E172)</w:t>
      </w:r>
    </w:p>
    <w:p w14:paraId="323686EE" w14:textId="77777777" w:rsidR="000F592D" w:rsidRPr="00C83045" w:rsidRDefault="003F503A" w:rsidP="00D4304B">
      <w:pPr>
        <w:keepNext/>
        <w:widowControl w:val="0"/>
        <w:ind w:left="0" w:firstLine="0"/>
        <w:rPr>
          <w:color w:val="000000"/>
          <w:szCs w:val="22"/>
        </w:rPr>
      </w:pPr>
      <w:r w:rsidRPr="00C83045">
        <w:rPr>
          <w:color w:val="000000"/>
          <w:szCs w:val="22"/>
        </w:rPr>
        <w:t>žltý oxid železitý (E172)</w:t>
      </w:r>
    </w:p>
    <w:p w14:paraId="323686EF" w14:textId="77777777" w:rsidR="00C31F45" w:rsidRPr="00C83045" w:rsidRDefault="00C31F45" w:rsidP="00D4304B">
      <w:pPr>
        <w:keepNext/>
        <w:widowControl w:val="0"/>
        <w:ind w:left="0" w:firstLine="0"/>
        <w:rPr>
          <w:color w:val="000000"/>
          <w:szCs w:val="22"/>
        </w:rPr>
      </w:pPr>
      <w:r w:rsidRPr="00C83045">
        <w:rPr>
          <w:color w:val="000000"/>
          <w:szCs w:val="22"/>
        </w:rPr>
        <w:t>makrogoly</w:t>
      </w:r>
    </w:p>
    <w:p w14:paraId="323686F0" w14:textId="77777777" w:rsidR="00C31F45" w:rsidRPr="00C83045" w:rsidRDefault="00C31F45" w:rsidP="00D4304B">
      <w:pPr>
        <w:keepNext/>
        <w:widowControl w:val="0"/>
        <w:ind w:left="0" w:firstLine="0"/>
        <w:rPr>
          <w:color w:val="000000"/>
          <w:szCs w:val="22"/>
        </w:rPr>
      </w:pPr>
      <w:r w:rsidRPr="00C83045">
        <w:rPr>
          <w:color w:val="000000"/>
          <w:szCs w:val="22"/>
        </w:rPr>
        <w:t>mastenec</w:t>
      </w:r>
    </w:p>
    <w:p w14:paraId="323686F1" w14:textId="77777777" w:rsidR="00C31F45" w:rsidRPr="00C83045" w:rsidRDefault="00C31F45" w:rsidP="00D4304B">
      <w:pPr>
        <w:pStyle w:val="BodyText"/>
        <w:widowControl w:val="0"/>
        <w:autoSpaceDE/>
        <w:autoSpaceDN/>
        <w:rPr>
          <w:color w:val="000000"/>
          <w:sz w:val="22"/>
          <w:szCs w:val="22"/>
        </w:rPr>
      </w:pPr>
      <w:r w:rsidRPr="00C83045">
        <w:rPr>
          <w:color w:val="000000"/>
          <w:sz w:val="22"/>
          <w:szCs w:val="22"/>
        </w:rPr>
        <w:t>hypromelóza</w:t>
      </w:r>
    </w:p>
    <w:p w14:paraId="323686F2" w14:textId="77777777" w:rsidR="000F592D" w:rsidRPr="00C83045" w:rsidRDefault="000F592D" w:rsidP="00D4304B">
      <w:pPr>
        <w:pStyle w:val="BodyText"/>
        <w:widowControl w:val="0"/>
        <w:rPr>
          <w:color w:val="000000"/>
          <w:sz w:val="22"/>
          <w:szCs w:val="22"/>
        </w:rPr>
      </w:pPr>
    </w:p>
    <w:p w14:paraId="323686F3" w14:textId="77777777" w:rsidR="000F592D" w:rsidRPr="00C83045" w:rsidRDefault="000F592D" w:rsidP="00D4304B">
      <w:pPr>
        <w:keepNext/>
        <w:widowControl w:val="0"/>
        <w:rPr>
          <w:b/>
          <w:bCs/>
          <w:color w:val="000000"/>
          <w:szCs w:val="22"/>
        </w:rPr>
      </w:pPr>
      <w:r w:rsidRPr="00C83045">
        <w:rPr>
          <w:b/>
          <w:bCs/>
          <w:color w:val="000000"/>
          <w:szCs w:val="22"/>
        </w:rPr>
        <w:t>6.2</w:t>
      </w:r>
      <w:r w:rsidRPr="00C83045">
        <w:rPr>
          <w:b/>
          <w:bCs/>
          <w:color w:val="000000"/>
          <w:szCs w:val="22"/>
        </w:rPr>
        <w:tab/>
        <w:t>Inkompatibility</w:t>
      </w:r>
    </w:p>
    <w:p w14:paraId="323686F4" w14:textId="77777777" w:rsidR="000F592D" w:rsidRPr="00C83045" w:rsidRDefault="000F592D" w:rsidP="00D4304B">
      <w:pPr>
        <w:keepNext/>
        <w:widowControl w:val="0"/>
        <w:rPr>
          <w:bCs/>
          <w:color w:val="000000"/>
          <w:szCs w:val="22"/>
        </w:rPr>
      </w:pPr>
    </w:p>
    <w:p w14:paraId="323686F5" w14:textId="77777777" w:rsidR="000F592D" w:rsidRPr="00C83045" w:rsidRDefault="000F592D" w:rsidP="00D4304B">
      <w:pPr>
        <w:widowControl w:val="0"/>
        <w:rPr>
          <w:color w:val="000000"/>
          <w:szCs w:val="22"/>
        </w:rPr>
      </w:pPr>
      <w:r w:rsidRPr="00C83045">
        <w:rPr>
          <w:color w:val="000000"/>
          <w:szCs w:val="22"/>
        </w:rPr>
        <w:t>Neaplikovateľné.</w:t>
      </w:r>
    </w:p>
    <w:p w14:paraId="323686F6" w14:textId="77777777" w:rsidR="000F592D" w:rsidRPr="00C83045" w:rsidRDefault="000F592D" w:rsidP="00D4304B">
      <w:pPr>
        <w:widowControl w:val="0"/>
        <w:rPr>
          <w:color w:val="000000"/>
          <w:szCs w:val="22"/>
        </w:rPr>
      </w:pPr>
    </w:p>
    <w:p w14:paraId="323686F7" w14:textId="77777777" w:rsidR="000F592D" w:rsidRPr="00C83045" w:rsidRDefault="000F592D" w:rsidP="00D4304B">
      <w:pPr>
        <w:keepNext/>
        <w:widowControl w:val="0"/>
        <w:rPr>
          <w:color w:val="000000"/>
          <w:szCs w:val="22"/>
        </w:rPr>
      </w:pPr>
      <w:r w:rsidRPr="00C83045">
        <w:rPr>
          <w:b/>
          <w:bCs/>
          <w:color w:val="000000"/>
          <w:szCs w:val="22"/>
        </w:rPr>
        <w:t>6.3</w:t>
      </w:r>
      <w:r w:rsidRPr="00C83045">
        <w:rPr>
          <w:b/>
          <w:bCs/>
          <w:color w:val="000000"/>
          <w:szCs w:val="22"/>
        </w:rPr>
        <w:tab/>
        <w:t>Čas použiteľnosti</w:t>
      </w:r>
    </w:p>
    <w:p w14:paraId="323686F8" w14:textId="77777777" w:rsidR="000F592D" w:rsidRPr="00C83045" w:rsidRDefault="000F592D" w:rsidP="00D4304B">
      <w:pPr>
        <w:keepNext/>
        <w:widowControl w:val="0"/>
        <w:rPr>
          <w:color w:val="000000"/>
          <w:szCs w:val="22"/>
        </w:rPr>
      </w:pPr>
    </w:p>
    <w:p w14:paraId="323686F9" w14:textId="77777777" w:rsidR="000F592D" w:rsidRPr="00C83045" w:rsidRDefault="008C6A05" w:rsidP="00D4304B">
      <w:pPr>
        <w:widowControl w:val="0"/>
        <w:rPr>
          <w:color w:val="000000"/>
          <w:szCs w:val="22"/>
        </w:rPr>
      </w:pPr>
      <w:r w:rsidRPr="00C83045">
        <w:rPr>
          <w:color w:val="000000"/>
          <w:szCs w:val="22"/>
        </w:rPr>
        <w:t>3</w:t>
      </w:r>
      <w:r w:rsidR="000F592D" w:rsidRPr="00C83045">
        <w:rPr>
          <w:color w:val="000000"/>
          <w:szCs w:val="22"/>
        </w:rPr>
        <w:t> roky</w:t>
      </w:r>
    </w:p>
    <w:p w14:paraId="323686FA" w14:textId="77777777" w:rsidR="000F592D" w:rsidRPr="00C83045" w:rsidRDefault="000F592D" w:rsidP="00D4304B">
      <w:pPr>
        <w:widowControl w:val="0"/>
        <w:rPr>
          <w:color w:val="000000"/>
          <w:szCs w:val="22"/>
        </w:rPr>
      </w:pPr>
    </w:p>
    <w:p w14:paraId="323686FB" w14:textId="77777777" w:rsidR="000F592D" w:rsidRPr="00C83045" w:rsidRDefault="000F592D" w:rsidP="00D4304B">
      <w:pPr>
        <w:keepNext/>
        <w:widowControl w:val="0"/>
        <w:rPr>
          <w:b/>
          <w:color w:val="000000"/>
          <w:szCs w:val="22"/>
        </w:rPr>
      </w:pPr>
      <w:r w:rsidRPr="00C83045">
        <w:rPr>
          <w:b/>
          <w:bCs/>
          <w:color w:val="000000"/>
          <w:szCs w:val="22"/>
        </w:rPr>
        <w:t>6.4</w:t>
      </w:r>
      <w:r w:rsidRPr="00C83045">
        <w:rPr>
          <w:color w:val="000000"/>
          <w:szCs w:val="22"/>
        </w:rPr>
        <w:tab/>
      </w:r>
      <w:r w:rsidRPr="00C83045">
        <w:rPr>
          <w:b/>
          <w:color w:val="000000"/>
          <w:szCs w:val="22"/>
        </w:rPr>
        <w:t>Špeciálne upozornenia na uchovávanie</w:t>
      </w:r>
    </w:p>
    <w:p w14:paraId="323686FC" w14:textId="77777777" w:rsidR="000F592D" w:rsidRPr="00C83045" w:rsidRDefault="000F592D" w:rsidP="00D4304B">
      <w:pPr>
        <w:keepNext/>
        <w:widowControl w:val="0"/>
        <w:rPr>
          <w:color w:val="000000"/>
          <w:szCs w:val="22"/>
        </w:rPr>
      </w:pPr>
    </w:p>
    <w:p w14:paraId="323686FD" w14:textId="77777777" w:rsidR="000F592D" w:rsidRPr="00C83045" w:rsidRDefault="000F592D" w:rsidP="00D4304B">
      <w:pPr>
        <w:pStyle w:val="BodyText"/>
        <w:widowControl w:val="0"/>
        <w:rPr>
          <w:color w:val="000000"/>
          <w:sz w:val="22"/>
          <w:szCs w:val="22"/>
        </w:rPr>
      </w:pPr>
      <w:r w:rsidRPr="00C83045">
        <w:rPr>
          <w:color w:val="000000"/>
          <w:sz w:val="22"/>
          <w:szCs w:val="22"/>
        </w:rPr>
        <w:t>Uchovávajte pri teplote neprevyšujúcej 30°C.</w:t>
      </w:r>
    </w:p>
    <w:p w14:paraId="323686FE" w14:textId="77777777" w:rsidR="000F592D" w:rsidRPr="00C83045" w:rsidRDefault="000F592D" w:rsidP="00D4304B">
      <w:pPr>
        <w:widowControl w:val="0"/>
        <w:rPr>
          <w:color w:val="000000"/>
          <w:szCs w:val="22"/>
        </w:rPr>
      </w:pPr>
    </w:p>
    <w:p w14:paraId="323686FF" w14:textId="77777777" w:rsidR="000F592D" w:rsidRPr="00C83045" w:rsidRDefault="003F503A" w:rsidP="00D4304B">
      <w:pPr>
        <w:widowControl w:val="0"/>
        <w:rPr>
          <w:color w:val="000000"/>
          <w:szCs w:val="22"/>
        </w:rPr>
      </w:pPr>
      <w:r w:rsidRPr="00C83045">
        <w:rPr>
          <w:color w:val="000000"/>
          <w:szCs w:val="22"/>
        </w:rPr>
        <w:t>Uchovávajte v pôvodnom obale na ochranu pred vlhkosťou.</w:t>
      </w:r>
    </w:p>
    <w:p w14:paraId="32368700" w14:textId="77777777" w:rsidR="000F592D" w:rsidRPr="00C83045" w:rsidRDefault="000F592D" w:rsidP="00D4304B">
      <w:pPr>
        <w:widowControl w:val="0"/>
        <w:rPr>
          <w:color w:val="000000"/>
          <w:szCs w:val="22"/>
        </w:rPr>
      </w:pPr>
    </w:p>
    <w:p w14:paraId="32368701" w14:textId="77777777" w:rsidR="000F592D" w:rsidRPr="00C83045" w:rsidRDefault="000F592D" w:rsidP="00D4304B">
      <w:pPr>
        <w:keepNext/>
        <w:widowControl w:val="0"/>
        <w:rPr>
          <w:b/>
          <w:color w:val="000000"/>
          <w:szCs w:val="22"/>
        </w:rPr>
      </w:pPr>
      <w:r w:rsidRPr="00C83045">
        <w:rPr>
          <w:b/>
          <w:bCs/>
          <w:color w:val="000000"/>
          <w:szCs w:val="22"/>
        </w:rPr>
        <w:t>6.5</w:t>
      </w:r>
      <w:r w:rsidRPr="00C83045">
        <w:rPr>
          <w:b/>
          <w:bCs/>
          <w:color w:val="000000"/>
          <w:szCs w:val="22"/>
        </w:rPr>
        <w:tab/>
      </w:r>
      <w:r w:rsidRPr="00C83045">
        <w:rPr>
          <w:b/>
          <w:color w:val="000000"/>
          <w:szCs w:val="22"/>
        </w:rPr>
        <w:t>Druh obalu a obsah balenia</w:t>
      </w:r>
    </w:p>
    <w:p w14:paraId="32368702" w14:textId="77777777" w:rsidR="000F592D" w:rsidRPr="00C83045" w:rsidRDefault="000F592D" w:rsidP="00D4304B">
      <w:pPr>
        <w:keepNext/>
        <w:widowControl w:val="0"/>
        <w:rPr>
          <w:bCs/>
          <w:color w:val="000000"/>
          <w:szCs w:val="22"/>
        </w:rPr>
      </w:pPr>
    </w:p>
    <w:p w14:paraId="32368703" w14:textId="77777777" w:rsidR="00BF36F0" w:rsidRPr="006F7F96" w:rsidRDefault="00BF36F0" w:rsidP="00D4304B">
      <w:pPr>
        <w:keepNext/>
        <w:widowControl w:val="0"/>
        <w:rPr>
          <w:color w:val="000000"/>
          <w:szCs w:val="22"/>
          <w:u w:val="single"/>
        </w:rPr>
      </w:pPr>
      <w:r w:rsidRPr="006F7F96">
        <w:rPr>
          <w:color w:val="000000"/>
          <w:szCs w:val="22"/>
          <w:u w:val="single"/>
        </w:rPr>
        <w:t>Glivec 100 mg filmom obalené tablety</w:t>
      </w:r>
    </w:p>
    <w:p w14:paraId="32368704" w14:textId="77777777" w:rsidR="000F592D" w:rsidRPr="00C83045" w:rsidRDefault="000F592D" w:rsidP="00B62C3E">
      <w:pPr>
        <w:pStyle w:val="BodyText"/>
        <w:keepNext/>
        <w:widowControl w:val="0"/>
        <w:rPr>
          <w:color w:val="000000"/>
          <w:sz w:val="22"/>
          <w:szCs w:val="22"/>
        </w:rPr>
      </w:pPr>
      <w:r w:rsidRPr="00C83045">
        <w:rPr>
          <w:color w:val="000000"/>
          <w:sz w:val="22"/>
          <w:szCs w:val="22"/>
        </w:rPr>
        <w:t>Blistre PVC/hliník</w:t>
      </w:r>
    </w:p>
    <w:p w14:paraId="32368705" w14:textId="77777777" w:rsidR="009754E9" w:rsidRPr="00C83045" w:rsidRDefault="009754E9" w:rsidP="00D4304B">
      <w:pPr>
        <w:widowControl w:val="0"/>
        <w:rPr>
          <w:color w:val="000000"/>
          <w:szCs w:val="22"/>
        </w:rPr>
      </w:pPr>
      <w:r w:rsidRPr="00C83045">
        <w:rPr>
          <w:color w:val="000000"/>
          <w:szCs w:val="22"/>
        </w:rPr>
        <w:t>Balenia obsahujú 20, 60, 120 alebo 180 filmom obalených tabliet.</w:t>
      </w:r>
    </w:p>
    <w:p w14:paraId="32368706" w14:textId="77777777" w:rsidR="00A43619" w:rsidRDefault="00A43619" w:rsidP="00D4304B">
      <w:pPr>
        <w:widowControl w:val="0"/>
        <w:rPr>
          <w:color w:val="000000"/>
          <w:szCs w:val="22"/>
        </w:rPr>
      </w:pPr>
    </w:p>
    <w:p w14:paraId="32368707" w14:textId="77777777" w:rsidR="00A43619" w:rsidRPr="00C83045" w:rsidRDefault="00A43619" w:rsidP="00D4304B">
      <w:pPr>
        <w:pStyle w:val="BodyText"/>
        <w:keepNext/>
        <w:widowControl w:val="0"/>
        <w:rPr>
          <w:color w:val="000000"/>
          <w:sz w:val="22"/>
          <w:szCs w:val="22"/>
        </w:rPr>
      </w:pPr>
      <w:r w:rsidRPr="00C83045">
        <w:rPr>
          <w:color w:val="000000"/>
          <w:sz w:val="22"/>
          <w:szCs w:val="22"/>
        </w:rPr>
        <w:t>Blistre PVDC/hliník</w:t>
      </w:r>
    </w:p>
    <w:p w14:paraId="32368708" w14:textId="77777777" w:rsidR="00A43619" w:rsidRPr="00C83045" w:rsidRDefault="0097750E" w:rsidP="00D4304B">
      <w:pPr>
        <w:widowControl w:val="0"/>
        <w:rPr>
          <w:color w:val="000000"/>
          <w:szCs w:val="22"/>
        </w:rPr>
      </w:pPr>
      <w:r>
        <w:rPr>
          <w:color w:val="000000"/>
          <w:szCs w:val="22"/>
        </w:rPr>
        <w:t>Balenia obsahujú 6</w:t>
      </w:r>
      <w:r w:rsidR="00A43619" w:rsidRPr="00C83045">
        <w:rPr>
          <w:color w:val="000000"/>
          <w:szCs w:val="22"/>
        </w:rPr>
        <w:t xml:space="preserve">0, </w:t>
      </w:r>
      <w:r w:rsidR="00A43619">
        <w:rPr>
          <w:color w:val="000000"/>
          <w:szCs w:val="22"/>
        </w:rPr>
        <w:t>120</w:t>
      </w:r>
      <w:r w:rsidR="00A43619" w:rsidRPr="00C83045">
        <w:rPr>
          <w:color w:val="000000"/>
          <w:szCs w:val="22"/>
        </w:rPr>
        <w:t xml:space="preserve"> alebo </w:t>
      </w:r>
      <w:r w:rsidR="00A43619">
        <w:rPr>
          <w:color w:val="000000"/>
          <w:szCs w:val="22"/>
        </w:rPr>
        <w:t>180</w:t>
      </w:r>
      <w:r w:rsidR="00A43619" w:rsidRPr="00C83045">
        <w:rPr>
          <w:color w:val="000000"/>
          <w:szCs w:val="22"/>
        </w:rPr>
        <w:t> filmom obalených tabliet.</w:t>
      </w:r>
    </w:p>
    <w:p w14:paraId="32368709" w14:textId="77777777" w:rsidR="003F503A" w:rsidRPr="00C83045" w:rsidRDefault="003F503A" w:rsidP="00D4304B">
      <w:pPr>
        <w:widowControl w:val="0"/>
        <w:rPr>
          <w:color w:val="000000"/>
          <w:szCs w:val="22"/>
        </w:rPr>
      </w:pPr>
    </w:p>
    <w:p w14:paraId="3236870A" w14:textId="77777777" w:rsidR="00BF36F0" w:rsidRPr="006F7F96" w:rsidRDefault="00BF36F0" w:rsidP="00D4304B">
      <w:pPr>
        <w:keepNext/>
        <w:widowControl w:val="0"/>
        <w:rPr>
          <w:color w:val="000000"/>
          <w:szCs w:val="22"/>
          <w:u w:val="single"/>
        </w:rPr>
      </w:pPr>
      <w:r w:rsidRPr="006F7F96">
        <w:rPr>
          <w:color w:val="000000"/>
          <w:szCs w:val="22"/>
          <w:u w:val="single"/>
        </w:rPr>
        <w:t>Glivec 400 mg filmom obalené tablety</w:t>
      </w:r>
    </w:p>
    <w:p w14:paraId="3236870B" w14:textId="77777777" w:rsidR="00BF36F0" w:rsidRPr="00C83045" w:rsidRDefault="00BF36F0" w:rsidP="00D4304B">
      <w:pPr>
        <w:pStyle w:val="BodyText"/>
        <w:keepNext/>
        <w:widowControl w:val="0"/>
        <w:rPr>
          <w:color w:val="000000"/>
          <w:sz w:val="22"/>
          <w:szCs w:val="22"/>
        </w:rPr>
      </w:pPr>
      <w:r w:rsidRPr="00C83045">
        <w:rPr>
          <w:color w:val="000000"/>
          <w:sz w:val="22"/>
          <w:szCs w:val="22"/>
        </w:rPr>
        <w:t>Blistre PVDC/hliník</w:t>
      </w:r>
    </w:p>
    <w:p w14:paraId="3236870C" w14:textId="77777777" w:rsidR="00BF36F0" w:rsidRPr="00C83045" w:rsidRDefault="00BF36F0" w:rsidP="00D4304B">
      <w:pPr>
        <w:widowControl w:val="0"/>
        <w:rPr>
          <w:color w:val="000000"/>
          <w:szCs w:val="22"/>
        </w:rPr>
      </w:pPr>
      <w:r w:rsidRPr="00C83045">
        <w:rPr>
          <w:color w:val="000000"/>
          <w:szCs w:val="22"/>
        </w:rPr>
        <w:t>Balenia obsahujú 10, 30 alebo 90 filmom obalených tabliet.</w:t>
      </w:r>
    </w:p>
    <w:p w14:paraId="3236870D" w14:textId="77777777" w:rsidR="00BF36F0" w:rsidRDefault="00BF36F0" w:rsidP="00D4304B">
      <w:pPr>
        <w:widowControl w:val="0"/>
        <w:rPr>
          <w:color w:val="000000"/>
          <w:szCs w:val="22"/>
        </w:rPr>
      </w:pPr>
    </w:p>
    <w:p w14:paraId="3236870E" w14:textId="77777777" w:rsidR="000F592D" w:rsidRPr="00C83045" w:rsidRDefault="00D7171A" w:rsidP="00D4304B">
      <w:pPr>
        <w:widowControl w:val="0"/>
        <w:rPr>
          <w:color w:val="000000"/>
          <w:szCs w:val="22"/>
        </w:rPr>
      </w:pPr>
      <w:r w:rsidRPr="00BF5AB0">
        <w:t>Na trh nemusia byť uvedené všetky veľkosti balenia</w:t>
      </w:r>
      <w:r w:rsidR="003F503A" w:rsidRPr="00C83045">
        <w:rPr>
          <w:color w:val="000000"/>
          <w:szCs w:val="22"/>
        </w:rPr>
        <w:t>.</w:t>
      </w:r>
    </w:p>
    <w:p w14:paraId="3236870F" w14:textId="77777777" w:rsidR="000F592D" w:rsidRPr="00C83045" w:rsidRDefault="000F592D" w:rsidP="00D4304B">
      <w:pPr>
        <w:widowControl w:val="0"/>
        <w:rPr>
          <w:color w:val="000000"/>
          <w:szCs w:val="22"/>
        </w:rPr>
      </w:pPr>
    </w:p>
    <w:p w14:paraId="32368710" w14:textId="77777777" w:rsidR="00E81846" w:rsidRPr="00C83045" w:rsidRDefault="00E81846" w:rsidP="00D4304B">
      <w:pPr>
        <w:keepNext/>
        <w:widowControl w:val="0"/>
        <w:rPr>
          <w:b/>
          <w:color w:val="000000"/>
          <w:szCs w:val="22"/>
        </w:rPr>
      </w:pPr>
      <w:r w:rsidRPr="00C83045">
        <w:rPr>
          <w:b/>
          <w:color w:val="000000"/>
          <w:szCs w:val="22"/>
        </w:rPr>
        <w:t>6.6</w:t>
      </w:r>
      <w:r w:rsidRPr="00C83045">
        <w:rPr>
          <w:b/>
          <w:color w:val="000000"/>
          <w:szCs w:val="22"/>
        </w:rPr>
        <w:tab/>
      </w:r>
      <w:r w:rsidRPr="00C83045">
        <w:rPr>
          <w:b/>
          <w:bCs/>
          <w:color w:val="000000"/>
          <w:szCs w:val="22"/>
        </w:rPr>
        <w:t>Špeciálne opatrenia na likvidáciu</w:t>
      </w:r>
    </w:p>
    <w:p w14:paraId="32368711" w14:textId="77777777" w:rsidR="00E81846" w:rsidRPr="00C83045" w:rsidRDefault="00E81846" w:rsidP="00D4304B">
      <w:pPr>
        <w:keepNext/>
        <w:widowControl w:val="0"/>
        <w:rPr>
          <w:color w:val="000000"/>
          <w:szCs w:val="22"/>
        </w:rPr>
      </w:pPr>
    </w:p>
    <w:p w14:paraId="32368712" w14:textId="77777777" w:rsidR="000F592D" w:rsidRDefault="00D7171A" w:rsidP="00D4304B">
      <w:pPr>
        <w:widowControl w:val="0"/>
        <w:ind w:left="0" w:firstLine="0"/>
      </w:pPr>
      <w:r w:rsidRPr="00A72672">
        <w:t>Všetok nepoužitý liek alebo odpad vzniknutý z</w:t>
      </w:r>
      <w:r>
        <w:t> </w:t>
      </w:r>
      <w:r w:rsidRPr="00BF5AB0">
        <w:t>lieku sa má zlikvidovať v</w:t>
      </w:r>
      <w:r>
        <w:t> </w:t>
      </w:r>
      <w:r w:rsidRPr="00BF5AB0">
        <w:t>súlade s</w:t>
      </w:r>
      <w:r>
        <w:t> </w:t>
      </w:r>
      <w:r w:rsidRPr="00BF5AB0">
        <w:t>národnými požiadavkami</w:t>
      </w:r>
      <w:r w:rsidR="006370F4" w:rsidRPr="00C83045">
        <w:t>.</w:t>
      </w:r>
    </w:p>
    <w:p w14:paraId="32368713" w14:textId="77777777" w:rsidR="00D7171A" w:rsidRPr="00C83045" w:rsidRDefault="00D7171A" w:rsidP="00D4304B">
      <w:pPr>
        <w:widowControl w:val="0"/>
        <w:ind w:left="0" w:firstLine="0"/>
        <w:rPr>
          <w:color w:val="000000"/>
          <w:szCs w:val="22"/>
        </w:rPr>
      </w:pPr>
    </w:p>
    <w:p w14:paraId="32368714" w14:textId="77777777" w:rsidR="000F592D" w:rsidRPr="00C83045" w:rsidRDefault="000F592D" w:rsidP="00D4304B">
      <w:pPr>
        <w:widowControl w:val="0"/>
        <w:rPr>
          <w:color w:val="000000"/>
          <w:szCs w:val="22"/>
        </w:rPr>
      </w:pPr>
    </w:p>
    <w:p w14:paraId="32368715" w14:textId="77777777" w:rsidR="000F592D" w:rsidRPr="00C83045" w:rsidRDefault="000F592D" w:rsidP="00D4304B">
      <w:pPr>
        <w:keepNext/>
        <w:widowControl w:val="0"/>
        <w:rPr>
          <w:b/>
          <w:bCs/>
          <w:caps/>
          <w:color w:val="000000"/>
          <w:szCs w:val="22"/>
        </w:rPr>
      </w:pPr>
      <w:r w:rsidRPr="00C83045">
        <w:rPr>
          <w:b/>
          <w:bCs/>
          <w:color w:val="000000"/>
          <w:szCs w:val="22"/>
        </w:rPr>
        <w:t>7.</w:t>
      </w:r>
      <w:r w:rsidRPr="00C83045">
        <w:rPr>
          <w:b/>
          <w:bCs/>
          <w:color w:val="000000"/>
          <w:szCs w:val="22"/>
        </w:rPr>
        <w:tab/>
      </w:r>
      <w:r w:rsidRPr="00C83045">
        <w:rPr>
          <w:b/>
          <w:bCs/>
          <w:caps/>
          <w:color w:val="000000"/>
          <w:szCs w:val="22"/>
        </w:rPr>
        <w:t>DrŽiteĽ rozhodnutia o registrácii</w:t>
      </w:r>
    </w:p>
    <w:p w14:paraId="32368716" w14:textId="77777777" w:rsidR="000F592D" w:rsidRPr="00C83045" w:rsidRDefault="000F592D" w:rsidP="00D4304B">
      <w:pPr>
        <w:keepNext/>
        <w:widowControl w:val="0"/>
        <w:rPr>
          <w:bCs/>
          <w:color w:val="000000"/>
          <w:szCs w:val="22"/>
        </w:rPr>
      </w:pPr>
    </w:p>
    <w:p w14:paraId="32368717" w14:textId="77777777" w:rsidR="000F592D" w:rsidRPr="00C83045" w:rsidRDefault="000F592D" w:rsidP="00D4304B">
      <w:pPr>
        <w:keepNext/>
        <w:widowControl w:val="0"/>
        <w:rPr>
          <w:bCs/>
          <w:color w:val="000000"/>
          <w:szCs w:val="22"/>
        </w:rPr>
      </w:pPr>
      <w:r w:rsidRPr="00C83045">
        <w:rPr>
          <w:bCs/>
          <w:color w:val="000000"/>
          <w:szCs w:val="22"/>
        </w:rPr>
        <w:t>Novartis Europharm Limited</w:t>
      </w:r>
    </w:p>
    <w:p w14:paraId="32368718" w14:textId="77777777" w:rsidR="006E79DA" w:rsidRPr="00EB33FE" w:rsidRDefault="006E79DA" w:rsidP="00D4304B">
      <w:pPr>
        <w:keepNext/>
        <w:widowControl w:val="0"/>
        <w:rPr>
          <w:color w:val="000000"/>
        </w:rPr>
      </w:pPr>
      <w:r w:rsidRPr="00EB33FE">
        <w:rPr>
          <w:color w:val="000000"/>
        </w:rPr>
        <w:t>Vista Building</w:t>
      </w:r>
    </w:p>
    <w:p w14:paraId="32368719" w14:textId="77777777" w:rsidR="006E79DA" w:rsidRPr="00EB33FE" w:rsidRDefault="006E79DA" w:rsidP="00D4304B">
      <w:pPr>
        <w:keepNext/>
        <w:widowControl w:val="0"/>
        <w:rPr>
          <w:color w:val="000000"/>
        </w:rPr>
      </w:pPr>
      <w:r w:rsidRPr="00EB33FE">
        <w:rPr>
          <w:color w:val="000000"/>
        </w:rPr>
        <w:t>Elm Park, Merrion Road</w:t>
      </w:r>
    </w:p>
    <w:p w14:paraId="3236871A" w14:textId="77777777" w:rsidR="006E79DA" w:rsidRPr="00EB33FE" w:rsidRDefault="006E79DA" w:rsidP="00D4304B">
      <w:pPr>
        <w:keepNext/>
        <w:widowControl w:val="0"/>
        <w:rPr>
          <w:color w:val="000000"/>
        </w:rPr>
      </w:pPr>
      <w:r w:rsidRPr="00EB33FE">
        <w:rPr>
          <w:color w:val="000000"/>
        </w:rPr>
        <w:t>Dublin 4</w:t>
      </w:r>
    </w:p>
    <w:p w14:paraId="3236871B" w14:textId="77777777" w:rsidR="006E79DA" w:rsidRDefault="006E79DA" w:rsidP="00D4304B">
      <w:pPr>
        <w:widowControl w:val="0"/>
        <w:rPr>
          <w:color w:val="000000"/>
        </w:rPr>
      </w:pPr>
      <w:r w:rsidRPr="00EB33FE">
        <w:rPr>
          <w:color w:val="000000"/>
        </w:rPr>
        <w:t>Írsko</w:t>
      </w:r>
    </w:p>
    <w:p w14:paraId="3236871C" w14:textId="77777777" w:rsidR="000F592D" w:rsidRPr="00C83045" w:rsidRDefault="000F592D" w:rsidP="00D4304B">
      <w:pPr>
        <w:widowControl w:val="0"/>
        <w:rPr>
          <w:bCs/>
          <w:color w:val="000000"/>
          <w:szCs w:val="22"/>
        </w:rPr>
      </w:pPr>
    </w:p>
    <w:p w14:paraId="3236871D" w14:textId="77777777" w:rsidR="000F592D" w:rsidRPr="00C83045" w:rsidRDefault="000F592D" w:rsidP="00D4304B">
      <w:pPr>
        <w:widowControl w:val="0"/>
        <w:rPr>
          <w:bCs/>
          <w:color w:val="000000"/>
          <w:szCs w:val="22"/>
        </w:rPr>
      </w:pPr>
    </w:p>
    <w:p w14:paraId="3236871E" w14:textId="77777777" w:rsidR="000F592D" w:rsidRPr="00C83045" w:rsidRDefault="000F592D" w:rsidP="00D4304B">
      <w:pPr>
        <w:keepNext/>
        <w:widowControl w:val="0"/>
        <w:rPr>
          <w:b/>
          <w:bCs/>
          <w:caps/>
          <w:color w:val="000000"/>
          <w:szCs w:val="22"/>
        </w:rPr>
      </w:pPr>
      <w:r w:rsidRPr="00C83045">
        <w:rPr>
          <w:b/>
          <w:bCs/>
          <w:caps/>
          <w:color w:val="000000"/>
          <w:szCs w:val="22"/>
        </w:rPr>
        <w:lastRenderedPageBreak/>
        <w:t>8.</w:t>
      </w:r>
      <w:r w:rsidRPr="00C83045">
        <w:rPr>
          <w:b/>
          <w:bCs/>
          <w:caps/>
          <w:color w:val="000000"/>
          <w:szCs w:val="22"/>
        </w:rPr>
        <w:tab/>
        <w:t>Registračné čísl</w:t>
      </w:r>
      <w:r w:rsidR="00BF36F0">
        <w:rPr>
          <w:b/>
          <w:bCs/>
          <w:caps/>
          <w:color w:val="000000"/>
          <w:szCs w:val="22"/>
        </w:rPr>
        <w:t>A</w:t>
      </w:r>
    </w:p>
    <w:p w14:paraId="3236871F" w14:textId="77777777" w:rsidR="000F592D" w:rsidRPr="00C83045" w:rsidRDefault="000F592D" w:rsidP="00D4304B">
      <w:pPr>
        <w:keepNext/>
        <w:widowControl w:val="0"/>
        <w:rPr>
          <w:color w:val="000000"/>
          <w:szCs w:val="22"/>
        </w:rPr>
      </w:pPr>
    </w:p>
    <w:p w14:paraId="32368720" w14:textId="77777777" w:rsidR="00BF36F0" w:rsidRPr="00D64677" w:rsidRDefault="00BF36F0" w:rsidP="00D4304B">
      <w:pPr>
        <w:keepNext/>
        <w:widowControl w:val="0"/>
        <w:rPr>
          <w:color w:val="000000"/>
          <w:szCs w:val="22"/>
          <w:u w:val="single"/>
        </w:rPr>
      </w:pPr>
      <w:bookmarkStart w:id="5" w:name="OLE_LINK1"/>
      <w:r w:rsidRPr="00D64677">
        <w:rPr>
          <w:color w:val="000000"/>
          <w:szCs w:val="22"/>
          <w:u w:val="single"/>
        </w:rPr>
        <w:t>Glivec 100 mg filmom obalené tablety</w:t>
      </w:r>
    </w:p>
    <w:p w14:paraId="32368721" w14:textId="77777777" w:rsidR="009754E9" w:rsidRPr="00C83045" w:rsidRDefault="009754E9" w:rsidP="00D4304B">
      <w:pPr>
        <w:pStyle w:val="EndnoteText"/>
        <w:keepNext/>
        <w:widowControl w:val="0"/>
        <w:tabs>
          <w:tab w:val="clear" w:pos="567"/>
        </w:tabs>
        <w:rPr>
          <w:color w:val="000000"/>
          <w:szCs w:val="22"/>
          <w:lang w:val="sk-SK"/>
        </w:rPr>
      </w:pPr>
      <w:r w:rsidRPr="00C83045">
        <w:rPr>
          <w:color w:val="000000"/>
          <w:szCs w:val="22"/>
          <w:lang w:val="sk-SK"/>
        </w:rPr>
        <w:t>EU/1/01/198/007</w:t>
      </w:r>
    </w:p>
    <w:p w14:paraId="32368722" w14:textId="77777777" w:rsidR="009754E9" w:rsidRPr="00C83045" w:rsidRDefault="009754E9" w:rsidP="00D4304B">
      <w:pPr>
        <w:pStyle w:val="EndnoteText"/>
        <w:keepNext/>
        <w:widowControl w:val="0"/>
        <w:tabs>
          <w:tab w:val="clear" w:pos="567"/>
        </w:tabs>
        <w:rPr>
          <w:color w:val="000000"/>
          <w:szCs w:val="22"/>
          <w:lang w:val="sk-SK"/>
        </w:rPr>
      </w:pPr>
      <w:r w:rsidRPr="00C83045">
        <w:rPr>
          <w:color w:val="000000"/>
          <w:szCs w:val="22"/>
          <w:lang w:val="sk-SK"/>
        </w:rPr>
        <w:t>EU/1/01/198/008</w:t>
      </w:r>
    </w:p>
    <w:p w14:paraId="32368723" w14:textId="77777777" w:rsidR="009754E9" w:rsidRPr="00C83045" w:rsidRDefault="009754E9" w:rsidP="00D4304B">
      <w:pPr>
        <w:pStyle w:val="EndnoteText"/>
        <w:keepNext/>
        <w:widowControl w:val="0"/>
        <w:tabs>
          <w:tab w:val="clear" w:pos="567"/>
        </w:tabs>
        <w:rPr>
          <w:color w:val="000000"/>
          <w:szCs w:val="22"/>
          <w:lang w:val="sk-SK"/>
        </w:rPr>
      </w:pPr>
      <w:r w:rsidRPr="00C83045">
        <w:rPr>
          <w:color w:val="000000"/>
          <w:szCs w:val="22"/>
          <w:lang w:val="sk-SK"/>
        </w:rPr>
        <w:t>EU/1/01/198/</w:t>
      </w:r>
      <w:r w:rsidR="00256A47" w:rsidRPr="00C83045">
        <w:rPr>
          <w:color w:val="000000"/>
          <w:szCs w:val="22"/>
          <w:lang w:val="sk-SK"/>
        </w:rPr>
        <w:t>011</w:t>
      </w:r>
    </w:p>
    <w:bookmarkEnd w:id="5"/>
    <w:p w14:paraId="32368724" w14:textId="77777777" w:rsidR="009754E9" w:rsidRPr="00C83045" w:rsidRDefault="009754E9" w:rsidP="00D4304B">
      <w:pPr>
        <w:pStyle w:val="EndnoteText"/>
        <w:keepNext/>
        <w:widowControl w:val="0"/>
        <w:tabs>
          <w:tab w:val="clear" w:pos="567"/>
        </w:tabs>
        <w:rPr>
          <w:color w:val="000000"/>
          <w:szCs w:val="22"/>
          <w:lang w:val="sk-SK"/>
        </w:rPr>
      </w:pPr>
      <w:r w:rsidRPr="00C83045">
        <w:rPr>
          <w:color w:val="000000"/>
          <w:szCs w:val="22"/>
          <w:lang w:val="sk-SK"/>
        </w:rPr>
        <w:t>EU/1/01/198/</w:t>
      </w:r>
      <w:r w:rsidR="00256A47" w:rsidRPr="00C83045">
        <w:rPr>
          <w:color w:val="000000"/>
          <w:szCs w:val="22"/>
          <w:lang w:val="sk-SK"/>
        </w:rPr>
        <w:t>012</w:t>
      </w:r>
    </w:p>
    <w:p w14:paraId="32368725" w14:textId="77777777" w:rsidR="00A43619" w:rsidRPr="00CD056A" w:rsidRDefault="00A43619" w:rsidP="00D4304B">
      <w:pPr>
        <w:pStyle w:val="EndnoteText"/>
        <w:keepNext/>
        <w:widowControl w:val="0"/>
        <w:tabs>
          <w:tab w:val="clear" w:pos="567"/>
        </w:tabs>
        <w:rPr>
          <w:color w:val="000000"/>
          <w:szCs w:val="22"/>
          <w:lang w:val="fr-CH"/>
        </w:rPr>
      </w:pPr>
      <w:r w:rsidRPr="00CD056A">
        <w:rPr>
          <w:color w:val="000000"/>
          <w:szCs w:val="22"/>
          <w:lang w:val="fr-CH"/>
        </w:rPr>
        <w:t>EU/1/01/198/01</w:t>
      </w:r>
      <w:r w:rsidR="00C81A5A" w:rsidRPr="00CD056A">
        <w:rPr>
          <w:color w:val="000000"/>
          <w:szCs w:val="22"/>
          <w:lang w:val="fr-CH"/>
        </w:rPr>
        <w:t>4</w:t>
      </w:r>
    </w:p>
    <w:p w14:paraId="32368726" w14:textId="77777777" w:rsidR="00A43619" w:rsidRPr="00CD056A" w:rsidRDefault="00A43619" w:rsidP="00D4304B">
      <w:pPr>
        <w:pStyle w:val="EndnoteText"/>
        <w:keepNext/>
        <w:widowControl w:val="0"/>
        <w:tabs>
          <w:tab w:val="clear" w:pos="567"/>
        </w:tabs>
        <w:rPr>
          <w:color w:val="000000"/>
          <w:szCs w:val="22"/>
          <w:lang w:val="fr-CH"/>
        </w:rPr>
      </w:pPr>
      <w:r w:rsidRPr="00CD056A">
        <w:rPr>
          <w:color w:val="000000"/>
          <w:szCs w:val="22"/>
          <w:lang w:val="fr-CH"/>
        </w:rPr>
        <w:t>EU/1/01/198/01</w:t>
      </w:r>
      <w:r w:rsidR="00C81A5A" w:rsidRPr="00CD056A">
        <w:rPr>
          <w:color w:val="000000"/>
          <w:szCs w:val="22"/>
          <w:lang w:val="fr-CH"/>
        </w:rPr>
        <w:t>5</w:t>
      </w:r>
    </w:p>
    <w:p w14:paraId="32368727" w14:textId="77777777" w:rsidR="0097750E" w:rsidRPr="00CD056A" w:rsidRDefault="0097750E" w:rsidP="00D4304B">
      <w:pPr>
        <w:pStyle w:val="EndnoteText"/>
        <w:widowControl w:val="0"/>
        <w:tabs>
          <w:tab w:val="clear" w:pos="567"/>
        </w:tabs>
        <w:rPr>
          <w:color w:val="000000"/>
          <w:szCs w:val="22"/>
          <w:lang w:val="fr-CH"/>
        </w:rPr>
      </w:pPr>
      <w:r w:rsidRPr="00CD056A">
        <w:rPr>
          <w:color w:val="000000"/>
          <w:szCs w:val="22"/>
          <w:lang w:val="fr-CH"/>
        </w:rPr>
        <w:t>EU/1/01/198/01</w:t>
      </w:r>
      <w:r w:rsidR="00C81A5A" w:rsidRPr="00CD056A">
        <w:rPr>
          <w:color w:val="000000"/>
          <w:szCs w:val="22"/>
          <w:lang w:val="fr-CH"/>
        </w:rPr>
        <w:t>6</w:t>
      </w:r>
    </w:p>
    <w:p w14:paraId="32368728" w14:textId="77777777" w:rsidR="009754E9" w:rsidRPr="00C83045" w:rsidRDefault="009754E9" w:rsidP="00D4304B">
      <w:pPr>
        <w:widowControl w:val="0"/>
        <w:rPr>
          <w:color w:val="000000"/>
          <w:szCs w:val="22"/>
        </w:rPr>
      </w:pPr>
    </w:p>
    <w:p w14:paraId="32368729" w14:textId="77777777" w:rsidR="00BF36F0" w:rsidRPr="00D64677" w:rsidRDefault="00BF36F0" w:rsidP="00D4304B">
      <w:pPr>
        <w:keepNext/>
        <w:widowControl w:val="0"/>
        <w:rPr>
          <w:color w:val="000000"/>
          <w:szCs w:val="22"/>
          <w:u w:val="single"/>
        </w:rPr>
      </w:pPr>
      <w:r w:rsidRPr="00D64677">
        <w:rPr>
          <w:color w:val="000000"/>
          <w:szCs w:val="22"/>
          <w:u w:val="single"/>
        </w:rPr>
        <w:t>Glivec 400 mg filmom obalené tablety</w:t>
      </w:r>
    </w:p>
    <w:p w14:paraId="3236872A" w14:textId="77777777" w:rsidR="00BF36F0" w:rsidRPr="00C83045" w:rsidRDefault="00BF36F0" w:rsidP="00D4304B">
      <w:pPr>
        <w:pStyle w:val="EndnoteText"/>
        <w:keepNext/>
        <w:widowControl w:val="0"/>
        <w:tabs>
          <w:tab w:val="clear" w:pos="567"/>
        </w:tabs>
        <w:rPr>
          <w:color w:val="000000"/>
          <w:szCs w:val="22"/>
          <w:lang w:val="sk-SK"/>
        </w:rPr>
      </w:pPr>
      <w:r w:rsidRPr="00C83045">
        <w:rPr>
          <w:color w:val="000000"/>
          <w:szCs w:val="22"/>
          <w:lang w:val="sk-SK"/>
        </w:rPr>
        <w:t>EU/1/01/198/009</w:t>
      </w:r>
    </w:p>
    <w:p w14:paraId="3236872B" w14:textId="77777777" w:rsidR="00BF36F0" w:rsidRPr="00C83045" w:rsidRDefault="00BF36F0" w:rsidP="00D4304B">
      <w:pPr>
        <w:pStyle w:val="EndnoteText"/>
        <w:keepNext/>
        <w:widowControl w:val="0"/>
        <w:tabs>
          <w:tab w:val="clear" w:pos="567"/>
        </w:tabs>
        <w:rPr>
          <w:color w:val="000000"/>
          <w:szCs w:val="22"/>
          <w:lang w:val="sk-SK"/>
        </w:rPr>
      </w:pPr>
      <w:r w:rsidRPr="00C83045">
        <w:rPr>
          <w:color w:val="000000"/>
          <w:szCs w:val="22"/>
          <w:lang w:val="sk-SK"/>
        </w:rPr>
        <w:t>EU/1/01/198/010</w:t>
      </w:r>
    </w:p>
    <w:p w14:paraId="3236872C" w14:textId="77777777" w:rsidR="00BF36F0" w:rsidRPr="00C83045" w:rsidRDefault="00BF36F0" w:rsidP="00D4304B">
      <w:pPr>
        <w:pStyle w:val="EndnoteText"/>
        <w:widowControl w:val="0"/>
        <w:tabs>
          <w:tab w:val="clear" w:pos="567"/>
        </w:tabs>
        <w:rPr>
          <w:color w:val="000000"/>
          <w:szCs w:val="22"/>
          <w:lang w:val="sk-SK"/>
        </w:rPr>
      </w:pPr>
      <w:r w:rsidRPr="00C83045">
        <w:rPr>
          <w:color w:val="000000"/>
          <w:szCs w:val="22"/>
          <w:lang w:val="sk-SK"/>
        </w:rPr>
        <w:t>EU/1/01/198/013</w:t>
      </w:r>
    </w:p>
    <w:p w14:paraId="3236872D" w14:textId="77777777" w:rsidR="000F592D" w:rsidRDefault="000F592D" w:rsidP="00D4304B">
      <w:pPr>
        <w:widowControl w:val="0"/>
        <w:rPr>
          <w:color w:val="000000"/>
          <w:szCs w:val="22"/>
        </w:rPr>
      </w:pPr>
    </w:p>
    <w:p w14:paraId="3236872E" w14:textId="77777777" w:rsidR="002D005B" w:rsidRPr="00C83045" w:rsidRDefault="002D005B" w:rsidP="00D4304B">
      <w:pPr>
        <w:widowControl w:val="0"/>
        <w:rPr>
          <w:color w:val="000000"/>
          <w:szCs w:val="22"/>
        </w:rPr>
      </w:pPr>
    </w:p>
    <w:p w14:paraId="3236872F" w14:textId="77777777" w:rsidR="003A009B" w:rsidRPr="00C83045" w:rsidRDefault="003A009B" w:rsidP="00D4304B">
      <w:pPr>
        <w:keepNext/>
        <w:widowControl w:val="0"/>
        <w:rPr>
          <w:b/>
          <w:caps/>
          <w:color w:val="000000"/>
          <w:szCs w:val="22"/>
        </w:rPr>
      </w:pPr>
      <w:r w:rsidRPr="00C83045">
        <w:rPr>
          <w:b/>
          <w:caps/>
          <w:color w:val="000000"/>
          <w:szCs w:val="22"/>
        </w:rPr>
        <w:t>9.</w:t>
      </w:r>
      <w:r w:rsidRPr="00C83045">
        <w:rPr>
          <w:b/>
          <w:caps/>
          <w:color w:val="000000"/>
          <w:szCs w:val="22"/>
        </w:rPr>
        <w:tab/>
        <w:t>Dátum PRVEJ registrácie/predĺŽeniA registrácie</w:t>
      </w:r>
    </w:p>
    <w:p w14:paraId="32368730" w14:textId="77777777" w:rsidR="000F592D" w:rsidRPr="00C83045" w:rsidRDefault="000F592D" w:rsidP="00D4304B">
      <w:pPr>
        <w:keepNext/>
        <w:widowControl w:val="0"/>
        <w:rPr>
          <w:bCs/>
          <w:caps/>
          <w:color w:val="000000"/>
          <w:szCs w:val="22"/>
        </w:rPr>
      </w:pPr>
    </w:p>
    <w:p w14:paraId="32368731" w14:textId="77777777" w:rsidR="003A260A" w:rsidRPr="00C83045" w:rsidRDefault="00F26015" w:rsidP="00D4304B">
      <w:pPr>
        <w:keepNext/>
        <w:widowControl w:val="0"/>
        <w:rPr>
          <w:color w:val="000000"/>
          <w:szCs w:val="22"/>
        </w:rPr>
      </w:pPr>
      <w:bookmarkStart w:id="6" w:name="OLE_LINK3"/>
      <w:r w:rsidRPr="00C83045">
        <w:rPr>
          <w:color w:val="000000"/>
          <w:szCs w:val="22"/>
        </w:rPr>
        <w:t xml:space="preserve">Dátum prvej registrácie: </w:t>
      </w:r>
      <w:r w:rsidR="003835DA" w:rsidRPr="00C83045">
        <w:rPr>
          <w:color w:val="000000"/>
          <w:szCs w:val="22"/>
        </w:rPr>
        <w:t>07</w:t>
      </w:r>
      <w:r w:rsidRPr="00C83045">
        <w:rPr>
          <w:color w:val="000000"/>
          <w:szCs w:val="22"/>
        </w:rPr>
        <w:t>.</w:t>
      </w:r>
      <w:r w:rsidR="003835DA" w:rsidRPr="00C83045">
        <w:rPr>
          <w:color w:val="000000"/>
          <w:szCs w:val="22"/>
        </w:rPr>
        <w:t xml:space="preserve"> novembra 20</w:t>
      </w:r>
      <w:r w:rsidR="00A1400A" w:rsidRPr="00C83045">
        <w:rPr>
          <w:color w:val="000000"/>
          <w:szCs w:val="22"/>
        </w:rPr>
        <w:t>0</w:t>
      </w:r>
      <w:r w:rsidR="003835DA" w:rsidRPr="00C83045">
        <w:rPr>
          <w:color w:val="000000"/>
          <w:szCs w:val="22"/>
        </w:rPr>
        <w:t>1</w:t>
      </w:r>
    </w:p>
    <w:p w14:paraId="32368732" w14:textId="77777777" w:rsidR="003A260A" w:rsidRPr="00C83045" w:rsidRDefault="003A260A" w:rsidP="00D4304B">
      <w:pPr>
        <w:widowControl w:val="0"/>
        <w:rPr>
          <w:color w:val="000000"/>
          <w:szCs w:val="22"/>
        </w:rPr>
      </w:pPr>
      <w:r w:rsidRPr="00C83045">
        <w:rPr>
          <w:color w:val="000000"/>
          <w:szCs w:val="22"/>
        </w:rPr>
        <w:t>Dátum p</w:t>
      </w:r>
      <w:r w:rsidR="003835DA" w:rsidRPr="00C83045">
        <w:rPr>
          <w:color w:val="000000"/>
          <w:szCs w:val="22"/>
        </w:rPr>
        <w:t>osledného</w:t>
      </w:r>
      <w:r w:rsidRPr="00C83045">
        <w:rPr>
          <w:color w:val="000000"/>
          <w:szCs w:val="22"/>
        </w:rPr>
        <w:t xml:space="preserve"> predĺženia</w:t>
      </w:r>
      <w:r w:rsidR="00753F79" w:rsidRPr="00C83045">
        <w:rPr>
          <w:noProof/>
          <w:szCs w:val="22"/>
        </w:rPr>
        <w:t xml:space="preserve"> registrácie</w:t>
      </w:r>
      <w:r w:rsidRPr="00C83045">
        <w:rPr>
          <w:color w:val="000000"/>
          <w:szCs w:val="22"/>
        </w:rPr>
        <w:t>: 07.</w:t>
      </w:r>
      <w:r w:rsidR="003835DA" w:rsidRPr="00C83045">
        <w:rPr>
          <w:color w:val="000000"/>
          <w:szCs w:val="22"/>
        </w:rPr>
        <w:t xml:space="preserve"> nove</w:t>
      </w:r>
      <w:r w:rsidR="00A1400A" w:rsidRPr="00C83045">
        <w:rPr>
          <w:color w:val="000000"/>
          <w:szCs w:val="22"/>
        </w:rPr>
        <w:t>m</w:t>
      </w:r>
      <w:r w:rsidR="003835DA" w:rsidRPr="00C83045">
        <w:rPr>
          <w:color w:val="000000"/>
          <w:szCs w:val="22"/>
        </w:rPr>
        <w:t xml:space="preserve">bra </w:t>
      </w:r>
      <w:r w:rsidRPr="00C83045">
        <w:rPr>
          <w:color w:val="000000"/>
          <w:szCs w:val="22"/>
        </w:rPr>
        <w:t>2006</w:t>
      </w:r>
    </w:p>
    <w:bookmarkEnd w:id="6"/>
    <w:p w14:paraId="32368733" w14:textId="77777777" w:rsidR="00D97C53" w:rsidRPr="00C83045" w:rsidRDefault="00D97C53" w:rsidP="00D4304B">
      <w:pPr>
        <w:widowControl w:val="0"/>
        <w:rPr>
          <w:bCs/>
          <w:caps/>
          <w:color w:val="000000"/>
          <w:szCs w:val="22"/>
        </w:rPr>
      </w:pPr>
    </w:p>
    <w:p w14:paraId="32368734" w14:textId="77777777" w:rsidR="00D97C53" w:rsidRPr="00C83045" w:rsidRDefault="00D97C53" w:rsidP="00D4304B">
      <w:pPr>
        <w:widowControl w:val="0"/>
        <w:rPr>
          <w:bCs/>
          <w:caps/>
          <w:color w:val="000000"/>
          <w:szCs w:val="22"/>
        </w:rPr>
      </w:pPr>
    </w:p>
    <w:p w14:paraId="32368735" w14:textId="77777777" w:rsidR="000F592D" w:rsidRPr="00C83045" w:rsidRDefault="000F592D" w:rsidP="00D4304B">
      <w:pPr>
        <w:keepNext/>
        <w:widowControl w:val="0"/>
        <w:rPr>
          <w:color w:val="000000"/>
          <w:szCs w:val="22"/>
        </w:rPr>
      </w:pPr>
      <w:r w:rsidRPr="00C83045">
        <w:rPr>
          <w:b/>
          <w:caps/>
          <w:color w:val="000000"/>
          <w:szCs w:val="22"/>
        </w:rPr>
        <w:t>10.</w:t>
      </w:r>
      <w:r w:rsidRPr="00C83045">
        <w:rPr>
          <w:b/>
          <w:caps/>
          <w:color w:val="000000"/>
          <w:szCs w:val="22"/>
        </w:rPr>
        <w:tab/>
        <w:t>Dátum revízie textu</w:t>
      </w:r>
    </w:p>
    <w:p w14:paraId="32368736" w14:textId="77777777" w:rsidR="003A009B" w:rsidRPr="00C83045" w:rsidRDefault="003A009B" w:rsidP="00D4304B">
      <w:pPr>
        <w:keepNext/>
        <w:widowControl w:val="0"/>
        <w:rPr>
          <w:bCs/>
          <w:caps/>
          <w:color w:val="000000"/>
          <w:szCs w:val="22"/>
        </w:rPr>
      </w:pPr>
    </w:p>
    <w:p w14:paraId="32368737" w14:textId="77777777" w:rsidR="003A009B" w:rsidRPr="00C83045" w:rsidRDefault="003A009B" w:rsidP="00D4304B">
      <w:pPr>
        <w:keepNext/>
        <w:widowControl w:val="0"/>
        <w:rPr>
          <w:bCs/>
          <w:caps/>
          <w:color w:val="000000"/>
          <w:szCs w:val="22"/>
        </w:rPr>
      </w:pPr>
    </w:p>
    <w:p w14:paraId="32368738" w14:textId="77777777" w:rsidR="003A009B" w:rsidRPr="00C83045" w:rsidRDefault="003A009B" w:rsidP="00D4304B">
      <w:pPr>
        <w:widowControl w:val="0"/>
        <w:ind w:left="0" w:firstLine="0"/>
        <w:rPr>
          <w:noProof/>
          <w:color w:val="000000"/>
          <w:szCs w:val="22"/>
        </w:rPr>
      </w:pPr>
      <w:r w:rsidRPr="00C83045">
        <w:rPr>
          <w:noProof/>
          <w:color w:val="000000"/>
          <w:szCs w:val="22"/>
        </w:rPr>
        <w:t>Podrobné informácie o tomto lieku sú dostupné na internetovej stránke Európskej agentúry</w:t>
      </w:r>
      <w:r w:rsidR="00F01215" w:rsidRPr="00C83045">
        <w:rPr>
          <w:noProof/>
          <w:color w:val="000000"/>
          <w:szCs w:val="22"/>
        </w:rPr>
        <w:t xml:space="preserve"> pre lieky</w:t>
      </w:r>
      <w:r w:rsidRPr="00C83045">
        <w:rPr>
          <w:noProof/>
          <w:color w:val="000000"/>
          <w:szCs w:val="22"/>
        </w:rPr>
        <w:t xml:space="preserve"> http://www.ema.europa.eu</w:t>
      </w:r>
    </w:p>
    <w:p w14:paraId="32368739" w14:textId="77777777" w:rsidR="00F72C2E" w:rsidRPr="00C83045" w:rsidRDefault="000F592D" w:rsidP="00D4304B">
      <w:pPr>
        <w:widowControl w:val="0"/>
        <w:ind w:left="0" w:firstLine="0"/>
        <w:rPr>
          <w:color w:val="000000"/>
          <w:szCs w:val="22"/>
        </w:rPr>
      </w:pPr>
      <w:r w:rsidRPr="00C83045">
        <w:rPr>
          <w:b/>
          <w:bCs/>
          <w:caps/>
          <w:color w:val="000000"/>
          <w:szCs w:val="22"/>
        </w:rPr>
        <w:br w:type="page"/>
      </w:r>
    </w:p>
    <w:p w14:paraId="3236873A" w14:textId="77777777" w:rsidR="00F72C2E" w:rsidRPr="00C83045" w:rsidRDefault="00F72C2E" w:rsidP="00D4304B">
      <w:pPr>
        <w:widowControl w:val="0"/>
        <w:rPr>
          <w:color w:val="000000"/>
          <w:szCs w:val="22"/>
        </w:rPr>
      </w:pPr>
    </w:p>
    <w:p w14:paraId="3236873B" w14:textId="77777777" w:rsidR="00F72C2E" w:rsidRPr="00C83045" w:rsidRDefault="00F72C2E" w:rsidP="00D4304B">
      <w:pPr>
        <w:widowControl w:val="0"/>
        <w:rPr>
          <w:color w:val="000000"/>
          <w:szCs w:val="22"/>
        </w:rPr>
      </w:pPr>
    </w:p>
    <w:p w14:paraId="3236873C" w14:textId="77777777" w:rsidR="00F72C2E" w:rsidRPr="00C83045" w:rsidRDefault="00F72C2E" w:rsidP="00D4304B">
      <w:pPr>
        <w:widowControl w:val="0"/>
        <w:rPr>
          <w:color w:val="000000"/>
          <w:szCs w:val="22"/>
        </w:rPr>
      </w:pPr>
    </w:p>
    <w:p w14:paraId="3236873D" w14:textId="77777777" w:rsidR="00F72C2E" w:rsidRPr="00C83045" w:rsidRDefault="00F72C2E" w:rsidP="00D4304B">
      <w:pPr>
        <w:widowControl w:val="0"/>
        <w:rPr>
          <w:color w:val="000000"/>
          <w:szCs w:val="22"/>
        </w:rPr>
      </w:pPr>
    </w:p>
    <w:p w14:paraId="3236873E" w14:textId="77777777" w:rsidR="00F72C2E" w:rsidRPr="00C83045" w:rsidRDefault="00F72C2E" w:rsidP="00D4304B">
      <w:pPr>
        <w:widowControl w:val="0"/>
        <w:rPr>
          <w:color w:val="000000"/>
          <w:szCs w:val="22"/>
        </w:rPr>
      </w:pPr>
    </w:p>
    <w:p w14:paraId="3236873F" w14:textId="77777777" w:rsidR="00F72C2E" w:rsidRPr="00C83045" w:rsidRDefault="00F72C2E" w:rsidP="00D4304B">
      <w:pPr>
        <w:widowControl w:val="0"/>
        <w:rPr>
          <w:color w:val="000000"/>
          <w:szCs w:val="22"/>
        </w:rPr>
      </w:pPr>
    </w:p>
    <w:p w14:paraId="32368740" w14:textId="77777777" w:rsidR="00F72C2E" w:rsidRPr="00C83045" w:rsidRDefault="00F72C2E" w:rsidP="00D4304B">
      <w:pPr>
        <w:widowControl w:val="0"/>
        <w:rPr>
          <w:color w:val="000000"/>
          <w:szCs w:val="22"/>
        </w:rPr>
      </w:pPr>
    </w:p>
    <w:p w14:paraId="32368741" w14:textId="77777777" w:rsidR="00F72C2E" w:rsidRPr="00C83045" w:rsidRDefault="00F72C2E" w:rsidP="00D4304B">
      <w:pPr>
        <w:widowControl w:val="0"/>
        <w:rPr>
          <w:color w:val="000000"/>
          <w:szCs w:val="22"/>
        </w:rPr>
      </w:pPr>
    </w:p>
    <w:p w14:paraId="32368742" w14:textId="77777777" w:rsidR="00F72C2E" w:rsidRPr="00C83045" w:rsidRDefault="00F72C2E" w:rsidP="00D4304B">
      <w:pPr>
        <w:widowControl w:val="0"/>
        <w:rPr>
          <w:color w:val="000000"/>
          <w:szCs w:val="22"/>
        </w:rPr>
      </w:pPr>
    </w:p>
    <w:p w14:paraId="32368743" w14:textId="77777777" w:rsidR="00F72C2E" w:rsidRPr="00C83045" w:rsidRDefault="00F72C2E" w:rsidP="00D4304B">
      <w:pPr>
        <w:widowControl w:val="0"/>
        <w:rPr>
          <w:color w:val="000000"/>
          <w:szCs w:val="22"/>
        </w:rPr>
      </w:pPr>
    </w:p>
    <w:p w14:paraId="32368744" w14:textId="77777777" w:rsidR="00F72C2E" w:rsidRPr="00C83045" w:rsidRDefault="00F72C2E" w:rsidP="00D4304B">
      <w:pPr>
        <w:widowControl w:val="0"/>
        <w:rPr>
          <w:color w:val="000000"/>
          <w:szCs w:val="22"/>
        </w:rPr>
      </w:pPr>
    </w:p>
    <w:p w14:paraId="32368745" w14:textId="77777777" w:rsidR="00F72C2E" w:rsidRPr="00C83045" w:rsidRDefault="00F72C2E" w:rsidP="00D4304B">
      <w:pPr>
        <w:widowControl w:val="0"/>
        <w:rPr>
          <w:color w:val="000000"/>
          <w:szCs w:val="22"/>
        </w:rPr>
      </w:pPr>
    </w:p>
    <w:p w14:paraId="32368746" w14:textId="77777777" w:rsidR="00F72C2E" w:rsidRPr="00C83045" w:rsidRDefault="00F72C2E" w:rsidP="00D4304B">
      <w:pPr>
        <w:widowControl w:val="0"/>
        <w:rPr>
          <w:color w:val="000000"/>
          <w:szCs w:val="22"/>
        </w:rPr>
      </w:pPr>
    </w:p>
    <w:p w14:paraId="32368747" w14:textId="77777777" w:rsidR="00F72C2E" w:rsidRPr="00C83045" w:rsidRDefault="00F72C2E" w:rsidP="00D4304B">
      <w:pPr>
        <w:widowControl w:val="0"/>
        <w:rPr>
          <w:color w:val="000000"/>
          <w:szCs w:val="22"/>
        </w:rPr>
      </w:pPr>
    </w:p>
    <w:p w14:paraId="32368748" w14:textId="77777777" w:rsidR="00F72C2E" w:rsidRPr="00C83045" w:rsidRDefault="00F72C2E" w:rsidP="00D4304B">
      <w:pPr>
        <w:widowControl w:val="0"/>
        <w:rPr>
          <w:color w:val="000000"/>
          <w:szCs w:val="22"/>
        </w:rPr>
      </w:pPr>
    </w:p>
    <w:p w14:paraId="32368749" w14:textId="77777777" w:rsidR="00F72C2E" w:rsidRPr="00C83045" w:rsidRDefault="00F72C2E" w:rsidP="00D4304B">
      <w:pPr>
        <w:widowControl w:val="0"/>
        <w:rPr>
          <w:color w:val="000000"/>
          <w:szCs w:val="22"/>
        </w:rPr>
      </w:pPr>
    </w:p>
    <w:p w14:paraId="3236874A" w14:textId="77777777" w:rsidR="00F72C2E" w:rsidRPr="00C83045" w:rsidRDefault="00F72C2E" w:rsidP="00D4304B">
      <w:pPr>
        <w:widowControl w:val="0"/>
        <w:rPr>
          <w:color w:val="000000"/>
          <w:szCs w:val="22"/>
        </w:rPr>
      </w:pPr>
    </w:p>
    <w:p w14:paraId="3236874B" w14:textId="77777777" w:rsidR="00F72C2E" w:rsidRPr="00C83045" w:rsidRDefault="00F72C2E" w:rsidP="00D4304B">
      <w:pPr>
        <w:widowControl w:val="0"/>
        <w:rPr>
          <w:color w:val="000000"/>
          <w:szCs w:val="22"/>
        </w:rPr>
      </w:pPr>
    </w:p>
    <w:p w14:paraId="3236874C" w14:textId="77777777" w:rsidR="00F72C2E" w:rsidRDefault="00F72C2E" w:rsidP="00D4304B">
      <w:pPr>
        <w:widowControl w:val="0"/>
        <w:rPr>
          <w:color w:val="000000"/>
          <w:szCs w:val="22"/>
        </w:rPr>
      </w:pPr>
    </w:p>
    <w:p w14:paraId="3236874D" w14:textId="77777777" w:rsidR="003E286B" w:rsidRDefault="003E286B" w:rsidP="00D4304B">
      <w:pPr>
        <w:widowControl w:val="0"/>
        <w:rPr>
          <w:color w:val="000000"/>
          <w:szCs w:val="22"/>
        </w:rPr>
      </w:pPr>
    </w:p>
    <w:p w14:paraId="3236874E" w14:textId="77777777" w:rsidR="003E286B" w:rsidRPr="00C83045" w:rsidRDefault="003E286B" w:rsidP="00D4304B">
      <w:pPr>
        <w:widowControl w:val="0"/>
        <w:rPr>
          <w:color w:val="000000"/>
          <w:szCs w:val="22"/>
        </w:rPr>
      </w:pPr>
    </w:p>
    <w:p w14:paraId="3236874F" w14:textId="77777777" w:rsidR="00F72C2E" w:rsidRPr="00C83045" w:rsidRDefault="00F72C2E" w:rsidP="00D4304B">
      <w:pPr>
        <w:widowControl w:val="0"/>
        <w:rPr>
          <w:color w:val="000000"/>
          <w:szCs w:val="22"/>
        </w:rPr>
      </w:pPr>
    </w:p>
    <w:p w14:paraId="32368750" w14:textId="77777777" w:rsidR="00F72C2E" w:rsidRPr="00C83045" w:rsidRDefault="00F72C2E" w:rsidP="00D4304B">
      <w:pPr>
        <w:widowControl w:val="0"/>
        <w:rPr>
          <w:color w:val="000000"/>
          <w:szCs w:val="22"/>
        </w:rPr>
      </w:pPr>
    </w:p>
    <w:p w14:paraId="32368751" w14:textId="77777777" w:rsidR="00F72C2E" w:rsidRPr="00C83045" w:rsidRDefault="00F72C2E" w:rsidP="00D4304B">
      <w:pPr>
        <w:widowControl w:val="0"/>
        <w:jc w:val="center"/>
        <w:rPr>
          <w:b/>
          <w:color w:val="000000"/>
          <w:szCs w:val="22"/>
        </w:rPr>
      </w:pPr>
      <w:r w:rsidRPr="00C83045">
        <w:rPr>
          <w:b/>
          <w:color w:val="000000"/>
          <w:szCs w:val="22"/>
        </w:rPr>
        <w:t>PRÍLOHA II</w:t>
      </w:r>
    </w:p>
    <w:p w14:paraId="32368752" w14:textId="77777777" w:rsidR="00F72C2E" w:rsidRPr="00C83045" w:rsidRDefault="00F72C2E" w:rsidP="00D4304B">
      <w:pPr>
        <w:widowControl w:val="0"/>
        <w:ind w:left="0" w:right="1416" w:firstLine="0"/>
        <w:jc w:val="both"/>
        <w:rPr>
          <w:color w:val="000000"/>
          <w:szCs w:val="22"/>
        </w:rPr>
      </w:pPr>
    </w:p>
    <w:p w14:paraId="32368753" w14:textId="77777777" w:rsidR="00F72C2E" w:rsidRPr="00C83045" w:rsidRDefault="00F72C2E" w:rsidP="00D4304B">
      <w:pPr>
        <w:widowControl w:val="0"/>
        <w:tabs>
          <w:tab w:val="left" w:pos="1701"/>
        </w:tabs>
        <w:ind w:left="1701" w:right="1416"/>
        <w:rPr>
          <w:b/>
          <w:color w:val="000000"/>
          <w:szCs w:val="22"/>
        </w:rPr>
      </w:pPr>
      <w:r w:rsidRPr="00C83045">
        <w:rPr>
          <w:b/>
          <w:color w:val="000000"/>
          <w:szCs w:val="22"/>
        </w:rPr>
        <w:t>A.</w:t>
      </w:r>
      <w:r w:rsidRPr="00C83045">
        <w:rPr>
          <w:b/>
          <w:color w:val="000000"/>
          <w:szCs w:val="22"/>
        </w:rPr>
        <w:tab/>
        <w:t>VÝROBCA ZODPOVEDNÝ ZA UVOĽNENIE ŠARŽE</w:t>
      </w:r>
    </w:p>
    <w:p w14:paraId="32368754" w14:textId="77777777" w:rsidR="00F72C2E" w:rsidRPr="00C83045" w:rsidRDefault="00F72C2E" w:rsidP="00D4304B">
      <w:pPr>
        <w:widowControl w:val="0"/>
        <w:ind w:left="0" w:right="1416" w:firstLine="0"/>
        <w:rPr>
          <w:color w:val="000000"/>
          <w:szCs w:val="22"/>
        </w:rPr>
      </w:pPr>
    </w:p>
    <w:p w14:paraId="32368755" w14:textId="77777777" w:rsidR="00F72C2E" w:rsidRPr="00C83045" w:rsidRDefault="00F72C2E" w:rsidP="00D4304B">
      <w:pPr>
        <w:widowControl w:val="0"/>
        <w:tabs>
          <w:tab w:val="left" w:pos="1701"/>
        </w:tabs>
        <w:ind w:left="1701" w:right="1416"/>
        <w:rPr>
          <w:b/>
        </w:rPr>
      </w:pPr>
      <w:r w:rsidRPr="00C83045">
        <w:rPr>
          <w:b/>
          <w:color w:val="000000"/>
          <w:szCs w:val="22"/>
        </w:rPr>
        <w:t>B.</w:t>
      </w:r>
      <w:r w:rsidRPr="00C83045">
        <w:rPr>
          <w:b/>
          <w:color w:val="000000"/>
          <w:szCs w:val="22"/>
        </w:rPr>
        <w:tab/>
        <w:t>PODMIENKY </w:t>
      </w:r>
      <w:r w:rsidRPr="00C83045">
        <w:rPr>
          <w:b/>
        </w:rPr>
        <w:t>ALEBO OBMEDZENIA TÝKAJÚCE SA VÝDAJA A POUŽITIA</w:t>
      </w:r>
    </w:p>
    <w:p w14:paraId="32368756" w14:textId="77777777" w:rsidR="00F72C2E" w:rsidRPr="00C83045" w:rsidRDefault="00F72C2E" w:rsidP="00D4304B">
      <w:pPr>
        <w:widowControl w:val="0"/>
        <w:tabs>
          <w:tab w:val="left" w:pos="-6804"/>
        </w:tabs>
        <w:ind w:left="0" w:right="1416" w:firstLine="0"/>
        <w:rPr>
          <w:color w:val="000000"/>
          <w:szCs w:val="22"/>
        </w:rPr>
      </w:pPr>
    </w:p>
    <w:p w14:paraId="32368757" w14:textId="77777777" w:rsidR="00F72C2E" w:rsidRPr="00C83045" w:rsidRDefault="00F72C2E" w:rsidP="00D4304B">
      <w:pPr>
        <w:widowControl w:val="0"/>
        <w:tabs>
          <w:tab w:val="left" w:pos="1701"/>
        </w:tabs>
        <w:ind w:left="1701" w:right="1416"/>
        <w:rPr>
          <w:b/>
        </w:rPr>
      </w:pPr>
      <w:r w:rsidRPr="00C83045">
        <w:rPr>
          <w:b/>
        </w:rPr>
        <w:t>C.</w:t>
      </w:r>
      <w:r w:rsidRPr="00C83045">
        <w:rPr>
          <w:b/>
        </w:rPr>
        <w:tab/>
      </w:r>
      <w:r w:rsidR="003E1270" w:rsidRPr="00C83045">
        <w:rPr>
          <w:b/>
        </w:rPr>
        <w:t>ĎALŠIE</w:t>
      </w:r>
      <w:r w:rsidRPr="00C83045">
        <w:rPr>
          <w:b/>
        </w:rPr>
        <w:t xml:space="preserve"> PODMIENKY A POŽIADAVKY REGISTRÁCIE</w:t>
      </w:r>
    </w:p>
    <w:p w14:paraId="32368758" w14:textId="77777777" w:rsidR="003E1270" w:rsidRPr="00C83045" w:rsidRDefault="003E1270" w:rsidP="00D4304B">
      <w:pPr>
        <w:widowControl w:val="0"/>
        <w:ind w:left="0" w:right="1416" w:firstLine="0"/>
      </w:pPr>
    </w:p>
    <w:p w14:paraId="32368759" w14:textId="77777777" w:rsidR="003E1270" w:rsidRPr="00C83045" w:rsidRDefault="003E1270" w:rsidP="00D4304B">
      <w:pPr>
        <w:widowControl w:val="0"/>
        <w:ind w:left="1701" w:right="1416"/>
        <w:rPr>
          <w:b/>
          <w:szCs w:val="22"/>
        </w:rPr>
      </w:pPr>
      <w:r w:rsidRPr="00C83045">
        <w:rPr>
          <w:b/>
          <w:szCs w:val="22"/>
        </w:rPr>
        <w:t>D.</w:t>
      </w:r>
      <w:r w:rsidRPr="00C83045">
        <w:rPr>
          <w:b/>
          <w:szCs w:val="22"/>
        </w:rPr>
        <w:tab/>
      </w:r>
      <w:r w:rsidRPr="00C83045">
        <w:rPr>
          <w:b/>
          <w:caps/>
        </w:rPr>
        <w:t>PODMIENKY ALEBO OBMEDZENIA tÝkajúce sa BEZPEČNÉho A ÚČINNÉho POUŽÍVANIA LIEKU</w:t>
      </w:r>
    </w:p>
    <w:p w14:paraId="3236875A" w14:textId="77777777" w:rsidR="003E1270" w:rsidRPr="00C83045" w:rsidRDefault="003E1270" w:rsidP="00D4304B">
      <w:pPr>
        <w:widowControl w:val="0"/>
        <w:ind w:left="0" w:right="1416" w:firstLine="0"/>
        <w:rPr>
          <w:color w:val="000000"/>
          <w:szCs w:val="22"/>
        </w:rPr>
      </w:pPr>
    </w:p>
    <w:p w14:paraId="3236875B" w14:textId="77777777" w:rsidR="00F72C2E" w:rsidRPr="00493039" w:rsidRDefault="00F72C2E" w:rsidP="00D4304B">
      <w:pPr>
        <w:widowControl w:val="0"/>
        <w:rPr>
          <w:szCs w:val="22"/>
        </w:rPr>
      </w:pPr>
      <w:r w:rsidRPr="00C83045">
        <w:rPr>
          <w:color w:val="000000"/>
          <w:szCs w:val="22"/>
        </w:rPr>
        <w:br w:type="page"/>
      </w:r>
      <w:r w:rsidRPr="00493039">
        <w:rPr>
          <w:b/>
          <w:szCs w:val="22"/>
        </w:rPr>
        <w:lastRenderedPageBreak/>
        <w:t>A.</w:t>
      </w:r>
      <w:r w:rsidRPr="00493039">
        <w:rPr>
          <w:b/>
          <w:szCs w:val="22"/>
        </w:rPr>
        <w:tab/>
        <w:t>VÝROBCA ZODPOVEDNÝ ZA UVOĽNENIE ŠARŽE</w:t>
      </w:r>
    </w:p>
    <w:p w14:paraId="3236875C" w14:textId="77777777" w:rsidR="00F72C2E" w:rsidRPr="00493039" w:rsidRDefault="00F72C2E" w:rsidP="00D4304B">
      <w:pPr>
        <w:widowControl w:val="0"/>
        <w:ind w:right="1416"/>
        <w:rPr>
          <w:szCs w:val="22"/>
        </w:rPr>
      </w:pPr>
    </w:p>
    <w:p w14:paraId="3236875D" w14:textId="77777777" w:rsidR="00F72C2E" w:rsidRPr="00493039" w:rsidRDefault="00F72C2E" w:rsidP="00D4304B">
      <w:pPr>
        <w:widowControl w:val="0"/>
        <w:rPr>
          <w:szCs w:val="22"/>
        </w:rPr>
      </w:pPr>
      <w:r w:rsidRPr="00493039">
        <w:rPr>
          <w:szCs w:val="22"/>
          <w:u w:val="single"/>
        </w:rPr>
        <w:t>Názov a adresa výrobcu zodpovedného za uvoľnenie šarže</w:t>
      </w:r>
    </w:p>
    <w:p w14:paraId="3236875E" w14:textId="77777777" w:rsidR="00F72C2E" w:rsidRPr="00493039" w:rsidRDefault="00F72C2E" w:rsidP="00D4304B">
      <w:pPr>
        <w:widowControl w:val="0"/>
        <w:rPr>
          <w:szCs w:val="22"/>
        </w:rPr>
      </w:pPr>
    </w:p>
    <w:p w14:paraId="3236875F" w14:textId="77777777" w:rsidR="00493039" w:rsidRPr="00D82B20" w:rsidRDefault="00493039" w:rsidP="00D4304B">
      <w:pPr>
        <w:widowControl w:val="0"/>
        <w:tabs>
          <w:tab w:val="left" w:pos="7513"/>
        </w:tabs>
        <w:rPr>
          <w:szCs w:val="22"/>
          <w:lang w:val="fr-CH"/>
        </w:rPr>
      </w:pPr>
      <w:r w:rsidRPr="00D82B20">
        <w:rPr>
          <w:szCs w:val="22"/>
          <w:lang w:val="fr-CH"/>
        </w:rPr>
        <w:t>Lek d.d, PE PROIZVODNJA LENDAVA</w:t>
      </w:r>
    </w:p>
    <w:p w14:paraId="32368760" w14:textId="77777777" w:rsidR="00493039" w:rsidRPr="00493039" w:rsidRDefault="00493039" w:rsidP="00D4304B">
      <w:pPr>
        <w:widowControl w:val="0"/>
        <w:tabs>
          <w:tab w:val="left" w:pos="7513"/>
        </w:tabs>
        <w:rPr>
          <w:szCs w:val="22"/>
          <w:lang w:val="fr-CH"/>
        </w:rPr>
      </w:pPr>
      <w:r w:rsidRPr="00493039">
        <w:rPr>
          <w:szCs w:val="22"/>
          <w:lang w:val="fr-CH"/>
        </w:rPr>
        <w:t>Trimlini 2D</w:t>
      </w:r>
    </w:p>
    <w:p w14:paraId="32368761" w14:textId="77777777" w:rsidR="00493039" w:rsidRPr="00493039" w:rsidRDefault="00493039" w:rsidP="00D4304B">
      <w:pPr>
        <w:widowControl w:val="0"/>
        <w:tabs>
          <w:tab w:val="left" w:pos="7513"/>
        </w:tabs>
        <w:rPr>
          <w:szCs w:val="22"/>
          <w:lang w:val="fr-CH"/>
        </w:rPr>
      </w:pPr>
      <w:r w:rsidRPr="00493039">
        <w:rPr>
          <w:szCs w:val="22"/>
          <w:lang w:val="fr-CH"/>
        </w:rPr>
        <w:t>Lendava, 9220</w:t>
      </w:r>
    </w:p>
    <w:p w14:paraId="32368762" w14:textId="77777777" w:rsidR="00493039" w:rsidRPr="00493039" w:rsidRDefault="00493039" w:rsidP="00D4304B">
      <w:pPr>
        <w:widowControl w:val="0"/>
        <w:tabs>
          <w:tab w:val="left" w:pos="7513"/>
        </w:tabs>
        <w:rPr>
          <w:szCs w:val="22"/>
          <w:lang w:val="pt-BR"/>
        </w:rPr>
      </w:pPr>
      <w:r w:rsidRPr="00D82B20">
        <w:rPr>
          <w:szCs w:val="22"/>
          <w:lang w:val="fr-CH"/>
        </w:rPr>
        <w:t>Slovinsko</w:t>
      </w:r>
    </w:p>
    <w:p w14:paraId="32368763" w14:textId="77777777" w:rsidR="00493039" w:rsidRPr="00493039" w:rsidRDefault="00493039" w:rsidP="00D4304B">
      <w:pPr>
        <w:widowControl w:val="0"/>
        <w:tabs>
          <w:tab w:val="left" w:pos="7513"/>
        </w:tabs>
        <w:rPr>
          <w:szCs w:val="22"/>
          <w:lang w:val="pt-BR"/>
        </w:rPr>
      </w:pPr>
    </w:p>
    <w:p w14:paraId="32368764" w14:textId="77777777" w:rsidR="00F72C2E" w:rsidRPr="00493039" w:rsidRDefault="00F72C2E" w:rsidP="00D4304B">
      <w:pPr>
        <w:widowControl w:val="0"/>
        <w:tabs>
          <w:tab w:val="left" w:pos="7513"/>
        </w:tabs>
        <w:rPr>
          <w:szCs w:val="22"/>
        </w:rPr>
      </w:pPr>
      <w:r w:rsidRPr="00493039">
        <w:rPr>
          <w:szCs w:val="22"/>
        </w:rPr>
        <w:t>Novartis Pharma GmbH</w:t>
      </w:r>
    </w:p>
    <w:p w14:paraId="32368765" w14:textId="77777777" w:rsidR="00F72C2E" w:rsidRPr="00493039" w:rsidRDefault="00F72C2E" w:rsidP="00D4304B">
      <w:pPr>
        <w:widowControl w:val="0"/>
        <w:tabs>
          <w:tab w:val="left" w:pos="7513"/>
        </w:tabs>
        <w:rPr>
          <w:szCs w:val="22"/>
        </w:rPr>
      </w:pPr>
      <w:r w:rsidRPr="00493039">
        <w:rPr>
          <w:szCs w:val="22"/>
        </w:rPr>
        <w:t>Roonstra</w:t>
      </w:r>
      <w:r w:rsidRPr="00493039">
        <w:rPr>
          <w:snapToGrid w:val="0"/>
          <w:szCs w:val="22"/>
        </w:rPr>
        <w:t>ss</w:t>
      </w:r>
      <w:r w:rsidRPr="00493039">
        <w:rPr>
          <w:szCs w:val="22"/>
        </w:rPr>
        <w:t>e 25</w:t>
      </w:r>
    </w:p>
    <w:p w14:paraId="32368766" w14:textId="77777777" w:rsidR="00F72C2E" w:rsidRPr="00493039" w:rsidRDefault="00F72C2E" w:rsidP="00D4304B">
      <w:pPr>
        <w:widowControl w:val="0"/>
        <w:numPr>
          <w:ilvl w:val="12"/>
          <w:numId w:val="0"/>
        </w:numPr>
        <w:rPr>
          <w:szCs w:val="22"/>
        </w:rPr>
      </w:pPr>
      <w:r w:rsidRPr="00493039">
        <w:rPr>
          <w:szCs w:val="22"/>
        </w:rPr>
        <w:t>D-90429 Norimberg</w:t>
      </w:r>
    </w:p>
    <w:p w14:paraId="32368767" w14:textId="77777777" w:rsidR="00F72C2E" w:rsidRPr="00493039" w:rsidRDefault="00F72C2E" w:rsidP="00D4304B">
      <w:pPr>
        <w:widowControl w:val="0"/>
        <w:numPr>
          <w:ilvl w:val="12"/>
          <w:numId w:val="0"/>
        </w:numPr>
        <w:rPr>
          <w:szCs w:val="22"/>
        </w:rPr>
      </w:pPr>
      <w:r w:rsidRPr="00493039">
        <w:rPr>
          <w:szCs w:val="22"/>
        </w:rPr>
        <w:t>Nemecko</w:t>
      </w:r>
    </w:p>
    <w:p w14:paraId="32368768" w14:textId="21F131F1" w:rsidR="00F72C2E" w:rsidRDefault="00F72C2E" w:rsidP="00D4304B">
      <w:pPr>
        <w:widowControl w:val="0"/>
        <w:rPr>
          <w:szCs w:val="22"/>
        </w:rPr>
      </w:pPr>
    </w:p>
    <w:p w14:paraId="407F9AE5" w14:textId="77777777" w:rsidR="00DC2178" w:rsidRPr="00DC2178" w:rsidRDefault="00DC2178" w:rsidP="00DC2178">
      <w:pPr>
        <w:widowControl w:val="0"/>
        <w:rPr>
          <w:szCs w:val="22"/>
        </w:rPr>
      </w:pPr>
      <w:r w:rsidRPr="00DC2178">
        <w:rPr>
          <w:szCs w:val="22"/>
        </w:rPr>
        <w:t>Sandoz S.R.L.</w:t>
      </w:r>
    </w:p>
    <w:p w14:paraId="7A661E60" w14:textId="77777777" w:rsidR="00DC2178" w:rsidRPr="00DC2178" w:rsidRDefault="00DC2178" w:rsidP="00DC2178">
      <w:pPr>
        <w:widowControl w:val="0"/>
        <w:rPr>
          <w:szCs w:val="22"/>
        </w:rPr>
      </w:pPr>
      <w:r w:rsidRPr="00DC2178">
        <w:rPr>
          <w:szCs w:val="22"/>
        </w:rPr>
        <w:t>Str. Livezeni nr. 7A</w:t>
      </w:r>
    </w:p>
    <w:p w14:paraId="3AA84B40" w14:textId="77777777" w:rsidR="00DC2178" w:rsidRPr="00DC2178" w:rsidRDefault="00DC2178" w:rsidP="00DC2178">
      <w:pPr>
        <w:widowControl w:val="0"/>
        <w:rPr>
          <w:szCs w:val="22"/>
        </w:rPr>
      </w:pPr>
      <w:r w:rsidRPr="00DC2178">
        <w:rPr>
          <w:szCs w:val="22"/>
        </w:rPr>
        <w:t>540472, Targu Mures</w:t>
      </w:r>
    </w:p>
    <w:p w14:paraId="3D15A1EC" w14:textId="70296844" w:rsidR="00DC2178" w:rsidRDefault="00DC2178" w:rsidP="00DC2178">
      <w:pPr>
        <w:widowControl w:val="0"/>
        <w:rPr>
          <w:szCs w:val="22"/>
        </w:rPr>
      </w:pPr>
      <w:r w:rsidRPr="00DC2178">
        <w:rPr>
          <w:szCs w:val="22"/>
        </w:rPr>
        <w:t>Rumunsko</w:t>
      </w:r>
    </w:p>
    <w:p w14:paraId="7F91E07A" w14:textId="77777777" w:rsidR="00DC2178" w:rsidRPr="00493039" w:rsidRDefault="00DC2178" w:rsidP="00DC2178">
      <w:pPr>
        <w:widowControl w:val="0"/>
        <w:rPr>
          <w:szCs w:val="22"/>
        </w:rPr>
      </w:pPr>
    </w:p>
    <w:p w14:paraId="32368769" w14:textId="77777777" w:rsidR="00493039" w:rsidRPr="00493039" w:rsidRDefault="00493039" w:rsidP="00D4304B">
      <w:pPr>
        <w:widowControl w:val="0"/>
        <w:ind w:left="0" w:firstLine="0"/>
        <w:rPr>
          <w:szCs w:val="22"/>
        </w:rPr>
      </w:pPr>
      <w:r w:rsidRPr="00493039">
        <w:rPr>
          <w:szCs w:val="22"/>
        </w:rPr>
        <w:t>Tlačená písomná informácia pre používateľa lieku musí obsahovať názov a adresu výrobcu zodpovedného za uvoľnenie príslušnej šarže.</w:t>
      </w:r>
    </w:p>
    <w:p w14:paraId="3236876A" w14:textId="77777777" w:rsidR="00493039" w:rsidRPr="00493039" w:rsidRDefault="00493039" w:rsidP="00D4304B">
      <w:pPr>
        <w:widowControl w:val="0"/>
        <w:rPr>
          <w:szCs w:val="22"/>
        </w:rPr>
      </w:pPr>
    </w:p>
    <w:p w14:paraId="3236876B" w14:textId="77777777" w:rsidR="00F72C2E" w:rsidRPr="00493039" w:rsidRDefault="00F72C2E" w:rsidP="00D4304B">
      <w:pPr>
        <w:widowControl w:val="0"/>
        <w:rPr>
          <w:szCs w:val="22"/>
        </w:rPr>
      </w:pPr>
    </w:p>
    <w:p w14:paraId="3236876C" w14:textId="77777777" w:rsidR="00F72C2E" w:rsidRPr="00C83045" w:rsidRDefault="00F72C2E" w:rsidP="003E286B">
      <w:pPr>
        <w:keepNext/>
        <w:widowControl w:val="0"/>
        <w:rPr>
          <w:b/>
          <w:color w:val="000000"/>
          <w:szCs w:val="22"/>
        </w:rPr>
      </w:pPr>
      <w:r w:rsidRPr="00C83045">
        <w:rPr>
          <w:b/>
          <w:color w:val="000000"/>
          <w:szCs w:val="22"/>
        </w:rPr>
        <w:t>B.</w:t>
      </w:r>
      <w:r w:rsidRPr="00C83045">
        <w:rPr>
          <w:b/>
          <w:color w:val="000000"/>
          <w:szCs w:val="22"/>
        </w:rPr>
        <w:tab/>
        <w:t>PODMIENKY </w:t>
      </w:r>
      <w:r w:rsidRPr="00C83045">
        <w:rPr>
          <w:b/>
        </w:rPr>
        <w:t>ALEBO OBMEDZENIA TÝKAJÚCE SA VÝDAJA A POUŽITIA</w:t>
      </w:r>
    </w:p>
    <w:p w14:paraId="3236876D" w14:textId="77777777" w:rsidR="00F72C2E" w:rsidRPr="00C83045" w:rsidRDefault="00F72C2E" w:rsidP="003E286B">
      <w:pPr>
        <w:keepNext/>
        <w:widowControl w:val="0"/>
        <w:numPr>
          <w:ilvl w:val="12"/>
          <w:numId w:val="0"/>
        </w:numPr>
        <w:rPr>
          <w:color w:val="000000"/>
          <w:szCs w:val="22"/>
        </w:rPr>
      </w:pPr>
    </w:p>
    <w:p w14:paraId="3236876E" w14:textId="77777777" w:rsidR="00F72C2E" w:rsidRPr="00C83045" w:rsidRDefault="00F72C2E" w:rsidP="00D4304B">
      <w:pPr>
        <w:widowControl w:val="0"/>
        <w:numPr>
          <w:ilvl w:val="12"/>
          <w:numId w:val="0"/>
        </w:numPr>
        <w:rPr>
          <w:color w:val="000000"/>
          <w:szCs w:val="22"/>
        </w:rPr>
      </w:pPr>
      <w:r w:rsidRPr="00C83045">
        <w:rPr>
          <w:color w:val="000000"/>
          <w:szCs w:val="22"/>
        </w:rPr>
        <w:t>Výdaj lieku je viazaný na lekársky predpis s obmedzením predpisovania (pozri Prílohu I: Súhrn charakteristických vlastností lieku, časť 4.2).</w:t>
      </w:r>
    </w:p>
    <w:p w14:paraId="3236876F" w14:textId="77777777" w:rsidR="00F72C2E" w:rsidRPr="00C83045" w:rsidRDefault="00F72C2E" w:rsidP="00D4304B">
      <w:pPr>
        <w:widowControl w:val="0"/>
        <w:rPr>
          <w:color w:val="000000"/>
          <w:szCs w:val="22"/>
        </w:rPr>
      </w:pPr>
    </w:p>
    <w:p w14:paraId="32368770" w14:textId="77777777" w:rsidR="00F72C2E" w:rsidRPr="00C83045" w:rsidRDefault="00F72C2E" w:rsidP="00D4304B">
      <w:pPr>
        <w:widowControl w:val="0"/>
        <w:rPr>
          <w:color w:val="000000"/>
          <w:szCs w:val="22"/>
        </w:rPr>
      </w:pPr>
    </w:p>
    <w:p w14:paraId="32368771" w14:textId="77777777" w:rsidR="00F72C2E" w:rsidRPr="00C83045" w:rsidRDefault="00F72C2E" w:rsidP="003E286B">
      <w:pPr>
        <w:keepNext/>
        <w:widowControl w:val="0"/>
        <w:ind w:right="-1"/>
        <w:rPr>
          <w:b/>
          <w:bCs/>
          <w:noProof/>
          <w:szCs w:val="22"/>
        </w:rPr>
      </w:pPr>
      <w:r w:rsidRPr="00C83045">
        <w:rPr>
          <w:b/>
          <w:bCs/>
          <w:noProof/>
          <w:szCs w:val="22"/>
        </w:rPr>
        <w:t>C.</w:t>
      </w:r>
      <w:r w:rsidRPr="00C83045">
        <w:rPr>
          <w:b/>
          <w:bCs/>
          <w:noProof/>
          <w:szCs w:val="22"/>
        </w:rPr>
        <w:tab/>
      </w:r>
      <w:r w:rsidR="00614FE7" w:rsidRPr="00C83045">
        <w:rPr>
          <w:b/>
        </w:rPr>
        <w:t>ĎALŠIE</w:t>
      </w:r>
      <w:r w:rsidRPr="00C83045">
        <w:rPr>
          <w:b/>
          <w:bCs/>
          <w:noProof/>
          <w:szCs w:val="22"/>
        </w:rPr>
        <w:t xml:space="preserve"> PODMIENKY A POŽIADAVKY REGISTRÁCIE</w:t>
      </w:r>
    </w:p>
    <w:p w14:paraId="32368772" w14:textId="77777777" w:rsidR="00F72C2E" w:rsidRPr="00C83045" w:rsidRDefault="00F72C2E" w:rsidP="003E286B">
      <w:pPr>
        <w:keepNext/>
        <w:widowControl w:val="0"/>
        <w:rPr>
          <w:color w:val="000000"/>
          <w:szCs w:val="22"/>
        </w:rPr>
      </w:pPr>
    </w:p>
    <w:p w14:paraId="32368773" w14:textId="77777777" w:rsidR="000602A3" w:rsidRPr="00C83045" w:rsidRDefault="000602A3" w:rsidP="003E286B">
      <w:pPr>
        <w:keepNext/>
        <w:widowControl w:val="0"/>
        <w:numPr>
          <w:ilvl w:val="0"/>
          <w:numId w:val="28"/>
        </w:numPr>
        <w:tabs>
          <w:tab w:val="left" w:pos="0"/>
        </w:tabs>
        <w:ind w:left="567" w:right="567" w:hanging="567"/>
      </w:pPr>
      <w:r w:rsidRPr="00C83045">
        <w:rPr>
          <w:b/>
        </w:rPr>
        <w:t>Periodicky aktualizované správy o bezpečnosti</w:t>
      </w:r>
    </w:p>
    <w:p w14:paraId="32368774" w14:textId="77777777" w:rsidR="003E286B" w:rsidRDefault="003E286B" w:rsidP="003E286B">
      <w:pPr>
        <w:keepNext/>
        <w:widowControl w:val="0"/>
        <w:tabs>
          <w:tab w:val="left" w:pos="0"/>
        </w:tabs>
        <w:ind w:left="0" w:right="567" w:firstLine="0"/>
      </w:pPr>
    </w:p>
    <w:p w14:paraId="32368775" w14:textId="77777777" w:rsidR="000602A3" w:rsidRPr="00C83045" w:rsidRDefault="00B1589F" w:rsidP="00D4304B">
      <w:pPr>
        <w:widowControl w:val="0"/>
        <w:tabs>
          <w:tab w:val="left" w:pos="0"/>
        </w:tabs>
        <w:ind w:left="0" w:right="567" w:firstLine="0"/>
      </w:pPr>
      <w:r w:rsidRPr="00BF5AB0">
        <w:t>Požiadavky na predloženie periodicky aktualizovaných správ o</w:t>
      </w:r>
      <w:r>
        <w:t> </w:t>
      </w:r>
      <w:r w:rsidRPr="00BF5AB0">
        <w:t>bezpečnosti tohto lieku sú stanovené v</w:t>
      </w:r>
      <w:r>
        <w:t> </w:t>
      </w:r>
      <w:r w:rsidRPr="00BF5AB0">
        <w:t>zozname referenčných dátumov Únie (zoznam EURD) v</w:t>
      </w:r>
      <w:r>
        <w:t> </w:t>
      </w:r>
      <w:r w:rsidRPr="00BF5AB0">
        <w:t>súlade s</w:t>
      </w:r>
      <w:r>
        <w:t> </w:t>
      </w:r>
      <w:r w:rsidRPr="00BF5AB0">
        <w:t>článkom 107c ods. 7 s</w:t>
      </w:r>
      <w:r w:rsidRPr="00891D76">
        <w:t>mernice 2001/83/ES a</w:t>
      </w:r>
      <w:r>
        <w:t> </w:t>
      </w:r>
      <w:r w:rsidRPr="00BF5AB0">
        <w:t>všetkých následných aktualizácií uverejnených na európskom internetovom portáli pre lieky</w:t>
      </w:r>
      <w:r w:rsidR="000602A3" w:rsidRPr="00C83045">
        <w:t>.</w:t>
      </w:r>
    </w:p>
    <w:p w14:paraId="32368776" w14:textId="77777777" w:rsidR="00A35F08" w:rsidRPr="00C83045" w:rsidRDefault="00A35F08" w:rsidP="00D4304B">
      <w:pPr>
        <w:widowControl w:val="0"/>
        <w:ind w:left="0" w:firstLine="0"/>
        <w:rPr>
          <w:color w:val="000000"/>
          <w:szCs w:val="22"/>
        </w:rPr>
      </w:pPr>
    </w:p>
    <w:p w14:paraId="32368777" w14:textId="77777777" w:rsidR="00A35F08" w:rsidRPr="00C83045" w:rsidRDefault="00A35F08" w:rsidP="00D4304B">
      <w:pPr>
        <w:widowControl w:val="0"/>
        <w:ind w:left="0" w:firstLine="0"/>
        <w:rPr>
          <w:color w:val="000000"/>
          <w:szCs w:val="22"/>
        </w:rPr>
      </w:pPr>
    </w:p>
    <w:p w14:paraId="32368778" w14:textId="77777777" w:rsidR="00A35F08" w:rsidRPr="00C83045" w:rsidRDefault="00A35F08" w:rsidP="003E286B">
      <w:pPr>
        <w:keepNext/>
        <w:widowControl w:val="0"/>
      </w:pPr>
      <w:r w:rsidRPr="00C83045">
        <w:rPr>
          <w:b/>
        </w:rPr>
        <w:t>D.</w:t>
      </w:r>
      <w:r w:rsidRPr="00C83045">
        <w:rPr>
          <w:b/>
        </w:rPr>
        <w:tab/>
        <w:t>PODMIENKY ALEBO OBMEDZENIA TÝKAJÚCE SA BEZPEČNÉHO A ÚČINNÉHO POUŽÍVANIA LIEKU</w:t>
      </w:r>
    </w:p>
    <w:p w14:paraId="32368779" w14:textId="77777777" w:rsidR="00A35F08" w:rsidRPr="00C83045" w:rsidRDefault="00A35F08" w:rsidP="003E286B">
      <w:pPr>
        <w:keepNext/>
        <w:widowControl w:val="0"/>
        <w:ind w:right="-1"/>
        <w:rPr>
          <w:noProof/>
        </w:rPr>
      </w:pPr>
    </w:p>
    <w:p w14:paraId="3236877A" w14:textId="0121146C" w:rsidR="00A35F08" w:rsidRPr="00583DD0" w:rsidRDefault="00A35F08" w:rsidP="003E286B">
      <w:pPr>
        <w:keepNext/>
        <w:widowControl w:val="0"/>
        <w:numPr>
          <w:ilvl w:val="0"/>
          <w:numId w:val="29"/>
        </w:numPr>
        <w:tabs>
          <w:tab w:val="left" w:pos="567"/>
        </w:tabs>
        <w:ind w:right="-1" w:hanging="720"/>
        <w:rPr>
          <w:b/>
        </w:rPr>
      </w:pPr>
      <w:r w:rsidRPr="00C83045">
        <w:rPr>
          <w:b/>
        </w:rPr>
        <w:t xml:space="preserve">Plán </w:t>
      </w:r>
      <w:r w:rsidRPr="00583DD0">
        <w:rPr>
          <w:b/>
        </w:rPr>
        <w:t>riadenia rizík (RMP)</w:t>
      </w:r>
    </w:p>
    <w:p w14:paraId="3236877B" w14:textId="77777777" w:rsidR="003E286B" w:rsidRPr="00583DD0" w:rsidRDefault="003E286B" w:rsidP="003E286B">
      <w:pPr>
        <w:keepNext/>
        <w:widowControl w:val="0"/>
        <w:tabs>
          <w:tab w:val="left" w:pos="0"/>
        </w:tabs>
        <w:ind w:left="0" w:right="567" w:firstLine="0"/>
      </w:pPr>
    </w:p>
    <w:p w14:paraId="3236877C" w14:textId="77777777" w:rsidR="00A35F08" w:rsidRPr="00C83045" w:rsidRDefault="00A35F08" w:rsidP="00D4304B">
      <w:pPr>
        <w:widowControl w:val="0"/>
        <w:tabs>
          <w:tab w:val="left" w:pos="0"/>
        </w:tabs>
        <w:ind w:left="0" w:right="567" w:firstLine="0"/>
        <w:rPr>
          <w:noProof/>
        </w:rPr>
      </w:pPr>
      <w:r w:rsidRPr="00583DD0">
        <w:t>Držiteľ rozhodnutia o registrácii vykoná požadované činnosti a zásahy v rámci dohľadu nad</w:t>
      </w:r>
      <w:r w:rsidR="00133107" w:rsidRPr="00583DD0">
        <w:t xml:space="preserve"> </w:t>
      </w:r>
      <w:r w:rsidRPr="00583DD0">
        <w:t xml:space="preserve">liekmi, ktoré sú podrobne opísané v odsúhlasenom </w:t>
      </w:r>
      <w:r w:rsidR="005B2262" w:rsidRPr="00583DD0">
        <w:t>RMP</w:t>
      </w:r>
      <w:r w:rsidRPr="00583DD0">
        <w:t xml:space="preserve"> predloženom v module 1.8.2 registračnej dokumentácie</w:t>
      </w:r>
      <w:r w:rsidRPr="00C83045">
        <w:t xml:space="preserve"> a </w:t>
      </w:r>
      <w:r w:rsidR="00B1589F" w:rsidRPr="00BF5AB0">
        <w:t>vo všetkých ďalších odsúhlasených aktualizáciách RMP</w:t>
      </w:r>
      <w:r w:rsidRPr="00C83045">
        <w:t>.</w:t>
      </w:r>
    </w:p>
    <w:p w14:paraId="3236877D" w14:textId="77777777" w:rsidR="00A35F08" w:rsidRPr="00C83045" w:rsidRDefault="00A35F08" w:rsidP="00D4304B">
      <w:pPr>
        <w:widowControl w:val="0"/>
        <w:ind w:right="-1"/>
        <w:rPr>
          <w:noProof/>
        </w:rPr>
      </w:pPr>
    </w:p>
    <w:p w14:paraId="3236877E" w14:textId="77777777" w:rsidR="00A35F08" w:rsidRPr="00C83045" w:rsidRDefault="00A35F08" w:rsidP="003E286B">
      <w:pPr>
        <w:keepNext/>
        <w:widowControl w:val="0"/>
        <w:ind w:right="-1"/>
        <w:rPr>
          <w:i/>
          <w:noProof/>
        </w:rPr>
      </w:pPr>
      <w:r w:rsidRPr="00C83045">
        <w:t xml:space="preserve">Aktualizovaný </w:t>
      </w:r>
      <w:r w:rsidR="005B2262" w:rsidRPr="00C83045">
        <w:t>RMP</w:t>
      </w:r>
      <w:r w:rsidRPr="00C83045">
        <w:t xml:space="preserve"> je potrebné predložiť:</w:t>
      </w:r>
    </w:p>
    <w:p w14:paraId="3236877F" w14:textId="77777777" w:rsidR="00A35F08" w:rsidRPr="00C83045" w:rsidRDefault="00A35F08" w:rsidP="00D4304B">
      <w:pPr>
        <w:widowControl w:val="0"/>
        <w:numPr>
          <w:ilvl w:val="0"/>
          <w:numId w:val="12"/>
        </w:numPr>
        <w:tabs>
          <w:tab w:val="clear" w:pos="720"/>
          <w:tab w:val="left" w:pos="-6804"/>
        </w:tabs>
        <w:ind w:left="567" w:right="-1" w:hanging="567"/>
        <w:rPr>
          <w:i/>
          <w:noProof/>
        </w:rPr>
      </w:pPr>
      <w:r w:rsidRPr="00C83045">
        <w:t>na žiadosť Európskej agentúry pre lieky,</w:t>
      </w:r>
    </w:p>
    <w:p w14:paraId="32368780" w14:textId="77777777" w:rsidR="00A35F08" w:rsidRPr="00C83045" w:rsidRDefault="00A35F08" w:rsidP="00D4304B">
      <w:pPr>
        <w:widowControl w:val="0"/>
        <w:numPr>
          <w:ilvl w:val="0"/>
          <w:numId w:val="12"/>
        </w:numPr>
        <w:tabs>
          <w:tab w:val="clear" w:pos="720"/>
          <w:tab w:val="left" w:pos="-6804"/>
        </w:tabs>
        <w:ind w:left="567" w:right="-1" w:hanging="567"/>
        <w:rPr>
          <w:i/>
          <w:noProof/>
        </w:rPr>
      </w:pPr>
      <w:r w:rsidRPr="00C83045">
        <w:t>vždy v prípade zmeny systému riadenia rizík, predovšetkým v dôsledku získania nových informácií, ktoré môžu viesť k výraznej zmene pomeru prínosu a rizika, alebo v dôsledku dosiahnutia dôležitého medzníka (v rámci dohľadu nad liekmi alebo minimalizácie rizika).</w:t>
      </w:r>
    </w:p>
    <w:p w14:paraId="32368781" w14:textId="77777777" w:rsidR="00BE7629" w:rsidRPr="00C83045" w:rsidRDefault="00BE7629" w:rsidP="00D4304B">
      <w:pPr>
        <w:widowControl w:val="0"/>
        <w:ind w:left="0" w:firstLine="0"/>
        <w:rPr>
          <w:color w:val="000000"/>
          <w:szCs w:val="22"/>
        </w:rPr>
      </w:pPr>
    </w:p>
    <w:p w14:paraId="32368782" w14:textId="77777777" w:rsidR="00BE7629" w:rsidRPr="00C83045" w:rsidRDefault="00BE7629" w:rsidP="003E286B">
      <w:pPr>
        <w:keepNext/>
        <w:keepLines/>
        <w:widowControl w:val="0"/>
        <w:numPr>
          <w:ilvl w:val="0"/>
          <w:numId w:val="29"/>
        </w:numPr>
        <w:tabs>
          <w:tab w:val="clear" w:pos="720"/>
        </w:tabs>
        <w:ind w:left="567" w:hanging="567"/>
        <w:rPr>
          <w:b/>
          <w:bCs/>
        </w:rPr>
      </w:pPr>
      <w:r w:rsidRPr="00C83045">
        <w:rPr>
          <w:b/>
        </w:rPr>
        <w:lastRenderedPageBreak/>
        <w:t>Povinnosť vykonať postregistračné opatrenia</w:t>
      </w:r>
    </w:p>
    <w:p w14:paraId="32368783" w14:textId="77777777" w:rsidR="00BE7629" w:rsidRPr="00493039" w:rsidRDefault="00BE7629" w:rsidP="003E286B">
      <w:pPr>
        <w:pStyle w:val="NormalAgency"/>
        <w:keepNext/>
        <w:keepLines/>
        <w:widowControl w:val="0"/>
        <w:rPr>
          <w:rFonts w:ascii="Times New Roman" w:hAnsi="Times New Roman"/>
          <w:bCs/>
          <w:iCs/>
          <w:sz w:val="22"/>
          <w:szCs w:val="22"/>
          <w:lang w:val="en-GB"/>
        </w:rPr>
      </w:pPr>
    </w:p>
    <w:p w14:paraId="32368784" w14:textId="77777777" w:rsidR="00BE7629" w:rsidRPr="00C83045" w:rsidRDefault="00BE7629" w:rsidP="003E286B">
      <w:pPr>
        <w:keepNext/>
        <w:keepLines/>
        <w:widowControl w:val="0"/>
      </w:pPr>
      <w:r w:rsidRPr="00C83045">
        <w:t>Držiteľ rozhodnutia o registrácii do určeného termínu vykoná tieto opatrenia:</w:t>
      </w:r>
    </w:p>
    <w:p w14:paraId="32368785" w14:textId="77777777" w:rsidR="00BE7629" w:rsidRPr="00C83045" w:rsidRDefault="00BE7629" w:rsidP="003E286B">
      <w:pPr>
        <w:keepNext/>
        <w:keepLines/>
        <w:widowControl w:val="0"/>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25"/>
        <w:gridCol w:w="1455"/>
      </w:tblGrid>
      <w:tr w:rsidR="00BE7629" w:rsidRPr="00C83045" w14:paraId="32368788" w14:textId="77777777" w:rsidTr="003E286B">
        <w:trPr>
          <w:cantSplit/>
        </w:trPr>
        <w:tc>
          <w:tcPr>
            <w:tcW w:w="4181" w:type="pct"/>
            <w:tcMar>
              <w:top w:w="0" w:type="dxa"/>
              <w:left w:w="108" w:type="dxa"/>
              <w:bottom w:w="0" w:type="dxa"/>
              <w:right w:w="108" w:type="dxa"/>
            </w:tcMar>
            <w:hideMark/>
          </w:tcPr>
          <w:p w14:paraId="32368786" w14:textId="77777777" w:rsidR="00BE7629" w:rsidRPr="00C83045" w:rsidRDefault="00BE7629" w:rsidP="003E286B">
            <w:pPr>
              <w:keepNext/>
              <w:keepLines/>
              <w:widowControl w:val="0"/>
              <w:ind w:right="-1"/>
              <w:rPr>
                <w:rFonts w:eastAsia="Calibri"/>
                <w:b/>
                <w:bCs/>
                <w:szCs w:val="22"/>
              </w:rPr>
            </w:pPr>
            <w:r w:rsidRPr="00C83045">
              <w:rPr>
                <w:b/>
              </w:rPr>
              <w:t>Popis</w:t>
            </w:r>
          </w:p>
        </w:tc>
        <w:tc>
          <w:tcPr>
            <w:tcW w:w="819" w:type="pct"/>
            <w:tcMar>
              <w:top w:w="0" w:type="dxa"/>
              <w:left w:w="108" w:type="dxa"/>
              <w:bottom w:w="0" w:type="dxa"/>
              <w:right w:w="108" w:type="dxa"/>
            </w:tcMar>
            <w:hideMark/>
          </w:tcPr>
          <w:p w14:paraId="32368787" w14:textId="77777777" w:rsidR="00BE7629" w:rsidRPr="00C83045" w:rsidRDefault="00BE7629" w:rsidP="003E286B">
            <w:pPr>
              <w:keepNext/>
              <w:keepLines/>
              <w:widowControl w:val="0"/>
              <w:ind w:left="0" w:right="-1" w:firstLine="0"/>
              <w:rPr>
                <w:rFonts w:eastAsia="Calibri"/>
                <w:b/>
                <w:bCs/>
                <w:szCs w:val="22"/>
              </w:rPr>
            </w:pPr>
            <w:r w:rsidRPr="00C83045">
              <w:rPr>
                <w:b/>
              </w:rPr>
              <w:t>Termín vykonania</w:t>
            </w:r>
          </w:p>
        </w:tc>
      </w:tr>
      <w:tr w:rsidR="00BE7629" w:rsidRPr="00C83045" w14:paraId="3236878B" w14:textId="77777777" w:rsidTr="003E286B">
        <w:trPr>
          <w:cantSplit/>
        </w:trPr>
        <w:tc>
          <w:tcPr>
            <w:tcW w:w="4181" w:type="pct"/>
            <w:tcMar>
              <w:top w:w="0" w:type="dxa"/>
              <w:left w:w="108" w:type="dxa"/>
              <w:bottom w:w="0" w:type="dxa"/>
              <w:right w:w="108" w:type="dxa"/>
            </w:tcMar>
            <w:hideMark/>
          </w:tcPr>
          <w:p w14:paraId="32368789" w14:textId="77777777" w:rsidR="00BE7629" w:rsidRPr="00C83045" w:rsidRDefault="006134D3" w:rsidP="003E286B">
            <w:pPr>
              <w:keepNext/>
              <w:keepLines/>
              <w:widowControl w:val="0"/>
              <w:ind w:left="0" w:right="-1" w:firstLine="0"/>
              <w:rPr>
                <w:rFonts w:eastAsia="Calibri"/>
                <w:szCs w:val="22"/>
              </w:rPr>
            </w:pPr>
            <w:r w:rsidRPr="00C83045">
              <w:t xml:space="preserve">Vytvoriť pozorovací register pediatrických pacientov s novodiagnostikovanou </w:t>
            </w:r>
            <w:r w:rsidRPr="00C83045">
              <w:rPr>
                <w:color w:val="000000"/>
                <w:szCs w:val="22"/>
              </w:rPr>
              <w:t>akútnou lymfoblastickou leukémiou s pozitívnym chromozómom Philadelphia</w:t>
            </w:r>
            <w:r w:rsidR="00F856AB" w:rsidRPr="00C83045">
              <w:rPr>
                <w:color w:val="000000"/>
                <w:szCs w:val="22"/>
              </w:rPr>
              <w:t xml:space="preserve"> </w:t>
            </w:r>
            <w:r w:rsidR="00BE7629" w:rsidRPr="00C83045">
              <w:t xml:space="preserve">(ALL) </w:t>
            </w:r>
            <w:r w:rsidR="00F856AB" w:rsidRPr="00C83045">
              <w:t xml:space="preserve">liečených </w:t>
            </w:r>
            <w:r w:rsidR="00BE7629" w:rsidRPr="00C83045">
              <w:t>chemoterap</w:t>
            </w:r>
            <w:r w:rsidR="00F856AB" w:rsidRPr="00C83045">
              <w:t>iou</w:t>
            </w:r>
            <w:r w:rsidR="0085146E" w:rsidRPr="00C83045">
              <w:t xml:space="preserve">, </w:t>
            </w:r>
            <w:r w:rsidR="00BE7629" w:rsidRPr="00C83045">
              <w:t>imatinib</w:t>
            </w:r>
            <w:r w:rsidR="00F856AB" w:rsidRPr="00C83045">
              <w:t xml:space="preserve">om a transplantáciou krvotvorných </w:t>
            </w:r>
            <w:r w:rsidR="0085146E" w:rsidRPr="00C83045">
              <w:t>b</w:t>
            </w:r>
            <w:r w:rsidR="00F856AB" w:rsidRPr="00C83045">
              <w:t>uniek (</w:t>
            </w:r>
            <w:r w:rsidR="00BE7629" w:rsidRPr="00C83045">
              <w:t>HSCT</w:t>
            </w:r>
            <w:r w:rsidR="00F856AB" w:rsidRPr="00C83045">
              <w:t>)</w:t>
            </w:r>
            <w:r w:rsidRPr="00C83045">
              <w:t xml:space="preserve"> za</w:t>
            </w:r>
            <w:r w:rsidR="00F856AB" w:rsidRPr="00C83045">
              <w:t xml:space="preserve"> </w:t>
            </w:r>
            <w:r w:rsidRPr="00C83045">
              <w:t>účelom zberu dát o účinnosti a bezpečnosti</w:t>
            </w:r>
            <w:r w:rsidR="00BE7629" w:rsidRPr="00C83045">
              <w:t>.</w:t>
            </w:r>
            <w:r w:rsidR="0085146E" w:rsidRPr="00C83045">
              <w:t xml:space="preserve"> </w:t>
            </w:r>
            <w:r w:rsidR="00F856AB" w:rsidRPr="00C83045">
              <w:t>P</w:t>
            </w:r>
            <w:r w:rsidR="00BE7629" w:rsidRPr="00C83045">
              <w:t>redloženie záverečnej správy z</w:t>
            </w:r>
            <w:r w:rsidR="00F856AB" w:rsidRPr="00C83045">
              <w:t> </w:t>
            </w:r>
            <w:r w:rsidR="00BE7629" w:rsidRPr="00C83045">
              <w:t>klinického</w:t>
            </w:r>
            <w:r w:rsidR="00F856AB" w:rsidRPr="00C83045">
              <w:t xml:space="preserve"> </w:t>
            </w:r>
            <w:r w:rsidR="00BE7629" w:rsidRPr="00C83045">
              <w:t>skúšania.</w:t>
            </w:r>
          </w:p>
        </w:tc>
        <w:tc>
          <w:tcPr>
            <w:tcW w:w="819" w:type="pct"/>
            <w:tcMar>
              <w:top w:w="0" w:type="dxa"/>
              <w:left w:w="108" w:type="dxa"/>
              <w:bottom w:w="0" w:type="dxa"/>
              <w:right w:w="108" w:type="dxa"/>
            </w:tcMar>
            <w:hideMark/>
          </w:tcPr>
          <w:p w14:paraId="3236878A" w14:textId="04FC01BE" w:rsidR="00BE7629" w:rsidRPr="00C83045" w:rsidRDefault="0009224C" w:rsidP="0009224C">
            <w:pPr>
              <w:keepNext/>
              <w:keepLines/>
              <w:widowControl w:val="0"/>
              <w:ind w:right="-1"/>
              <w:rPr>
                <w:rFonts w:eastAsia="Calibri"/>
                <w:szCs w:val="22"/>
              </w:rPr>
            </w:pPr>
            <w:r>
              <w:t>2</w:t>
            </w:r>
            <w:r w:rsidR="0082567B">
              <w:t>3/06/202</w:t>
            </w:r>
            <w:r w:rsidR="0003514B">
              <w:t>3</w:t>
            </w:r>
          </w:p>
        </w:tc>
      </w:tr>
    </w:tbl>
    <w:p w14:paraId="3236878C" w14:textId="77777777" w:rsidR="00F72C2E" w:rsidRPr="00C83045" w:rsidRDefault="00F72C2E" w:rsidP="00D4304B">
      <w:pPr>
        <w:widowControl w:val="0"/>
        <w:ind w:left="0" w:firstLine="0"/>
        <w:rPr>
          <w:color w:val="000000"/>
          <w:szCs w:val="22"/>
        </w:rPr>
      </w:pPr>
      <w:r w:rsidRPr="00C83045">
        <w:rPr>
          <w:color w:val="000000"/>
          <w:szCs w:val="22"/>
        </w:rPr>
        <w:br w:type="page"/>
      </w:r>
    </w:p>
    <w:p w14:paraId="3236878D" w14:textId="77777777" w:rsidR="00F72C2E" w:rsidRPr="00C83045" w:rsidRDefault="00F72C2E" w:rsidP="00D4304B">
      <w:pPr>
        <w:widowControl w:val="0"/>
        <w:rPr>
          <w:color w:val="000000"/>
          <w:szCs w:val="22"/>
        </w:rPr>
      </w:pPr>
    </w:p>
    <w:p w14:paraId="3236878E" w14:textId="77777777" w:rsidR="00F72C2E" w:rsidRPr="00C83045" w:rsidRDefault="00F72C2E" w:rsidP="00D4304B">
      <w:pPr>
        <w:widowControl w:val="0"/>
        <w:rPr>
          <w:color w:val="000000"/>
          <w:szCs w:val="22"/>
        </w:rPr>
      </w:pPr>
    </w:p>
    <w:p w14:paraId="3236878F" w14:textId="77777777" w:rsidR="00F72C2E" w:rsidRPr="00C83045" w:rsidRDefault="00F72C2E" w:rsidP="00D4304B">
      <w:pPr>
        <w:widowControl w:val="0"/>
        <w:rPr>
          <w:color w:val="000000"/>
          <w:szCs w:val="22"/>
        </w:rPr>
      </w:pPr>
    </w:p>
    <w:p w14:paraId="32368790" w14:textId="77777777" w:rsidR="00F72C2E" w:rsidRPr="00C83045" w:rsidRDefault="00F72C2E" w:rsidP="00D4304B">
      <w:pPr>
        <w:widowControl w:val="0"/>
        <w:outlineLvl w:val="0"/>
        <w:rPr>
          <w:color w:val="000000"/>
          <w:szCs w:val="22"/>
        </w:rPr>
      </w:pPr>
    </w:p>
    <w:p w14:paraId="32368791" w14:textId="77777777" w:rsidR="00F72C2E" w:rsidRPr="00C83045" w:rsidRDefault="00F72C2E" w:rsidP="00D4304B">
      <w:pPr>
        <w:widowControl w:val="0"/>
        <w:outlineLvl w:val="0"/>
        <w:rPr>
          <w:color w:val="000000"/>
          <w:szCs w:val="22"/>
        </w:rPr>
      </w:pPr>
    </w:p>
    <w:p w14:paraId="32368792" w14:textId="77777777" w:rsidR="00F72C2E" w:rsidRPr="00C83045" w:rsidRDefault="00F72C2E" w:rsidP="00D4304B">
      <w:pPr>
        <w:widowControl w:val="0"/>
        <w:outlineLvl w:val="0"/>
        <w:rPr>
          <w:color w:val="000000"/>
          <w:szCs w:val="22"/>
        </w:rPr>
      </w:pPr>
    </w:p>
    <w:p w14:paraId="32368793" w14:textId="77777777" w:rsidR="00F72C2E" w:rsidRPr="00C83045" w:rsidRDefault="00F72C2E" w:rsidP="00D4304B">
      <w:pPr>
        <w:widowControl w:val="0"/>
        <w:outlineLvl w:val="0"/>
        <w:rPr>
          <w:color w:val="000000"/>
          <w:szCs w:val="22"/>
        </w:rPr>
      </w:pPr>
    </w:p>
    <w:p w14:paraId="32368794" w14:textId="77777777" w:rsidR="00F72C2E" w:rsidRPr="00C83045" w:rsidRDefault="00F72C2E" w:rsidP="00D4304B">
      <w:pPr>
        <w:widowControl w:val="0"/>
        <w:outlineLvl w:val="0"/>
        <w:rPr>
          <w:color w:val="000000"/>
          <w:szCs w:val="22"/>
        </w:rPr>
      </w:pPr>
    </w:p>
    <w:p w14:paraId="32368795" w14:textId="77777777" w:rsidR="00F72C2E" w:rsidRPr="00C83045" w:rsidRDefault="00F72C2E" w:rsidP="00D4304B">
      <w:pPr>
        <w:widowControl w:val="0"/>
        <w:outlineLvl w:val="0"/>
        <w:rPr>
          <w:color w:val="000000"/>
          <w:szCs w:val="22"/>
        </w:rPr>
      </w:pPr>
    </w:p>
    <w:p w14:paraId="32368796" w14:textId="77777777" w:rsidR="00F72C2E" w:rsidRPr="00C83045" w:rsidRDefault="00F72C2E" w:rsidP="00D4304B">
      <w:pPr>
        <w:widowControl w:val="0"/>
        <w:outlineLvl w:val="0"/>
        <w:rPr>
          <w:color w:val="000000"/>
          <w:szCs w:val="22"/>
        </w:rPr>
      </w:pPr>
    </w:p>
    <w:p w14:paraId="32368797" w14:textId="77777777" w:rsidR="00F72C2E" w:rsidRPr="00C83045" w:rsidRDefault="00F72C2E" w:rsidP="00D4304B">
      <w:pPr>
        <w:widowControl w:val="0"/>
        <w:outlineLvl w:val="0"/>
        <w:rPr>
          <w:color w:val="000000"/>
          <w:szCs w:val="22"/>
        </w:rPr>
      </w:pPr>
    </w:p>
    <w:p w14:paraId="32368798" w14:textId="77777777" w:rsidR="00F72C2E" w:rsidRPr="00C83045" w:rsidRDefault="00F72C2E" w:rsidP="00D4304B">
      <w:pPr>
        <w:widowControl w:val="0"/>
        <w:outlineLvl w:val="0"/>
        <w:rPr>
          <w:color w:val="000000"/>
          <w:szCs w:val="22"/>
        </w:rPr>
      </w:pPr>
    </w:p>
    <w:p w14:paraId="32368799" w14:textId="77777777" w:rsidR="00F72C2E" w:rsidRPr="00C83045" w:rsidRDefault="00F72C2E" w:rsidP="00D4304B">
      <w:pPr>
        <w:widowControl w:val="0"/>
        <w:outlineLvl w:val="0"/>
        <w:rPr>
          <w:color w:val="000000"/>
          <w:szCs w:val="22"/>
        </w:rPr>
      </w:pPr>
    </w:p>
    <w:p w14:paraId="3236879A" w14:textId="77777777" w:rsidR="00F72C2E" w:rsidRDefault="00F72C2E" w:rsidP="00D4304B">
      <w:pPr>
        <w:widowControl w:val="0"/>
        <w:outlineLvl w:val="0"/>
        <w:rPr>
          <w:color w:val="000000"/>
          <w:szCs w:val="22"/>
        </w:rPr>
      </w:pPr>
    </w:p>
    <w:p w14:paraId="3236879B" w14:textId="77777777" w:rsidR="003E286B" w:rsidRPr="00C83045" w:rsidRDefault="003E286B" w:rsidP="00D4304B">
      <w:pPr>
        <w:widowControl w:val="0"/>
        <w:outlineLvl w:val="0"/>
        <w:rPr>
          <w:color w:val="000000"/>
          <w:szCs w:val="22"/>
        </w:rPr>
      </w:pPr>
    </w:p>
    <w:p w14:paraId="3236879C" w14:textId="77777777" w:rsidR="00F72C2E" w:rsidRPr="00C83045" w:rsidRDefault="00F72C2E" w:rsidP="00D4304B">
      <w:pPr>
        <w:widowControl w:val="0"/>
        <w:outlineLvl w:val="0"/>
        <w:rPr>
          <w:color w:val="000000"/>
          <w:szCs w:val="22"/>
        </w:rPr>
      </w:pPr>
    </w:p>
    <w:p w14:paraId="3236879D" w14:textId="77777777" w:rsidR="00F72C2E" w:rsidRPr="00C83045" w:rsidRDefault="00F72C2E" w:rsidP="00D4304B">
      <w:pPr>
        <w:widowControl w:val="0"/>
        <w:outlineLvl w:val="0"/>
        <w:rPr>
          <w:color w:val="000000"/>
          <w:szCs w:val="22"/>
        </w:rPr>
      </w:pPr>
    </w:p>
    <w:p w14:paraId="3236879E" w14:textId="77777777" w:rsidR="00F72C2E" w:rsidRPr="00C83045" w:rsidRDefault="00F72C2E" w:rsidP="00D4304B">
      <w:pPr>
        <w:widowControl w:val="0"/>
        <w:outlineLvl w:val="0"/>
        <w:rPr>
          <w:color w:val="000000"/>
          <w:szCs w:val="22"/>
        </w:rPr>
      </w:pPr>
    </w:p>
    <w:p w14:paraId="3236879F" w14:textId="77777777" w:rsidR="00F72C2E" w:rsidRPr="00C83045" w:rsidRDefault="00F72C2E" w:rsidP="00D4304B">
      <w:pPr>
        <w:widowControl w:val="0"/>
        <w:outlineLvl w:val="0"/>
        <w:rPr>
          <w:color w:val="000000"/>
          <w:szCs w:val="22"/>
        </w:rPr>
      </w:pPr>
    </w:p>
    <w:p w14:paraId="323687A0" w14:textId="77777777" w:rsidR="00F72C2E" w:rsidRPr="00C83045" w:rsidRDefault="00F72C2E" w:rsidP="00D4304B">
      <w:pPr>
        <w:widowControl w:val="0"/>
        <w:outlineLvl w:val="0"/>
        <w:rPr>
          <w:color w:val="000000"/>
          <w:szCs w:val="22"/>
        </w:rPr>
      </w:pPr>
    </w:p>
    <w:p w14:paraId="323687A1" w14:textId="77777777" w:rsidR="00F72C2E" w:rsidRPr="00C83045" w:rsidRDefault="00F72C2E" w:rsidP="00D4304B">
      <w:pPr>
        <w:widowControl w:val="0"/>
        <w:outlineLvl w:val="0"/>
        <w:rPr>
          <w:color w:val="000000"/>
          <w:szCs w:val="22"/>
        </w:rPr>
      </w:pPr>
    </w:p>
    <w:p w14:paraId="323687A2" w14:textId="77777777" w:rsidR="00F72C2E" w:rsidRPr="00C83045" w:rsidRDefault="00F72C2E" w:rsidP="00D4304B">
      <w:pPr>
        <w:widowControl w:val="0"/>
        <w:outlineLvl w:val="0"/>
        <w:rPr>
          <w:color w:val="000000"/>
          <w:szCs w:val="22"/>
        </w:rPr>
      </w:pPr>
    </w:p>
    <w:p w14:paraId="323687A3" w14:textId="77777777" w:rsidR="00F72C2E" w:rsidRPr="00C83045" w:rsidRDefault="00F72C2E" w:rsidP="00D4304B">
      <w:pPr>
        <w:widowControl w:val="0"/>
        <w:ind w:left="0" w:firstLine="0"/>
        <w:outlineLvl w:val="0"/>
        <w:rPr>
          <w:color w:val="000000"/>
          <w:szCs w:val="22"/>
        </w:rPr>
      </w:pPr>
    </w:p>
    <w:p w14:paraId="323687A4" w14:textId="77777777" w:rsidR="00F72C2E" w:rsidRPr="00C83045" w:rsidRDefault="00F72C2E" w:rsidP="00D4304B">
      <w:pPr>
        <w:widowControl w:val="0"/>
        <w:jc w:val="center"/>
        <w:outlineLvl w:val="0"/>
        <w:rPr>
          <w:b/>
          <w:color w:val="000000"/>
          <w:szCs w:val="22"/>
        </w:rPr>
      </w:pPr>
      <w:r w:rsidRPr="00C83045">
        <w:rPr>
          <w:b/>
          <w:color w:val="000000"/>
          <w:szCs w:val="22"/>
        </w:rPr>
        <w:t xml:space="preserve">PRÍLOHA </w:t>
      </w:r>
      <w:smartTag w:uri="urn:schemas-microsoft-com:office:smarttags" w:element="stockticker">
        <w:r w:rsidRPr="00C83045">
          <w:rPr>
            <w:b/>
            <w:color w:val="000000"/>
            <w:szCs w:val="22"/>
          </w:rPr>
          <w:t>III</w:t>
        </w:r>
      </w:smartTag>
    </w:p>
    <w:p w14:paraId="323687A5" w14:textId="77777777" w:rsidR="00F72C2E" w:rsidRPr="00C83045" w:rsidRDefault="00F72C2E" w:rsidP="00D4304B">
      <w:pPr>
        <w:widowControl w:val="0"/>
        <w:jc w:val="center"/>
        <w:rPr>
          <w:color w:val="000000"/>
          <w:szCs w:val="22"/>
        </w:rPr>
      </w:pPr>
    </w:p>
    <w:p w14:paraId="323687A6" w14:textId="77777777" w:rsidR="00F72C2E" w:rsidRPr="00C83045" w:rsidRDefault="00F72C2E" w:rsidP="00D4304B">
      <w:pPr>
        <w:widowControl w:val="0"/>
        <w:ind w:left="0" w:firstLine="0"/>
        <w:jc w:val="center"/>
        <w:rPr>
          <w:b/>
          <w:bCs/>
          <w:color w:val="000000"/>
          <w:szCs w:val="22"/>
        </w:rPr>
      </w:pPr>
      <w:r w:rsidRPr="00C83045">
        <w:rPr>
          <w:b/>
          <w:bCs/>
          <w:color w:val="000000"/>
          <w:szCs w:val="22"/>
        </w:rPr>
        <w:t xml:space="preserve">OZNAČENIE OBALU A PÍSOMNÁ INFORMÁCIA </w:t>
      </w:r>
      <w:smartTag w:uri="urn:schemas-microsoft-com:office:smarttags" w:element="stockticker">
        <w:r w:rsidRPr="00C83045">
          <w:rPr>
            <w:b/>
            <w:bCs/>
            <w:color w:val="000000"/>
            <w:szCs w:val="22"/>
          </w:rPr>
          <w:t>PRE</w:t>
        </w:r>
      </w:smartTag>
      <w:r w:rsidRPr="00C83045">
        <w:rPr>
          <w:b/>
          <w:bCs/>
          <w:color w:val="000000"/>
          <w:szCs w:val="22"/>
        </w:rPr>
        <w:t xml:space="preserve"> POUŽÍVATEĽ</w:t>
      </w:r>
      <w:r w:rsidR="00F675E4" w:rsidRPr="00C83045">
        <w:rPr>
          <w:b/>
          <w:bCs/>
          <w:color w:val="000000"/>
          <w:szCs w:val="22"/>
        </w:rPr>
        <w:t>A</w:t>
      </w:r>
    </w:p>
    <w:p w14:paraId="323687A7" w14:textId="77777777" w:rsidR="00F72C2E" w:rsidRPr="00C83045" w:rsidRDefault="00F72C2E" w:rsidP="00D4304B">
      <w:pPr>
        <w:widowControl w:val="0"/>
        <w:ind w:left="0" w:firstLine="0"/>
        <w:rPr>
          <w:color w:val="000000"/>
          <w:szCs w:val="22"/>
        </w:rPr>
      </w:pPr>
      <w:r w:rsidRPr="00C83045">
        <w:rPr>
          <w:b/>
          <w:bCs/>
          <w:color w:val="000000"/>
          <w:szCs w:val="22"/>
        </w:rPr>
        <w:br w:type="page"/>
      </w:r>
    </w:p>
    <w:p w14:paraId="323687A8" w14:textId="77777777" w:rsidR="00F72C2E" w:rsidRPr="00C83045" w:rsidRDefault="00F72C2E" w:rsidP="00D4304B">
      <w:pPr>
        <w:widowControl w:val="0"/>
        <w:rPr>
          <w:color w:val="000000"/>
          <w:szCs w:val="22"/>
        </w:rPr>
      </w:pPr>
    </w:p>
    <w:p w14:paraId="323687A9" w14:textId="77777777" w:rsidR="00F72C2E" w:rsidRPr="00C83045" w:rsidRDefault="00F72C2E" w:rsidP="00D4304B">
      <w:pPr>
        <w:widowControl w:val="0"/>
        <w:rPr>
          <w:color w:val="000000"/>
          <w:szCs w:val="22"/>
        </w:rPr>
      </w:pPr>
    </w:p>
    <w:p w14:paraId="323687AA" w14:textId="77777777" w:rsidR="00F72C2E" w:rsidRPr="00C83045" w:rsidRDefault="00F72C2E" w:rsidP="00D4304B">
      <w:pPr>
        <w:widowControl w:val="0"/>
        <w:rPr>
          <w:color w:val="000000"/>
          <w:szCs w:val="22"/>
        </w:rPr>
      </w:pPr>
    </w:p>
    <w:p w14:paraId="323687AB" w14:textId="77777777" w:rsidR="00F72C2E" w:rsidRPr="00C83045" w:rsidRDefault="00F72C2E" w:rsidP="00D4304B">
      <w:pPr>
        <w:widowControl w:val="0"/>
        <w:rPr>
          <w:color w:val="000000"/>
          <w:szCs w:val="22"/>
        </w:rPr>
      </w:pPr>
    </w:p>
    <w:p w14:paraId="323687AC" w14:textId="77777777" w:rsidR="00F72C2E" w:rsidRPr="00C83045" w:rsidRDefault="00F72C2E" w:rsidP="00D4304B">
      <w:pPr>
        <w:widowControl w:val="0"/>
        <w:rPr>
          <w:color w:val="000000"/>
          <w:szCs w:val="22"/>
        </w:rPr>
      </w:pPr>
    </w:p>
    <w:p w14:paraId="323687AD" w14:textId="77777777" w:rsidR="00F72C2E" w:rsidRPr="00C83045" w:rsidRDefault="00F72C2E" w:rsidP="00D4304B">
      <w:pPr>
        <w:widowControl w:val="0"/>
        <w:rPr>
          <w:color w:val="000000"/>
          <w:szCs w:val="22"/>
        </w:rPr>
      </w:pPr>
    </w:p>
    <w:p w14:paraId="323687AE" w14:textId="77777777" w:rsidR="00F72C2E" w:rsidRPr="00C83045" w:rsidRDefault="00F72C2E" w:rsidP="00D4304B">
      <w:pPr>
        <w:widowControl w:val="0"/>
        <w:rPr>
          <w:color w:val="000000"/>
          <w:szCs w:val="22"/>
        </w:rPr>
      </w:pPr>
    </w:p>
    <w:p w14:paraId="323687AF" w14:textId="77777777" w:rsidR="00F72C2E" w:rsidRPr="00C83045" w:rsidRDefault="00F72C2E" w:rsidP="00D4304B">
      <w:pPr>
        <w:widowControl w:val="0"/>
        <w:rPr>
          <w:color w:val="000000"/>
          <w:szCs w:val="22"/>
        </w:rPr>
      </w:pPr>
    </w:p>
    <w:p w14:paraId="323687B0" w14:textId="77777777" w:rsidR="00F72C2E" w:rsidRPr="00C83045" w:rsidRDefault="00F72C2E" w:rsidP="00D4304B">
      <w:pPr>
        <w:widowControl w:val="0"/>
        <w:rPr>
          <w:color w:val="000000"/>
          <w:szCs w:val="22"/>
        </w:rPr>
      </w:pPr>
    </w:p>
    <w:p w14:paraId="323687B1" w14:textId="77777777" w:rsidR="00F72C2E" w:rsidRPr="00C83045" w:rsidRDefault="00F72C2E" w:rsidP="00D4304B">
      <w:pPr>
        <w:widowControl w:val="0"/>
        <w:rPr>
          <w:color w:val="000000"/>
          <w:szCs w:val="22"/>
        </w:rPr>
      </w:pPr>
    </w:p>
    <w:p w14:paraId="323687B2" w14:textId="77777777" w:rsidR="00F72C2E" w:rsidRPr="00C83045" w:rsidRDefault="00F72C2E" w:rsidP="00D4304B">
      <w:pPr>
        <w:widowControl w:val="0"/>
        <w:rPr>
          <w:color w:val="000000"/>
          <w:szCs w:val="22"/>
        </w:rPr>
      </w:pPr>
    </w:p>
    <w:p w14:paraId="323687B3" w14:textId="77777777" w:rsidR="00F72C2E" w:rsidRPr="00C83045" w:rsidRDefault="00F72C2E" w:rsidP="00D4304B">
      <w:pPr>
        <w:widowControl w:val="0"/>
        <w:rPr>
          <w:color w:val="000000"/>
          <w:szCs w:val="22"/>
        </w:rPr>
      </w:pPr>
    </w:p>
    <w:p w14:paraId="323687B4" w14:textId="77777777" w:rsidR="00F72C2E" w:rsidRPr="00C83045" w:rsidRDefault="00F72C2E" w:rsidP="00D4304B">
      <w:pPr>
        <w:widowControl w:val="0"/>
        <w:rPr>
          <w:color w:val="000000"/>
          <w:szCs w:val="22"/>
        </w:rPr>
      </w:pPr>
    </w:p>
    <w:p w14:paraId="323687B5" w14:textId="77777777" w:rsidR="00F72C2E" w:rsidRPr="00C83045" w:rsidRDefault="00F72C2E" w:rsidP="00D4304B">
      <w:pPr>
        <w:widowControl w:val="0"/>
        <w:rPr>
          <w:color w:val="000000"/>
          <w:szCs w:val="22"/>
        </w:rPr>
      </w:pPr>
    </w:p>
    <w:p w14:paraId="323687B6" w14:textId="77777777" w:rsidR="00F72C2E" w:rsidRPr="00C83045" w:rsidRDefault="00F72C2E" w:rsidP="00D4304B">
      <w:pPr>
        <w:widowControl w:val="0"/>
        <w:rPr>
          <w:color w:val="000000"/>
          <w:szCs w:val="22"/>
        </w:rPr>
      </w:pPr>
    </w:p>
    <w:p w14:paraId="323687B7" w14:textId="77777777" w:rsidR="00F72C2E" w:rsidRPr="00C83045" w:rsidRDefault="00F72C2E" w:rsidP="00D4304B">
      <w:pPr>
        <w:widowControl w:val="0"/>
        <w:rPr>
          <w:color w:val="000000"/>
          <w:szCs w:val="22"/>
        </w:rPr>
      </w:pPr>
    </w:p>
    <w:p w14:paraId="323687B8" w14:textId="77777777" w:rsidR="00F72C2E" w:rsidRPr="00C83045" w:rsidRDefault="00F72C2E" w:rsidP="00D4304B">
      <w:pPr>
        <w:widowControl w:val="0"/>
        <w:rPr>
          <w:color w:val="000000"/>
          <w:szCs w:val="22"/>
        </w:rPr>
      </w:pPr>
    </w:p>
    <w:p w14:paraId="323687B9" w14:textId="77777777" w:rsidR="00F72C2E" w:rsidRPr="00C83045" w:rsidRDefault="00F72C2E" w:rsidP="00D4304B">
      <w:pPr>
        <w:widowControl w:val="0"/>
        <w:rPr>
          <w:color w:val="000000"/>
          <w:szCs w:val="22"/>
        </w:rPr>
      </w:pPr>
    </w:p>
    <w:p w14:paraId="323687BA" w14:textId="77777777" w:rsidR="00F72C2E" w:rsidRPr="00C83045" w:rsidRDefault="00F72C2E" w:rsidP="00D4304B">
      <w:pPr>
        <w:widowControl w:val="0"/>
        <w:rPr>
          <w:color w:val="000000"/>
          <w:szCs w:val="22"/>
        </w:rPr>
      </w:pPr>
    </w:p>
    <w:p w14:paraId="323687BB" w14:textId="77777777" w:rsidR="00F72C2E" w:rsidRPr="00C83045" w:rsidRDefault="00F72C2E" w:rsidP="00D4304B">
      <w:pPr>
        <w:widowControl w:val="0"/>
        <w:rPr>
          <w:color w:val="000000"/>
          <w:szCs w:val="22"/>
        </w:rPr>
      </w:pPr>
    </w:p>
    <w:p w14:paraId="323687BC" w14:textId="77777777" w:rsidR="00F72C2E" w:rsidRPr="00C83045" w:rsidRDefault="00F72C2E" w:rsidP="00D4304B">
      <w:pPr>
        <w:widowControl w:val="0"/>
        <w:rPr>
          <w:color w:val="000000"/>
          <w:szCs w:val="22"/>
        </w:rPr>
      </w:pPr>
    </w:p>
    <w:p w14:paraId="323687BD" w14:textId="77777777" w:rsidR="00F72C2E" w:rsidRDefault="00F72C2E" w:rsidP="00D4304B">
      <w:pPr>
        <w:widowControl w:val="0"/>
        <w:rPr>
          <w:color w:val="000000"/>
          <w:szCs w:val="22"/>
        </w:rPr>
      </w:pPr>
    </w:p>
    <w:p w14:paraId="323687BE" w14:textId="77777777" w:rsidR="003E286B" w:rsidRPr="00C83045" w:rsidRDefault="003E286B" w:rsidP="00D4304B">
      <w:pPr>
        <w:widowControl w:val="0"/>
        <w:rPr>
          <w:color w:val="000000"/>
          <w:szCs w:val="22"/>
        </w:rPr>
      </w:pPr>
    </w:p>
    <w:p w14:paraId="323687BF" w14:textId="77777777" w:rsidR="00F72C2E" w:rsidRPr="00C83045" w:rsidRDefault="00F72C2E" w:rsidP="00D4304B">
      <w:pPr>
        <w:widowControl w:val="0"/>
        <w:jc w:val="center"/>
        <w:outlineLvl w:val="0"/>
        <w:rPr>
          <w:color w:val="000000"/>
          <w:szCs w:val="22"/>
        </w:rPr>
      </w:pPr>
      <w:r w:rsidRPr="00C83045">
        <w:rPr>
          <w:b/>
          <w:color w:val="000000"/>
          <w:szCs w:val="22"/>
        </w:rPr>
        <w:t>A. OZNAČENIE OBALU</w:t>
      </w:r>
    </w:p>
    <w:p w14:paraId="323687C0" w14:textId="77777777" w:rsidR="00F72C2E" w:rsidRPr="00C83045" w:rsidRDefault="00F72C2E" w:rsidP="00D4304B">
      <w:pPr>
        <w:widowControl w:val="0"/>
        <w:rPr>
          <w:color w:val="000000"/>
          <w:szCs w:val="22"/>
        </w:rPr>
      </w:pPr>
      <w:r w:rsidRPr="00C83045">
        <w:rPr>
          <w:color w:val="000000"/>
          <w:szCs w:val="22"/>
        </w:rPr>
        <w:br w:type="page"/>
      </w:r>
    </w:p>
    <w:p w14:paraId="3236883D" w14:textId="77777777" w:rsidR="003E286B" w:rsidRPr="003E286B" w:rsidRDefault="003E286B" w:rsidP="003E286B">
      <w:pPr>
        <w:widowControl w:val="0"/>
        <w:rPr>
          <w:color w:val="000000"/>
          <w:szCs w:val="22"/>
        </w:rPr>
      </w:pPr>
    </w:p>
    <w:p w14:paraId="3236883E"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83045">
        <w:rPr>
          <w:b/>
          <w:color w:val="000000"/>
          <w:szCs w:val="22"/>
        </w:rPr>
        <w:t>ÚDAJE, KTORÉ MAJÚ BYŤ UVEDENÉ NA VONKAJŠOM OBALE</w:t>
      </w:r>
    </w:p>
    <w:p w14:paraId="3236883F"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color w:val="000000"/>
          <w:szCs w:val="22"/>
        </w:rPr>
      </w:pPr>
    </w:p>
    <w:p w14:paraId="32368840"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83045">
        <w:rPr>
          <w:b/>
          <w:color w:val="000000"/>
          <w:szCs w:val="22"/>
        </w:rPr>
        <w:t>PAPIEROVÁ ŠKATUĽA</w:t>
      </w:r>
    </w:p>
    <w:p w14:paraId="32368841" w14:textId="77777777" w:rsidR="00F72C2E" w:rsidRPr="00C83045" w:rsidRDefault="00F72C2E" w:rsidP="00D4304B">
      <w:pPr>
        <w:widowControl w:val="0"/>
        <w:rPr>
          <w:color w:val="000000"/>
          <w:szCs w:val="22"/>
        </w:rPr>
      </w:pPr>
    </w:p>
    <w:p w14:paraId="32368842" w14:textId="77777777" w:rsidR="00F72C2E" w:rsidRPr="00C83045" w:rsidRDefault="00F72C2E" w:rsidP="00D4304B">
      <w:pPr>
        <w:widowControl w:val="0"/>
        <w:rPr>
          <w:color w:val="000000"/>
          <w:szCs w:val="22"/>
        </w:rPr>
      </w:pPr>
    </w:p>
    <w:p w14:paraId="32368843"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w:t>
      </w:r>
      <w:r w:rsidRPr="00C83045">
        <w:rPr>
          <w:b/>
          <w:color w:val="000000"/>
          <w:szCs w:val="22"/>
        </w:rPr>
        <w:tab/>
        <w:t>NÁZOV LIEKU</w:t>
      </w:r>
    </w:p>
    <w:p w14:paraId="32368844" w14:textId="77777777" w:rsidR="00F72C2E" w:rsidRPr="00C83045" w:rsidRDefault="00F72C2E" w:rsidP="00D4304B">
      <w:pPr>
        <w:widowControl w:val="0"/>
        <w:rPr>
          <w:color w:val="000000"/>
          <w:szCs w:val="22"/>
        </w:rPr>
      </w:pPr>
    </w:p>
    <w:p w14:paraId="32368845" w14:textId="77777777" w:rsidR="00F72C2E" w:rsidRPr="00C83045" w:rsidRDefault="00F72C2E" w:rsidP="00D4304B">
      <w:pPr>
        <w:widowControl w:val="0"/>
        <w:rPr>
          <w:color w:val="000000"/>
          <w:szCs w:val="22"/>
        </w:rPr>
      </w:pPr>
      <w:r w:rsidRPr="00C83045">
        <w:rPr>
          <w:color w:val="000000"/>
          <w:szCs w:val="22"/>
        </w:rPr>
        <w:t>Glivec 100 mg tvrdé kapsuly</w:t>
      </w:r>
    </w:p>
    <w:p w14:paraId="32368846" w14:textId="77777777" w:rsidR="00F72C2E" w:rsidRPr="00C83045" w:rsidRDefault="002773F9" w:rsidP="00D4304B">
      <w:pPr>
        <w:widowControl w:val="0"/>
        <w:rPr>
          <w:color w:val="000000"/>
          <w:szCs w:val="22"/>
        </w:rPr>
      </w:pPr>
      <w:r>
        <w:rPr>
          <w:color w:val="000000"/>
          <w:szCs w:val="22"/>
        </w:rPr>
        <w:t>i</w:t>
      </w:r>
      <w:r w:rsidR="00F72C2E" w:rsidRPr="00C83045">
        <w:rPr>
          <w:color w:val="000000"/>
          <w:szCs w:val="22"/>
        </w:rPr>
        <w:t>matinib</w:t>
      </w:r>
    </w:p>
    <w:p w14:paraId="32368847" w14:textId="77777777" w:rsidR="00F72C2E" w:rsidRPr="00C83045" w:rsidRDefault="00F72C2E" w:rsidP="00D4304B">
      <w:pPr>
        <w:widowControl w:val="0"/>
        <w:rPr>
          <w:color w:val="000000"/>
          <w:szCs w:val="22"/>
        </w:rPr>
      </w:pPr>
    </w:p>
    <w:p w14:paraId="32368848" w14:textId="77777777" w:rsidR="00F72C2E" w:rsidRPr="00C83045" w:rsidRDefault="00F72C2E" w:rsidP="00D4304B">
      <w:pPr>
        <w:widowControl w:val="0"/>
        <w:rPr>
          <w:color w:val="000000"/>
          <w:szCs w:val="22"/>
        </w:rPr>
      </w:pPr>
    </w:p>
    <w:p w14:paraId="32368849"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2.</w:t>
      </w:r>
      <w:r w:rsidRPr="00C83045">
        <w:rPr>
          <w:b/>
          <w:color w:val="000000"/>
          <w:szCs w:val="22"/>
        </w:rPr>
        <w:tab/>
        <w:t>LIEČIVO</w:t>
      </w:r>
      <w:r w:rsidR="00760E8E" w:rsidRPr="00C83045">
        <w:rPr>
          <w:b/>
          <w:color w:val="000000"/>
          <w:szCs w:val="22"/>
        </w:rPr>
        <w:t>(LIEČIVÁ)</w:t>
      </w:r>
    </w:p>
    <w:p w14:paraId="3236884A" w14:textId="77777777" w:rsidR="00F72C2E" w:rsidRPr="00C83045" w:rsidRDefault="00F72C2E" w:rsidP="00D4304B">
      <w:pPr>
        <w:widowControl w:val="0"/>
        <w:rPr>
          <w:color w:val="000000"/>
          <w:szCs w:val="22"/>
        </w:rPr>
      </w:pPr>
    </w:p>
    <w:p w14:paraId="3236884B" w14:textId="77777777" w:rsidR="00F72C2E" w:rsidRPr="00C83045" w:rsidRDefault="00F72C2E" w:rsidP="00D4304B">
      <w:pPr>
        <w:widowControl w:val="0"/>
        <w:rPr>
          <w:color w:val="000000"/>
          <w:szCs w:val="22"/>
        </w:rPr>
      </w:pPr>
      <w:r w:rsidRPr="00C83045">
        <w:rPr>
          <w:color w:val="000000"/>
          <w:szCs w:val="22"/>
        </w:rPr>
        <w:t>Každá kapsula obsahuje 100 mg imatinibu (ako mesilátu).</w:t>
      </w:r>
    </w:p>
    <w:p w14:paraId="3236884C" w14:textId="77777777" w:rsidR="00F72C2E" w:rsidRPr="00C83045" w:rsidRDefault="00F72C2E" w:rsidP="00D4304B">
      <w:pPr>
        <w:widowControl w:val="0"/>
        <w:rPr>
          <w:color w:val="000000"/>
          <w:szCs w:val="22"/>
        </w:rPr>
      </w:pPr>
    </w:p>
    <w:p w14:paraId="3236884D" w14:textId="77777777" w:rsidR="00F72C2E" w:rsidRPr="00C83045" w:rsidRDefault="00F72C2E" w:rsidP="00D4304B">
      <w:pPr>
        <w:widowControl w:val="0"/>
        <w:rPr>
          <w:color w:val="000000"/>
          <w:szCs w:val="22"/>
        </w:rPr>
      </w:pPr>
    </w:p>
    <w:p w14:paraId="3236884E"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3.</w:t>
      </w:r>
      <w:r w:rsidRPr="00C83045">
        <w:rPr>
          <w:b/>
          <w:color w:val="000000"/>
          <w:szCs w:val="22"/>
        </w:rPr>
        <w:tab/>
        <w:t>ZOZNAM POMOCNÝCH LÁTOK</w:t>
      </w:r>
    </w:p>
    <w:p w14:paraId="3236884F" w14:textId="77777777" w:rsidR="00F72C2E" w:rsidRPr="00C83045" w:rsidRDefault="00F72C2E" w:rsidP="00D4304B">
      <w:pPr>
        <w:widowControl w:val="0"/>
        <w:rPr>
          <w:color w:val="000000"/>
          <w:szCs w:val="22"/>
        </w:rPr>
      </w:pPr>
    </w:p>
    <w:p w14:paraId="32368850" w14:textId="77777777" w:rsidR="00F72C2E" w:rsidRPr="00C83045" w:rsidRDefault="00F72C2E" w:rsidP="00D4304B">
      <w:pPr>
        <w:widowControl w:val="0"/>
        <w:rPr>
          <w:color w:val="000000"/>
          <w:szCs w:val="22"/>
        </w:rPr>
      </w:pPr>
    </w:p>
    <w:p w14:paraId="32368851"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4.</w:t>
      </w:r>
      <w:r w:rsidRPr="00C83045">
        <w:rPr>
          <w:b/>
          <w:color w:val="000000"/>
          <w:szCs w:val="22"/>
        </w:rPr>
        <w:tab/>
        <w:t>LIEKOVÁ FORMA A OBSAH</w:t>
      </w:r>
    </w:p>
    <w:p w14:paraId="32368852" w14:textId="77777777" w:rsidR="00F72C2E" w:rsidRPr="00C83045" w:rsidRDefault="00F72C2E" w:rsidP="00D4304B">
      <w:pPr>
        <w:widowControl w:val="0"/>
        <w:rPr>
          <w:color w:val="000000"/>
          <w:szCs w:val="22"/>
        </w:rPr>
      </w:pPr>
    </w:p>
    <w:p w14:paraId="32368853" w14:textId="77777777" w:rsidR="00F72C2E" w:rsidRPr="00C83045" w:rsidRDefault="00F72C2E" w:rsidP="00D4304B">
      <w:pPr>
        <w:widowControl w:val="0"/>
        <w:rPr>
          <w:color w:val="000000"/>
          <w:szCs w:val="22"/>
        </w:rPr>
      </w:pPr>
      <w:r w:rsidRPr="00C83045">
        <w:rPr>
          <w:color w:val="000000"/>
          <w:szCs w:val="22"/>
        </w:rPr>
        <w:t>24 tvrdých kapsúl</w:t>
      </w:r>
    </w:p>
    <w:p w14:paraId="32368854" w14:textId="77777777" w:rsidR="00F72C2E" w:rsidRPr="00C83045" w:rsidRDefault="00F72C2E" w:rsidP="00D4304B">
      <w:pPr>
        <w:widowControl w:val="0"/>
        <w:rPr>
          <w:color w:val="000000"/>
          <w:szCs w:val="22"/>
          <w:shd w:val="clear" w:color="auto" w:fill="D9D9D9"/>
        </w:rPr>
      </w:pPr>
      <w:r w:rsidRPr="00C83045">
        <w:rPr>
          <w:color w:val="000000"/>
          <w:szCs w:val="22"/>
          <w:shd w:val="clear" w:color="auto" w:fill="D9D9D9"/>
        </w:rPr>
        <w:t>48 tvrdých kapsúl</w:t>
      </w:r>
    </w:p>
    <w:p w14:paraId="32368855" w14:textId="77777777" w:rsidR="00F72C2E" w:rsidRPr="00C83045" w:rsidRDefault="00F72C2E" w:rsidP="00D4304B">
      <w:pPr>
        <w:widowControl w:val="0"/>
        <w:rPr>
          <w:color w:val="000000"/>
          <w:szCs w:val="22"/>
          <w:shd w:val="clear" w:color="auto" w:fill="D9D9D9"/>
        </w:rPr>
      </w:pPr>
      <w:r w:rsidRPr="00C83045">
        <w:rPr>
          <w:color w:val="000000"/>
          <w:szCs w:val="22"/>
          <w:shd w:val="clear" w:color="auto" w:fill="D9D9D9"/>
        </w:rPr>
        <w:t>96 tvrdých kapsúl</w:t>
      </w:r>
    </w:p>
    <w:p w14:paraId="32368856" w14:textId="77777777" w:rsidR="00F72C2E" w:rsidRPr="00C83045" w:rsidRDefault="00F72C2E" w:rsidP="00D4304B">
      <w:pPr>
        <w:widowControl w:val="0"/>
        <w:rPr>
          <w:color w:val="000000"/>
          <w:szCs w:val="22"/>
          <w:shd w:val="clear" w:color="auto" w:fill="D9D9D9"/>
        </w:rPr>
      </w:pPr>
      <w:r w:rsidRPr="00C83045">
        <w:rPr>
          <w:color w:val="000000"/>
          <w:szCs w:val="22"/>
          <w:shd w:val="clear" w:color="auto" w:fill="D9D9D9"/>
        </w:rPr>
        <w:t>120 tvrdých kapsúl</w:t>
      </w:r>
    </w:p>
    <w:p w14:paraId="32368857" w14:textId="77777777" w:rsidR="00F72C2E" w:rsidRPr="00C83045" w:rsidRDefault="00F72C2E" w:rsidP="00D4304B">
      <w:pPr>
        <w:widowControl w:val="0"/>
        <w:rPr>
          <w:color w:val="000000"/>
          <w:szCs w:val="22"/>
          <w:shd w:val="clear" w:color="auto" w:fill="D9D9D9"/>
        </w:rPr>
      </w:pPr>
      <w:r w:rsidRPr="00C83045">
        <w:rPr>
          <w:color w:val="000000"/>
          <w:szCs w:val="22"/>
          <w:shd w:val="clear" w:color="auto" w:fill="D9D9D9"/>
        </w:rPr>
        <w:t>180 tvrdých kapsúl</w:t>
      </w:r>
    </w:p>
    <w:p w14:paraId="32368858" w14:textId="77777777" w:rsidR="00F72C2E" w:rsidRPr="00C83045" w:rsidRDefault="00F72C2E" w:rsidP="00D4304B">
      <w:pPr>
        <w:widowControl w:val="0"/>
        <w:rPr>
          <w:color w:val="000000"/>
          <w:szCs w:val="22"/>
        </w:rPr>
      </w:pPr>
    </w:p>
    <w:p w14:paraId="32368859" w14:textId="77777777" w:rsidR="00F72C2E" w:rsidRPr="00C83045" w:rsidRDefault="00F72C2E" w:rsidP="00D4304B">
      <w:pPr>
        <w:widowControl w:val="0"/>
        <w:rPr>
          <w:color w:val="000000"/>
          <w:szCs w:val="22"/>
        </w:rPr>
      </w:pPr>
    </w:p>
    <w:p w14:paraId="3236885A"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5.</w:t>
      </w:r>
      <w:r w:rsidRPr="00C83045">
        <w:rPr>
          <w:b/>
          <w:color w:val="000000"/>
          <w:szCs w:val="22"/>
        </w:rPr>
        <w:tab/>
        <w:t>SPÔSOB A</w:t>
      </w:r>
      <w:r w:rsidR="001770E3" w:rsidRPr="00C83045">
        <w:rPr>
          <w:b/>
          <w:color w:val="000000"/>
          <w:szCs w:val="22"/>
        </w:rPr>
        <w:t> </w:t>
      </w:r>
      <w:r w:rsidRPr="00C83045">
        <w:rPr>
          <w:b/>
          <w:color w:val="000000"/>
          <w:szCs w:val="22"/>
        </w:rPr>
        <w:t>CEST</w:t>
      </w:r>
      <w:r w:rsidR="001770E3" w:rsidRPr="00C83045">
        <w:rPr>
          <w:b/>
          <w:color w:val="000000"/>
          <w:szCs w:val="22"/>
        </w:rPr>
        <w:t>A(CEST</w:t>
      </w:r>
      <w:r w:rsidRPr="00C83045">
        <w:rPr>
          <w:b/>
          <w:color w:val="000000"/>
          <w:szCs w:val="22"/>
        </w:rPr>
        <w:t>Y</w:t>
      </w:r>
      <w:r w:rsidR="001770E3" w:rsidRPr="00C83045">
        <w:rPr>
          <w:b/>
          <w:color w:val="000000"/>
          <w:szCs w:val="22"/>
        </w:rPr>
        <w:t>)</w:t>
      </w:r>
      <w:r w:rsidRPr="00C83045">
        <w:rPr>
          <w:color w:val="000000"/>
          <w:szCs w:val="22"/>
        </w:rPr>
        <w:t xml:space="preserve"> </w:t>
      </w:r>
      <w:r w:rsidRPr="00C83045">
        <w:rPr>
          <w:b/>
          <w:color w:val="000000"/>
          <w:szCs w:val="22"/>
        </w:rPr>
        <w:t>POD</w:t>
      </w:r>
      <w:r w:rsidR="002773F9">
        <w:rPr>
          <w:b/>
          <w:color w:val="000000"/>
          <w:szCs w:val="22"/>
        </w:rPr>
        <w:t>ÁV</w:t>
      </w:r>
      <w:r w:rsidRPr="00C83045">
        <w:rPr>
          <w:b/>
          <w:color w:val="000000"/>
          <w:szCs w:val="22"/>
        </w:rPr>
        <w:t>ANIA</w:t>
      </w:r>
    </w:p>
    <w:p w14:paraId="3236885B" w14:textId="77777777" w:rsidR="00F72C2E" w:rsidRPr="00C83045" w:rsidRDefault="00F72C2E" w:rsidP="00D4304B">
      <w:pPr>
        <w:widowControl w:val="0"/>
        <w:rPr>
          <w:color w:val="000000"/>
          <w:szCs w:val="22"/>
        </w:rPr>
      </w:pPr>
    </w:p>
    <w:p w14:paraId="3236885C" w14:textId="77777777" w:rsidR="00F72C2E" w:rsidRPr="00C83045" w:rsidRDefault="00F72C2E" w:rsidP="00D4304B">
      <w:pPr>
        <w:widowControl w:val="0"/>
        <w:rPr>
          <w:color w:val="000000"/>
          <w:szCs w:val="22"/>
        </w:rPr>
      </w:pPr>
      <w:r w:rsidRPr="00C83045">
        <w:rPr>
          <w:color w:val="000000"/>
          <w:szCs w:val="22"/>
        </w:rPr>
        <w:t>Na vnútorné použitie. Pred použitím si prečítajte písomnú informáciu pre používate</w:t>
      </w:r>
      <w:r w:rsidR="000F7F9B" w:rsidRPr="00C83045">
        <w:rPr>
          <w:color w:val="000000"/>
          <w:szCs w:val="22"/>
        </w:rPr>
        <w:t>ľa</w:t>
      </w:r>
      <w:r w:rsidRPr="00C83045">
        <w:rPr>
          <w:color w:val="000000"/>
          <w:szCs w:val="22"/>
        </w:rPr>
        <w:t>.</w:t>
      </w:r>
    </w:p>
    <w:p w14:paraId="3236885D" w14:textId="77777777" w:rsidR="00F72C2E" w:rsidRPr="00C83045" w:rsidRDefault="00F72C2E" w:rsidP="00D4304B">
      <w:pPr>
        <w:widowControl w:val="0"/>
        <w:rPr>
          <w:color w:val="000000"/>
          <w:szCs w:val="22"/>
        </w:rPr>
      </w:pPr>
    </w:p>
    <w:p w14:paraId="3236885E" w14:textId="77777777" w:rsidR="00F72C2E" w:rsidRPr="00C83045" w:rsidRDefault="00F72C2E" w:rsidP="00D4304B">
      <w:pPr>
        <w:widowControl w:val="0"/>
        <w:rPr>
          <w:color w:val="000000"/>
          <w:szCs w:val="22"/>
        </w:rPr>
      </w:pPr>
    </w:p>
    <w:p w14:paraId="3236885F"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6.</w:t>
      </w:r>
      <w:r w:rsidRPr="00C83045">
        <w:rPr>
          <w:b/>
          <w:color w:val="000000"/>
          <w:szCs w:val="22"/>
        </w:rPr>
        <w:tab/>
        <w:t xml:space="preserve">ŠPECIÁLNE UPOZORNENIE, ŽE LIEK SA MUSÍ UCHOVÁVAŤ MIMO </w:t>
      </w:r>
      <w:r w:rsidR="001770E3" w:rsidRPr="00C83045">
        <w:rPr>
          <w:b/>
          <w:color w:val="000000"/>
          <w:szCs w:val="22"/>
        </w:rPr>
        <w:t xml:space="preserve">DOHĽADU </w:t>
      </w:r>
      <w:r w:rsidRPr="00C83045">
        <w:rPr>
          <w:b/>
          <w:color w:val="000000"/>
          <w:szCs w:val="22"/>
        </w:rPr>
        <w:t xml:space="preserve">A </w:t>
      </w:r>
      <w:r w:rsidR="001770E3" w:rsidRPr="00C83045">
        <w:rPr>
          <w:b/>
          <w:color w:val="000000"/>
          <w:szCs w:val="22"/>
        </w:rPr>
        <w:t>DOSAHU</w:t>
      </w:r>
      <w:r w:rsidR="001770E3" w:rsidRPr="00C83045" w:rsidDel="001770E3">
        <w:rPr>
          <w:b/>
          <w:color w:val="000000"/>
          <w:szCs w:val="22"/>
        </w:rPr>
        <w:t xml:space="preserve"> </w:t>
      </w:r>
      <w:r w:rsidRPr="00C83045">
        <w:rPr>
          <w:b/>
          <w:color w:val="000000"/>
          <w:szCs w:val="22"/>
        </w:rPr>
        <w:t>DETÍ</w:t>
      </w:r>
    </w:p>
    <w:p w14:paraId="32368860" w14:textId="77777777" w:rsidR="00F72C2E" w:rsidRPr="00C83045" w:rsidRDefault="00F72C2E" w:rsidP="00D4304B">
      <w:pPr>
        <w:widowControl w:val="0"/>
        <w:rPr>
          <w:color w:val="000000"/>
          <w:szCs w:val="22"/>
        </w:rPr>
      </w:pPr>
    </w:p>
    <w:p w14:paraId="32368861" w14:textId="77777777" w:rsidR="00F72C2E" w:rsidRPr="00C83045" w:rsidRDefault="00F72C2E" w:rsidP="00D4304B">
      <w:pPr>
        <w:widowControl w:val="0"/>
        <w:outlineLvl w:val="0"/>
        <w:rPr>
          <w:color w:val="000000"/>
          <w:szCs w:val="22"/>
        </w:rPr>
      </w:pPr>
      <w:r w:rsidRPr="00C83045">
        <w:rPr>
          <w:color w:val="000000"/>
          <w:szCs w:val="22"/>
        </w:rPr>
        <w:t xml:space="preserve">Uchovávajte mimo dohľadu </w:t>
      </w:r>
      <w:r w:rsidR="00760E8E" w:rsidRPr="00C83045">
        <w:rPr>
          <w:color w:val="000000"/>
          <w:szCs w:val="22"/>
        </w:rPr>
        <w:t xml:space="preserve">a dosahu </w:t>
      </w:r>
      <w:r w:rsidRPr="00C83045">
        <w:rPr>
          <w:color w:val="000000"/>
          <w:szCs w:val="22"/>
        </w:rPr>
        <w:t>detí.</w:t>
      </w:r>
    </w:p>
    <w:p w14:paraId="32368862" w14:textId="77777777" w:rsidR="00F72C2E" w:rsidRPr="00C83045" w:rsidRDefault="00F72C2E" w:rsidP="00D4304B">
      <w:pPr>
        <w:widowControl w:val="0"/>
        <w:rPr>
          <w:color w:val="000000"/>
          <w:szCs w:val="22"/>
        </w:rPr>
      </w:pPr>
    </w:p>
    <w:p w14:paraId="32368863" w14:textId="77777777" w:rsidR="00F72C2E" w:rsidRPr="00C83045" w:rsidRDefault="00F72C2E" w:rsidP="00D4304B">
      <w:pPr>
        <w:widowControl w:val="0"/>
        <w:rPr>
          <w:color w:val="000000"/>
          <w:szCs w:val="22"/>
        </w:rPr>
      </w:pPr>
    </w:p>
    <w:p w14:paraId="32368864"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7.</w:t>
      </w:r>
      <w:r w:rsidRPr="00C83045">
        <w:rPr>
          <w:b/>
          <w:color w:val="000000"/>
          <w:szCs w:val="22"/>
        </w:rPr>
        <w:tab/>
        <w:t>INÉ ŠPECIÁLNE UPOZORNENIE</w:t>
      </w:r>
      <w:r w:rsidR="001770E3" w:rsidRPr="00C83045">
        <w:rPr>
          <w:b/>
          <w:color w:val="000000"/>
          <w:szCs w:val="22"/>
        </w:rPr>
        <w:t>(UPOZORNENIA)</w:t>
      </w:r>
      <w:r w:rsidRPr="00C83045">
        <w:rPr>
          <w:b/>
          <w:color w:val="000000"/>
          <w:szCs w:val="22"/>
        </w:rPr>
        <w:t>, AK JE TO POTREBNÉ</w:t>
      </w:r>
    </w:p>
    <w:p w14:paraId="32368865" w14:textId="77777777" w:rsidR="00F72C2E" w:rsidRPr="00C83045" w:rsidRDefault="00F72C2E" w:rsidP="00D4304B">
      <w:pPr>
        <w:widowControl w:val="0"/>
        <w:rPr>
          <w:color w:val="000000"/>
          <w:szCs w:val="22"/>
        </w:rPr>
      </w:pPr>
    </w:p>
    <w:p w14:paraId="32368866" w14:textId="77777777" w:rsidR="00F72C2E" w:rsidRPr="00C83045" w:rsidRDefault="00F72C2E" w:rsidP="00D4304B">
      <w:pPr>
        <w:widowControl w:val="0"/>
        <w:rPr>
          <w:color w:val="000000"/>
          <w:szCs w:val="22"/>
        </w:rPr>
      </w:pPr>
      <w:r w:rsidRPr="00C83045">
        <w:rPr>
          <w:color w:val="000000"/>
          <w:szCs w:val="22"/>
        </w:rPr>
        <w:t>Užívajte len podľa pokynov lekára.</w:t>
      </w:r>
    </w:p>
    <w:p w14:paraId="32368867" w14:textId="77777777" w:rsidR="00F72C2E" w:rsidRPr="00C83045" w:rsidRDefault="00F72C2E" w:rsidP="00D4304B">
      <w:pPr>
        <w:widowControl w:val="0"/>
        <w:rPr>
          <w:color w:val="000000"/>
          <w:szCs w:val="22"/>
        </w:rPr>
      </w:pPr>
    </w:p>
    <w:p w14:paraId="32368868" w14:textId="77777777" w:rsidR="00F72C2E" w:rsidRPr="00C83045" w:rsidRDefault="00F72C2E" w:rsidP="00D4304B">
      <w:pPr>
        <w:widowControl w:val="0"/>
        <w:rPr>
          <w:color w:val="000000"/>
          <w:szCs w:val="22"/>
        </w:rPr>
      </w:pPr>
    </w:p>
    <w:p w14:paraId="32368869"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8.</w:t>
      </w:r>
      <w:r w:rsidRPr="00C83045">
        <w:rPr>
          <w:b/>
          <w:color w:val="000000"/>
          <w:szCs w:val="22"/>
        </w:rPr>
        <w:tab/>
        <w:t>DÁTUM EXSPIRÁCIE</w:t>
      </w:r>
    </w:p>
    <w:p w14:paraId="3236886A" w14:textId="77777777" w:rsidR="00F72C2E" w:rsidRPr="00C83045" w:rsidRDefault="00F72C2E" w:rsidP="00D4304B">
      <w:pPr>
        <w:widowControl w:val="0"/>
        <w:rPr>
          <w:color w:val="000000"/>
          <w:szCs w:val="22"/>
        </w:rPr>
      </w:pPr>
    </w:p>
    <w:p w14:paraId="3236886B" w14:textId="77777777" w:rsidR="00F72C2E" w:rsidRPr="00C83045" w:rsidRDefault="00F72C2E" w:rsidP="00D4304B">
      <w:pPr>
        <w:widowControl w:val="0"/>
        <w:outlineLvl w:val="0"/>
        <w:rPr>
          <w:color w:val="000000"/>
          <w:szCs w:val="22"/>
        </w:rPr>
      </w:pPr>
      <w:r w:rsidRPr="00C83045">
        <w:rPr>
          <w:color w:val="000000"/>
          <w:szCs w:val="22"/>
        </w:rPr>
        <w:t>EXP</w:t>
      </w:r>
    </w:p>
    <w:p w14:paraId="3236886C" w14:textId="77777777" w:rsidR="00F72C2E" w:rsidRPr="00C83045" w:rsidRDefault="00F72C2E" w:rsidP="00D4304B">
      <w:pPr>
        <w:widowControl w:val="0"/>
        <w:rPr>
          <w:color w:val="000000"/>
          <w:szCs w:val="22"/>
        </w:rPr>
      </w:pPr>
    </w:p>
    <w:p w14:paraId="3236886D" w14:textId="77777777" w:rsidR="00F72C2E" w:rsidRPr="00C83045" w:rsidRDefault="00F72C2E" w:rsidP="00D4304B">
      <w:pPr>
        <w:widowControl w:val="0"/>
        <w:rPr>
          <w:color w:val="000000"/>
          <w:szCs w:val="22"/>
        </w:rPr>
      </w:pPr>
    </w:p>
    <w:p w14:paraId="3236886E" w14:textId="77777777" w:rsidR="00F72C2E" w:rsidRPr="00C83045" w:rsidRDefault="00F72C2E" w:rsidP="00D4304B">
      <w:pPr>
        <w:keepNext/>
        <w:keepLines/>
        <w:widowControl w:val="0"/>
        <w:pBdr>
          <w:top w:val="single" w:sz="4" w:space="1" w:color="auto"/>
          <w:left w:val="single" w:sz="4" w:space="4" w:color="auto"/>
          <w:bottom w:val="single" w:sz="4" w:space="1" w:color="auto"/>
          <w:right w:val="single" w:sz="4" w:space="4" w:color="auto"/>
        </w:pBdr>
        <w:tabs>
          <w:tab w:val="left" w:pos="142"/>
        </w:tabs>
        <w:rPr>
          <w:color w:val="000000"/>
          <w:szCs w:val="22"/>
        </w:rPr>
      </w:pPr>
      <w:r w:rsidRPr="00C83045">
        <w:rPr>
          <w:b/>
          <w:color w:val="000000"/>
          <w:szCs w:val="22"/>
        </w:rPr>
        <w:t>9.</w:t>
      </w:r>
      <w:r w:rsidRPr="00C83045">
        <w:rPr>
          <w:b/>
          <w:color w:val="000000"/>
          <w:szCs w:val="22"/>
        </w:rPr>
        <w:tab/>
        <w:t>ŠPECIÁLNE PODMIENKY NA UCHOVÁVANIE</w:t>
      </w:r>
    </w:p>
    <w:p w14:paraId="3236886F" w14:textId="77777777" w:rsidR="00F72C2E" w:rsidRPr="00C83045" w:rsidRDefault="00F72C2E" w:rsidP="00D4304B">
      <w:pPr>
        <w:keepNext/>
        <w:keepLines/>
        <w:widowControl w:val="0"/>
        <w:rPr>
          <w:color w:val="000000"/>
          <w:szCs w:val="22"/>
        </w:rPr>
      </w:pPr>
    </w:p>
    <w:p w14:paraId="32368870" w14:textId="77777777" w:rsidR="00F72C2E" w:rsidRPr="00C83045" w:rsidRDefault="00F72C2E" w:rsidP="00D4304B">
      <w:pPr>
        <w:keepNext/>
        <w:keepLines/>
        <w:widowControl w:val="0"/>
        <w:ind w:left="0" w:firstLine="0"/>
        <w:rPr>
          <w:color w:val="000000"/>
          <w:szCs w:val="22"/>
        </w:rPr>
      </w:pPr>
      <w:r w:rsidRPr="00C83045">
        <w:rPr>
          <w:color w:val="000000"/>
          <w:szCs w:val="22"/>
        </w:rPr>
        <w:t>Uchovávajte pri teplote neprevyšujúcej 30</w:t>
      </w:r>
      <w:r w:rsidRPr="00C83045">
        <w:rPr>
          <w:color w:val="000000"/>
          <w:szCs w:val="22"/>
        </w:rPr>
        <w:sym w:font="Symbol" w:char="F0B0"/>
      </w:r>
      <w:r w:rsidRPr="00C83045">
        <w:rPr>
          <w:color w:val="000000"/>
          <w:szCs w:val="22"/>
        </w:rPr>
        <w:t>C. Uchovávajte v pôvodnom obale na ochranu pred vlhkosťou.</w:t>
      </w:r>
    </w:p>
    <w:p w14:paraId="32368871" w14:textId="77777777" w:rsidR="00F72C2E" w:rsidRPr="00C83045" w:rsidRDefault="00F72C2E" w:rsidP="00D4304B">
      <w:pPr>
        <w:widowControl w:val="0"/>
        <w:rPr>
          <w:color w:val="000000"/>
          <w:szCs w:val="22"/>
        </w:rPr>
      </w:pPr>
    </w:p>
    <w:p w14:paraId="32368872" w14:textId="77777777" w:rsidR="00F72C2E" w:rsidRPr="00C83045" w:rsidRDefault="00F72C2E" w:rsidP="00D4304B">
      <w:pPr>
        <w:widowControl w:val="0"/>
        <w:rPr>
          <w:color w:val="000000"/>
          <w:szCs w:val="22"/>
        </w:rPr>
      </w:pPr>
    </w:p>
    <w:p w14:paraId="32368873" w14:textId="77777777" w:rsidR="00F72C2E" w:rsidRPr="00C83045" w:rsidRDefault="00F72C2E" w:rsidP="00D4304B">
      <w:pPr>
        <w:keepNext/>
        <w:keepLines/>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10.</w:t>
      </w:r>
      <w:r w:rsidRPr="00C83045">
        <w:rPr>
          <w:b/>
          <w:color w:val="000000"/>
          <w:szCs w:val="22"/>
        </w:rPr>
        <w:tab/>
        <w:t xml:space="preserve">ŠPECIÁLNE UPOZORNENIA NA LIKVIDÁCIU NEPOUŽITÝCH LIEKOV ALEBO ODPADOV Z </w:t>
      </w:r>
      <w:smartTag w:uri="urn:schemas-microsoft-com:office:smarttags" w:element="stockticker">
        <w:r w:rsidRPr="00C83045">
          <w:rPr>
            <w:b/>
            <w:color w:val="000000"/>
            <w:szCs w:val="22"/>
          </w:rPr>
          <w:t>NICH</w:t>
        </w:r>
      </w:smartTag>
      <w:r w:rsidRPr="00C83045">
        <w:rPr>
          <w:b/>
          <w:color w:val="000000"/>
          <w:szCs w:val="22"/>
        </w:rPr>
        <w:t xml:space="preserve"> VZNIKNUTÝCH, AK JE TO VHODNÉ</w:t>
      </w:r>
    </w:p>
    <w:p w14:paraId="32368874" w14:textId="77777777" w:rsidR="00F72C2E" w:rsidRPr="00C83045" w:rsidRDefault="00F72C2E" w:rsidP="00D4304B">
      <w:pPr>
        <w:keepNext/>
        <w:keepLines/>
        <w:widowControl w:val="0"/>
        <w:rPr>
          <w:color w:val="000000"/>
          <w:szCs w:val="22"/>
        </w:rPr>
      </w:pPr>
    </w:p>
    <w:p w14:paraId="32368875" w14:textId="77777777" w:rsidR="00F72C2E" w:rsidRPr="00C83045" w:rsidRDefault="00F72C2E" w:rsidP="00D4304B">
      <w:pPr>
        <w:widowControl w:val="0"/>
        <w:rPr>
          <w:color w:val="000000"/>
          <w:szCs w:val="22"/>
        </w:rPr>
      </w:pPr>
    </w:p>
    <w:p w14:paraId="32368876" w14:textId="77777777" w:rsidR="00F72C2E" w:rsidRPr="00C83045" w:rsidRDefault="00F72C2E" w:rsidP="003E286B">
      <w:pPr>
        <w:keepNext/>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11.</w:t>
      </w:r>
      <w:r w:rsidRPr="00C83045">
        <w:rPr>
          <w:b/>
          <w:color w:val="000000"/>
          <w:szCs w:val="22"/>
        </w:rPr>
        <w:tab/>
        <w:t>NÁZOV A ADRESA DRŽITEĽA ROZHODNUTIA O REGISTRÁCII</w:t>
      </w:r>
    </w:p>
    <w:p w14:paraId="32368877" w14:textId="77777777" w:rsidR="00F72C2E" w:rsidRPr="00C83045" w:rsidRDefault="00F72C2E" w:rsidP="003E286B">
      <w:pPr>
        <w:keepNext/>
        <w:widowControl w:val="0"/>
        <w:rPr>
          <w:color w:val="000000"/>
          <w:szCs w:val="22"/>
        </w:rPr>
      </w:pPr>
    </w:p>
    <w:p w14:paraId="32368878" w14:textId="77777777" w:rsidR="00F72C2E" w:rsidRPr="00C83045" w:rsidRDefault="00F72C2E" w:rsidP="003E286B">
      <w:pPr>
        <w:keepNext/>
        <w:widowControl w:val="0"/>
        <w:rPr>
          <w:snapToGrid w:val="0"/>
          <w:color w:val="000000"/>
          <w:szCs w:val="22"/>
        </w:rPr>
      </w:pPr>
      <w:r w:rsidRPr="00C83045">
        <w:rPr>
          <w:snapToGrid w:val="0"/>
          <w:color w:val="000000"/>
          <w:szCs w:val="22"/>
        </w:rPr>
        <w:t>Novartis Europharm Limited</w:t>
      </w:r>
    </w:p>
    <w:p w14:paraId="32368879" w14:textId="77777777" w:rsidR="006E79DA" w:rsidRPr="00EB33FE" w:rsidRDefault="006E79DA" w:rsidP="00D4304B">
      <w:pPr>
        <w:keepNext/>
        <w:widowControl w:val="0"/>
        <w:rPr>
          <w:color w:val="000000"/>
        </w:rPr>
      </w:pPr>
      <w:r w:rsidRPr="00EB33FE">
        <w:rPr>
          <w:color w:val="000000"/>
        </w:rPr>
        <w:t>Vista Building</w:t>
      </w:r>
    </w:p>
    <w:p w14:paraId="3236887A" w14:textId="77777777" w:rsidR="006E79DA" w:rsidRPr="00EB33FE" w:rsidRDefault="006E79DA" w:rsidP="00D4304B">
      <w:pPr>
        <w:keepNext/>
        <w:widowControl w:val="0"/>
        <w:rPr>
          <w:color w:val="000000"/>
        </w:rPr>
      </w:pPr>
      <w:r w:rsidRPr="00EB33FE">
        <w:rPr>
          <w:color w:val="000000"/>
        </w:rPr>
        <w:t>Elm Park, Merrion Road</w:t>
      </w:r>
    </w:p>
    <w:p w14:paraId="3236887B" w14:textId="77777777" w:rsidR="006E79DA" w:rsidRPr="00EB33FE" w:rsidRDefault="006E79DA" w:rsidP="00D4304B">
      <w:pPr>
        <w:keepNext/>
        <w:widowControl w:val="0"/>
        <w:rPr>
          <w:color w:val="000000"/>
        </w:rPr>
      </w:pPr>
      <w:r w:rsidRPr="00EB33FE">
        <w:rPr>
          <w:color w:val="000000"/>
        </w:rPr>
        <w:t>Dublin 4</w:t>
      </w:r>
    </w:p>
    <w:p w14:paraId="3236887C" w14:textId="77777777" w:rsidR="006E79DA" w:rsidRDefault="006E79DA" w:rsidP="00D4304B">
      <w:pPr>
        <w:widowControl w:val="0"/>
        <w:rPr>
          <w:color w:val="000000"/>
        </w:rPr>
      </w:pPr>
      <w:r w:rsidRPr="00EB33FE">
        <w:rPr>
          <w:color w:val="000000"/>
        </w:rPr>
        <w:t>Írsko</w:t>
      </w:r>
    </w:p>
    <w:p w14:paraId="3236887D" w14:textId="77777777" w:rsidR="00F72C2E" w:rsidRPr="00C83045" w:rsidRDefault="00F72C2E" w:rsidP="00D4304B">
      <w:pPr>
        <w:widowControl w:val="0"/>
        <w:rPr>
          <w:color w:val="000000"/>
          <w:szCs w:val="22"/>
        </w:rPr>
      </w:pPr>
    </w:p>
    <w:p w14:paraId="3236887E" w14:textId="77777777" w:rsidR="00F72C2E" w:rsidRPr="00C83045" w:rsidRDefault="00F72C2E" w:rsidP="00D4304B">
      <w:pPr>
        <w:widowControl w:val="0"/>
        <w:rPr>
          <w:color w:val="000000"/>
          <w:szCs w:val="22"/>
        </w:rPr>
      </w:pPr>
    </w:p>
    <w:p w14:paraId="3236887F"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12.</w:t>
      </w:r>
      <w:r w:rsidRPr="00C83045">
        <w:rPr>
          <w:b/>
          <w:color w:val="000000"/>
          <w:szCs w:val="22"/>
        </w:rPr>
        <w:tab/>
        <w:t>REGISTRAČNÉ ČÍSLO</w:t>
      </w:r>
      <w:r w:rsidR="00760E8E" w:rsidRPr="00C83045">
        <w:rPr>
          <w:b/>
          <w:color w:val="000000"/>
          <w:szCs w:val="22"/>
        </w:rPr>
        <w:t>(ČÍSLA)</w:t>
      </w:r>
    </w:p>
    <w:p w14:paraId="32368880" w14:textId="77777777" w:rsidR="00F72C2E" w:rsidRPr="00C83045" w:rsidRDefault="00F72C2E" w:rsidP="00D4304B">
      <w:pPr>
        <w:widowControl w:val="0"/>
        <w:rPr>
          <w:color w:val="000000"/>
          <w:szCs w:val="22"/>
        </w:rPr>
      </w:pPr>
    </w:p>
    <w:p w14:paraId="32368881" w14:textId="77777777" w:rsidR="00F72C2E" w:rsidRPr="00C83045" w:rsidRDefault="00F72C2E" w:rsidP="00D4304B">
      <w:pPr>
        <w:widowControl w:val="0"/>
        <w:ind w:left="2280" w:hanging="2280"/>
        <w:rPr>
          <w:color w:val="000000"/>
          <w:szCs w:val="22"/>
          <w:shd w:val="clear" w:color="auto" w:fill="D9D9D9"/>
        </w:rPr>
      </w:pPr>
      <w:r w:rsidRPr="00C83045">
        <w:rPr>
          <w:color w:val="000000"/>
          <w:szCs w:val="22"/>
        </w:rPr>
        <w:t>EU/1/01/198/002</w:t>
      </w:r>
      <w:r w:rsidRPr="00C83045">
        <w:rPr>
          <w:color w:val="000000"/>
          <w:szCs w:val="22"/>
        </w:rPr>
        <w:tab/>
      </w:r>
      <w:r w:rsidRPr="00C83045">
        <w:rPr>
          <w:color w:val="000000"/>
          <w:szCs w:val="22"/>
          <w:shd w:val="clear" w:color="auto" w:fill="D9D9D9"/>
        </w:rPr>
        <w:t>24 kapsúl</w:t>
      </w:r>
    </w:p>
    <w:p w14:paraId="32368882" w14:textId="77777777" w:rsidR="00F72C2E" w:rsidRPr="00C83045" w:rsidRDefault="00F72C2E" w:rsidP="00D4304B">
      <w:pPr>
        <w:widowControl w:val="0"/>
        <w:ind w:left="2280" w:hanging="2280"/>
        <w:rPr>
          <w:color w:val="000000"/>
          <w:szCs w:val="22"/>
          <w:shd w:val="clear" w:color="auto" w:fill="D9D9D9"/>
        </w:rPr>
      </w:pPr>
      <w:r w:rsidRPr="00C83045">
        <w:rPr>
          <w:color w:val="000000"/>
          <w:szCs w:val="22"/>
          <w:shd w:val="clear" w:color="auto" w:fill="D9D9D9"/>
        </w:rPr>
        <w:t>EU/1/01/198/003</w:t>
      </w:r>
      <w:r w:rsidRPr="00C83045">
        <w:rPr>
          <w:color w:val="000000"/>
          <w:szCs w:val="22"/>
          <w:shd w:val="clear" w:color="auto" w:fill="D9D9D9"/>
        </w:rPr>
        <w:tab/>
        <w:t>48 kapsúl</w:t>
      </w:r>
    </w:p>
    <w:p w14:paraId="32368883" w14:textId="77777777" w:rsidR="00F72C2E" w:rsidRPr="00C83045" w:rsidRDefault="00F72C2E" w:rsidP="00D4304B">
      <w:pPr>
        <w:widowControl w:val="0"/>
        <w:ind w:left="2280" w:hanging="2280"/>
        <w:rPr>
          <w:color w:val="000000"/>
          <w:szCs w:val="22"/>
          <w:shd w:val="clear" w:color="auto" w:fill="D9D9D9"/>
        </w:rPr>
      </w:pPr>
      <w:r w:rsidRPr="00C83045">
        <w:rPr>
          <w:color w:val="000000"/>
          <w:szCs w:val="22"/>
          <w:shd w:val="clear" w:color="auto" w:fill="D9D9D9"/>
        </w:rPr>
        <w:t>EU/1/01/198/004</w:t>
      </w:r>
      <w:r w:rsidRPr="00C83045">
        <w:rPr>
          <w:color w:val="000000"/>
          <w:szCs w:val="22"/>
          <w:shd w:val="clear" w:color="auto" w:fill="D9D9D9"/>
        </w:rPr>
        <w:tab/>
        <w:t>96 kapsúl</w:t>
      </w:r>
    </w:p>
    <w:p w14:paraId="32368884" w14:textId="77777777" w:rsidR="00F72C2E" w:rsidRPr="00C83045" w:rsidRDefault="00F72C2E" w:rsidP="00D4304B">
      <w:pPr>
        <w:widowControl w:val="0"/>
        <w:ind w:left="2280" w:hanging="2280"/>
        <w:rPr>
          <w:color w:val="000000"/>
          <w:szCs w:val="22"/>
          <w:shd w:val="clear" w:color="auto" w:fill="D9D9D9"/>
        </w:rPr>
      </w:pPr>
      <w:r w:rsidRPr="00C83045">
        <w:rPr>
          <w:color w:val="000000"/>
          <w:szCs w:val="22"/>
          <w:shd w:val="clear" w:color="auto" w:fill="D9D9D9"/>
        </w:rPr>
        <w:t>EU/1/01/198/005</w:t>
      </w:r>
      <w:r w:rsidRPr="00C83045">
        <w:rPr>
          <w:color w:val="000000"/>
          <w:szCs w:val="22"/>
          <w:shd w:val="clear" w:color="auto" w:fill="D9D9D9"/>
        </w:rPr>
        <w:tab/>
        <w:t>120 kapsúl</w:t>
      </w:r>
    </w:p>
    <w:p w14:paraId="32368885" w14:textId="77777777" w:rsidR="00F72C2E" w:rsidRPr="00C83045" w:rsidRDefault="00F72C2E" w:rsidP="00D4304B">
      <w:pPr>
        <w:widowControl w:val="0"/>
        <w:ind w:left="2280" w:hanging="2280"/>
        <w:rPr>
          <w:color w:val="000000"/>
          <w:szCs w:val="22"/>
          <w:shd w:val="clear" w:color="auto" w:fill="D9D9D9"/>
        </w:rPr>
      </w:pPr>
      <w:r w:rsidRPr="00C83045">
        <w:rPr>
          <w:color w:val="000000"/>
          <w:szCs w:val="22"/>
          <w:shd w:val="clear" w:color="auto" w:fill="D9D9D9"/>
        </w:rPr>
        <w:t>EU/1/01/198/006</w:t>
      </w:r>
      <w:r w:rsidRPr="00C83045">
        <w:rPr>
          <w:color w:val="000000"/>
          <w:szCs w:val="22"/>
          <w:shd w:val="clear" w:color="auto" w:fill="D9D9D9"/>
        </w:rPr>
        <w:tab/>
        <w:t>180 kapsúl</w:t>
      </w:r>
    </w:p>
    <w:p w14:paraId="32368886" w14:textId="77777777" w:rsidR="00F72C2E" w:rsidRPr="00C83045" w:rsidRDefault="00F72C2E" w:rsidP="00D4304B">
      <w:pPr>
        <w:widowControl w:val="0"/>
        <w:rPr>
          <w:color w:val="000000"/>
          <w:szCs w:val="22"/>
        </w:rPr>
      </w:pPr>
    </w:p>
    <w:p w14:paraId="32368887" w14:textId="77777777" w:rsidR="00F72C2E" w:rsidRPr="00C83045" w:rsidRDefault="00F72C2E" w:rsidP="00D4304B">
      <w:pPr>
        <w:widowControl w:val="0"/>
        <w:rPr>
          <w:color w:val="000000"/>
          <w:szCs w:val="22"/>
        </w:rPr>
      </w:pPr>
    </w:p>
    <w:p w14:paraId="32368888"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13.</w:t>
      </w:r>
      <w:r w:rsidRPr="00C83045">
        <w:rPr>
          <w:b/>
          <w:color w:val="000000"/>
          <w:szCs w:val="22"/>
        </w:rPr>
        <w:tab/>
        <w:t>ČÍSLO VÝROBNEJ ŠARŽE</w:t>
      </w:r>
    </w:p>
    <w:p w14:paraId="32368889" w14:textId="77777777" w:rsidR="00F72C2E" w:rsidRPr="00C83045" w:rsidRDefault="00F72C2E" w:rsidP="00D4304B">
      <w:pPr>
        <w:widowControl w:val="0"/>
        <w:rPr>
          <w:color w:val="000000"/>
          <w:szCs w:val="22"/>
        </w:rPr>
      </w:pPr>
    </w:p>
    <w:p w14:paraId="3236888A" w14:textId="77777777" w:rsidR="00F72C2E" w:rsidRPr="00C83045" w:rsidRDefault="00F72C2E" w:rsidP="00D4304B">
      <w:pPr>
        <w:widowControl w:val="0"/>
        <w:rPr>
          <w:color w:val="000000"/>
          <w:szCs w:val="22"/>
        </w:rPr>
      </w:pPr>
      <w:r w:rsidRPr="00C83045">
        <w:rPr>
          <w:color w:val="000000"/>
          <w:szCs w:val="22"/>
        </w:rPr>
        <w:t>Č. šarže</w:t>
      </w:r>
    </w:p>
    <w:p w14:paraId="3236888B" w14:textId="77777777" w:rsidR="00F72C2E" w:rsidRPr="00C83045" w:rsidRDefault="00F72C2E" w:rsidP="00D4304B">
      <w:pPr>
        <w:widowControl w:val="0"/>
        <w:rPr>
          <w:color w:val="000000"/>
          <w:szCs w:val="22"/>
        </w:rPr>
      </w:pPr>
    </w:p>
    <w:p w14:paraId="3236888C" w14:textId="77777777" w:rsidR="00F72C2E" w:rsidRPr="00C83045" w:rsidRDefault="00F72C2E" w:rsidP="00D4304B">
      <w:pPr>
        <w:widowControl w:val="0"/>
        <w:rPr>
          <w:color w:val="000000"/>
          <w:szCs w:val="22"/>
        </w:rPr>
      </w:pPr>
    </w:p>
    <w:p w14:paraId="3236888D"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14.</w:t>
      </w:r>
      <w:r w:rsidRPr="00C83045">
        <w:rPr>
          <w:b/>
          <w:color w:val="000000"/>
          <w:szCs w:val="22"/>
        </w:rPr>
        <w:tab/>
        <w:t>ZATRIEDENIE LIEKU PODĽA SPÔSOBU VÝDAJA</w:t>
      </w:r>
    </w:p>
    <w:p w14:paraId="3236888E" w14:textId="77777777" w:rsidR="00F72C2E" w:rsidRPr="00C83045" w:rsidRDefault="00F72C2E" w:rsidP="00D4304B">
      <w:pPr>
        <w:widowControl w:val="0"/>
        <w:rPr>
          <w:color w:val="000000"/>
          <w:szCs w:val="22"/>
        </w:rPr>
      </w:pPr>
    </w:p>
    <w:p w14:paraId="3236888F" w14:textId="77777777" w:rsidR="00F72C2E" w:rsidRPr="00C83045" w:rsidRDefault="00F72C2E" w:rsidP="00D4304B">
      <w:pPr>
        <w:widowControl w:val="0"/>
        <w:rPr>
          <w:color w:val="000000"/>
          <w:szCs w:val="22"/>
        </w:rPr>
      </w:pPr>
    </w:p>
    <w:p w14:paraId="32368890"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15.</w:t>
      </w:r>
      <w:r w:rsidRPr="00C83045">
        <w:rPr>
          <w:b/>
          <w:color w:val="000000"/>
          <w:szCs w:val="22"/>
        </w:rPr>
        <w:tab/>
        <w:t>POKYNY NA POUŽITIE</w:t>
      </w:r>
    </w:p>
    <w:p w14:paraId="32368891" w14:textId="77777777" w:rsidR="00F72C2E" w:rsidRPr="00C83045" w:rsidRDefault="00F72C2E" w:rsidP="00D4304B">
      <w:pPr>
        <w:widowControl w:val="0"/>
        <w:ind w:left="0" w:firstLine="0"/>
        <w:rPr>
          <w:color w:val="000000"/>
          <w:szCs w:val="22"/>
        </w:rPr>
      </w:pPr>
    </w:p>
    <w:p w14:paraId="32368892" w14:textId="77777777" w:rsidR="00F72C2E" w:rsidRPr="00C83045" w:rsidRDefault="00F72C2E" w:rsidP="00D4304B">
      <w:pPr>
        <w:widowControl w:val="0"/>
        <w:rPr>
          <w:bCs/>
          <w:color w:val="000000"/>
          <w:szCs w:val="22"/>
        </w:rPr>
      </w:pPr>
    </w:p>
    <w:p w14:paraId="32368893"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16.</w:t>
      </w:r>
      <w:r w:rsidRPr="00C83045">
        <w:rPr>
          <w:b/>
          <w:color w:val="000000"/>
          <w:szCs w:val="22"/>
        </w:rPr>
        <w:tab/>
        <w:t>INFORMÁCIE V BRAILLOVOM PÍSME</w:t>
      </w:r>
    </w:p>
    <w:p w14:paraId="32368894" w14:textId="77777777" w:rsidR="00F72C2E" w:rsidRPr="00C83045" w:rsidRDefault="00F72C2E" w:rsidP="00D4304B">
      <w:pPr>
        <w:widowControl w:val="0"/>
        <w:rPr>
          <w:bCs/>
          <w:color w:val="000000"/>
          <w:szCs w:val="22"/>
        </w:rPr>
      </w:pPr>
    </w:p>
    <w:p w14:paraId="32368895" w14:textId="77777777" w:rsidR="00F72C2E" w:rsidRPr="00C83045" w:rsidRDefault="00F72C2E" w:rsidP="00D4304B">
      <w:pPr>
        <w:widowControl w:val="0"/>
        <w:rPr>
          <w:color w:val="000000"/>
          <w:szCs w:val="22"/>
        </w:rPr>
      </w:pPr>
      <w:r w:rsidRPr="00C83045">
        <w:rPr>
          <w:color w:val="000000"/>
          <w:szCs w:val="22"/>
        </w:rPr>
        <w:t>Glivec 100 mg</w:t>
      </w:r>
    </w:p>
    <w:p w14:paraId="32368896" w14:textId="77777777" w:rsidR="00F72C2E" w:rsidRPr="00C83045" w:rsidRDefault="00F72C2E" w:rsidP="00D4304B">
      <w:pPr>
        <w:widowControl w:val="0"/>
        <w:rPr>
          <w:color w:val="000000"/>
          <w:szCs w:val="22"/>
        </w:rPr>
      </w:pPr>
    </w:p>
    <w:p w14:paraId="32368897" w14:textId="77777777" w:rsidR="00F72C2E" w:rsidRPr="00C83045" w:rsidRDefault="00F72C2E" w:rsidP="00D4304B">
      <w:pPr>
        <w:widowControl w:val="0"/>
        <w:rPr>
          <w:color w:val="000000"/>
          <w:szCs w:val="22"/>
        </w:rPr>
      </w:pPr>
    </w:p>
    <w:p w14:paraId="32368898" w14:textId="77777777" w:rsidR="00B1589F" w:rsidRPr="00C937E7" w:rsidRDefault="00B1589F" w:rsidP="00D4304B">
      <w:pPr>
        <w:widowControl w:val="0"/>
        <w:pBdr>
          <w:top w:val="single" w:sz="4" w:space="1" w:color="auto"/>
          <w:left w:val="single" w:sz="4" w:space="1" w:color="auto"/>
          <w:bottom w:val="single" w:sz="4" w:space="1" w:color="auto"/>
          <w:right w:val="single" w:sz="4" w:space="4" w:color="auto"/>
        </w:pBdr>
        <w:tabs>
          <w:tab w:val="left" w:pos="567"/>
        </w:tabs>
        <w:ind w:left="-3" w:firstLine="3"/>
        <w:outlineLvl w:val="0"/>
        <w:rPr>
          <w:i/>
          <w:noProof/>
        </w:rPr>
      </w:pPr>
      <w:r>
        <w:rPr>
          <w:b/>
          <w:noProof/>
        </w:rPr>
        <w:t>17.</w:t>
      </w:r>
      <w:r>
        <w:rPr>
          <w:b/>
          <w:noProof/>
        </w:rPr>
        <w:tab/>
        <w:t>ŠPECIFICKÝ IDENTIFIKÁTOR – DVOJROZMERNÝ ČIAROVÝ KÓD</w:t>
      </w:r>
    </w:p>
    <w:p w14:paraId="32368899" w14:textId="77777777" w:rsidR="00B1589F" w:rsidRPr="00C937E7" w:rsidRDefault="00B1589F" w:rsidP="00D4304B">
      <w:pPr>
        <w:widowControl w:val="0"/>
        <w:rPr>
          <w:noProof/>
        </w:rPr>
      </w:pPr>
    </w:p>
    <w:p w14:paraId="3236889A" w14:textId="77777777" w:rsidR="00B1589F" w:rsidRDefault="00B1589F" w:rsidP="00D4304B">
      <w:pPr>
        <w:widowControl w:val="0"/>
        <w:rPr>
          <w:shd w:val="pct15" w:color="auto" w:fill="auto"/>
        </w:rPr>
      </w:pPr>
      <w:r w:rsidRPr="00267BAB">
        <w:rPr>
          <w:shd w:val="pct15" w:color="auto" w:fill="auto"/>
        </w:rPr>
        <w:t>Dvojrozmerný čiarový kód so špecifickým identifikátorom.</w:t>
      </w:r>
    </w:p>
    <w:p w14:paraId="3236889B" w14:textId="77777777" w:rsidR="00924469" w:rsidRPr="00267BAB" w:rsidRDefault="00924469" w:rsidP="00D4304B">
      <w:pPr>
        <w:widowControl w:val="0"/>
        <w:rPr>
          <w:shd w:val="pct15" w:color="auto" w:fill="auto"/>
        </w:rPr>
      </w:pPr>
    </w:p>
    <w:p w14:paraId="3236889C" w14:textId="77777777" w:rsidR="00B1589F" w:rsidRPr="00C937E7" w:rsidRDefault="00B1589F" w:rsidP="00D4304B">
      <w:pPr>
        <w:widowControl w:val="0"/>
        <w:rPr>
          <w:noProof/>
        </w:rPr>
      </w:pPr>
    </w:p>
    <w:p w14:paraId="3236889D" w14:textId="77777777" w:rsidR="00B1589F" w:rsidRPr="00C937E7" w:rsidRDefault="00B1589F" w:rsidP="003E286B">
      <w:pPr>
        <w:keepNext/>
        <w:widowControl w:val="0"/>
        <w:pBdr>
          <w:top w:val="single" w:sz="4" w:space="1" w:color="auto"/>
          <w:left w:val="single" w:sz="4" w:space="4" w:color="auto"/>
          <w:bottom w:val="single" w:sz="4" w:space="1" w:color="auto"/>
          <w:right w:val="single" w:sz="4" w:space="4" w:color="auto"/>
        </w:pBdr>
        <w:tabs>
          <w:tab w:val="left" w:pos="567"/>
        </w:tabs>
        <w:ind w:left="-3" w:firstLine="3"/>
        <w:outlineLvl w:val="0"/>
        <w:rPr>
          <w:i/>
          <w:noProof/>
        </w:rPr>
      </w:pPr>
      <w:r>
        <w:rPr>
          <w:b/>
          <w:noProof/>
        </w:rPr>
        <w:t>18.</w:t>
      </w:r>
      <w:r>
        <w:rPr>
          <w:b/>
          <w:noProof/>
        </w:rPr>
        <w:tab/>
        <w:t>ŠPECIFICKÝ IDENTIFIKÁTOR – ÚDAJE ČITATEĽNÉ ĽUDSKÝM OKOM</w:t>
      </w:r>
    </w:p>
    <w:p w14:paraId="3236889E" w14:textId="77777777" w:rsidR="00B1589F" w:rsidRPr="00C937E7" w:rsidRDefault="00B1589F" w:rsidP="003E286B">
      <w:pPr>
        <w:keepNext/>
        <w:widowControl w:val="0"/>
        <w:rPr>
          <w:noProof/>
        </w:rPr>
      </w:pPr>
    </w:p>
    <w:p w14:paraId="3236889F" w14:textId="77777777" w:rsidR="00B1589F" w:rsidRPr="00267BAB" w:rsidRDefault="00B1589F" w:rsidP="003E286B">
      <w:pPr>
        <w:keepNext/>
        <w:widowControl w:val="0"/>
        <w:rPr>
          <w:szCs w:val="22"/>
        </w:rPr>
      </w:pPr>
      <w:r>
        <w:t>PC:</w:t>
      </w:r>
    </w:p>
    <w:p w14:paraId="323688A0" w14:textId="77777777" w:rsidR="00B1589F" w:rsidRPr="00C937E7" w:rsidRDefault="00B1589F" w:rsidP="003E286B">
      <w:pPr>
        <w:keepNext/>
        <w:widowControl w:val="0"/>
        <w:rPr>
          <w:szCs w:val="22"/>
        </w:rPr>
      </w:pPr>
      <w:r>
        <w:t>SN:</w:t>
      </w:r>
    </w:p>
    <w:p w14:paraId="323688A1" w14:textId="77777777" w:rsidR="00B1589F" w:rsidRPr="00C937E7" w:rsidRDefault="00B1589F" w:rsidP="00D4304B">
      <w:pPr>
        <w:widowControl w:val="0"/>
        <w:rPr>
          <w:szCs w:val="22"/>
        </w:rPr>
      </w:pPr>
      <w:r>
        <w:t>NN:</w:t>
      </w:r>
    </w:p>
    <w:p w14:paraId="323688A2" w14:textId="77777777" w:rsidR="00F72C2E" w:rsidRPr="00C83045" w:rsidRDefault="00F72C2E" w:rsidP="00D4304B">
      <w:pPr>
        <w:widowControl w:val="0"/>
        <w:ind w:left="0" w:firstLine="0"/>
        <w:rPr>
          <w:color w:val="000000"/>
          <w:szCs w:val="22"/>
        </w:rPr>
      </w:pPr>
      <w:r w:rsidRPr="00C83045">
        <w:rPr>
          <w:b/>
          <w:color w:val="000000"/>
          <w:szCs w:val="22"/>
          <w:u w:val="single"/>
        </w:rPr>
        <w:br w:type="page"/>
      </w:r>
    </w:p>
    <w:p w14:paraId="323688A3" w14:textId="77777777" w:rsidR="003E286B" w:rsidRPr="003E286B" w:rsidRDefault="003E286B" w:rsidP="003E286B">
      <w:pPr>
        <w:widowControl w:val="0"/>
        <w:rPr>
          <w:bCs/>
          <w:color w:val="000000"/>
          <w:szCs w:val="22"/>
        </w:rPr>
      </w:pPr>
    </w:p>
    <w:p w14:paraId="323688A4"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83045">
        <w:rPr>
          <w:b/>
          <w:color w:val="000000"/>
          <w:szCs w:val="22"/>
        </w:rPr>
        <w:t>MINIMÁLNE ÚDAJE, KTORÉ MAJÚ BYŤ UVEDENÉ NA BLISTROCH ALEBO STRIPOCH</w:t>
      </w:r>
    </w:p>
    <w:p w14:paraId="323688A5"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color w:val="000000"/>
          <w:szCs w:val="22"/>
        </w:rPr>
      </w:pPr>
    </w:p>
    <w:p w14:paraId="323688A6"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83045">
        <w:rPr>
          <w:b/>
          <w:color w:val="000000"/>
          <w:szCs w:val="22"/>
        </w:rPr>
        <w:t>BLISTRE</w:t>
      </w:r>
    </w:p>
    <w:p w14:paraId="323688A7" w14:textId="77777777" w:rsidR="00F72C2E" w:rsidRPr="00C83045" w:rsidRDefault="00F72C2E" w:rsidP="00D4304B">
      <w:pPr>
        <w:widowControl w:val="0"/>
        <w:rPr>
          <w:bCs/>
          <w:color w:val="000000"/>
          <w:szCs w:val="22"/>
        </w:rPr>
      </w:pPr>
    </w:p>
    <w:p w14:paraId="323688A8" w14:textId="77777777" w:rsidR="00F72C2E" w:rsidRPr="00C83045" w:rsidRDefault="00F72C2E" w:rsidP="00D4304B">
      <w:pPr>
        <w:widowControl w:val="0"/>
        <w:rPr>
          <w:bCs/>
          <w:color w:val="000000"/>
          <w:szCs w:val="22"/>
        </w:rPr>
      </w:pPr>
    </w:p>
    <w:p w14:paraId="323688A9"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w:t>
      </w:r>
      <w:r w:rsidRPr="00C83045">
        <w:rPr>
          <w:b/>
          <w:color w:val="000000"/>
          <w:szCs w:val="22"/>
        </w:rPr>
        <w:tab/>
        <w:t>NÁZOV LIEKU</w:t>
      </w:r>
    </w:p>
    <w:p w14:paraId="323688AA" w14:textId="77777777" w:rsidR="00F72C2E" w:rsidRPr="00C83045" w:rsidRDefault="00F72C2E" w:rsidP="00D4304B">
      <w:pPr>
        <w:widowControl w:val="0"/>
        <w:rPr>
          <w:color w:val="000000"/>
          <w:szCs w:val="22"/>
        </w:rPr>
      </w:pPr>
    </w:p>
    <w:p w14:paraId="323688AB" w14:textId="77777777" w:rsidR="00F72C2E" w:rsidRPr="00C83045" w:rsidRDefault="00F72C2E" w:rsidP="00D4304B">
      <w:pPr>
        <w:widowControl w:val="0"/>
        <w:rPr>
          <w:color w:val="000000"/>
          <w:szCs w:val="22"/>
        </w:rPr>
      </w:pPr>
      <w:r w:rsidRPr="00C83045">
        <w:rPr>
          <w:color w:val="000000"/>
          <w:szCs w:val="22"/>
        </w:rPr>
        <w:t>Glivec 100 mg kapsuly</w:t>
      </w:r>
    </w:p>
    <w:p w14:paraId="323688AC" w14:textId="77777777" w:rsidR="00F72C2E" w:rsidRPr="00C83045" w:rsidRDefault="002773F9" w:rsidP="00D4304B">
      <w:pPr>
        <w:widowControl w:val="0"/>
        <w:rPr>
          <w:color w:val="000000"/>
          <w:szCs w:val="22"/>
        </w:rPr>
      </w:pPr>
      <w:r>
        <w:rPr>
          <w:color w:val="000000"/>
          <w:szCs w:val="22"/>
        </w:rPr>
        <w:t>i</w:t>
      </w:r>
      <w:r w:rsidR="00F72C2E" w:rsidRPr="00C83045">
        <w:rPr>
          <w:color w:val="000000"/>
          <w:szCs w:val="22"/>
        </w:rPr>
        <w:t>matinib</w:t>
      </w:r>
    </w:p>
    <w:p w14:paraId="323688AD" w14:textId="77777777" w:rsidR="00F72C2E" w:rsidRPr="00C83045" w:rsidRDefault="00F72C2E" w:rsidP="00D4304B">
      <w:pPr>
        <w:widowControl w:val="0"/>
        <w:rPr>
          <w:color w:val="000000"/>
          <w:szCs w:val="22"/>
        </w:rPr>
      </w:pPr>
    </w:p>
    <w:p w14:paraId="323688AE" w14:textId="77777777" w:rsidR="00F72C2E" w:rsidRPr="00C83045" w:rsidRDefault="00F72C2E" w:rsidP="00D4304B">
      <w:pPr>
        <w:widowControl w:val="0"/>
        <w:rPr>
          <w:color w:val="000000"/>
          <w:szCs w:val="22"/>
        </w:rPr>
      </w:pPr>
    </w:p>
    <w:p w14:paraId="323688AF"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2.</w:t>
      </w:r>
      <w:r w:rsidRPr="00C83045">
        <w:rPr>
          <w:b/>
          <w:color w:val="000000"/>
          <w:szCs w:val="22"/>
        </w:rPr>
        <w:tab/>
        <w:t>NÁZOV DRŽITEĽA ROZHODNUTIA O REGISTRÁCII</w:t>
      </w:r>
    </w:p>
    <w:p w14:paraId="323688B0" w14:textId="77777777" w:rsidR="00F72C2E" w:rsidRPr="00C83045" w:rsidRDefault="00F72C2E" w:rsidP="00D4304B">
      <w:pPr>
        <w:widowControl w:val="0"/>
        <w:rPr>
          <w:color w:val="000000"/>
          <w:szCs w:val="22"/>
        </w:rPr>
      </w:pPr>
    </w:p>
    <w:p w14:paraId="323688B1" w14:textId="77777777" w:rsidR="00F72C2E" w:rsidRPr="00C83045" w:rsidRDefault="00F72C2E" w:rsidP="00D4304B">
      <w:pPr>
        <w:widowControl w:val="0"/>
        <w:rPr>
          <w:snapToGrid w:val="0"/>
          <w:color w:val="000000"/>
          <w:szCs w:val="22"/>
        </w:rPr>
      </w:pPr>
      <w:r w:rsidRPr="00C83045">
        <w:rPr>
          <w:snapToGrid w:val="0"/>
          <w:color w:val="000000"/>
          <w:szCs w:val="22"/>
        </w:rPr>
        <w:t>Novartis Europharm Limited</w:t>
      </w:r>
    </w:p>
    <w:p w14:paraId="323688B2" w14:textId="77777777" w:rsidR="00F72C2E" w:rsidRPr="00C83045" w:rsidRDefault="00F72C2E" w:rsidP="00D4304B">
      <w:pPr>
        <w:widowControl w:val="0"/>
        <w:rPr>
          <w:color w:val="000000"/>
          <w:szCs w:val="22"/>
        </w:rPr>
      </w:pPr>
    </w:p>
    <w:p w14:paraId="323688B3" w14:textId="77777777" w:rsidR="00F72C2E" w:rsidRPr="00C83045" w:rsidRDefault="00F72C2E" w:rsidP="00D4304B">
      <w:pPr>
        <w:widowControl w:val="0"/>
        <w:rPr>
          <w:color w:val="000000"/>
          <w:szCs w:val="22"/>
        </w:rPr>
      </w:pPr>
    </w:p>
    <w:p w14:paraId="323688B4"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3.</w:t>
      </w:r>
      <w:r w:rsidRPr="00C83045">
        <w:rPr>
          <w:b/>
          <w:color w:val="000000"/>
          <w:szCs w:val="22"/>
        </w:rPr>
        <w:tab/>
        <w:t>DÁTUM EXSPIRÁCIE</w:t>
      </w:r>
    </w:p>
    <w:p w14:paraId="323688B5" w14:textId="77777777" w:rsidR="00F72C2E" w:rsidRPr="00C83045" w:rsidRDefault="00F72C2E" w:rsidP="00D4304B">
      <w:pPr>
        <w:widowControl w:val="0"/>
        <w:rPr>
          <w:color w:val="000000"/>
          <w:szCs w:val="22"/>
        </w:rPr>
      </w:pPr>
    </w:p>
    <w:p w14:paraId="323688B6" w14:textId="77777777" w:rsidR="00F72C2E" w:rsidRPr="00C83045" w:rsidRDefault="00F72C2E" w:rsidP="00D4304B">
      <w:pPr>
        <w:widowControl w:val="0"/>
        <w:rPr>
          <w:color w:val="000000"/>
          <w:szCs w:val="22"/>
        </w:rPr>
      </w:pPr>
      <w:r w:rsidRPr="00C83045">
        <w:rPr>
          <w:color w:val="000000"/>
          <w:szCs w:val="22"/>
        </w:rPr>
        <w:t>EXP</w:t>
      </w:r>
    </w:p>
    <w:p w14:paraId="323688B7" w14:textId="77777777" w:rsidR="00F72C2E" w:rsidRPr="00C83045" w:rsidRDefault="00F72C2E" w:rsidP="00D4304B">
      <w:pPr>
        <w:widowControl w:val="0"/>
        <w:rPr>
          <w:color w:val="000000"/>
          <w:szCs w:val="22"/>
        </w:rPr>
      </w:pPr>
    </w:p>
    <w:p w14:paraId="323688B8" w14:textId="77777777" w:rsidR="00F72C2E" w:rsidRPr="00C83045" w:rsidRDefault="00F72C2E" w:rsidP="00D4304B">
      <w:pPr>
        <w:widowControl w:val="0"/>
        <w:rPr>
          <w:color w:val="000000"/>
          <w:szCs w:val="22"/>
        </w:rPr>
      </w:pPr>
    </w:p>
    <w:p w14:paraId="323688B9"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4.</w:t>
      </w:r>
      <w:r w:rsidRPr="00C83045">
        <w:rPr>
          <w:b/>
          <w:color w:val="000000"/>
          <w:szCs w:val="22"/>
        </w:rPr>
        <w:tab/>
        <w:t>ČÍSLO VÝROBNEJ ŠARŽE</w:t>
      </w:r>
    </w:p>
    <w:p w14:paraId="323688BA" w14:textId="77777777" w:rsidR="00F72C2E" w:rsidRPr="00C83045" w:rsidRDefault="00F72C2E" w:rsidP="00D4304B">
      <w:pPr>
        <w:widowControl w:val="0"/>
        <w:rPr>
          <w:color w:val="000000"/>
          <w:szCs w:val="22"/>
        </w:rPr>
      </w:pPr>
    </w:p>
    <w:p w14:paraId="323688BB" w14:textId="77777777" w:rsidR="00F72C2E" w:rsidRPr="00C83045" w:rsidRDefault="00F72C2E" w:rsidP="00D4304B">
      <w:pPr>
        <w:widowControl w:val="0"/>
        <w:rPr>
          <w:color w:val="000000"/>
          <w:szCs w:val="22"/>
        </w:rPr>
      </w:pPr>
      <w:r w:rsidRPr="00C83045">
        <w:rPr>
          <w:color w:val="000000"/>
          <w:szCs w:val="22"/>
        </w:rPr>
        <w:t>Lot</w:t>
      </w:r>
    </w:p>
    <w:p w14:paraId="323688BC" w14:textId="77777777" w:rsidR="00F72C2E" w:rsidRPr="00C83045" w:rsidRDefault="00F72C2E" w:rsidP="00D4304B">
      <w:pPr>
        <w:widowControl w:val="0"/>
        <w:rPr>
          <w:color w:val="000000"/>
          <w:szCs w:val="22"/>
        </w:rPr>
      </w:pPr>
    </w:p>
    <w:p w14:paraId="323688BD" w14:textId="77777777" w:rsidR="00F72C2E" w:rsidRPr="00C83045" w:rsidRDefault="00F72C2E" w:rsidP="00D4304B">
      <w:pPr>
        <w:widowControl w:val="0"/>
        <w:rPr>
          <w:color w:val="000000"/>
          <w:szCs w:val="22"/>
        </w:rPr>
      </w:pPr>
    </w:p>
    <w:p w14:paraId="323688BE"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noProof/>
          <w:color w:val="000000"/>
          <w:szCs w:val="22"/>
        </w:rPr>
      </w:pPr>
      <w:r w:rsidRPr="00C83045">
        <w:rPr>
          <w:b/>
          <w:noProof/>
          <w:color w:val="000000"/>
          <w:szCs w:val="22"/>
        </w:rPr>
        <w:t>5.</w:t>
      </w:r>
      <w:r w:rsidRPr="00C83045">
        <w:rPr>
          <w:b/>
          <w:noProof/>
          <w:color w:val="000000"/>
          <w:szCs w:val="22"/>
        </w:rPr>
        <w:tab/>
        <w:t>INÉ</w:t>
      </w:r>
    </w:p>
    <w:p w14:paraId="323688BF" w14:textId="77777777" w:rsidR="00F72C2E" w:rsidRPr="00C83045" w:rsidRDefault="00F72C2E" w:rsidP="00D4304B">
      <w:pPr>
        <w:widowControl w:val="0"/>
        <w:rPr>
          <w:color w:val="000000"/>
          <w:szCs w:val="22"/>
        </w:rPr>
      </w:pPr>
    </w:p>
    <w:p w14:paraId="323688C0" w14:textId="77777777" w:rsidR="00F72C2E" w:rsidRPr="00C83045" w:rsidRDefault="00F72C2E" w:rsidP="00D4304B">
      <w:pPr>
        <w:widowControl w:val="0"/>
        <w:ind w:left="0" w:firstLine="0"/>
        <w:rPr>
          <w:color w:val="000000"/>
          <w:szCs w:val="22"/>
        </w:rPr>
      </w:pPr>
      <w:r w:rsidRPr="00C83045">
        <w:rPr>
          <w:b/>
          <w:color w:val="000000"/>
          <w:szCs w:val="22"/>
        </w:rPr>
        <w:br w:type="page"/>
      </w:r>
    </w:p>
    <w:p w14:paraId="323688C1" w14:textId="77777777" w:rsidR="003E286B" w:rsidRPr="003E286B" w:rsidRDefault="003E286B" w:rsidP="003E286B">
      <w:pPr>
        <w:widowControl w:val="0"/>
        <w:rPr>
          <w:color w:val="000000"/>
          <w:szCs w:val="22"/>
        </w:rPr>
      </w:pPr>
    </w:p>
    <w:p w14:paraId="323688C2"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83045">
        <w:rPr>
          <w:b/>
          <w:color w:val="000000"/>
          <w:szCs w:val="22"/>
        </w:rPr>
        <w:t>ÚDAJE, KTORÉ MAJÚ BYŤ UVEDENÉ NA VONKAJŠOM OBALE</w:t>
      </w:r>
    </w:p>
    <w:p w14:paraId="323688C3"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color w:val="000000"/>
          <w:szCs w:val="22"/>
        </w:rPr>
      </w:pPr>
    </w:p>
    <w:p w14:paraId="323688C4"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83045">
        <w:rPr>
          <w:b/>
          <w:color w:val="000000"/>
          <w:szCs w:val="22"/>
        </w:rPr>
        <w:t>PAPIEROVÁ ŠKATUĽA</w:t>
      </w:r>
    </w:p>
    <w:p w14:paraId="323688C5" w14:textId="77777777" w:rsidR="00F72C2E" w:rsidRPr="00C83045" w:rsidRDefault="00F72C2E" w:rsidP="00D4304B">
      <w:pPr>
        <w:widowControl w:val="0"/>
        <w:rPr>
          <w:color w:val="000000"/>
          <w:szCs w:val="22"/>
        </w:rPr>
      </w:pPr>
    </w:p>
    <w:p w14:paraId="323688C6" w14:textId="77777777" w:rsidR="00F72C2E" w:rsidRPr="00C83045" w:rsidRDefault="00F72C2E" w:rsidP="00D4304B">
      <w:pPr>
        <w:widowControl w:val="0"/>
        <w:rPr>
          <w:color w:val="000000"/>
          <w:szCs w:val="22"/>
        </w:rPr>
      </w:pPr>
    </w:p>
    <w:p w14:paraId="323688C7"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w:t>
      </w:r>
      <w:r w:rsidRPr="00C83045">
        <w:rPr>
          <w:b/>
          <w:color w:val="000000"/>
          <w:szCs w:val="22"/>
        </w:rPr>
        <w:tab/>
        <w:t>NÁZOV LIEKU</w:t>
      </w:r>
    </w:p>
    <w:p w14:paraId="323688C8" w14:textId="77777777" w:rsidR="00F72C2E" w:rsidRPr="00C83045" w:rsidRDefault="00F72C2E" w:rsidP="00D4304B">
      <w:pPr>
        <w:widowControl w:val="0"/>
        <w:rPr>
          <w:color w:val="000000"/>
          <w:szCs w:val="22"/>
        </w:rPr>
      </w:pPr>
    </w:p>
    <w:p w14:paraId="323688C9" w14:textId="77777777" w:rsidR="00F72C2E" w:rsidRPr="00C83045" w:rsidRDefault="00F72C2E" w:rsidP="00D4304B">
      <w:pPr>
        <w:widowControl w:val="0"/>
        <w:rPr>
          <w:color w:val="000000"/>
          <w:szCs w:val="22"/>
        </w:rPr>
      </w:pPr>
      <w:r w:rsidRPr="00C83045">
        <w:rPr>
          <w:color w:val="000000"/>
          <w:szCs w:val="22"/>
        </w:rPr>
        <w:t>Glivec 100 mg filmom obalené tablety</w:t>
      </w:r>
    </w:p>
    <w:p w14:paraId="323688CA" w14:textId="77777777" w:rsidR="00F72C2E" w:rsidRPr="00C83045" w:rsidRDefault="002773F9" w:rsidP="00D4304B">
      <w:pPr>
        <w:widowControl w:val="0"/>
        <w:rPr>
          <w:color w:val="000000"/>
          <w:szCs w:val="22"/>
        </w:rPr>
      </w:pPr>
      <w:r>
        <w:rPr>
          <w:color w:val="000000"/>
          <w:szCs w:val="22"/>
        </w:rPr>
        <w:t>i</w:t>
      </w:r>
      <w:r w:rsidR="00F72C2E" w:rsidRPr="00C83045">
        <w:rPr>
          <w:color w:val="000000"/>
          <w:szCs w:val="22"/>
        </w:rPr>
        <w:t>matinib</w:t>
      </w:r>
    </w:p>
    <w:p w14:paraId="323688CB" w14:textId="77777777" w:rsidR="00F72C2E" w:rsidRPr="00C83045" w:rsidRDefault="00F72C2E" w:rsidP="00D4304B">
      <w:pPr>
        <w:widowControl w:val="0"/>
        <w:rPr>
          <w:color w:val="000000"/>
          <w:szCs w:val="22"/>
        </w:rPr>
      </w:pPr>
    </w:p>
    <w:p w14:paraId="323688CC" w14:textId="77777777" w:rsidR="00F72C2E" w:rsidRPr="00C83045" w:rsidRDefault="00F72C2E" w:rsidP="00D4304B">
      <w:pPr>
        <w:widowControl w:val="0"/>
        <w:rPr>
          <w:color w:val="000000"/>
          <w:szCs w:val="22"/>
        </w:rPr>
      </w:pPr>
    </w:p>
    <w:p w14:paraId="323688CD"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2.</w:t>
      </w:r>
      <w:r w:rsidRPr="00C83045">
        <w:rPr>
          <w:b/>
          <w:color w:val="000000"/>
          <w:szCs w:val="22"/>
        </w:rPr>
        <w:tab/>
        <w:t>LIEČIVO</w:t>
      </w:r>
      <w:r w:rsidR="00760E8E" w:rsidRPr="00C83045">
        <w:rPr>
          <w:b/>
          <w:color w:val="000000"/>
          <w:szCs w:val="22"/>
        </w:rPr>
        <w:t>(LIEČIVÁ)</w:t>
      </w:r>
    </w:p>
    <w:p w14:paraId="323688CE" w14:textId="77777777" w:rsidR="00F72C2E" w:rsidRPr="00C83045" w:rsidRDefault="00F72C2E" w:rsidP="00D4304B">
      <w:pPr>
        <w:widowControl w:val="0"/>
        <w:rPr>
          <w:color w:val="000000"/>
          <w:szCs w:val="22"/>
        </w:rPr>
      </w:pPr>
    </w:p>
    <w:p w14:paraId="323688CF" w14:textId="77777777" w:rsidR="00F72C2E" w:rsidRPr="00C83045" w:rsidRDefault="00F72C2E" w:rsidP="00D4304B">
      <w:pPr>
        <w:widowControl w:val="0"/>
        <w:rPr>
          <w:color w:val="000000"/>
          <w:szCs w:val="22"/>
        </w:rPr>
      </w:pPr>
      <w:r w:rsidRPr="00C83045">
        <w:rPr>
          <w:color w:val="000000"/>
          <w:szCs w:val="22"/>
        </w:rPr>
        <w:t>Každá filmom obalená tableta obsahuje 100 mg imatinibu (ako mesilátu).</w:t>
      </w:r>
    </w:p>
    <w:p w14:paraId="323688D0" w14:textId="77777777" w:rsidR="00F72C2E" w:rsidRPr="00C83045" w:rsidRDefault="00F72C2E" w:rsidP="00D4304B">
      <w:pPr>
        <w:widowControl w:val="0"/>
        <w:rPr>
          <w:color w:val="000000"/>
          <w:szCs w:val="22"/>
        </w:rPr>
      </w:pPr>
    </w:p>
    <w:p w14:paraId="323688D1" w14:textId="77777777" w:rsidR="00F72C2E" w:rsidRPr="00C83045" w:rsidRDefault="00F72C2E" w:rsidP="00D4304B">
      <w:pPr>
        <w:widowControl w:val="0"/>
        <w:rPr>
          <w:color w:val="000000"/>
          <w:szCs w:val="22"/>
        </w:rPr>
      </w:pPr>
    </w:p>
    <w:p w14:paraId="323688D2"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3.</w:t>
      </w:r>
      <w:r w:rsidRPr="00C83045">
        <w:rPr>
          <w:b/>
          <w:color w:val="000000"/>
          <w:szCs w:val="22"/>
        </w:rPr>
        <w:tab/>
        <w:t>ZOZNAM POMOCNÝCH LÁTOK</w:t>
      </w:r>
    </w:p>
    <w:p w14:paraId="323688D3" w14:textId="77777777" w:rsidR="00F72C2E" w:rsidRPr="00C83045" w:rsidRDefault="00F72C2E" w:rsidP="00D4304B">
      <w:pPr>
        <w:widowControl w:val="0"/>
        <w:rPr>
          <w:color w:val="000000"/>
          <w:szCs w:val="22"/>
        </w:rPr>
      </w:pPr>
    </w:p>
    <w:p w14:paraId="323688D4" w14:textId="77777777" w:rsidR="00F72C2E" w:rsidRPr="00C83045" w:rsidRDefault="00F72C2E" w:rsidP="00D4304B">
      <w:pPr>
        <w:widowControl w:val="0"/>
        <w:rPr>
          <w:color w:val="000000"/>
          <w:szCs w:val="22"/>
        </w:rPr>
      </w:pPr>
    </w:p>
    <w:p w14:paraId="323688D5"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4.</w:t>
      </w:r>
      <w:r w:rsidRPr="00C83045">
        <w:rPr>
          <w:b/>
          <w:color w:val="000000"/>
          <w:szCs w:val="22"/>
        </w:rPr>
        <w:tab/>
        <w:t>LIEKOVÁ FORMA A OBSAH</w:t>
      </w:r>
    </w:p>
    <w:p w14:paraId="323688D6" w14:textId="77777777" w:rsidR="00F72C2E" w:rsidRPr="00C83045" w:rsidRDefault="00F72C2E" w:rsidP="00D4304B">
      <w:pPr>
        <w:widowControl w:val="0"/>
        <w:rPr>
          <w:color w:val="000000"/>
          <w:szCs w:val="22"/>
        </w:rPr>
      </w:pPr>
    </w:p>
    <w:p w14:paraId="323688D7" w14:textId="77777777" w:rsidR="00F72C2E" w:rsidRPr="00C83045" w:rsidRDefault="00F72C2E" w:rsidP="00D4304B">
      <w:pPr>
        <w:widowControl w:val="0"/>
        <w:rPr>
          <w:color w:val="000000"/>
          <w:szCs w:val="22"/>
        </w:rPr>
      </w:pPr>
      <w:r w:rsidRPr="0097750E">
        <w:rPr>
          <w:color w:val="000000"/>
          <w:szCs w:val="22"/>
        </w:rPr>
        <w:t>20 filmom obalených tabliet</w:t>
      </w:r>
    </w:p>
    <w:p w14:paraId="323688D8" w14:textId="77777777" w:rsidR="00F72C2E" w:rsidRPr="00C83045" w:rsidRDefault="00F72C2E" w:rsidP="00D4304B">
      <w:pPr>
        <w:widowControl w:val="0"/>
        <w:rPr>
          <w:color w:val="000000"/>
          <w:szCs w:val="22"/>
          <w:shd w:val="clear" w:color="auto" w:fill="D9D9D9"/>
        </w:rPr>
      </w:pPr>
      <w:r w:rsidRPr="00C83045">
        <w:rPr>
          <w:color w:val="000000"/>
          <w:szCs w:val="22"/>
          <w:shd w:val="clear" w:color="auto" w:fill="D9D9D9"/>
        </w:rPr>
        <w:t>60 filmom obalených tabliet</w:t>
      </w:r>
    </w:p>
    <w:p w14:paraId="323688D9" w14:textId="77777777" w:rsidR="00F72C2E" w:rsidRPr="00C83045" w:rsidRDefault="00F72C2E" w:rsidP="00D4304B">
      <w:pPr>
        <w:widowControl w:val="0"/>
        <w:rPr>
          <w:color w:val="000000"/>
          <w:szCs w:val="22"/>
          <w:shd w:val="clear" w:color="auto" w:fill="D9D9D9"/>
        </w:rPr>
      </w:pPr>
      <w:r w:rsidRPr="00C83045">
        <w:rPr>
          <w:color w:val="000000"/>
          <w:szCs w:val="22"/>
          <w:shd w:val="clear" w:color="auto" w:fill="D9D9D9"/>
        </w:rPr>
        <w:t>120 filmom obalených tabliet</w:t>
      </w:r>
    </w:p>
    <w:p w14:paraId="323688DA" w14:textId="77777777" w:rsidR="00F72C2E" w:rsidRPr="00C83045" w:rsidRDefault="00F72C2E" w:rsidP="00D4304B">
      <w:pPr>
        <w:widowControl w:val="0"/>
        <w:rPr>
          <w:color w:val="000000"/>
          <w:szCs w:val="22"/>
        </w:rPr>
      </w:pPr>
      <w:r w:rsidRPr="00C83045">
        <w:rPr>
          <w:color w:val="000000"/>
          <w:szCs w:val="22"/>
          <w:shd w:val="clear" w:color="auto" w:fill="D9D9D9"/>
        </w:rPr>
        <w:t>180 filmom obalených tabliet</w:t>
      </w:r>
    </w:p>
    <w:p w14:paraId="323688DB" w14:textId="77777777" w:rsidR="00F72C2E" w:rsidRPr="00C83045" w:rsidRDefault="00F72C2E" w:rsidP="00D4304B">
      <w:pPr>
        <w:widowControl w:val="0"/>
        <w:rPr>
          <w:color w:val="000000"/>
          <w:szCs w:val="22"/>
        </w:rPr>
      </w:pPr>
    </w:p>
    <w:p w14:paraId="323688DC" w14:textId="77777777" w:rsidR="00F72C2E" w:rsidRPr="00C83045" w:rsidRDefault="00F72C2E" w:rsidP="00D4304B">
      <w:pPr>
        <w:widowControl w:val="0"/>
        <w:rPr>
          <w:color w:val="000000"/>
          <w:szCs w:val="22"/>
        </w:rPr>
      </w:pPr>
    </w:p>
    <w:p w14:paraId="323688DD"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5.</w:t>
      </w:r>
      <w:r w:rsidRPr="00C83045">
        <w:rPr>
          <w:b/>
          <w:color w:val="000000"/>
          <w:szCs w:val="22"/>
        </w:rPr>
        <w:tab/>
        <w:t>SPÔSOB A</w:t>
      </w:r>
      <w:r w:rsidR="00760E8E" w:rsidRPr="00C83045">
        <w:rPr>
          <w:b/>
          <w:color w:val="000000"/>
          <w:szCs w:val="22"/>
        </w:rPr>
        <w:t> </w:t>
      </w:r>
      <w:r w:rsidRPr="00C83045">
        <w:rPr>
          <w:b/>
          <w:color w:val="000000"/>
          <w:szCs w:val="22"/>
        </w:rPr>
        <w:t>CEST</w:t>
      </w:r>
      <w:r w:rsidR="00760E8E" w:rsidRPr="00C83045">
        <w:rPr>
          <w:b/>
          <w:color w:val="000000"/>
          <w:szCs w:val="22"/>
        </w:rPr>
        <w:t>A(CEST</w:t>
      </w:r>
      <w:r w:rsidRPr="00C83045">
        <w:rPr>
          <w:b/>
          <w:color w:val="000000"/>
          <w:szCs w:val="22"/>
        </w:rPr>
        <w:t>Y</w:t>
      </w:r>
      <w:r w:rsidR="00760E8E" w:rsidRPr="00C83045">
        <w:rPr>
          <w:b/>
          <w:color w:val="000000"/>
          <w:szCs w:val="22"/>
        </w:rPr>
        <w:t>)</w:t>
      </w:r>
      <w:r w:rsidRPr="00C83045">
        <w:rPr>
          <w:color w:val="000000"/>
          <w:szCs w:val="22"/>
        </w:rPr>
        <w:t xml:space="preserve"> </w:t>
      </w:r>
      <w:r w:rsidRPr="00C83045">
        <w:rPr>
          <w:b/>
          <w:color w:val="000000"/>
          <w:szCs w:val="22"/>
        </w:rPr>
        <w:t>POD</w:t>
      </w:r>
      <w:r w:rsidR="002773F9">
        <w:rPr>
          <w:b/>
          <w:color w:val="000000"/>
          <w:szCs w:val="22"/>
        </w:rPr>
        <w:t>ÁV</w:t>
      </w:r>
      <w:r w:rsidRPr="00C83045">
        <w:rPr>
          <w:b/>
          <w:color w:val="000000"/>
          <w:szCs w:val="22"/>
        </w:rPr>
        <w:t>ANIA</w:t>
      </w:r>
    </w:p>
    <w:p w14:paraId="323688DE" w14:textId="77777777" w:rsidR="00F72C2E" w:rsidRPr="00C83045" w:rsidRDefault="00F72C2E" w:rsidP="00D4304B">
      <w:pPr>
        <w:widowControl w:val="0"/>
        <w:rPr>
          <w:color w:val="000000"/>
          <w:szCs w:val="22"/>
        </w:rPr>
      </w:pPr>
    </w:p>
    <w:p w14:paraId="323688DF" w14:textId="77777777" w:rsidR="00F72C2E" w:rsidRPr="00C83045" w:rsidRDefault="00F72C2E" w:rsidP="00D4304B">
      <w:pPr>
        <w:widowControl w:val="0"/>
        <w:rPr>
          <w:color w:val="000000"/>
          <w:szCs w:val="22"/>
        </w:rPr>
      </w:pPr>
      <w:r w:rsidRPr="00C83045">
        <w:rPr>
          <w:color w:val="000000"/>
          <w:szCs w:val="22"/>
        </w:rPr>
        <w:t>Na vnútorné použitie. Pred použitím si prečítajte písomnú informáciu pre používate</w:t>
      </w:r>
      <w:r w:rsidR="000F7F9B" w:rsidRPr="00C83045">
        <w:rPr>
          <w:color w:val="000000"/>
          <w:szCs w:val="22"/>
        </w:rPr>
        <w:t>ľa</w:t>
      </w:r>
      <w:r w:rsidRPr="00C83045">
        <w:rPr>
          <w:color w:val="000000"/>
          <w:szCs w:val="22"/>
        </w:rPr>
        <w:t>.</w:t>
      </w:r>
    </w:p>
    <w:p w14:paraId="323688E0" w14:textId="77777777" w:rsidR="00F72C2E" w:rsidRPr="00C83045" w:rsidRDefault="00F72C2E" w:rsidP="00D4304B">
      <w:pPr>
        <w:widowControl w:val="0"/>
        <w:rPr>
          <w:color w:val="000000"/>
          <w:szCs w:val="22"/>
        </w:rPr>
      </w:pPr>
    </w:p>
    <w:p w14:paraId="323688E1" w14:textId="77777777" w:rsidR="00F72C2E" w:rsidRPr="00C83045" w:rsidRDefault="00F72C2E" w:rsidP="00D4304B">
      <w:pPr>
        <w:widowControl w:val="0"/>
        <w:rPr>
          <w:color w:val="000000"/>
          <w:szCs w:val="22"/>
        </w:rPr>
      </w:pPr>
    </w:p>
    <w:p w14:paraId="323688E2"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6.</w:t>
      </w:r>
      <w:r w:rsidRPr="00C83045">
        <w:rPr>
          <w:b/>
          <w:color w:val="000000"/>
          <w:szCs w:val="22"/>
        </w:rPr>
        <w:tab/>
        <w:t xml:space="preserve">ŠPECIÁLNE UPOZORNENIE, ŽE LIEK SA MUSÍ UCHOVÁVAŤ MIMO DOHĽADU </w:t>
      </w:r>
      <w:r w:rsidR="00760E8E" w:rsidRPr="00C83045">
        <w:rPr>
          <w:b/>
          <w:color w:val="000000"/>
          <w:szCs w:val="22"/>
        </w:rPr>
        <w:t xml:space="preserve">A DOSAHU </w:t>
      </w:r>
      <w:r w:rsidRPr="00C83045">
        <w:rPr>
          <w:b/>
          <w:color w:val="000000"/>
          <w:szCs w:val="22"/>
        </w:rPr>
        <w:t>DETÍ</w:t>
      </w:r>
    </w:p>
    <w:p w14:paraId="323688E3" w14:textId="77777777" w:rsidR="00F72C2E" w:rsidRPr="00C83045" w:rsidRDefault="00F72C2E" w:rsidP="00D4304B">
      <w:pPr>
        <w:widowControl w:val="0"/>
        <w:rPr>
          <w:color w:val="000000"/>
          <w:szCs w:val="22"/>
        </w:rPr>
      </w:pPr>
    </w:p>
    <w:p w14:paraId="323688E4" w14:textId="77777777" w:rsidR="00F72C2E" w:rsidRPr="00C83045" w:rsidRDefault="00F72C2E" w:rsidP="00D4304B">
      <w:pPr>
        <w:widowControl w:val="0"/>
        <w:outlineLvl w:val="0"/>
        <w:rPr>
          <w:color w:val="000000"/>
          <w:szCs w:val="22"/>
        </w:rPr>
      </w:pPr>
      <w:r w:rsidRPr="00C83045">
        <w:rPr>
          <w:color w:val="000000"/>
          <w:szCs w:val="22"/>
        </w:rPr>
        <w:t xml:space="preserve">Uchovávajte mimo </w:t>
      </w:r>
      <w:r w:rsidR="00760E8E" w:rsidRPr="00C83045">
        <w:rPr>
          <w:color w:val="000000"/>
          <w:szCs w:val="22"/>
        </w:rPr>
        <w:t xml:space="preserve">dohľadu a </w:t>
      </w:r>
      <w:r w:rsidRPr="00C83045">
        <w:rPr>
          <w:color w:val="000000"/>
          <w:szCs w:val="22"/>
        </w:rPr>
        <w:t>dosahu detí.</w:t>
      </w:r>
    </w:p>
    <w:p w14:paraId="323688E5" w14:textId="77777777" w:rsidR="00F72C2E" w:rsidRPr="00C83045" w:rsidRDefault="00F72C2E" w:rsidP="00D4304B">
      <w:pPr>
        <w:widowControl w:val="0"/>
        <w:rPr>
          <w:color w:val="000000"/>
          <w:szCs w:val="22"/>
        </w:rPr>
      </w:pPr>
    </w:p>
    <w:p w14:paraId="323688E6" w14:textId="77777777" w:rsidR="00F72C2E" w:rsidRPr="00C83045" w:rsidRDefault="00F72C2E" w:rsidP="00D4304B">
      <w:pPr>
        <w:widowControl w:val="0"/>
        <w:rPr>
          <w:color w:val="000000"/>
          <w:szCs w:val="22"/>
        </w:rPr>
      </w:pPr>
    </w:p>
    <w:p w14:paraId="323688E7"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7.</w:t>
      </w:r>
      <w:r w:rsidRPr="00C83045">
        <w:rPr>
          <w:b/>
          <w:color w:val="000000"/>
          <w:szCs w:val="22"/>
        </w:rPr>
        <w:tab/>
        <w:t>INÉ ŠPECIÁLNE UPOZORNENIE</w:t>
      </w:r>
      <w:r w:rsidR="00760E8E" w:rsidRPr="00C83045">
        <w:rPr>
          <w:b/>
          <w:color w:val="000000"/>
          <w:szCs w:val="22"/>
        </w:rPr>
        <w:t>(UPOZORNENIA)</w:t>
      </w:r>
      <w:r w:rsidRPr="00C83045">
        <w:rPr>
          <w:b/>
          <w:color w:val="000000"/>
          <w:szCs w:val="22"/>
        </w:rPr>
        <w:t>, AK JE TO POTREBNÉ</w:t>
      </w:r>
    </w:p>
    <w:p w14:paraId="323688E8" w14:textId="77777777" w:rsidR="00F72C2E" w:rsidRPr="00C83045" w:rsidRDefault="00F72C2E" w:rsidP="00D4304B">
      <w:pPr>
        <w:widowControl w:val="0"/>
        <w:rPr>
          <w:color w:val="000000"/>
          <w:szCs w:val="22"/>
        </w:rPr>
      </w:pPr>
    </w:p>
    <w:p w14:paraId="323688E9" w14:textId="77777777" w:rsidR="00F72C2E" w:rsidRPr="00C83045" w:rsidRDefault="00F72C2E" w:rsidP="00D4304B">
      <w:pPr>
        <w:widowControl w:val="0"/>
        <w:rPr>
          <w:color w:val="000000"/>
          <w:szCs w:val="22"/>
        </w:rPr>
      </w:pPr>
      <w:r w:rsidRPr="00C83045">
        <w:rPr>
          <w:color w:val="000000"/>
          <w:szCs w:val="22"/>
        </w:rPr>
        <w:t>Užívajte len podľa pokynov lekára.</w:t>
      </w:r>
    </w:p>
    <w:p w14:paraId="323688EA" w14:textId="77777777" w:rsidR="00F72C2E" w:rsidRPr="00C83045" w:rsidRDefault="00F72C2E" w:rsidP="00D4304B">
      <w:pPr>
        <w:widowControl w:val="0"/>
        <w:rPr>
          <w:color w:val="000000"/>
          <w:szCs w:val="22"/>
        </w:rPr>
      </w:pPr>
    </w:p>
    <w:p w14:paraId="323688EB" w14:textId="77777777" w:rsidR="00F72C2E" w:rsidRPr="00C83045" w:rsidRDefault="00F72C2E" w:rsidP="00D4304B">
      <w:pPr>
        <w:widowControl w:val="0"/>
        <w:rPr>
          <w:color w:val="000000"/>
          <w:szCs w:val="22"/>
        </w:rPr>
      </w:pPr>
    </w:p>
    <w:p w14:paraId="323688EC"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8.</w:t>
      </w:r>
      <w:r w:rsidRPr="00C83045">
        <w:rPr>
          <w:b/>
          <w:color w:val="000000"/>
          <w:szCs w:val="22"/>
        </w:rPr>
        <w:tab/>
        <w:t>DÁTUM EXSPIRÁCIE</w:t>
      </w:r>
    </w:p>
    <w:p w14:paraId="323688ED" w14:textId="77777777" w:rsidR="00F72C2E" w:rsidRPr="00C83045" w:rsidRDefault="00F72C2E" w:rsidP="00D4304B">
      <w:pPr>
        <w:widowControl w:val="0"/>
        <w:rPr>
          <w:color w:val="000000"/>
          <w:szCs w:val="22"/>
        </w:rPr>
      </w:pPr>
    </w:p>
    <w:p w14:paraId="323688EE" w14:textId="77777777" w:rsidR="00F72C2E" w:rsidRPr="00C83045" w:rsidRDefault="00F72C2E" w:rsidP="00D4304B">
      <w:pPr>
        <w:widowControl w:val="0"/>
        <w:outlineLvl w:val="0"/>
        <w:rPr>
          <w:color w:val="000000"/>
          <w:szCs w:val="22"/>
        </w:rPr>
      </w:pPr>
      <w:r w:rsidRPr="00C83045">
        <w:rPr>
          <w:color w:val="000000"/>
          <w:szCs w:val="22"/>
        </w:rPr>
        <w:t>EXP</w:t>
      </w:r>
    </w:p>
    <w:p w14:paraId="323688EF" w14:textId="77777777" w:rsidR="00F72C2E" w:rsidRPr="00C83045" w:rsidRDefault="00F72C2E" w:rsidP="00D4304B">
      <w:pPr>
        <w:widowControl w:val="0"/>
        <w:rPr>
          <w:color w:val="000000"/>
          <w:szCs w:val="22"/>
        </w:rPr>
      </w:pPr>
    </w:p>
    <w:p w14:paraId="323688F0" w14:textId="77777777" w:rsidR="00F72C2E" w:rsidRPr="00C83045" w:rsidRDefault="00F72C2E" w:rsidP="00D4304B">
      <w:pPr>
        <w:widowControl w:val="0"/>
        <w:rPr>
          <w:color w:val="000000"/>
          <w:szCs w:val="22"/>
        </w:rPr>
      </w:pPr>
    </w:p>
    <w:p w14:paraId="323688F1" w14:textId="77777777" w:rsidR="00F72C2E" w:rsidRPr="00C83045" w:rsidRDefault="00F72C2E" w:rsidP="00D4304B">
      <w:pPr>
        <w:keepNext/>
        <w:keepLines/>
        <w:widowControl w:val="0"/>
        <w:pBdr>
          <w:top w:val="single" w:sz="4" w:space="1" w:color="auto"/>
          <w:left w:val="single" w:sz="4" w:space="4" w:color="auto"/>
          <w:bottom w:val="single" w:sz="4" w:space="1" w:color="auto"/>
          <w:right w:val="single" w:sz="4" w:space="4" w:color="auto"/>
        </w:pBdr>
        <w:tabs>
          <w:tab w:val="left" w:pos="142"/>
        </w:tabs>
        <w:rPr>
          <w:color w:val="000000"/>
          <w:szCs w:val="22"/>
        </w:rPr>
      </w:pPr>
      <w:r w:rsidRPr="00C83045">
        <w:rPr>
          <w:b/>
          <w:color w:val="000000"/>
          <w:szCs w:val="22"/>
        </w:rPr>
        <w:t>9.</w:t>
      </w:r>
      <w:r w:rsidRPr="00C83045">
        <w:rPr>
          <w:b/>
          <w:color w:val="000000"/>
          <w:szCs w:val="22"/>
        </w:rPr>
        <w:tab/>
        <w:t>ŠPECIÁLNE PODMIENKY NA UCHOVÁVANIE</w:t>
      </w:r>
    </w:p>
    <w:p w14:paraId="323688F2" w14:textId="77777777" w:rsidR="00F72C2E" w:rsidRPr="00C83045" w:rsidRDefault="00F72C2E" w:rsidP="00D4304B">
      <w:pPr>
        <w:keepNext/>
        <w:keepLines/>
        <w:widowControl w:val="0"/>
        <w:rPr>
          <w:color w:val="000000"/>
          <w:szCs w:val="22"/>
        </w:rPr>
      </w:pPr>
    </w:p>
    <w:p w14:paraId="323688F3" w14:textId="77777777" w:rsidR="00F72C2E" w:rsidRPr="00C83045" w:rsidRDefault="00F72C2E" w:rsidP="00D4304B">
      <w:pPr>
        <w:keepNext/>
        <w:keepLines/>
        <w:widowControl w:val="0"/>
        <w:ind w:left="0" w:firstLine="0"/>
        <w:rPr>
          <w:color w:val="000000"/>
          <w:szCs w:val="22"/>
        </w:rPr>
      </w:pPr>
      <w:r w:rsidRPr="00C83045">
        <w:rPr>
          <w:color w:val="000000"/>
          <w:szCs w:val="22"/>
        </w:rPr>
        <w:t>Uchovávajte pri teplote neprevyšujúcej 30</w:t>
      </w:r>
      <w:r w:rsidRPr="00C83045">
        <w:rPr>
          <w:color w:val="000000"/>
          <w:szCs w:val="22"/>
        </w:rPr>
        <w:sym w:font="Symbol" w:char="F0B0"/>
      </w:r>
      <w:r w:rsidRPr="00C83045">
        <w:rPr>
          <w:color w:val="000000"/>
          <w:szCs w:val="22"/>
        </w:rPr>
        <w:t>C. Uchovávajte v pôvodnom obale na ochranu pred vlhkosťou.</w:t>
      </w:r>
    </w:p>
    <w:p w14:paraId="323688F4" w14:textId="77777777" w:rsidR="00F72C2E" w:rsidRPr="00C83045" w:rsidRDefault="00F72C2E" w:rsidP="00D4304B">
      <w:pPr>
        <w:widowControl w:val="0"/>
        <w:rPr>
          <w:color w:val="000000"/>
          <w:szCs w:val="22"/>
        </w:rPr>
      </w:pPr>
    </w:p>
    <w:p w14:paraId="323688F5" w14:textId="77777777" w:rsidR="00F72C2E" w:rsidRPr="00C83045" w:rsidRDefault="00F72C2E" w:rsidP="00D4304B">
      <w:pPr>
        <w:widowControl w:val="0"/>
        <w:rPr>
          <w:color w:val="000000"/>
          <w:szCs w:val="22"/>
        </w:rPr>
      </w:pPr>
    </w:p>
    <w:p w14:paraId="323688F6" w14:textId="77777777" w:rsidR="00F72C2E" w:rsidRPr="00C83045" w:rsidRDefault="00F72C2E" w:rsidP="00D4304B">
      <w:pPr>
        <w:keepNext/>
        <w:keepLines/>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lastRenderedPageBreak/>
        <w:t>10.</w:t>
      </w:r>
      <w:r w:rsidRPr="00C83045">
        <w:rPr>
          <w:b/>
          <w:color w:val="000000"/>
          <w:szCs w:val="22"/>
        </w:rPr>
        <w:tab/>
        <w:t xml:space="preserve">ŠPECIÁLNE UPOZORNENIA NA LIKVIDÁCIU NEPOUŽITÝCH LIEKOV ALEBO ODPADOV Z </w:t>
      </w:r>
      <w:smartTag w:uri="urn:schemas-microsoft-com:office:smarttags" w:element="stockticker">
        <w:r w:rsidRPr="00C83045">
          <w:rPr>
            <w:b/>
            <w:color w:val="000000"/>
            <w:szCs w:val="22"/>
          </w:rPr>
          <w:t>NICH</w:t>
        </w:r>
      </w:smartTag>
      <w:r w:rsidRPr="00C83045">
        <w:rPr>
          <w:b/>
          <w:color w:val="000000"/>
          <w:szCs w:val="22"/>
        </w:rPr>
        <w:t xml:space="preserve"> VZNIKNUTÝCH, AK JE TO VHODNÉ</w:t>
      </w:r>
    </w:p>
    <w:p w14:paraId="323688F7" w14:textId="77777777" w:rsidR="00F72C2E" w:rsidRPr="00C83045" w:rsidRDefault="00F72C2E" w:rsidP="00D4304B">
      <w:pPr>
        <w:keepNext/>
        <w:keepLines/>
        <w:widowControl w:val="0"/>
        <w:rPr>
          <w:color w:val="000000"/>
          <w:szCs w:val="22"/>
        </w:rPr>
      </w:pPr>
    </w:p>
    <w:p w14:paraId="323688F8" w14:textId="77777777" w:rsidR="00F72C2E" w:rsidRPr="00C83045" w:rsidRDefault="00F72C2E" w:rsidP="00D4304B">
      <w:pPr>
        <w:widowControl w:val="0"/>
        <w:rPr>
          <w:color w:val="000000"/>
          <w:szCs w:val="22"/>
        </w:rPr>
      </w:pPr>
    </w:p>
    <w:p w14:paraId="323688F9" w14:textId="77777777" w:rsidR="00F72C2E" w:rsidRPr="00C83045" w:rsidRDefault="00F72C2E" w:rsidP="003E286B">
      <w:pPr>
        <w:keepNext/>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11.</w:t>
      </w:r>
      <w:r w:rsidRPr="00C83045">
        <w:rPr>
          <w:b/>
          <w:color w:val="000000"/>
          <w:szCs w:val="22"/>
        </w:rPr>
        <w:tab/>
        <w:t>NÁZOV A ADRESA DRŽITEĽA ROZHODNUTIA O REGISTRÁCII</w:t>
      </w:r>
    </w:p>
    <w:p w14:paraId="323688FA" w14:textId="77777777" w:rsidR="00F72C2E" w:rsidRPr="00C83045" w:rsidRDefault="00F72C2E" w:rsidP="003E286B">
      <w:pPr>
        <w:keepNext/>
        <w:widowControl w:val="0"/>
        <w:rPr>
          <w:color w:val="000000"/>
          <w:szCs w:val="22"/>
        </w:rPr>
      </w:pPr>
    </w:p>
    <w:p w14:paraId="323688FB" w14:textId="77777777" w:rsidR="00F72C2E" w:rsidRPr="00C83045" w:rsidRDefault="00F72C2E" w:rsidP="003E286B">
      <w:pPr>
        <w:keepNext/>
        <w:widowControl w:val="0"/>
        <w:rPr>
          <w:snapToGrid w:val="0"/>
          <w:color w:val="000000"/>
          <w:szCs w:val="22"/>
        </w:rPr>
      </w:pPr>
      <w:r w:rsidRPr="00C83045">
        <w:rPr>
          <w:snapToGrid w:val="0"/>
          <w:color w:val="000000"/>
          <w:szCs w:val="22"/>
        </w:rPr>
        <w:t>Novartis Europharm Limited</w:t>
      </w:r>
    </w:p>
    <w:p w14:paraId="323688FC" w14:textId="77777777" w:rsidR="006E79DA" w:rsidRPr="00EB33FE" w:rsidRDefault="006E79DA" w:rsidP="00D4304B">
      <w:pPr>
        <w:keepNext/>
        <w:widowControl w:val="0"/>
        <w:rPr>
          <w:color w:val="000000"/>
        </w:rPr>
      </w:pPr>
      <w:r w:rsidRPr="00EB33FE">
        <w:rPr>
          <w:color w:val="000000"/>
        </w:rPr>
        <w:t>Vista Building</w:t>
      </w:r>
    </w:p>
    <w:p w14:paraId="323688FD" w14:textId="77777777" w:rsidR="006E79DA" w:rsidRPr="00EB33FE" w:rsidRDefault="006E79DA" w:rsidP="00D4304B">
      <w:pPr>
        <w:keepNext/>
        <w:widowControl w:val="0"/>
        <w:rPr>
          <w:color w:val="000000"/>
        </w:rPr>
      </w:pPr>
      <w:r w:rsidRPr="00EB33FE">
        <w:rPr>
          <w:color w:val="000000"/>
        </w:rPr>
        <w:t>Elm Park, Merrion Road</w:t>
      </w:r>
    </w:p>
    <w:p w14:paraId="323688FE" w14:textId="77777777" w:rsidR="006E79DA" w:rsidRPr="00EB33FE" w:rsidRDefault="006E79DA" w:rsidP="00D4304B">
      <w:pPr>
        <w:keepNext/>
        <w:widowControl w:val="0"/>
        <w:rPr>
          <w:color w:val="000000"/>
        </w:rPr>
      </w:pPr>
      <w:r w:rsidRPr="00EB33FE">
        <w:rPr>
          <w:color w:val="000000"/>
        </w:rPr>
        <w:t>Dublin 4</w:t>
      </w:r>
    </w:p>
    <w:p w14:paraId="323688FF" w14:textId="77777777" w:rsidR="006E79DA" w:rsidRDefault="006E79DA" w:rsidP="00D4304B">
      <w:pPr>
        <w:widowControl w:val="0"/>
        <w:rPr>
          <w:color w:val="000000"/>
        </w:rPr>
      </w:pPr>
      <w:r w:rsidRPr="00EB33FE">
        <w:rPr>
          <w:color w:val="000000"/>
        </w:rPr>
        <w:t>Írsko</w:t>
      </w:r>
    </w:p>
    <w:p w14:paraId="32368900" w14:textId="77777777" w:rsidR="00F72C2E" w:rsidRPr="00C83045" w:rsidRDefault="00F72C2E" w:rsidP="00D4304B">
      <w:pPr>
        <w:widowControl w:val="0"/>
        <w:rPr>
          <w:color w:val="000000"/>
          <w:szCs w:val="22"/>
        </w:rPr>
      </w:pPr>
    </w:p>
    <w:p w14:paraId="32368901" w14:textId="77777777" w:rsidR="00F72C2E" w:rsidRPr="00C83045" w:rsidRDefault="00F72C2E" w:rsidP="00D4304B">
      <w:pPr>
        <w:widowControl w:val="0"/>
        <w:rPr>
          <w:color w:val="000000"/>
          <w:szCs w:val="22"/>
        </w:rPr>
      </w:pPr>
    </w:p>
    <w:p w14:paraId="32368902"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12.</w:t>
      </w:r>
      <w:r w:rsidRPr="00C83045">
        <w:rPr>
          <w:b/>
          <w:color w:val="000000"/>
          <w:szCs w:val="22"/>
        </w:rPr>
        <w:tab/>
        <w:t>REGISTRAČNÉ ČÍSLO</w:t>
      </w:r>
      <w:r w:rsidR="00760E8E" w:rsidRPr="00C83045">
        <w:rPr>
          <w:b/>
          <w:color w:val="000000"/>
          <w:szCs w:val="22"/>
        </w:rPr>
        <w:t>(ČÍSLA)</w:t>
      </w:r>
    </w:p>
    <w:p w14:paraId="32368903" w14:textId="77777777" w:rsidR="00F72C2E" w:rsidRPr="00C83045" w:rsidRDefault="00F72C2E" w:rsidP="00D4304B">
      <w:pPr>
        <w:widowControl w:val="0"/>
        <w:rPr>
          <w:color w:val="000000"/>
          <w:szCs w:val="22"/>
        </w:rPr>
      </w:pPr>
    </w:p>
    <w:p w14:paraId="32368904" w14:textId="77777777" w:rsidR="00F72C2E" w:rsidRPr="00C83045" w:rsidRDefault="00F72C2E" w:rsidP="00D4304B">
      <w:pPr>
        <w:widowControl w:val="0"/>
        <w:ind w:left="2280" w:hanging="2280"/>
        <w:rPr>
          <w:color w:val="000000"/>
          <w:szCs w:val="22"/>
          <w:shd w:val="clear" w:color="auto" w:fill="D9D9D9"/>
        </w:rPr>
      </w:pPr>
      <w:r w:rsidRPr="00C83045">
        <w:rPr>
          <w:color w:val="000000"/>
          <w:szCs w:val="22"/>
        </w:rPr>
        <w:t>EU/1/01/198/007</w:t>
      </w:r>
      <w:r w:rsidRPr="00C83045">
        <w:rPr>
          <w:color w:val="000000"/>
          <w:szCs w:val="22"/>
        </w:rPr>
        <w:tab/>
      </w:r>
      <w:r w:rsidRPr="00C83045">
        <w:rPr>
          <w:color w:val="000000"/>
          <w:szCs w:val="22"/>
          <w:shd w:val="clear" w:color="auto" w:fill="D9D9D9"/>
        </w:rPr>
        <w:t>20 tabliet</w:t>
      </w:r>
      <w:r w:rsidR="00A43619" w:rsidRPr="00411D43">
        <w:rPr>
          <w:color w:val="000000"/>
          <w:szCs w:val="22"/>
          <w:shd w:val="pct15" w:color="auto" w:fill="auto"/>
        </w:rPr>
        <w:t xml:space="preserve"> (Blistre PVC/hliník)</w:t>
      </w:r>
    </w:p>
    <w:p w14:paraId="32368905" w14:textId="77777777" w:rsidR="00F72C2E" w:rsidRPr="00C83045" w:rsidRDefault="00F72C2E" w:rsidP="00D4304B">
      <w:pPr>
        <w:widowControl w:val="0"/>
        <w:ind w:left="2280" w:hanging="2280"/>
        <w:rPr>
          <w:color w:val="000000"/>
          <w:szCs w:val="22"/>
          <w:shd w:val="clear" w:color="auto" w:fill="D9D9D9"/>
        </w:rPr>
      </w:pPr>
      <w:r w:rsidRPr="00C83045">
        <w:rPr>
          <w:color w:val="000000"/>
          <w:szCs w:val="22"/>
          <w:shd w:val="clear" w:color="auto" w:fill="D9D9D9"/>
        </w:rPr>
        <w:t>EU/1/01/198/008</w:t>
      </w:r>
      <w:r w:rsidRPr="00C83045">
        <w:rPr>
          <w:color w:val="000000"/>
          <w:szCs w:val="22"/>
          <w:shd w:val="clear" w:color="auto" w:fill="D9D9D9"/>
        </w:rPr>
        <w:tab/>
        <w:t>60 tabliet</w:t>
      </w:r>
      <w:r w:rsidR="00A43619" w:rsidRPr="00411D43">
        <w:rPr>
          <w:color w:val="000000"/>
          <w:szCs w:val="22"/>
          <w:shd w:val="pct15" w:color="auto" w:fill="auto"/>
        </w:rPr>
        <w:t xml:space="preserve"> (Blistre PVC/hliník)</w:t>
      </w:r>
    </w:p>
    <w:p w14:paraId="32368906" w14:textId="77777777" w:rsidR="00F72C2E" w:rsidRPr="00C83045" w:rsidRDefault="00F72C2E" w:rsidP="00D4304B">
      <w:pPr>
        <w:widowControl w:val="0"/>
        <w:ind w:left="2280" w:hanging="2280"/>
        <w:rPr>
          <w:color w:val="000000"/>
          <w:szCs w:val="22"/>
          <w:shd w:val="clear" w:color="auto" w:fill="D9D9D9"/>
        </w:rPr>
      </w:pPr>
      <w:r w:rsidRPr="00C83045">
        <w:rPr>
          <w:color w:val="000000"/>
          <w:szCs w:val="22"/>
          <w:shd w:val="clear" w:color="auto" w:fill="D9D9D9"/>
        </w:rPr>
        <w:t>EU/1/01/198/011</w:t>
      </w:r>
      <w:r w:rsidRPr="00C83045">
        <w:rPr>
          <w:color w:val="000000"/>
          <w:szCs w:val="22"/>
          <w:shd w:val="clear" w:color="auto" w:fill="D9D9D9"/>
        </w:rPr>
        <w:tab/>
        <w:t>120 tabliet</w:t>
      </w:r>
      <w:r w:rsidR="00A43619" w:rsidRPr="00411D43">
        <w:rPr>
          <w:color w:val="000000"/>
          <w:szCs w:val="22"/>
          <w:shd w:val="pct15" w:color="auto" w:fill="auto"/>
        </w:rPr>
        <w:t xml:space="preserve"> (Blistre PVC/hliník)</w:t>
      </w:r>
    </w:p>
    <w:p w14:paraId="32368907" w14:textId="77777777" w:rsidR="00F72C2E" w:rsidRPr="00C83045" w:rsidRDefault="00F72C2E" w:rsidP="00D4304B">
      <w:pPr>
        <w:widowControl w:val="0"/>
        <w:ind w:left="2280" w:hanging="2280"/>
        <w:rPr>
          <w:color w:val="000000"/>
          <w:szCs w:val="22"/>
          <w:shd w:val="clear" w:color="auto" w:fill="D9D9D9"/>
        </w:rPr>
      </w:pPr>
      <w:r w:rsidRPr="00C83045">
        <w:rPr>
          <w:color w:val="000000"/>
          <w:szCs w:val="22"/>
          <w:shd w:val="clear" w:color="auto" w:fill="D9D9D9"/>
        </w:rPr>
        <w:t>EU/1/01/198/012</w:t>
      </w:r>
      <w:r w:rsidRPr="00C83045">
        <w:rPr>
          <w:color w:val="000000"/>
          <w:szCs w:val="22"/>
          <w:shd w:val="clear" w:color="auto" w:fill="D9D9D9"/>
        </w:rPr>
        <w:tab/>
        <w:t>180 tabliet</w:t>
      </w:r>
      <w:r w:rsidR="00A43619" w:rsidRPr="00411D43">
        <w:rPr>
          <w:color w:val="000000"/>
          <w:szCs w:val="22"/>
          <w:shd w:val="pct15" w:color="auto" w:fill="auto"/>
        </w:rPr>
        <w:t xml:space="preserve"> (Blistre PVC/hliník)</w:t>
      </w:r>
    </w:p>
    <w:p w14:paraId="32368908" w14:textId="77777777" w:rsidR="00A43619" w:rsidRPr="00411D43" w:rsidRDefault="00A43619" w:rsidP="00D4304B">
      <w:pPr>
        <w:widowControl w:val="0"/>
        <w:ind w:left="2268" w:hanging="2268"/>
        <w:rPr>
          <w:color w:val="000000"/>
          <w:szCs w:val="22"/>
          <w:shd w:val="pct15" w:color="auto" w:fill="auto"/>
        </w:rPr>
      </w:pPr>
      <w:r w:rsidRPr="00411D43">
        <w:rPr>
          <w:color w:val="000000"/>
          <w:szCs w:val="22"/>
          <w:shd w:val="pct15" w:color="auto" w:fill="auto"/>
        </w:rPr>
        <w:t>EU/1/01/198/01</w:t>
      </w:r>
      <w:r w:rsidR="00C81A5A">
        <w:rPr>
          <w:color w:val="000000"/>
          <w:szCs w:val="22"/>
          <w:shd w:val="pct15" w:color="auto" w:fill="auto"/>
        </w:rPr>
        <w:t>4</w:t>
      </w:r>
      <w:r w:rsidRPr="00411D43">
        <w:rPr>
          <w:color w:val="000000"/>
          <w:szCs w:val="22"/>
          <w:shd w:val="pct15" w:color="auto" w:fill="auto"/>
        </w:rPr>
        <w:tab/>
      </w:r>
      <w:r w:rsidR="00C81A5A">
        <w:rPr>
          <w:color w:val="000000"/>
          <w:szCs w:val="22"/>
          <w:shd w:val="pct15" w:color="auto" w:fill="auto"/>
        </w:rPr>
        <w:t>6</w:t>
      </w:r>
      <w:r w:rsidRPr="00411D43">
        <w:rPr>
          <w:color w:val="000000"/>
          <w:szCs w:val="22"/>
          <w:shd w:val="pct15" w:color="auto" w:fill="auto"/>
        </w:rPr>
        <w:t>0 tabliet (Blistre PVDC/hliník)</w:t>
      </w:r>
    </w:p>
    <w:p w14:paraId="32368909" w14:textId="77777777" w:rsidR="00A43619" w:rsidRDefault="00A43619" w:rsidP="00D4304B">
      <w:pPr>
        <w:widowControl w:val="0"/>
        <w:ind w:left="2268" w:hanging="2268"/>
        <w:rPr>
          <w:color w:val="000000"/>
          <w:szCs w:val="22"/>
          <w:shd w:val="clear" w:color="auto" w:fill="D9D9D9"/>
        </w:rPr>
      </w:pPr>
      <w:r w:rsidRPr="00411D43">
        <w:rPr>
          <w:color w:val="000000"/>
          <w:szCs w:val="22"/>
          <w:shd w:val="pct15" w:color="auto" w:fill="auto"/>
        </w:rPr>
        <w:t>EU/1/01/198/01</w:t>
      </w:r>
      <w:r w:rsidR="00C81A5A">
        <w:rPr>
          <w:color w:val="000000"/>
          <w:szCs w:val="22"/>
          <w:shd w:val="pct15" w:color="auto" w:fill="auto"/>
        </w:rPr>
        <w:t>5</w:t>
      </w:r>
      <w:r w:rsidRPr="00411D43">
        <w:rPr>
          <w:color w:val="000000"/>
          <w:szCs w:val="22"/>
          <w:shd w:val="pct15" w:color="auto" w:fill="auto"/>
        </w:rPr>
        <w:tab/>
        <w:t>1</w:t>
      </w:r>
      <w:r w:rsidR="00C81A5A">
        <w:rPr>
          <w:color w:val="000000"/>
          <w:szCs w:val="22"/>
          <w:shd w:val="pct15" w:color="auto" w:fill="auto"/>
        </w:rPr>
        <w:t>2</w:t>
      </w:r>
      <w:r w:rsidRPr="00411D43">
        <w:rPr>
          <w:color w:val="000000"/>
          <w:szCs w:val="22"/>
          <w:shd w:val="pct15" w:color="auto" w:fill="auto"/>
        </w:rPr>
        <w:t>0 tabliet (Blistre PVDC/hliník)</w:t>
      </w:r>
    </w:p>
    <w:p w14:paraId="3236890A" w14:textId="77777777" w:rsidR="0097750E" w:rsidRPr="00C83045" w:rsidRDefault="0097750E" w:rsidP="00D4304B">
      <w:pPr>
        <w:widowControl w:val="0"/>
        <w:ind w:left="2280" w:hanging="2280"/>
        <w:rPr>
          <w:color w:val="000000"/>
          <w:szCs w:val="22"/>
          <w:shd w:val="clear" w:color="auto" w:fill="D9D9D9"/>
        </w:rPr>
      </w:pPr>
      <w:r w:rsidRPr="00C83045">
        <w:rPr>
          <w:color w:val="000000"/>
          <w:szCs w:val="22"/>
          <w:shd w:val="clear" w:color="auto" w:fill="D9D9D9"/>
        </w:rPr>
        <w:t>EU/1/01/198/0</w:t>
      </w:r>
      <w:r>
        <w:rPr>
          <w:color w:val="000000"/>
          <w:szCs w:val="22"/>
          <w:shd w:val="clear" w:color="auto" w:fill="D9D9D9"/>
        </w:rPr>
        <w:t>1</w:t>
      </w:r>
      <w:r w:rsidR="00C81A5A">
        <w:rPr>
          <w:color w:val="000000"/>
          <w:szCs w:val="22"/>
          <w:shd w:val="clear" w:color="auto" w:fill="D9D9D9"/>
        </w:rPr>
        <w:t>6</w:t>
      </w:r>
      <w:r w:rsidRPr="00C83045">
        <w:rPr>
          <w:color w:val="000000"/>
          <w:szCs w:val="22"/>
          <w:shd w:val="clear" w:color="auto" w:fill="D9D9D9"/>
        </w:rPr>
        <w:tab/>
      </w:r>
      <w:r w:rsidR="00C81A5A">
        <w:rPr>
          <w:color w:val="000000"/>
          <w:szCs w:val="22"/>
          <w:shd w:val="clear" w:color="auto" w:fill="D9D9D9"/>
        </w:rPr>
        <w:t>18</w:t>
      </w:r>
      <w:r w:rsidRPr="00C83045">
        <w:rPr>
          <w:color w:val="000000"/>
          <w:szCs w:val="22"/>
          <w:shd w:val="clear" w:color="auto" w:fill="D9D9D9"/>
        </w:rPr>
        <w:t>0 tabliet</w:t>
      </w:r>
      <w:r w:rsidRPr="00411D43">
        <w:rPr>
          <w:color w:val="000000"/>
          <w:szCs w:val="22"/>
          <w:shd w:val="pct15" w:color="auto" w:fill="auto"/>
        </w:rPr>
        <w:t xml:space="preserve"> (Blistre PV</w:t>
      </w:r>
      <w:r>
        <w:rPr>
          <w:color w:val="000000"/>
          <w:szCs w:val="22"/>
          <w:shd w:val="pct15" w:color="auto" w:fill="auto"/>
        </w:rPr>
        <w:t>D</w:t>
      </w:r>
      <w:r w:rsidRPr="00411D43">
        <w:rPr>
          <w:color w:val="000000"/>
          <w:szCs w:val="22"/>
          <w:shd w:val="pct15" w:color="auto" w:fill="auto"/>
        </w:rPr>
        <w:t>C/hliník)</w:t>
      </w:r>
    </w:p>
    <w:p w14:paraId="3236890B" w14:textId="77777777" w:rsidR="00F72C2E" w:rsidRPr="00C83045" w:rsidRDefault="00F72C2E" w:rsidP="00D4304B">
      <w:pPr>
        <w:widowControl w:val="0"/>
        <w:rPr>
          <w:color w:val="000000"/>
          <w:szCs w:val="22"/>
        </w:rPr>
      </w:pPr>
    </w:p>
    <w:p w14:paraId="3236890C" w14:textId="77777777" w:rsidR="00F72C2E" w:rsidRPr="00C83045" w:rsidRDefault="00F72C2E" w:rsidP="00D4304B">
      <w:pPr>
        <w:widowControl w:val="0"/>
        <w:rPr>
          <w:color w:val="000000"/>
          <w:szCs w:val="22"/>
        </w:rPr>
      </w:pPr>
    </w:p>
    <w:p w14:paraId="3236890D"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13.</w:t>
      </w:r>
      <w:r w:rsidRPr="00C83045">
        <w:rPr>
          <w:b/>
          <w:color w:val="000000"/>
          <w:szCs w:val="22"/>
        </w:rPr>
        <w:tab/>
        <w:t>ČÍSLO VÝROBNEJ ŠARŽE</w:t>
      </w:r>
    </w:p>
    <w:p w14:paraId="3236890E" w14:textId="77777777" w:rsidR="00F72C2E" w:rsidRPr="00C83045" w:rsidRDefault="00F72C2E" w:rsidP="00D4304B">
      <w:pPr>
        <w:widowControl w:val="0"/>
        <w:rPr>
          <w:color w:val="000000"/>
          <w:szCs w:val="22"/>
        </w:rPr>
      </w:pPr>
    </w:p>
    <w:p w14:paraId="3236890F" w14:textId="77777777" w:rsidR="00F72C2E" w:rsidRPr="00C83045" w:rsidRDefault="00F72C2E" w:rsidP="00D4304B">
      <w:pPr>
        <w:widowControl w:val="0"/>
        <w:rPr>
          <w:color w:val="000000"/>
          <w:szCs w:val="22"/>
        </w:rPr>
      </w:pPr>
      <w:r w:rsidRPr="00C83045">
        <w:rPr>
          <w:color w:val="000000"/>
          <w:szCs w:val="22"/>
        </w:rPr>
        <w:t>Č. šarže</w:t>
      </w:r>
    </w:p>
    <w:p w14:paraId="32368910" w14:textId="77777777" w:rsidR="00F72C2E" w:rsidRPr="00C83045" w:rsidRDefault="00F72C2E" w:rsidP="00D4304B">
      <w:pPr>
        <w:widowControl w:val="0"/>
        <w:rPr>
          <w:color w:val="000000"/>
          <w:szCs w:val="22"/>
        </w:rPr>
      </w:pPr>
    </w:p>
    <w:p w14:paraId="32368911" w14:textId="77777777" w:rsidR="00F72C2E" w:rsidRPr="00C83045" w:rsidRDefault="00F72C2E" w:rsidP="00D4304B">
      <w:pPr>
        <w:widowControl w:val="0"/>
        <w:rPr>
          <w:color w:val="000000"/>
          <w:szCs w:val="22"/>
        </w:rPr>
      </w:pPr>
    </w:p>
    <w:p w14:paraId="32368912"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14.</w:t>
      </w:r>
      <w:r w:rsidRPr="00C83045">
        <w:rPr>
          <w:b/>
          <w:color w:val="000000"/>
          <w:szCs w:val="22"/>
        </w:rPr>
        <w:tab/>
        <w:t>ZATRIEDENIE LIEKU PODĽA SPÔSOBU VÝDAJA</w:t>
      </w:r>
    </w:p>
    <w:p w14:paraId="32368913" w14:textId="77777777" w:rsidR="00F72C2E" w:rsidRPr="00C83045" w:rsidRDefault="00F72C2E" w:rsidP="00D4304B">
      <w:pPr>
        <w:widowControl w:val="0"/>
        <w:rPr>
          <w:color w:val="000000"/>
          <w:szCs w:val="22"/>
        </w:rPr>
      </w:pPr>
    </w:p>
    <w:p w14:paraId="32368914" w14:textId="77777777" w:rsidR="00F72C2E" w:rsidRPr="00C83045" w:rsidRDefault="00F72C2E" w:rsidP="00D4304B">
      <w:pPr>
        <w:widowControl w:val="0"/>
        <w:rPr>
          <w:color w:val="000000"/>
          <w:szCs w:val="22"/>
        </w:rPr>
      </w:pPr>
    </w:p>
    <w:p w14:paraId="32368915"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15.</w:t>
      </w:r>
      <w:r w:rsidRPr="00C83045">
        <w:rPr>
          <w:b/>
          <w:color w:val="000000"/>
          <w:szCs w:val="22"/>
        </w:rPr>
        <w:tab/>
        <w:t>POKYNY NA POUŽITIE</w:t>
      </w:r>
    </w:p>
    <w:p w14:paraId="32368916" w14:textId="77777777" w:rsidR="00F72C2E" w:rsidRPr="00C83045" w:rsidRDefault="00F72C2E" w:rsidP="00D4304B">
      <w:pPr>
        <w:widowControl w:val="0"/>
        <w:rPr>
          <w:bCs/>
          <w:color w:val="000000"/>
          <w:szCs w:val="22"/>
        </w:rPr>
      </w:pPr>
    </w:p>
    <w:p w14:paraId="32368917" w14:textId="77777777" w:rsidR="00F72C2E" w:rsidRPr="00C83045" w:rsidRDefault="00F72C2E" w:rsidP="00D4304B">
      <w:pPr>
        <w:widowControl w:val="0"/>
        <w:rPr>
          <w:bCs/>
          <w:color w:val="000000"/>
          <w:szCs w:val="22"/>
        </w:rPr>
      </w:pPr>
    </w:p>
    <w:p w14:paraId="32368918"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16.</w:t>
      </w:r>
      <w:r w:rsidRPr="00C83045">
        <w:rPr>
          <w:b/>
          <w:color w:val="000000"/>
          <w:szCs w:val="22"/>
        </w:rPr>
        <w:tab/>
        <w:t>INFORMÁCIE V BRAILLOVOM PÍSME</w:t>
      </w:r>
    </w:p>
    <w:p w14:paraId="32368919" w14:textId="77777777" w:rsidR="00F72C2E" w:rsidRPr="00C83045" w:rsidRDefault="00F72C2E" w:rsidP="00D4304B">
      <w:pPr>
        <w:widowControl w:val="0"/>
        <w:rPr>
          <w:bCs/>
          <w:color w:val="000000"/>
          <w:szCs w:val="22"/>
        </w:rPr>
      </w:pPr>
    </w:p>
    <w:p w14:paraId="3236891A" w14:textId="77777777" w:rsidR="00F72C2E" w:rsidRPr="00C83045" w:rsidRDefault="00F72C2E" w:rsidP="00D4304B">
      <w:pPr>
        <w:widowControl w:val="0"/>
        <w:rPr>
          <w:color w:val="000000"/>
          <w:szCs w:val="22"/>
        </w:rPr>
      </w:pPr>
      <w:r w:rsidRPr="00C83045">
        <w:rPr>
          <w:color w:val="000000"/>
          <w:szCs w:val="22"/>
        </w:rPr>
        <w:t>Glivec 100 mg</w:t>
      </w:r>
    </w:p>
    <w:p w14:paraId="3236891B" w14:textId="77777777" w:rsidR="00F72C2E" w:rsidRPr="00C83045" w:rsidRDefault="00F72C2E" w:rsidP="00D4304B">
      <w:pPr>
        <w:widowControl w:val="0"/>
        <w:rPr>
          <w:color w:val="000000"/>
          <w:szCs w:val="22"/>
        </w:rPr>
      </w:pPr>
    </w:p>
    <w:p w14:paraId="3236891C" w14:textId="77777777" w:rsidR="00B1589F" w:rsidRPr="00C83045" w:rsidRDefault="00B1589F" w:rsidP="00D4304B">
      <w:pPr>
        <w:widowControl w:val="0"/>
        <w:rPr>
          <w:color w:val="000000"/>
          <w:szCs w:val="22"/>
        </w:rPr>
      </w:pPr>
    </w:p>
    <w:p w14:paraId="3236891D" w14:textId="77777777" w:rsidR="00B1589F" w:rsidRPr="00C937E7" w:rsidRDefault="00B1589F" w:rsidP="00D4304B">
      <w:pPr>
        <w:widowControl w:val="0"/>
        <w:pBdr>
          <w:top w:val="single" w:sz="4" w:space="1" w:color="auto"/>
          <w:left w:val="single" w:sz="4" w:space="1" w:color="auto"/>
          <w:bottom w:val="single" w:sz="4" w:space="1" w:color="auto"/>
          <w:right w:val="single" w:sz="4" w:space="4" w:color="auto"/>
        </w:pBdr>
        <w:tabs>
          <w:tab w:val="left" w:pos="567"/>
        </w:tabs>
        <w:ind w:left="-3" w:firstLine="3"/>
        <w:outlineLvl w:val="0"/>
        <w:rPr>
          <w:i/>
          <w:noProof/>
        </w:rPr>
      </w:pPr>
      <w:r>
        <w:rPr>
          <w:b/>
          <w:noProof/>
        </w:rPr>
        <w:t>17.</w:t>
      </w:r>
      <w:r>
        <w:rPr>
          <w:b/>
          <w:noProof/>
        </w:rPr>
        <w:tab/>
        <w:t>ŠPECIFICKÝ IDENTIFIKÁTOR – DVOJROZMERNÝ ČIAROVÝ KÓD</w:t>
      </w:r>
    </w:p>
    <w:p w14:paraId="3236891E" w14:textId="77777777" w:rsidR="00B1589F" w:rsidRPr="00C937E7" w:rsidRDefault="00B1589F" w:rsidP="00D4304B">
      <w:pPr>
        <w:widowControl w:val="0"/>
        <w:rPr>
          <w:noProof/>
        </w:rPr>
      </w:pPr>
    </w:p>
    <w:p w14:paraId="3236891F" w14:textId="77777777" w:rsidR="00B1589F" w:rsidRDefault="00B1589F" w:rsidP="00D4304B">
      <w:pPr>
        <w:widowControl w:val="0"/>
        <w:rPr>
          <w:shd w:val="pct15" w:color="auto" w:fill="auto"/>
        </w:rPr>
      </w:pPr>
      <w:r w:rsidRPr="00267BAB">
        <w:rPr>
          <w:shd w:val="pct15" w:color="auto" w:fill="auto"/>
        </w:rPr>
        <w:t>Dvojrozmerný čiarový kód so špecifickým identifikátorom.</w:t>
      </w:r>
    </w:p>
    <w:p w14:paraId="32368920" w14:textId="77777777" w:rsidR="00924469" w:rsidRPr="00267BAB" w:rsidRDefault="00924469" w:rsidP="00D4304B">
      <w:pPr>
        <w:widowControl w:val="0"/>
        <w:rPr>
          <w:shd w:val="pct15" w:color="auto" w:fill="auto"/>
        </w:rPr>
      </w:pPr>
    </w:p>
    <w:p w14:paraId="32368921" w14:textId="77777777" w:rsidR="00B1589F" w:rsidRPr="00C937E7" w:rsidRDefault="00B1589F" w:rsidP="00D4304B">
      <w:pPr>
        <w:widowControl w:val="0"/>
        <w:rPr>
          <w:noProof/>
        </w:rPr>
      </w:pPr>
    </w:p>
    <w:p w14:paraId="32368922" w14:textId="77777777" w:rsidR="00B1589F" w:rsidRPr="00C937E7" w:rsidRDefault="00B1589F" w:rsidP="003E286B">
      <w:pPr>
        <w:keepNext/>
        <w:widowControl w:val="0"/>
        <w:pBdr>
          <w:top w:val="single" w:sz="4" w:space="1" w:color="auto"/>
          <w:left w:val="single" w:sz="4" w:space="4" w:color="auto"/>
          <w:bottom w:val="single" w:sz="4" w:space="1" w:color="auto"/>
          <w:right w:val="single" w:sz="4" w:space="4" w:color="auto"/>
        </w:pBdr>
        <w:tabs>
          <w:tab w:val="left" w:pos="567"/>
        </w:tabs>
        <w:ind w:left="-3" w:firstLine="3"/>
        <w:outlineLvl w:val="0"/>
        <w:rPr>
          <w:i/>
          <w:noProof/>
        </w:rPr>
      </w:pPr>
      <w:r>
        <w:rPr>
          <w:b/>
          <w:noProof/>
        </w:rPr>
        <w:t>18.</w:t>
      </w:r>
      <w:r>
        <w:rPr>
          <w:b/>
          <w:noProof/>
        </w:rPr>
        <w:tab/>
        <w:t>ŠPECIFICKÝ IDENTIFIKÁTOR – ÚDAJE ČITATEĽNÉ ĽUDSKÝM OKOM</w:t>
      </w:r>
    </w:p>
    <w:p w14:paraId="32368923" w14:textId="77777777" w:rsidR="00B1589F" w:rsidRPr="00C937E7" w:rsidRDefault="00B1589F" w:rsidP="003E286B">
      <w:pPr>
        <w:keepNext/>
        <w:widowControl w:val="0"/>
        <w:rPr>
          <w:noProof/>
        </w:rPr>
      </w:pPr>
    </w:p>
    <w:p w14:paraId="32368924" w14:textId="77777777" w:rsidR="00B1589F" w:rsidRPr="00267BAB" w:rsidRDefault="00B1589F" w:rsidP="003E286B">
      <w:pPr>
        <w:keepNext/>
        <w:widowControl w:val="0"/>
        <w:rPr>
          <w:szCs w:val="22"/>
        </w:rPr>
      </w:pPr>
      <w:r>
        <w:t>PC:</w:t>
      </w:r>
    </w:p>
    <w:p w14:paraId="32368925" w14:textId="77777777" w:rsidR="00B1589F" w:rsidRPr="00C937E7" w:rsidRDefault="00B1589F" w:rsidP="003E286B">
      <w:pPr>
        <w:keepNext/>
        <w:widowControl w:val="0"/>
        <w:rPr>
          <w:szCs w:val="22"/>
        </w:rPr>
      </w:pPr>
      <w:r>
        <w:t>SN:</w:t>
      </w:r>
    </w:p>
    <w:p w14:paraId="32368926" w14:textId="77777777" w:rsidR="00B1589F" w:rsidRPr="00C937E7" w:rsidRDefault="00B1589F" w:rsidP="00D4304B">
      <w:pPr>
        <w:widowControl w:val="0"/>
        <w:rPr>
          <w:szCs w:val="22"/>
        </w:rPr>
      </w:pPr>
      <w:r>
        <w:t>NN:</w:t>
      </w:r>
    </w:p>
    <w:p w14:paraId="32368927" w14:textId="77777777" w:rsidR="00F72C2E" w:rsidRPr="00C83045" w:rsidRDefault="00F72C2E" w:rsidP="00D4304B">
      <w:pPr>
        <w:widowControl w:val="0"/>
        <w:ind w:left="0" w:firstLine="0"/>
        <w:rPr>
          <w:color w:val="000000"/>
          <w:szCs w:val="22"/>
        </w:rPr>
      </w:pPr>
      <w:r w:rsidRPr="00C83045">
        <w:rPr>
          <w:b/>
          <w:color w:val="000000"/>
          <w:szCs w:val="22"/>
          <w:u w:val="single"/>
        </w:rPr>
        <w:br w:type="page"/>
      </w:r>
    </w:p>
    <w:p w14:paraId="32368928" w14:textId="77777777" w:rsidR="003E286B" w:rsidRPr="003E286B" w:rsidRDefault="003E286B" w:rsidP="003E286B">
      <w:pPr>
        <w:widowControl w:val="0"/>
        <w:rPr>
          <w:bCs/>
          <w:color w:val="000000"/>
          <w:szCs w:val="22"/>
        </w:rPr>
      </w:pPr>
    </w:p>
    <w:p w14:paraId="32368929"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83045">
        <w:rPr>
          <w:b/>
          <w:color w:val="000000"/>
          <w:szCs w:val="22"/>
        </w:rPr>
        <w:t>MINIMÁLNE ÚDAJE, KTORÉ MAJÚ BYŤ UVEDENÉ NA BLISTROCH ALEBO STRIPOCH</w:t>
      </w:r>
    </w:p>
    <w:p w14:paraId="3236892A"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color w:val="000000"/>
          <w:szCs w:val="22"/>
        </w:rPr>
      </w:pPr>
    </w:p>
    <w:p w14:paraId="3236892B"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83045">
        <w:rPr>
          <w:b/>
          <w:color w:val="000000"/>
          <w:szCs w:val="22"/>
        </w:rPr>
        <w:t>BLISTRE</w:t>
      </w:r>
    </w:p>
    <w:p w14:paraId="3236892C" w14:textId="77777777" w:rsidR="00F72C2E" w:rsidRPr="00C83045" w:rsidRDefault="00F72C2E" w:rsidP="00D4304B">
      <w:pPr>
        <w:widowControl w:val="0"/>
        <w:rPr>
          <w:bCs/>
          <w:color w:val="000000"/>
          <w:szCs w:val="22"/>
        </w:rPr>
      </w:pPr>
    </w:p>
    <w:p w14:paraId="3236892D" w14:textId="77777777" w:rsidR="00F72C2E" w:rsidRPr="00C83045" w:rsidRDefault="00F72C2E" w:rsidP="00D4304B">
      <w:pPr>
        <w:widowControl w:val="0"/>
        <w:rPr>
          <w:bCs/>
          <w:color w:val="000000"/>
          <w:szCs w:val="22"/>
        </w:rPr>
      </w:pPr>
    </w:p>
    <w:p w14:paraId="3236892E"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w:t>
      </w:r>
      <w:r w:rsidRPr="00C83045">
        <w:rPr>
          <w:b/>
          <w:color w:val="000000"/>
          <w:szCs w:val="22"/>
        </w:rPr>
        <w:tab/>
        <w:t>NÁZOV LIEKU</w:t>
      </w:r>
    </w:p>
    <w:p w14:paraId="3236892F" w14:textId="77777777" w:rsidR="00F72C2E" w:rsidRPr="00C83045" w:rsidRDefault="00F72C2E" w:rsidP="00D4304B">
      <w:pPr>
        <w:widowControl w:val="0"/>
        <w:rPr>
          <w:color w:val="000000"/>
          <w:szCs w:val="22"/>
        </w:rPr>
      </w:pPr>
    </w:p>
    <w:p w14:paraId="32368930" w14:textId="77777777" w:rsidR="00F72C2E" w:rsidRPr="00C83045" w:rsidRDefault="00F72C2E" w:rsidP="00D4304B">
      <w:pPr>
        <w:widowControl w:val="0"/>
        <w:rPr>
          <w:color w:val="000000"/>
          <w:szCs w:val="22"/>
        </w:rPr>
      </w:pPr>
      <w:r w:rsidRPr="00C83045">
        <w:rPr>
          <w:color w:val="000000"/>
          <w:szCs w:val="22"/>
        </w:rPr>
        <w:t>Glivec 100 mg tablety</w:t>
      </w:r>
    </w:p>
    <w:p w14:paraId="32368931" w14:textId="77777777" w:rsidR="00F72C2E" w:rsidRPr="00C83045" w:rsidRDefault="002773F9" w:rsidP="00D4304B">
      <w:pPr>
        <w:widowControl w:val="0"/>
        <w:rPr>
          <w:color w:val="000000"/>
          <w:szCs w:val="22"/>
        </w:rPr>
      </w:pPr>
      <w:r>
        <w:rPr>
          <w:color w:val="000000"/>
          <w:szCs w:val="22"/>
        </w:rPr>
        <w:t>i</w:t>
      </w:r>
      <w:r w:rsidR="00F72C2E" w:rsidRPr="00C83045">
        <w:rPr>
          <w:color w:val="000000"/>
          <w:szCs w:val="22"/>
        </w:rPr>
        <w:t>matinib</w:t>
      </w:r>
    </w:p>
    <w:p w14:paraId="32368932" w14:textId="77777777" w:rsidR="00F72C2E" w:rsidRPr="00C83045" w:rsidRDefault="00F72C2E" w:rsidP="00D4304B">
      <w:pPr>
        <w:widowControl w:val="0"/>
        <w:rPr>
          <w:color w:val="000000"/>
          <w:szCs w:val="22"/>
        </w:rPr>
      </w:pPr>
    </w:p>
    <w:p w14:paraId="32368933" w14:textId="77777777" w:rsidR="00F72C2E" w:rsidRPr="00C83045" w:rsidRDefault="00F72C2E" w:rsidP="00D4304B">
      <w:pPr>
        <w:widowControl w:val="0"/>
        <w:rPr>
          <w:color w:val="000000"/>
          <w:szCs w:val="22"/>
        </w:rPr>
      </w:pPr>
    </w:p>
    <w:p w14:paraId="32368934"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2.</w:t>
      </w:r>
      <w:r w:rsidRPr="00C83045">
        <w:rPr>
          <w:b/>
          <w:color w:val="000000"/>
          <w:szCs w:val="22"/>
        </w:rPr>
        <w:tab/>
        <w:t>NÁZOV DRŽITEĽA ROZHODNUTIA O REGISTRÁCII</w:t>
      </w:r>
    </w:p>
    <w:p w14:paraId="32368935" w14:textId="77777777" w:rsidR="00F72C2E" w:rsidRPr="00C83045" w:rsidRDefault="00F72C2E" w:rsidP="00D4304B">
      <w:pPr>
        <w:widowControl w:val="0"/>
        <w:rPr>
          <w:color w:val="000000"/>
          <w:szCs w:val="22"/>
        </w:rPr>
      </w:pPr>
    </w:p>
    <w:p w14:paraId="32368936" w14:textId="77777777" w:rsidR="00F72C2E" w:rsidRPr="00C83045" w:rsidRDefault="00F72C2E" w:rsidP="00D4304B">
      <w:pPr>
        <w:widowControl w:val="0"/>
        <w:rPr>
          <w:snapToGrid w:val="0"/>
          <w:color w:val="000000"/>
          <w:szCs w:val="22"/>
        </w:rPr>
      </w:pPr>
      <w:r w:rsidRPr="00C83045">
        <w:rPr>
          <w:snapToGrid w:val="0"/>
          <w:color w:val="000000"/>
          <w:szCs w:val="22"/>
        </w:rPr>
        <w:t>Novartis Europharm Limited</w:t>
      </w:r>
    </w:p>
    <w:p w14:paraId="32368937" w14:textId="77777777" w:rsidR="00F72C2E" w:rsidRPr="00C83045" w:rsidRDefault="00F72C2E" w:rsidP="00D4304B">
      <w:pPr>
        <w:widowControl w:val="0"/>
        <w:rPr>
          <w:color w:val="000000"/>
          <w:szCs w:val="22"/>
        </w:rPr>
      </w:pPr>
    </w:p>
    <w:p w14:paraId="32368938" w14:textId="77777777" w:rsidR="00F72C2E" w:rsidRPr="00C83045" w:rsidRDefault="00F72C2E" w:rsidP="00D4304B">
      <w:pPr>
        <w:widowControl w:val="0"/>
        <w:rPr>
          <w:color w:val="000000"/>
          <w:szCs w:val="22"/>
        </w:rPr>
      </w:pPr>
    </w:p>
    <w:p w14:paraId="32368939"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3.</w:t>
      </w:r>
      <w:r w:rsidRPr="00C83045">
        <w:rPr>
          <w:b/>
          <w:color w:val="000000"/>
          <w:szCs w:val="22"/>
        </w:rPr>
        <w:tab/>
        <w:t>DÁTUM EXSPIRÁCIE</w:t>
      </w:r>
    </w:p>
    <w:p w14:paraId="3236893A" w14:textId="77777777" w:rsidR="00F72C2E" w:rsidRPr="00C83045" w:rsidRDefault="00F72C2E" w:rsidP="00D4304B">
      <w:pPr>
        <w:widowControl w:val="0"/>
        <w:rPr>
          <w:color w:val="000000"/>
          <w:szCs w:val="22"/>
        </w:rPr>
      </w:pPr>
    </w:p>
    <w:p w14:paraId="3236893B" w14:textId="77777777" w:rsidR="00F72C2E" w:rsidRPr="00C83045" w:rsidRDefault="00F72C2E" w:rsidP="00D4304B">
      <w:pPr>
        <w:widowControl w:val="0"/>
        <w:rPr>
          <w:color w:val="000000"/>
          <w:szCs w:val="22"/>
        </w:rPr>
      </w:pPr>
      <w:r w:rsidRPr="00C83045">
        <w:rPr>
          <w:color w:val="000000"/>
          <w:szCs w:val="22"/>
        </w:rPr>
        <w:t>EXP</w:t>
      </w:r>
    </w:p>
    <w:p w14:paraId="3236893C" w14:textId="77777777" w:rsidR="00F72C2E" w:rsidRPr="00C83045" w:rsidRDefault="00F72C2E" w:rsidP="00D4304B">
      <w:pPr>
        <w:widowControl w:val="0"/>
        <w:rPr>
          <w:color w:val="000000"/>
          <w:szCs w:val="22"/>
        </w:rPr>
      </w:pPr>
    </w:p>
    <w:p w14:paraId="3236893D" w14:textId="77777777" w:rsidR="00F72C2E" w:rsidRPr="00C83045" w:rsidRDefault="00F72C2E" w:rsidP="00D4304B">
      <w:pPr>
        <w:widowControl w:val="0"/>
        <w:rPr>
          <w:color w:val="000000"/>
          <w:szCs w:val="22"/>
        </w:rPr>
      </w:pPr>
    </w:p>
    <w:p w14:paraId="3236893E"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4.</w:t>
      </w:r>
      <w:r w:rsidRPr="00C83045">
        <w:rPr>
          <w:b/>
          <w:color w:val="000000"/>
          <w:szCs w:val="22"/>
        </w:rPr>
        <w:tab/>
        <w:t>ČÍSLO VÝROBNEJ ŠARŽE</w:t>
      </w:r>
    </w:p>
    <w:p w14:paraId="3236893F" w14:textId="77777777" w:rsidR="00F72C2E" w:rsidRPr="00C83045" w:rsidRDefault="00F72C2E" w:rsidP="00D4304B">
      <w:pPr>
        <w:widowControl w:val="0"/>
        <w:rPr>
          <w:color w:val="000000"/>
          <w:szCs w:val="22"/>
        </w:rPr>
      </w:pPr>
    </w:p>
    <w:p w14:paraId="32368940" w14:textId="77777777" w:rsidR="00F72C2E" w:rsidRPr="00C83045" w:rsidRDefault="00F72C2E" w:rsidP="00D4304B">
      <w:pPr>
        <w:widowControl w:val="0"/>
        <w:rPr>
          <w:color w:val="000000"/>
          <w:szCs w:val="22"/>
        </w:rPr>
      </w:pPr>
      <w:r w:rsidRPr="00C83045">
        <w:rPr>
          <w:color w:val="000000"/>
          <w:szCs w:val="22"/>
        </w:rPr>
        <w:t>Lot</w:t>
      </w:r>
    </w:p>
    <w:p w14:paraId="32368941" w14:textId="77777777" w:rsidR="00F72C2E" w:rsidRPr="00C83045" w:rsidRDefault="00F72C2E" w:rsidP="00D4304B">
      <w:pPr>
        <w:widowControl w:val="0"/>
        <w:rPr>
          <w:color w:val="000000"/>
          <w:szCs w:val="22"/>
        </w:rPr>
      </w:pPr>
    </w:p>
    <w:p w14:paraId="32368942" w14:textId="77777777" w:rsidR="00F72C2E" w:rsidRPr="00C83045" w:rsidRDefault="00F72C2E" w:rsidP="00D4304B">
      <w:pPr>
        <w:widowControl w:val="0"/>
        <w:rPr>
          <w:color w:val="000000"/>
          <w:szCs w:val="22"/>
        </w:rPr>
      </w:pPr>
    </w:p>
    <w:p w14:paraId="32368943"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noProof/>
          <w:color w:val="000000"/>
          <w:szCs w:val="22"/>
        </w:rPr>
      </w:pPr>
      <w:r w:rsidRPr="00C83045">
        <w:rPr>
          <w:b/>
          <w:noProof/>
          <w:color w:val="000000"/>
          <w:szCs w:val="22"/>
        </w:rPr>
        <w:t>5.</w:t>
      </w:r>
      <w:r w:rsidRPr="00C83045">
        <w:rPr>
          <w:b/>
          <w:noProof/>
          <w:color w:val="000000"/>
          <w:szCs w:val="22"/>
        </w:rPr>
        <w:tab/>
        <w:t>INÉ</w:t>
      </w:r>
    </w:p>
    <w:p w14:paraId="32368944" w14:textId="77777777" w:rsidR="00F72C2E" w:rsidRPr="00C83045" w:rsidRDefault="00F72C2E" w:rsidP="00D4304B">
      <w:pPr>
        <w:widowControl w:val="0"/>
        <w:rPr>
          <w:color w:val="000000"/>
          <w:szCs w:val="22"/>
        </w:rPr>
      </w:pPr>
    </w:p>
    <w:p w14:paraId="32368945" w14:textId="77777777" w:rsidR="00F72C2E" w:rsidRPr="00C83045" w:rsidRDefault="00F72C2E" w:rsidP="00D4304B">
      <w:pPr>
        <w:widowControl w:val="0"/>
        <w:rPr>
          <w:color w:val="000000"/>
          <w:szCs w:val="22"/>
        </w:rPr>
      </w:pPr>
    </w:p>
    <w:p w14:paraId="32368946" w14:textId="77777777" w:rsidR="00F72C2E" w:rsidRPr="00C83045" w:rsidRDefault="00F72C2E" w:rsidP="00D4304B">
      <w:pPr>
        <w:widowControl w:val="0"/>
        <w:ind w:left="0" w:firstLine="0"/>
        <w:rPr>
          <w:color w:val="000000"/>
          <w:szCs w:val="22"/>
        </w:rPr>
      </w:pPr>
      <w:r w:rsidRPr="00C83045">
        <w:rPr>
          <w:b/>
          <w:color w:val="000000"/>
          <w:szCs w:val="22"/>
        </w:rPr>
        <w:br w:type="page"/>
      </w:r>
    </w:p>
    <w:p w14:paraId="32368947" w14:textId="77777777" w:rsidR="003E286B" w:rsidRPr="003E286B" w:rsidRDefault="003E286B" w:rsidP="003E286B">
      <w:pPr>
        <w:widowControl w:val="0"/>
        <w:rPr>
          <w:color w:val="000000"/>
          <w:szCs w:val="22"/>
        </w:rPr>
      </w:pPr>
    </w:p>
    <w:p w14:paraId="32368948"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83045">
        <w:rPr>
          <w:b/>
          <w:color w:val="000000"/>
          <w:szCs w:val="22"/>
        </w:rPr>
        <w:t>ÚDAJE, KTORÉ MAJÚ BYŤ UVEDENÉ NA VONKAJŠOM OBALE</w:t>
      </w:r>
    </w:p>
    <w:p w14:paraId="32368949"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color w:val="000000"/>
          <w:szCs w:val="22"/>
        </w:rPr>
      </w:pPr>
    </w:p>
    <w:p w14:paraId="3236894A"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83045">
        <w:rPr>
          <w:b/>
          <w:color w:val="000000"/>
          <w:szCs w:val="22"/>
        </w:rPr>
        <w:t>PAPIEROVÁ ŠKATUĽA</w:t>
      </w:r>
    </w:p>
    <w:p w14:paraId="3236894B" w14:textId="77777777" w:rsidR="00F72C2E" w:rsidRPr="00C83045" w:rsidRDefault="00F72C2E" w:rsidP="00D4304B">
      <w:pPr>
        <w:widowControl w:val="0"/>
        <w:rPr>
          <w:color w:val="000000"/>
          <w:szCs w:val="22"/>
        </w:rPr>
      </w:pPr>
    </w:p>
    <w:p w14:paraId="3236894C" w14:textId="77777777" w:rsidR="00F72C2E" w:rsidRPr="00C83045" w:rsidRDefault="00F72C2E" w:rsidP="00D4304B">
      <w:pPr>
        <w:widowControl w:val="0"/>
        <w:rPr>
          <w:color w:val="000000"/>
          <w:szCs w:val="22"/>
        </w:rPr>
      </w:pPr>
    </w:p>
    <w:p w14:paraId="3236894D"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w:t>
      </w:r>
      <w:r w:rsidRPr="00C83045">
        <w:rPr>
          <w:b/>
          <w:color w:val="000000"/>
          <w:szCs w:val="22"/>
        </w:rPr>
        <w:tab/>
        <w:t>NÁZOV LIEKU</w:t>
      </w:r>
    </w:p>
    <w:p w14:paraId="3236894E" w14:textId="77777777" w:rsidR="00F72C2E" w:rsidRPr="00C83045" w:rsidRDefault="00F72C2E" w:rsidP="00D4304B">
      <w:pPr>
        <w:widowControl w:val="0"/>
        <w:rPr>
          <w:color w:val="000000"/>
          <w:szCs w:val="22"/>
        </w:rPr>
      </w:pPr>
    </w:p>
    <w:p w14:paraId="3236894F" w14:textId="77777777" w:rsidR="00F72C2E" w:rsidRPr="00C83045" w:rsidRDefault="00F72C2E" w:rsidP="00D4304B">
      <w:pPr>
        <w:widowControl w:val="0"/>
        <w:rPr>
          <w:color w:val="000000"/>
          <w:szCs w:val="22"/>
        </w:rPr>
      </w:pPr>
      <w:r w:rsidRPr="00C83045">
        <w:rPr>
          <w:color w:val="000000"/>
          <w:szCs w:val="22"/>
        </w:rPr>
        <w:t>Glivec 400 mg filmom obalené tablety</w:t>
      </w:r>
    </w:p>
    <w:p w14:paraId="32368950" w14:textId="77777777" w:rsidR="00F72C2E" w:rsidRPr="00C83045" w:rsidRDefault="002773F9" w:rsidP="00D4304B">
      <w:pPr>
        <w:widowControl w:val="0"/>
        <w:rPr>
          <w:color w:val="000000"/>
          <w:szCs w:val="22"/>
        </w:rPr>
      </w:pPr>
      <w:r>
        <w:rPr>
          <w:color w:val="000000"/>
          <w:szCs w:val="22"/>
        </w:rPr>
        <w:t>i</w:t>
      </w:r>
      <w:r w:rsidR="00F72C2E" w:rsidRPr="00C83045">
        <w:rPr>
          <w:color w:val="000000"/>
          <w:szCs w:val="22"/>
        </w:rPr>
        <w:t>matinib</w:t>
      </w:r>
    </w:p>
    <w:p w14:paraId="32368951" w14:textId="77777777" w:rsidR="00F72C2E" w:rsidRPr="00C83045" w:rsidRDefault="00F72C2E" w:rsidP="00D4304B">
      <w:pPr>
        <w:widowControl w:val="0"/>
        <w:rPr>
          <w:color w:val="000000"/>
          <w:szCs w:val="22"/>
        </w:rPr>
      </w:pPr>
    </w:p>
    <w:p w14:paraId="32368952" w14:textId="77777777" w:rsidR="00F72C2E" w:rsidRPr="00C83045" w:rsidRDefault="00F72C2E" w:rsidP="00D4304B">
      <w:pPr>
        <w:widowControl w:val="0"/>
        <w:rPr>
          <w:color w:val="000000"/>
          <w:szCs w:val="22"/>
        </w:rPr>
      </w:pPr>
    </w:p>
    <w:p w14:paraId="32368953"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2.</w:t>
      </w:r>
      <w:r w:rsidRPr="00C83045">
        <w:rPr>
          <w:b/>
          <w:color w:val="000000"/>
          <w:szCs w:val="22"/>
        </w:rPr>
        <w:tab/>
        <w:t>LIEČIVO</w:t>
      </w:r>
      <w:r w:rsidR="00F60F43" w:rsidRPr="00C83045">
        <w:rPr>
          <w:b/>
          <w:color w:val="000000"/>
          <w:szCs w:val="22"/>
        </w:rPr>
        <w:t>(LIEČIVÁ)</w:t>
      </w:r>
    </w:p>
    <w:p w14:paraId="32368954" w14:textId="77777777" w:rsidR="00F72C2E" w:rsidRPr="00C83045" w:rsidRDefault="00F72C2E" w:rsidP="00D4304B">
      <w:pPr>
        <w:widowControl w:val="0"/>
        <w:rPr>
          <w:color w:val="000000"/>
          <w:szCs w:val="22"/>
        </w:rPr>
      </w:pPr>
    </w:p>
    <w:p w14:paraId="32368955" w14:textId="77777777" w:rsidR="00F72C2E" w:rsidRPr="00C83045" w:rsidRDefault="00F72C2E" w:rsidP="00D4304B">
      <w:pPr>
        <w:widowControl w:val="0"/>
        <w:rPr>
          <w:color w:val="000000"/>
          <w:szCs w:val="22"/>
        </w:rPr>
      </w:pPr>
      <w:r w:rsidRPr="00C83045">
        <w:rPr>
          <w:color w:val="000000"/>
          <w:szCs w:val="22"/>
        </w:rPr>
        <w:t>Každá filmom obalená tableta obsahuje 400 mg imatinibu (ako mesilátu).</w:t>
      </w:r>
    </w:p>
    <w:p w14:paraId="32368956" w14:textId="77777777" w:rsidR="00F72C2E" w:rsidRPr="00C83045" w:rsidRDefault="00F72C2E" w:rsidP="00D4304B">
      <w:pPr>
        <w:widowControl w:val="0"/>
        <w:rPr>
          <w:color w:val="000000"/>
          <w:szCs w:val="22"/>
        </w:rPr>
      </w:pPr>
    </w:p>
    <w:p w14:paraId="32368957" w14:textId="77777777" w:rsidR="00F72C2E" w:rsidRPr="00C83045" w:rsidRDefault="00F72C2E" w:rsidP="00D4304B">
      <w:pPr>
        <w:widowControl w:val="0"/>
        <w:rPr>
          <w:color w:val="000000"/>
          <w:szCs w:val="22"/>
        </w:rPr>
      </w:pPr>
    </w:p>
    <w:p w14:paraId="32368958"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3.</w:t>
      </w:r>
      <w:r w:rsidRPr="00C83045">
        <w:rPr>
          <w:b/>
          <w:color w:val="000000"/>
          <w:szCs w:val="22"/>
        </w:rPr>
        <w:tab/>
        <w:t>ZOZNAM POMOCNÝCH LÁTOK</w:t>
      </w:r>
    </w:p>
    <w:p w14:paraId="32368959" w14:textId="77777777" w:rsidR="00F72C2E" w:rsidRPr="00C83045" w:rsidRDefault="00F72C2E" w:rsidP="00D4304B">
      <w:pPr>
        <w:widowControl w:val="0"/>
        <w:rPr>
          <w:color w:val="000000"/>
          <w:szCs w:val="22"/>
        </w:rPr>
      </w:pPr>
    </w:p>
    <w:p w14:paraId="3236895A" w14:textId="77777777" w:rsidR="00F72C2E" w:rsidRPr="00C83045" w:rsidRDefault="00F72C2E" w:rsidP="00D4304B">
      <w:pPr>
        <w:widowControl w:val="0"/>
        <w:rPr>
          <w:color w:val="000000"/>
          <w:szCs w:val="22"/>
        </w:rPr>
      </w:pPr>
    </w:p>
    <w:p w14:paraId="3236895B"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4.</w:t>
      </w:r>
      <w:r w:rsidRPr="00C83045">
        <w:rPr>
          <w:b/>
          <w:color w:val="000000"/>
          <w:szCs w:val="22"/>
        </w:rPr>
        <w:tab/>
        <w:t>LIEKOVÁ FORMA A OBSAH</w:t>
      </w:r>
    </w:p>
    <w:p w14:paraId="3236895C" w14:textId="77777777" w:rsidR="00F72C2E" w:rsidRPr="00C83045" w:rsidRDefault="00F72C2E" w:rsidP="00D4304B">
      <w:pPr>
        <w:widowControl w:val="0"/>
        <w:rPr>
          <w:color w:val="000000"/>
          <w:szCs w:val="22"/>
        </w:rPr>
      </w:pPr>
    </w:p>
    <w:p w14:paraId="3236895D" w14:textId="77777777" w:rsidR="00F72C2E" w:rsidRPr="00C83045" w:rsidRDefault="00F72C2E" w:rsidP="00D4304B">
      <w:pPr>
        <w:widowControl w:val="0"/>
        <w:rPr>
          <w:color w:val="000000"/>
          <w:szCs w:val="22"/>
        </w:rPr>
      </w:pPr>
      <w:r w:rsidRPr="00C83045">
        <w:rPr>
          <w:color w:val="000000"/>
          <w:szCs w:val="22"/>
        </w:rPr>
        <w:t>10 filmom obalených tabliet</w:t>
      </w:r>
    </w:p>
    <w:p w14:paraId="3236895E" w14:textId="77777777" w:rsidR="00F72C2E" w:rsidRPr="00C83045" w:rsidRDefault="00F72C2E" w:rsidP="00D4304B">
      <w:pPr>
        <w:widowControl w:val="0"/>
        <w:rPr>
          <w:color w:val="000000"/>
          <w:szCs w:val="22"/>
          <w:shd w:val="clear" w:color="auto" w:fill="D9D9D9"/>
        </w:rPr>
      </w:pPr>
      <w:r w:rsidRPr="00C83045">
        <w:rPr>
          <w:color w:val="000000"/>
          <w:szCs w:val="22"/>
          <w:shd w:val="clear" w:color="auto" w:fill="D9D9D9"/>
        </w:rPr>
        <w:t>30 filmom obalených tabliet</w:t>
      </w:r>
    </w:p>
    <w:p w14:paraId="3236895F" w14:textId="77777777" w:rsidR="00F72C2E" w:rsidRPr="00C83045" w:rsidRDefault="00F72C2E" w:rsidP="00D4304B">
      <w:pPr>
        <w:widowControl w:val="0"/>
        <w:rPr>
          <w:color w:val="000000"/>
          <w:szCs w:val="22"/>
          <w:shd w:val="clear" w:color="auto" w:fill="D9D9D9"/>
        </w:rPr>
      </w:pPr>
      <w:r w:rsidRPr="00C83045">
        <w:rPr>
          <w:color w:val="000000"/>
          <w:szCs w:val="22"/>
          <w:shd w:val="clear" w:color="auto" w:fill="D9D9D9"/>
        </w:rPr>
        <w:t>90 filmom obalených tabliet</w:t>
      </w:r>
    </w:p>
    <w:p w14:paraId="32368960" w14:textId="77777777" w:rsidR="00F72C2E" w:rsidRPr="00C83045" w:rsidRDefault="00F72C2E" w:rsidP="00D4304B">
      <w:pPr>
        <w:widowControl w:val="0"/>
        <w:rPr>
          <w:color w:val="000000"/>
          <w:szCs w:val="22"/>
        </w:rPr>
      </w:pPr>
    </w:p>
    <w:p w14:paraId="32368961" w14:textId="77777777" w:rsidR="00F72C2E" w:rsidRPr="00C83045" w:rsidRDefault="00F72C2E" w:rsidP="00D4304B">
      <w:pPr>
        <w:widowControl w:val="0"/>
        <w:rPr>
          <w:color w:val="000000"/>
          <w:szCs w:val="22"/>
        </w:rPr>
      </w:pPr>
    </w:p>
    <w:p w14:paraId="32368962"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5.</w:t>
      </w:r>
      <w:r w:rsidRPr="00C83045">
        <w:rPr>
          <w:b/>
          <w:color w:val="000000"/>
          <w:szCs w:val="22"/>
        </w:rPr>
        <w:tab/>
        <w:t>SPÔSOB A</w:t>
      </w:r>
      <w:r w:rsidR="00F60F43" w:rsidRPr="00C83045">
        <w:rPr>
          <w:b/>
          <w:color w:val="000000"/>
          <w:szCs w:val="22"/>
        </w:rPr>
        <w:t> </w:t>
      </w:r>
      <w:r w:rsidRPr="00C83045">
        <w:rPr>
          <w:b/>
          <w:color w:val="000000"/>
          <w:szCs w:val="22"/>
        </w:rPr>
        <w:t>CEST</w:t>
      </w:r>
      <w:r w:rsidR="00F60F43" w:rsidRPr="00C83045">
        <w:rPr>
          <w:b/>
          <w:color w:val="000000"/>
          <w:szCs w:val="22"/>
        </w:rPr>
        <w:t>A(CEST</w:t>
      </w:r>
      <w:r w:rsidRPr="00C83045">
        <w:rPr>
          <w:b/>
          <w:color w:val="000000"/>
          <w:szCs w:val="22"/>
        </w:rPr>
        <w:t>Y</w:t>
      </w:r>
      <w:r w:rsidR="00F60F43" w:rsidRPr="00C83045">
        <w:rPr>
          <w:b/>
          <w:color w:val="000000"/>
          <w:szCs w:val="22"/>
        </w:rPr>
        <w:t>)</w:t>
      </w:r>
      <w:r w:rsidRPr="00C83045">
        <w:rPr>
          <w:color w:val="000000"/>
          <w:szCs w:val="22"/>
        </w:rPr>
        <w:t xml:space="preserve"> </w:t>
      </w:r>
      <w:r w:rsidRPr="00C83045">
        <w:rPr>
          <w:b/>
          <w:color w:val="000000"/>
          <w:szCs w:val="22"/>
        </w:rPr>
        <w:t>POD</w:t>
      </w:r>
      <w:r w:rsidR="002773F9">
        <w:rPr>
          <w:b/>
          <w:color w:val="000000"/>
          <w:szCs w:val="22"/>
        </w:rPr>
        <w:t>ÁV</w:t>
      </w:r>
      <w:r w:rsidRPr="00C83045">
        <w:rPr>
          <w:b/>
          <w:color w:val="000000"/>
          <w:szCs w:val="22"/>
        </w:rPr>
        <w:t>ANIA</w:t>
      </w:r>
    </w:p>
    <w:p w14:paraId="32368963" w14:textId="77777777" w:rsidR="00F72C2E" w:rsidRPr="00C83045" w:rsidRDefault="00F72C2E" w:rsidP="00D4304B">
      <w:pPr>
        <w:widowControl w:val="0"/>
        <w:rPr>
          <w:color w:val="000000"/>
          <w:szCs w:val="22"/>
        </w:rPr>
      </w:pPr>
    </w:p>
    <w:p w14:paraId="32368964" w14:textId="77777777" w:rsidR="00F72C2E" w:rsidRPr="00C83045" w:rsidRDefault="00F72C2E" w:rsidP="00D4304B">
      <w:pPr>
        <w:widowControl w:val="0"/>
        <w:rPr>
          <w:color w:val="000000"/>
          <w:szCs w:val="22"/>
        </w:rPr>
      </w:pPr>
      <w:r w:rsidRPr="00C83045">
        <w:rPr>
          <w:color w:val="000000"/>
          <w:szCs w:val="22"/>
        </w:rPr>
        <w:t>Na vnútorné použitie. Pred použitím si prečítajte písomnú informáciu pre používate</w:t>
      </w:r>
      <w:r w:rsidR="000F7F9B" w:rsidRPr="00C83045">
        <w:rPr>
          <w:color w:val="000000"/>
          <w:szCs w:val="22"/>
        </w:rPr>
        <w:t>ľa</w:t>
      </w:r>
      <w:r w:rsidRPr="00C83045">
        <w:rPr>
          <w:color w:val="000000"/>
          <w:szCs w:val="22"/>
        </w:rPr>
        <w:t>.</w:t>
      </w:r>
    </w:p>
    <w:p w14:paraId="32368965" w14:textId="77777777" w:rsidR="00F72C2E" w:rsidRPr="00C83045" w:rsidRDefault="00F72C2E" w:rsidP="00D4304B">
      <w:pPr>
        <w:widowControl w:val="0"/>
        <w:rPr>
          <w:color w:val="000000"/>
          <w:szCs w:val="22"/>
        </w:rPr>
      </w:pPr>
    </w:p>
    <w:p w14:paraId="32368966" w14:textId="77777777" w:rsidR="00F72C2E" w:rsidRPr="00C83045" w:rsidRDefault="00F72C2E" w:rsidP="00D4304B">
      <w:pPr>
        <w:widowControl w:val="0"/>
        <w:rPr>
          <w:color w:val="000000"/>
          <w:szCs w:val="22"/>
        </w:rPr>
      </w:pPr>
    </w:p>
    <w:p w14:paraId="32368967"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6.</w:t>
      </w:r>
      <w:r w:rsidRPr="00C83045">
        <w:rPr>
          <w:b/>
          <w:color w:val="000000"/>
          <w:szCs w:val="22"/>
        </w:rPr>
        <w:tab/>
        <w:t xml:space="preserve">ŠPECIÁLNE UPOZORNENIE, ŽE LIEK SA MUSÍ UCHOVÁVAŤ MIMO DOHĽADU </w:t>
      </w:r>
      <w:r w:rsidR="00F60F43" w:rsidRPr="00C83045">
        <w:rPr>
          <w:b/>
          <w:color w:val="000000"/>
          <w:szCs w:val="22"/>
        </w:rPr>
        <w:t xml:space="preserve">A DOSAHU </w:t>
      </w:r>
      <w:r w:rsidRPr="00C83045">
        <w:rPr>
          <w:b/>
          <w:color w:val="000000"/>
          <w:szCs w:val="22"/>
        </w:rPr>
        <w:t>DETÍ</w:t>
      </w:r>
    </w:p>
    <w:p w14:paraId="32368968" w14:textId="77777777" w:rsidR="00F72C2E" w:rsidRPr="00C83045" w:rsidRDefault="00F72C2E" w:rsidP="00D4304B">
      <w:pPr>
        <w:widowControl w:val="0"/>
        <w:rPr>
          <w:color w:val="000000"/>
          <w:szCs w:val="22"/>
        </w:rPr>
      </w:pPr>
    </w:p>
    <w:p w14:paraId="32368969" w14:textId="77777777" w:rsidR="00F72C2E" w:rsidRPr="00C83045" w:rsidRDefault="00F72C2E" w:rsidP="00D4304B">
      <w:pPr>
        <w:widowControl w:val="0"/>
        <w:outlineLvl w:val="0"/>
        <w:rPr>
          <w:color w:val="000000"/>
          <w:szCs w:val="22"/>
        </w:rPr>
      </w:pPr>
      <w:r w:rsidRPr="00C83045">
        <w:rPr>
          <w:color w:val="000000"/>
          <w:szCs w:val="22"/>
        </w:rPr>
        <w:t xml:space="preserve">Uchovávajte mimo </w:t>
      </w:r>
      <w:r w:rsidR="00F60F43" w:rsidRPr="00C83045">
        <w:rPr>
          <w:color w:val="000000"/>
          <w:szCs w:val="22"/>
        </w:rPr>
        <w:t xml:space="preserve">dohľadu a </w:t>
      </w:r>
      <w:r w:rsidRPr="00C83045">
        <w:rPr>
          <w:color w:val="000000"/>
          <w:szCs w:val="22"/>
        </w:rPr>
        <w:t>dosahu detí.</w:t>
      </w:r>
    </w:p>
    <w:p w14:paraId="3236896A" w14:textId="77777777" w:rsidR="00F72C2E" w:rsidRPr="00C83045" w:rsidRDefault="00F72C2E" w:rsidP="00D4304B">
      <w:pPr>
        <w:widowControl w:val="0"/>
        <w:rPr>
          <w:color w:val="000000"/>
          <w:szCs w:val="22"/>
        </w:rPr>
      </w:pPr>
    </w:p>
    <w:p w14:paraId="3236896B" w14:textId="77777777" w:rsidR="00F72C2E" w:rsidRPr="00C83045" w:rsidRDefault="00F72C2E" w:rsidP="00D4304B">
      <w:pPr>
        <w:widowControl w:val="0"/>
        <w:rPr>
          <w:color w:val="000000"/>
          <w:szCs w:val="22"/>
        </w:rPr>
      </w:pPr>
    </w:p>
    <w:p w14:paraId="3236896C"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7.</w:t>
      </w:r>
      <w:r w:rsidRPr="00C83045">
        <w:rPr>
          <w:b/>
          <w:color w:val="000000"/>
          <w:szCs w:val="22"/>
        </w:rPr>
        <w:tab/>
        <w:t xml:space="preserve">INÉ ŠPECIÁLNE </w:t>
      </w:r>
      <w:r w:rsidR="00F60F43" w:rsidRPr="00C83045">
        <w:rPr>
          <w:b/>
          <w:color w:val="000000"/>
          <w:szCs w:val="22"/>
        </w:rPr>
        <w:t>UPOZORNENIE(</w:t>
      </w:r>
      <w:r w:rsidRPr="00C83045">
        <w:rPr>
          <w:b/>
          <w:color w:val="000000"/>
          <w:szCs w:val="22"/>
        </w:rPr>
        <w:t>UPOZORNENI</w:t>
      </w:r>
      <w:r w:rsidR="00F60F43" w:rsidRPr="00C83045">
        <w:rPr>
          <w:b/>
          <w:color w:val="000000"/>
          <w:szCs w:val="22"/>
        </w:rPr>
        <w:t>A)</w:t>
      </w:r>
      <w:r w:rsidRPr="00C83045">
        <w:rPr>
          <w:b/>
          <w:color w:val="000000"/>
          <w:szCs w:val="22"/>
        </w:rPr>
        <w:t>, AK JE TO POTREBNÉ</w:t>
      </w:r>
    </w:p>
    <w:p w14:paraId="3236896D" w14:textId="77777777" w:rsidR="00F72C2E" w:rsidRPr="00C83045" w:rsidRDefault="00F72C2E" w:rsidP="00D4304B">
      <w:pPr>
        <w:widowControl w:val="0"/>
        <w:rPr>
          <w:color w:val="000000"/>
          <w:szCs w:val="22"/>
        </w:rPr>
      </w:pPr>
    </w:p>
    <w:p w14:paraId="3236896E" w14:textId="77777777" w:rsidR="00F72C2E" w:rsidRPr="00C83045" w:rsidRDefault="00F72C2E" w:rsidP="00D4304B">
      <w:pPr>
        <w:widowControl w:val="0"/>
        <w:rPr>
          <w:color w:val="000000"/>
          <w:szCs w:val="22"/>
        </w:rPr>
      </w:pPr>
      <w:r w:rsidRPr="00C83045">
        <w:rPr>
          <w:color w:val="000000"/>
          <w:szCs w:val="22"/>
        </w:rPr>
        <w:t>Užívajte len podľa pokynov lekára.</w:t>
      </w:r>
    </w:p>
    <w:p w14:paraId="3236896F" w14:textId="77777777" w:rsidR="00F72C2E" w:rsidRPr="00C83045" w:rsidRDefault="00F72C2E" w:rsidP="00D4304B">
      <w:pPr>
        <w:widowControl w:val="0"/>
        <w:rPr>
          <w:color w:val="000000"/>
          <w:szCs w:val="22"/>
        </w:rPr>
      </w:pPr>
    </w:p>
    <w:p w14:paraId="32368970" w14:textId="77777777" w:rsidR="00F72C2E" w:rsidRPr="00C83045" w:rsidRDefault="00F72C2E" w:rsidP="00D4304B">
      <w:pPr>
        <w:widowControl w:val="0"/>
        <w:rPr>
          <w:color w:val="000000"/>
          <w:szCs w:val="22"/>
        </w:rPr>
      </w:pPr>
    </w:p>
    <w:p w14:paraId="32368971"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8.</w:t>
      </w:r>
      <w:r w:rsidRPr="00C83045">
        <w:rPr>
          <w:b/>
          <w:color w:val="000000"/>
          <w:szCs w:val="22"/>
        </w:rPr>
        <w:tab/>
        <w:t>DÁTUM EXSPIRÁCIE</w:t>
      </w:r>
    </w:p>
    <w:p w14:paraId="32368972" w14:textId="77777777" w:rsidR="00F72C2E" w:rsidRPr="00C83045" w:rsidRDefault="00F72C2E" w:rsidP="00D4304B">
      <w:pPr>
        <w:widowControl w:val="0"/>
        <w:rPr>
          <w:color w:val="000000"/>
          <w:szCs w:val="22"/>
        </w:rPr>
      </w:pPr>
    </w:p>
    <w:p w14:paraId="32368973" w14:textId="77777777" w:rsidR="00F72C2E" w:rsidRPr="00C83045" w:rsidRDefault="00F72C2E" w:rsidP="00D4304B">
      <w:pPr>
        <w:widowControl w:val="0"/>
        <w:outlineLvl w:val="0"/>
        <w:rPr>
          <w:color w:val="000000"/>
          <w:szCs w:val="22"/>
        </w:rPr>
      </w:pPr>
      <w:r w:rsidRPr="00C83045">
        <w:rPr>
          <w:color w:val="000000"/>
          <w:szCs w:val="22"/>
        </w:rPr>
        <w:t>EXP</w:t>
      </w:r>
    </w:p>
    <w:p w14:paraId="32368974" w14:textId="77777777" w:rsidR="00F72C2E" w:rsidRPr="00C83045" w:rsidRDefault="00F72C2E" w:rsidP="00D4304B">
      <w:pPr>
        <w:widowControl w:val="0"/>
        <w:rPr>
          <w:color w:val="000000"/>
          <w:szCs w:val="22"/>
        </w:rPr>
      </w:pPr>
    </w:p>
    <w:p w14:paraId="32368975" w14:textId="77777777" w:rsidR="00F72C2E" w:rsidRPr="00C83045" w:rsidRDefault="00F72C2E" w:rsidP="00D4304B">
      <w:pPr>
        <w:widowControl w:val="0"/>
        <w:rPr>
          <w:color w:val="000000"/>
          <w:szCs w:val="22"/>
        </w:rPr>
      </w:pPr>
    </w:p>
    <w:p w14:paraId="32368976" w14:textId="77777777" w:rsidR="00F72C2E" w:rsidRPr="00C83045" w:rsidRDefault="00F72C2E" w:rsidP="00D4304B">
      <w:pPr>
        <w:keepNext/>
        <w:keepLines/>
        <w:widowControl w:val="0"/>
        <w:pBdr>
          <w:top w:val="single" w:sz="4" w:space="1" w:color="auto"/>
          <w:left w:val="single" w:sz="4" w:space="4" w:color="auto"/>
          <w:bottom w:val="single" w:sz="4" w:space="1" w:color="auto"/>
          <w:right w:val="single" w:sz="4" w:space="4" w:color="auto"/>
        </w:pBdr>
        <w:tabs>
          <w:tab w:val="left" w:pos="142"/>
        </w:tabs>
        <w:rPr>
          <w:color w:val="000000"/>
          <w:szCs w:val="22"/>
        </w:rPr>
      </w:pPr>
      <w:r w:rsidRPr="00C83045">
        <w:rPr>
          <w:b/>
          <w:color w:val="000000"/>
          <w:szCs w:val="22"/>
        </w:rPr>
        <w:t>9.</w:t>
      </w:r>
      <w:r w:rsidRPr="00C83045">
        <w:rPr>
          <w:b/>
          <w:color w:val="000000"/>
          <w:szCs w:val="22"/>
        </w:rPr>
        <w:tab/>
        <w:t>ŠPECIÁLNE PODMIENKY NA UCHOVÁVANIE</w:t>
      </w:r>
    </w:p>
    <w:p w14:paraId="32368977" w14:textId="77777777" w:rsidR="00F72C2E" w:rsidRPr="00C83045" w:rsidRDefault="00F72C2E" w:rsidP="00D4304B">
      <w:pPr>
        <w:keepNext/>
        <w:keepLines/>
        <w:widowControl w:val="0"/>
        <w:rPr>
          <w:color w:val="000000"/>
          <w:szCs w:val="22"/>
        </w:rPr>
      </w:pPr>
    </w:p>
    <w:p w14:paraId="32368978" w14:textId="77777777" w:rsidR="00F72C2E" w:rsidRPr="00C83045" w:rsidRDefault="00F72C2E" w:rsidP="00D4304B">
      <w:pPr>
        <w:keepNext/>
        <w:keepLines/>
        <w:widowControl w:val="0"/>
        <w:ind w:left="0" w:firstLine="0"/>
        <w:rPr>
          <w:color w:val="000000"/>
          <w:szCs w:val="22"/>
        </w:rPr>
      </w:pPr>
      <w:r w:rsidRPr="00C83045">
        <w:rPr>
          <w:color w:val="000000"/>
          <w:szCs w:val="22"/>
        </w:rPr>
        <w:t>Uchovávajte pri teplote neprevyšujúcej 30</w:t>
      </w:r>
      <w:r w:rsidRPr="00C83045">
        <w:rPr>
          <w:color w:val="000000"/>
          <w:szCs w:val="22"/>
        </w:rPr>
        <w:sym w:font="Symbol" w:char="F0B0"/>
      </w:r>
      <w:r w:rsidRPr="00C83045">
        <w:rPr>
          <w:color w:val="000000"/>
          <w:szCs w:val="22"/>
        </w:rPr>
        <w:t>C. Uchovávajte v pôvodnom obale na ochranu pred vlhkosťou.</w:t>
      </w:r>
    </w:p>
    <w:p w14:paraId="32368979" w14:textId="77777777" w:rsidR="00F72C2E" w:rsidRPr="00C83045" w:rsidRDefault="00F72C2E" w:rsidP="00D4304B">
      <w:pPr>
        <w:widowControl w:val="0"/>
        <w:rPr>
          <w:color w:val="000000"/>
          <w:szCs w:val="22"/>
        </w:rPr>
      </w:pPr>
    </w:p>
    <w:p w14:paraId="3236897A" w14:textId="77777777" w:rsidR="00F72C2E" w:rsidRPr="00C83045" w:rsidRDefault="00F72C2E" w:rsidP="00D4304B">
      <w:pPr>
        <w:widowControl w:val="0"/>
        <w:rPr>
          <w:color w:val="000000"/>
          <w:szCs w:val="22"/>
        </w:rPr>
      </w:pPr>
    </w:p>
    <w:p w14:paraId="3236897B" w14:textId="77777777" w:rsidR="00F72C2E" w:rsidRPr="00C83045" w:rsidRDefault="00F72C2E" w:rsidP="00D4304B">
      <w:pPr>
        <w:keepNext/>
        <w:keepLines/>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lastRenderedPageBreak/>
        <w:t>10.</w:t>
      </w:r>
      <w:r w:rsidRPr="00C83045">
        <w:rPr>
          <w:b/>
          <w:color w:val="000000"/>
          <w:szCs w:val="22"/>
        </w:rPr>
        <w:tab/>
        <w:t xml:space="preserve">ŠPECIÁLNE UPOZORNENIA NA LIKVIDÁCIU NEPOUŽITÝCH LIEKOV ALEBO ODPADOV Z </w:t>
      </w:r>
      <w:smartTag w:uri="urn:schemas-microsoft-com:office:smarttags" w:element="stockticker">
        <w:r w:rsidRPr="00C83045">
          <w:rPr>
            <w:b/>
            <w:color w:val="000000"/>
            <w:szCs w:val="22"/>
          </w:rPr>
          <w:t>NICH</w:t>
        </w:r>
      </w:smartTag>
      <w:r w:rsidRPr="00C83045">
        <w:rPr>
          <w:b/>
          <w:color w:val="000000"/>
          <w:szCs w:val="22"/>
        </w:rPr>
        <w:t xml:space="preserve"> VZNIKNUTÝCH, AK JE TO VHODNÉ</w:t>
      </w:r>
    </w:p>
    <w:p w14:paraId="3236897C" w14:textId="77777777" w:rsidR="00F72C2E" w:rsidRPr="00C83045" w:rsidRDefault="00F72C2E" w:rsidP="00D4304B">
      <w:pPr>
        <w:keepNext/>
        <w:keepLines/>
        <w:widowControl w:val="0"/>
        <w:rPr>
          <w:color w:val="000000"/>
          <w:szCs w:val="22"/>
        </w:rPr>
      </w:pPr>
    </w:p>
    <w:p w14:paraId="3236897D" w14:textId="77777777" w:rsidR="00F72C2E" w:rsidRPr="00C83045" w:rsidRDefault="00F72C2E" w:rsidP="00D4304B">
      <w:pPr>
        <w:widowControl w:val="0"/>
        <w:rPr>
          <w:color w:val="000000"/>
          <w:szCs w:val="22"/>
        </w:rPr>
      </w:pPr>
    </w:p>
    <w:p w14:paraId="3236897E" w14:textId="77777777" w:rsidR="00F72C2E" w:rsidRPr="00C83045" w:rsidRDefault="00F72C2E" w:rsidP="003E286B">
      <w:pPr>
        <w:keepNext/>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11.</w:t>
      </w:r>
      <w:r w:rsidRPr="00C83045">
        <w:rPr>
          <w:b/>
          <w:color w:val="000000"/>
          <w:szCs w:val="22"/>
        </w:rPr>
        <w:tab/>
        <w:t>NÁZOV A ADRESA DRŽITEĽA ROZHODNUTIA O REGISTRÁCII</w:t>
      </w:r>
    </w:p>
    <w:p w14:paraId="3236897F" w14:textId="77777777" w:rsidR="00F72C2E" w:rsidRPr="00C83045" w:rsidRDefault="00F72C2E" w:rsidP="003E286B">
      <w:pPr>
        <w:keepNext/>
        <w:widowControl w:val="0"/>
        <w:rPr>
          <w:color w:val="000000"/>
          <w:szCs w:val="22"/>
        </w:rPr>
      </w:pPr>
    </w:p>
    <w:p w14:paraId="32368980" w14:textId="77777777" w:rsidR="00F72C2E" w:rsidRPr="00C83045" w:rsidRDefault="00F72C2E" w:rsidP="003E286B">
      <w:pPr>
        <w:keepNext/>
        <w:widowControl w:val="0"/>
        <w:rPr>
          <w:snapToGrid w:val="0"/>
          <w:color w:val="000000"/>
          <w:szCs w:val="22"/>
        </w:rPr>
      </w:pPr>
      <w:r w:rsidRPr="00C83045">
        <w:rPr>
          <w:snapToGrid w:val="0"/>
          <w:color w:val="000000"/>
          <w:szCs w:val="22"/>
        </w:rPr>
        <w:t>Novartis Europharm Limited</w:t>
      </w:r>
    </w:p>
    <w:p w14:paraId="32368981" w14:textId="77777777" w:rsidR="006E79DA" w:rsidRPr="00EB33FE" w:rsidRDefault="006E79DA" w:rsidP="00D4304B">
      <w:pPr>
        <w:keepNext/>
        <w:widowControl w:val="0"/>
        <w:rPr>
          <w:color w:val="000000"/>
        </w:rPr>
      </w:pPr>
      <w:r w:rsidRPr="00EB33FE">
        <w:rPr>
          <w:color w:val="000000"/>
        </w:rPr>
        <w:t>Vista Building</w:t>
      </w:r>
    </w:p>
    <w:p w14:paraId="32368982" w14:textId="77777777" w:rsidR="006E79DA" w:rsidRPr="00EB33FE" w:rsidRDefault="006E79DA" w:rsidP="00D4304B">
      <w:pPr>
        <w:keepNext/>
        <w:widowControl w:val="0"/>
        <w:rPr>
          <w:color w:val="000000"/>
        </w:rPr>
      </w:pPr>
      <w:r w:rsidRPr="00EB33FE">
        <w:rPr>
          <w:color w:val="000000"/>
        </w:rPr>
        <w:t>Elm Park, Merrion Road</w:t>
      </w:r>
    </w:p>
    <w:p w14:paraId="32368983" w14:textId="77777777" w:rsidR="006E79DA" w:rsidRPr="00EB33FE" w:rsidRDefault="006E79DA" w:rsidP="00D4304B">
      <w:pPr>
        <w:keepNext/>
        <w:widowControl w:val="0"/>
        <w:rPr>
          <w:color w:val="000000"/>
        </w:rPr>
      </w:pPr>
      <w:r w:rsidRPr="00EB33FE">
        <w:rPr>
          <w:color w:val="000000"/>
        </w:rPr>
        <w:t>Dublin 4</w:t>
      </w:r>
    </w:p>
    <w:p w14:paraId="32368984" w14:textId="77777777" w:rsidR="006E79DA" w:rsidRDefault="006E79DA" w:rsidP="00D4304B">
      <w:pPr>
        <w:widowControl w:val="0"/>
        <w:rPr>
          <w:color w:val="000000"/>
        </w:rPr>
      </w:pPr>
      <w:r w:rsidRPr="00EB33FE">
        <w:rPr>
          <w:color w:val="000000"/>
        </w:rPr>
        <w:t>Írsko</w:t>
      </w:r>
    </w:p>
    <w:p w14:paraId="32368985" w14:textId="77777777" w:rsidR="00F72C2E" w:rsidRPr="00C83045" w:rsidRDefault="00F72C2E" w:rsidP="00D4304B">
      <w:pPr>
        <w:widowControl w:val="0"/>
        <w:rPr>
          <w:color w:val="000000"/>
          <w:szCs w:val="22"/>
        </w:rPr>
      </w:pPr>
    </w:p>
    <w:p w14:paraId="32368986" w14:textId="77777777" w:rsidR="00F72C2E" w:rsidRPr="00C83045" w:rsidRDefault="00F72C2E" w:rsidP="00D4304B">
      <w:pPr>
        <w:widowControl w:val="0"/>
        <w:rPr>
          <w:color w:val="000000"/>
          <w:szCs w:val="22"/>
        </w:rPr>
      </w:pPr>
    </w:p>
    <w:p w14:paraId="32368987"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12.</w:t>
      </w:r>
      <w:r w:rsidRPr="00C83045">
        <w:rPr>
          <w:b/>
          <w:color w:val="000000"/>
          <w:szCs w:val="22"/>
        </w:rPr>
        <w:tab/>
        <w:t>REGISTRAČNÉ ČÍSLO</w:t>
      </w:r>
      <w:r w:rsidR="00F60F43" w:rsidRPr="00C83045">
        <w:rPr>
          <w:b/>
          <w:color w:val="000000"/>
          <w:szCs w:val="22"/>
        </w:rPr>
        <w:t>(ČÍSLA)</w:t>
      </w:r>
    </w:p>
    <w:p w14:paraId="32368988" w14:textId="77777777" w:rsidR="00F72C2E" w:rsidRPr="00C83045" w:rsidRDefault="00F72C2E" w:rsidP="00D4304B">
      <w:pPr>
        <w:widowControl w:val="0"/>
        <w:rPr>
          <w:color w:val="000000"/>
          <w:szCs w:val="22"/>
        </w:rPr>
      </w:pPr>
    </w:p>
    <w:p w14:paraId="32368989" w14:textId="77777777" w:rsidR="00F72C2E" w:rsidRPr="00C83045" w:rsidRDefault="00F72C2E" w:rsidP="00D4304B">
      <w:pPr>
        <w:widowControl w:val="0"/>
        <w:ind w:left="2280" w:hanging="2280"/>
        <w:rPr>
          <w:color w:val="000000"/>
          <w:szCs w:val="22"/>
          <w:shd w:val="clear" w:color="auto" w:fill="D9D9D9"/>
        </w:rPr>
      </w:pPr>
      <w:r w:rsidRPr="00C83045">
        <w:rPr>
          <w:color w:val="000000"/>
          <w:szCs w:val="22"/>
        </w:rPr>
        <w:t>EU/1/01/198/009</w:t>
      </w:r>
      <w:r w:rsidRPr="00C83045">
        <w:rPr>
          <w:color w:val="000000"/>
          <w:szCs w:val="22"/>
        </w:rPr>
        <w:tab/>
      </w:r>
      <w:r w:rsidRPr="00C83045">
        <w:rPr>
          <w:color w:val="000000"/>
          <w:szCs w:val="22"/>
          <w:shd w:val="clear" w:color="auto" w:fill="D9D9D9"/>
        </w:rPr>
        <w:t>10 tabliet</w:t>
      </w:r>
    </w:p>
    <w:p w14:paraId="3236898A" w14:textId="77777777" w:rsidR="00F72C2E" w:rsidRPr="00C83045" w:rsidRDefault="00F72C2E" w:rsidP="00D4304B">
      <w:pPr>
        <w:widowControl w:val="0"/>
        <w:ind w:left="2280" w:hanging="2280"/>
        <w:rPr>
          <w:color w:val="000000"/>
          <w:szCs w:val="22"/>
          <w:shd w:val="clear" w:color="auto" w:fill="D9D9D9"/>
        </w:rPr>
      </w:pPr>
      <w:r w:rsidRPr="00C83045">
        <w:rPr>
          <w:color w:val="000000"/>
          <w:szCs w:val="22"/>
          <w:shd w:val="clear" w:color="auto" w:fill="D9D9D9"/>
        </w:rPr>
        <w:t>EU/1/01/198/010</w:t>
      </w:r>
      <w:r w:rsidRPr="00C83045">
        <w:rPr>
          <w:color w:val="000000"/>
          <w:szCs w:val="22"/>
          <w:shd w:val="clear" w:color="auto" w:fill="D9D9D9"/>
        </w:rPr>
        <w:tab/>
        <w:t>30 tabliet</w:t>
      </w:r>
    </w:p>
    <w:p w14:paraId="3236898B" w14:textId="77777777" w:rsidR="00F72C2E" w:rsidRPr="00C83045" w:rsidRDefault="00F72C2E" w:rsidP="00D4304B">
      <w:pPr>
        <w:widowControl w:val="0"/>
        <w:ind w:left="2280" w:hanging="2280"/>
        <w:rPr>
          <w:color w:val="000000"/>
          <w:szCs w:val="22"/>
          <w:shd w:val="clear" w:color="auto" w:fill="D9D9D9"/>
        </w:rPr>
      </w:pPr>
      <w:r w:rsidRPr="00C83045">
        <w:rPr>
          <w:color w:val="000000"/>
          <w:szCs w:val="22"/>
          <w:shd w:val="clear" w:color="auto" w:fill="D9D9D9"/>
        </w:rPr>
        <w:t>EU/1/01/198/013</w:t>
      </w:r>
      <w:r w:rsidRPr="00C83045">
        <w:rPr>
          <w:color w:val="000000"/>
          <w:szCs w:val="22"/>
          <w:shd w:val="clear" w:color="auto" w:fill="D9D9D9"/>
        </w:rPr>
        <w:tab/>
        <w:t>90 tabliet</w:t>
      </w:r>
    </w:p>
    <w:p w14:paraId="3236898C" w14:textId="77777777" w:rsidR="00F72C2E" w:rsidRPr="00C83045" w:rsidRDefault="00F72C2E" w:rsidP="00D4304B">
      <w:pPr>
        <w:widowControl w:val="0"/>
        <w:rPr>
          <w:color w:val="000000"/>
          <w:szCs w:val="22"/>
        </w:rPr>
      </w:pPr>
    </w:p>
    <w:p w14:paraId="3236898D" w14:textId="77777777" w:rsidR="00F72C2E" w:rsidRPr="00C83045" w:rsidRDefault="00F72C2E" w:rsidP="00D4304B">
      <w:pPr>
        <w:widowControl w:val="0"/>
        <w:rPr>
          <w:color w:val="000000"/>
          <w:szCs w:val="22"/>
        </w:rPr>
      </w:pPr>
    </w:p>
    <w:p w14:paraId="3236898E"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13.</w:t>
      </w:r>
      <w:r w:rsidRPr="00C83045">
        <w:rPr>
          <w:b/>
          <w:color w:val="000000"/>
          <w:szCs w:val="22"/>
        </w:rPr>
        <w:tab/>
        <w:t>ČÍSLO VÝROBNEJ ŠARŽE</w:t>
      </w:r>
    </w:p>
    <w:p w14:paraId="3236898F" w14:textId="77777777" w:rsidR="00F72C2E" w:rsidRPr="00C83045" w:rsidRDefault="00F72C2E" w:rsidP="00D4304B">
      <w:pPr>
        <w:widowControl w:val="0"/>
        <w:rPr>
          <w:color w:val="000000"/>
          <w:szCs w:val="22"/>
        </w:rPr>
      </w:pPr>
    </w:p>
    <w:p w14:paraId="32368990" w14:textId="77777777" w:rsidR="00F72C2E" w:rsidRPr="00C83045" w:rsidRDefault="00F72C2E" w:rsidP="00D4304B">
      <w:pPr>
        <w:widowControl w:val="0"/>
        <w:rPr>
          <w:color w:val="000000"/>
          <w:szCs w:val="22"/>
        </w:rPr>
      </w:pPr>
      <w:r w:rsidRPr="00C83045">
        <w:rPr>
          <w:color w:val="000000"/>
          <w:szCs w:val="22"/>
        </w:rPr>
        <w:t>Č. šarže</w:t>
      </w:r>
    </w:p>
    <w:p w14:paraId="32368991" w14:textId="77777777" w:rsidR="00F72C2E" w:rsidRPr="00C83045" w:rsidRDefault="00F72C2E" w:rsidP="00D4304B">
      <w:pPr>
        <w:widowControl w:val="0"/>
        <w:rPr>
          <w:color w:val="000000"/>
          <w:szCs w:val="22"/>
        </w:rPr>
      </w:pPr>
    </w:p>
    <w:p w14:paraId="32368992" w14:textId="77777777" w:rsidR="00F72C2E" w:rsidRPr="00C83045" w:rsidRDefault="00F72C2E" w:rsidP="00D4304B">
      <w:pPr>
        <w:widowControl w:val="0"/>
        <w:rPr>
          <w:color w:val="000000"/>
          <w:szCs w:val="22"/>
        </w:rPr>
      </w:pPr>
    </w:p>
    <w:p w14:paraId="32368993"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14.</w:t>
      </w:r>
      <w:r w:rsidRPr="00C83045">
        <w:rPr>
          <w:b/>
          <w:color w:val="000000"/>
          <w:szCs w:val="22"/>
        </w:rPr>
        <w:tab/>
        <w:t>ZATRIEDENIE LIEKU PODĽA SPÔSOBU VÝDAJA</w:t>
      </w:r>
    </w:p>
    <w:p w14:paraId="32368994" w14:textId="77777777" w:rsidR="00F72C2E" w:rsidRPr="00C83045" w:rsidRDefault="00F72C2E" w:rsidP="00D4304B">
      <w:pPr>
        <w:widowControl w:val="0"/>
        <w:rPr>
          <w:color w:val="000000"/>
          <w:szCs w:val="22"/>
        </w:rPr>
      </w:pPr>
    </w:p>
    <w:p w14:paraId="32368995" w14:textId="77777777" w:rsidR="00F72C2E" w:rsidRPr="00C83045" w:rsidRDefault="00F72C2E" w:rsidP="00D4304B">
      <w:pPr>
        <w:widowControl w:val="0"/>
        <w:rPr>
          <w:color w:val="000000"/>
          <w:szCs w:val="22"/>
        </w:rPr>
      </w:pPr>
    </w:p>
    <w:p w14:paraId="32368996"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15.</w:t>
      </w:r>
      <w:r w:rsidRPr="00C83045">
        <w:rPr>
          <w:b/>
          <w:color w:val="000000"/>
          <w:szCs w:val="22"/>
        </w:rPr>
        <w:tab/>
        <w:t>POKYNY NA POUŽITIE</w:t>
      </w:r>
    </w:p>
    <w:p w14:paraId="32368997" w14:textId="77777777" w:rsidR="00F72C2E" w:rsidRPr="00C83045" w:rsidRDefault="00F72C2E" w:rsidP="00D4304B">
      <w:pPr>
        <w:widowControl w:val="0"/>
        <w:ind w:left="0" w:firstLine="0"/>
        <w:rPr>
          <w:color w:val="000000"/>
          <w:szCs w:val="22"/>
        </w:rPr>
      </w:pPr>
    </w:p>
    <w:p w14:paraId="32368998" w14:textId="77777777" w:rsidR="00F72C2E" w:rsidRPr="00C83045" w:rsidRDefault="00F72C2E" w:rsidP="00D4304B">
      <w:pPr>
        <w:widowControl w:val="0"/>
        <w:rPr>
          <w:bCs/>
          <w:color w:val="000000"/>
          <w:szCs w:val="22"/>
        </w:rPr>
      </w:pPr>
    </w:p>
    <w:p w14:paraId="32368999"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16.</w:t>
      </w:r>
      <w:r w:rsidRPr="00C83045">
        <w:rPr>
          <w:b/>
          <w:color w:val="000000"/>
          <w:szCs w:val="22"/>
        </w:rPr>
        <w:tab/>
        <w:t>INFORMÁCIE V BRAILLOVOM PÍSME</w:t>
      </w:r>
    </w:p>
    <w:p w14:paraId="3236899A" w14:textId="77777777" w:rsidR="00F72C2E" w:rsidRPr="00C83045" w:rsidRDefault="00F72C2E" w:rsidP="00D4304B">
      <w:pPr>
        <w:widowControl w:val="0"/>
        <w:rPr>
          <w:bCs/>
          <w:color w:val="000000"/>
          <w:szCs w:val="22"/>
        </w:rPr>
      </w:pPr>
    </w:p>
    <w:p w14:paraId="3236899B" w14:textId="77777777" w:rsidR="00F72C2E" w:rsidRPr="00C83045" w:rsidRDefault="00F72C2E" w:rsidP="00D4304B">
      <w:pPr>
        <w:widowControl w:val="0"/>
        <w:rPr>
          <w:color w:val="000000"/>
          <w:szCs w:val="22"/>
        </w:rPr>
      </w:pPr>
      <w:r w:rsidRPr="00C83045">
        <w:rPr>
          <w:color w:val="000000"/>
          <w:szCs w:val="22"/>
        </w:rPr>
        <w:t>Glivec 400 mg</w:t>
      </w:r>
    </w:p>
    <w:p w14:paraId="3236899C" w14:textId="77777777" w:rsidR="00F72C2E" w:rsidRPr="00C83045" w:rsidRDefault="00F72C2E" w:rsidP="00D4304B">
      <w:pPr>
        <w:widowControl w:val="0"/>
        <w:rPr>
          <w:color w:val="000000"/>
          <w:szCs w:val="22"/>
        </w:rPr>
      </w:pPr>
    </w:p>
    <w:p w14:paraId="3236899D" w14:textId="77777777" w:rsidR="00F72C2E" w:rsidRPr="00C83045" w:rsidRDefault="00F72C2E" w:rsidP="00D4304B">
      <w:pPr>
        <w:widowControl w:val="0"/>
        <w:rPr>
          <w:color w:val="000000"/>
          <w:szCs w:val="22"/>
        </w:rPr>
      </w:pPr>
    </w:p>
    <w:p w14:paraId="3236899E" w14:textId="77777777" w:rsidR="00B1589F" w:rsidRPr="00C937E7" w:rsidRDefault="00B1589F" w:rsidP="00D4304B">
      <w:pPr>
        <w:widowControl w:val="0"/>
        <w:pBdr>
          <w:top w:val="single" w:sz="4" w:space="1" w:color="auto"/>
          <w:left w:val="single" w:sz="4" w:space="1" w:color="auto"/>
          <w:bottom w:val="single" w:sz="4" w:space="1" w:color="auto"/>
          <w:right w:val="single" w:sz="4" w:space="4" w:color="auto"/>
        </w:pBdr>
        <w:tabs>
          <w:tab w:val="left" w:pos="567"/>
        </w:tabs>
        <w:ind w:left="-3" w:firstLine="3"/>
        <w:outlineLvl w:val="0"/>
        <w:rPr>
          <w:i/>
          <w:noProof/>
        </w:rPr>
      </w:pPr>
      <w:r>
        <w:rPr>
          <w:b/>
          <w:noProof/>
        </w:rPr>
        <w:t>17.</w:t>
      </w:r>
      <w:r>
        <w:rPr>
          <w:b/>
          <w:noProof/>
        </w:rPr>
        <w:tab/>
        <w:t>ŠPECIFICKÝ IDENTIFIKÁTOR – DVOJROZMERNÝ ČIAROVÝ KÓD</w:t>
      </w:r>
    </w:p>
    <w:p w14:paraId="3236899F" w14:textId="77777777" w:rsidR="00B1589F" w:rsidRPr="00C937E7" w:rsidRDefault="00B1589F" w:rsidP="00D4304B">
      <w:pPr>
        <w:widowControl w:val="0"/>
        <w:rPr>
          <w:noProof/>
        </w:rPr>
      </w:pPr>
    </w:p>
    <w:p w14:paraId="323689A0" w14:textId="77777777" w:rsidR="00B1589F" w:rsidRDefault="00B1589F" w:rsidP="00D4304B">
      <w:pPr>
        <w:widowControl w:val="0"/>
        <w:rPr>
          <w:shd w:val="pct15" w:color="auto" w:fill="auto"/>
        </w:rPr>
      </w:pPr>
      <w:r w:rsidRPr="00267BAB">
        <w:rPr>
          <w:shd w:val="pct15" w:color="auto" w:fill="auto"/>
        </w:rPr>
        <w:t>Dvojrozmerný čiarový kód so špecifickým identifikátorom.</w:t>
      </w:r>
    </w:p>
    <w:p w14:paraId="323689A1" w14:textId="77777777" w:rsidR="00B1589F" w:rsidRPr="00F9448E" w:rsidRDefault="00B1589F" w:rsidP="00D4304B">
      <w:pPr>
        <w:widowControl w:val="0"/>
        <w:rPr>
          <w:noProof/>
          <w:szCs w:val="22"/>
        </w:rPr>
      </w:pPr>
    </w:p>
    <w:p w14:paraId="323689A2" w14:textId="77777777" w:rsidR="00B1589F" w:rsidRPr="00C937E7" w:rsidRDefault="00B1589F" w:rsidP="00D4304B">
      <w:pPr>
        <w:widowControl w:val="0"/>
        <w:rPr>
          <w:noProof/>
        </w:rPr>
      </w:pPr>
    </w:p>
    <w:p w14:paraId="323689A3" w14:textId="77777777" w:rsidR="00B1589F" w:rsidRPr="00C937E7" w:rsidRDefault="00B1589F" w:rsidP="003E286B">
      <w:pPr>
        <w:keepNext/>
        <w:widowControl w:val="0"/>
        <w:pBdr>
          <w:top w:val="single" w:sz="4" w:space="1" w:color="auto"/>
          <w:left w:val="single" w:sz="4" w:space="4" w:color="auto"/>
          <w:bottom w:val="single" w:sz="4" w:space="1" w:color="auto"/>
          <w:right w:val="single" w:sz="4" w:space="4" w:color="auto"/>
        </w:pBdr>
        <w:tabs>
          <w:tab w:val="left" w:pos="567"/>
        </w:tabs>
        <w:ind w:left="-3" w:firstLine="3"/>
        <w:outlineLvl w:val="0"/>
        <w:rPr>
          <w:i/>
          <w:noProof/>
        </w:rPr>
      </w:pPr>
      <w:r>
        <w:rPr>
          <w:b/>
          <w:noProof/>
        </w:rPr>
        <w:t>18.</w:t>
      </w:r>
      <w:r>
        <w:rPr>
          <w:b/>
          <w:noProof/>
        </w:rPr>
        <w:tab/>
        <w:t>ŠPECIFICKÝ IDENTIFIKÁTOR – ÚDAJE ČITATEĽNÉ ĽUDSKÝM OKOM</w:t>
      </w:r>
    </w:p>
    <w:p w14:paraId="323689A4" w14:textId="77777777" w:rsidR="00B1589F" w:rsidRPr="00C937E7" w:rsidRDefault="00B1589F" w:rsidP="003E286B">
      <w:pPr>
        <w:keepNext/>
        <w:widowControl w:val="0"/>
        <w:rPr>
          <w:noProof/>
        </w:rPr>
      </w:pPr>
    </w:p>
    <w:p w14:paraId="323689A5" w14:textId="77777777" w:rsidR="00B1589F" w:rsidRPr="00267BAB" w:rsidRDefault="00B1589F" w:rsidP="003E286B">
      <w:pPr>
        <w:keepNext/>
        <w:widowControl w:val="0"/>
        <w:rPr>
          <w:szCs w:val="22"/>
        </w:rPr>
      </w:pPr>
      <w:r>
        <w:t>PC:</w:t>
      </w:r>
    </w:p>
    <w:p w14:paraId="323689A6" w14:textId="77777777" w:rsidR="00B1589F" w:rsidRPr="00C937E7" w:rsidRDefault="00B1589F" w:rsidP="003E286B">
      <w:pPr>
        <w:keepNext/>
        <w:widowControl w:val="0"/>
        <w:rPr>
          <w:szCs w:val="22"/>
        </w:rPr>
      </w:pPr>
      <w:r>
        <w:t>SN:</w:t>
      </w:r>
    </w:p>
    <w:p w14:paraId="323689A7" w14:textId="77777777" w:rsidR="00B1589F" w:rsidRPr="00C937E7" w:rsidRDefault="00B1589F" w:rsidP="00D4304B">
      <w:pPr>
        <w:widowControl w:val="0"/>
        <w:rPr>
          <w:szCs w:val="22"/>
        </w:rPr>
      </w:pPr>
      <w:r>
        <w:t>NN:</w:t>
      </w:r>
    </w:p>
    <w:p w14:paraId="323689A8" w14:textId="77777777" w:rsidR="00F72C2E" w:rsidRPr="00C83045" w:rsidRDefault="00F72C2E" w:rsidP="00D4304B">
      <w:pPr>
        <w:widowControl w:val="0"/>
        <w:ind w:left="0" w:firstLine="0"/>
        <w:rPr>
          <w:color w:val="000000"/>
          <w:szCs w:val="22"/>
        </w:rPr>
      </w:pPr>
      <w:r w:rsidRPr="00C83045">
        <w:rPr>
          <w:b/>
          <w:color w:val="000000"/>
          <w:szCs w:val="22"/>
          <w:u w:val="single"/>
        </w:rPr>
        <w:br w:type="page"/>
      </w:r>
    </w:p>
    <w:p w14:paraId="323689A9" w14:textId="77777777" w:rsidR="003E286B" w:rsidRPr="003E286B" w:rsidRDefault="003E286B" w:rsidP="003E286B">
      <w:pPr>
        <w:widowControl w:val="0"/>
        <w:rPr>
          <w:bCs/>
          <w:color w:val="000000"/>
          <w:szCs w:val="22"/>
        </w:rPr>
      </w:pPr>
    </w:p>
    <w:p w14:paraId="323689AA"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83045">
        <w:rPr>
          <w:b/>
          <w:color w:val="000000"/>
          <w:szCs w:val="22"/>
        </w:rPr>
        <w:t>MINIMÁLNE ÚDAJE, KTORÉ MAJÚ BYŤ UVEDENÉ NA BLISTROCH ALEBO STRIPOCH</w:t>
      </w:r>
    </w:p>
    <w:p w14:paraId="323689AB"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color w:val="000000"/>
          <w:szCs w:val="22"/>
        </w:rPr>
      </w:pPr>
    </w:p>
    <w:p w14:paraId="323689AC"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ind w:left="0" w:firstLine="0"/>
        <w:rPr>
          <w:b/>
          <w:color w:val="000000"/>
          <w:szCs w:val="22"/>
        </w:rPr>
      </w:pPr>
      <w:r w:rsidRPr="00C83045">
        <w:rPr>
          <w:b/>
          <w:color w:val="000000"/>
          <w:szCs w:val="22"/>
        </w:rPr>
        <w:t>BLISTRE</w:t>
      </w:r>
    </w:p>
    <w:p w14:paraId="323689AD" w14:textId="77777777" w:rsidR="00F72C2E" w:rsidRPr="00C83045" w:rsidRDefault="00F72C2E" w:rsidP="00D4304B">
      <w:pPr>
        <w:widowControl w:val="0"/>
        <w:rPr>
          <w:bCs/>
          <w:color w:val="000000"/>
          <w:szCs w:val="22"/>
        </w:rPr>
      </w:pPr>
    </w:p>
    <w:p w14:paraId="323689AE" w14:textId="77777777" w:rsidR="00F72C2E" w:rsidRPr="00C83045" w:rsidRDefault="00F72C2E" w:rsidP="00D4304B">
      <w:pPr>
        <w:widowControl w:val="0"/>
        <w:rPr>
          <w:bCs/>
          <w:color w:val="000000"/>
          <w:szCs w:val="22"/>
        </w:rPr>
      </w:pPr>
    </w:p>
    <w:p w14:paraId="323689AF"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1.</w:t>
      </w:r>
      <w:r w:rsidRPr="00C83045">
        <w:rPr>
          <w:b/>
          <w:color w:val="000000"/>
          <w:szCs w:val="22"/>
        </w:rPr>
        <w:tab/>
        <w:t>NÁZOV LIEKU</w:t>
      </w:r>
    </w:p>
    <w:p w14:paraId="323689B0" w14:textId="77777777" w:rsidR="00F72C2E" w:rsidRPr="00C83045" w:rsidRDefault="00F72C2E" w:rsidP="00D4304B">
      <w:pPr>
        <w:widowControl w:val="0"/>
        <w:rPr>
          <w:color w:val="000000"/>
          <w:szCs w:val="22"/>
        </w:rPr>
      </w:pPr>
    </w:p>
    <w:p w14:paraId="323689B1" w14:textId="77777777" w:rsidR="00F72C2E" w:rsidRPr="00C83045" w:rsidRDefault="00F72C2E" w:rsidP="00D4304B">
      <w:pPr>
        <w:widowControl w:val="0"/>
        <w:rPr>
          <w:color w:val="000000"/>
          <w:szCs w:val="22"/>
        </w:rPr>
      </w:pPr>
      <w:r w:rsidRPr="00C83045">
        <w:rPr>
          <w:color w:val="000000"/>
          <w:szCs w:val="22"/>
        </w:rPr>
        <w:t>Glivec 400 mg tablety</w:t>
      </w:r>
    </w:p>
    <w:p w14:paraId="323689B2" w14:textId="77777777" w:rsidR="00F72C2E" w:rsidRPr="00C83045" w:rsidRDefault="002773F9" w:rsidP="00D4304B">
      <w:pPr>
        <w:widowControl w:val="0"/>
        <w:rPr>
          <w:color w:val="000000"/>
          <w:szCs w:val="22"/>
        </w:rPr>
      </w:pPr>
      <w:r>
        <w:rPr>
          <w:color w:val="000000"/>
          <w:szCs w:val="22"/>
        </w:rPr>
        <w:t>i</w:t>
      </w:r>
      <w:r w:rsidR="00F72C2E" w:rsidRPr="00C83045">
        <w:rPr>
          <w:color w:val="000000"/>
          <w:szCs w:val="22"/>
        </w:rPr>
        <w:t>matinib</w:t>
      </w:r>
    </w:p>
    <w:p w14:paraId="323689B3" w14:textId="77777777" w:rsidR="00F72C2E" w:rsidRPr="00C83045" w:rsidRDefault="00F72C2E" w:rsidP="00D4304B">
      <w:pPr>
        <w:widowControl w:val="0"/>
        <w:rPr>
          <w:color w:val="000000"/>
          <w:szCs w:val="22"/>
        </w:rPr>
      </w:pPr>
    </w:p>
    <w:p w14:paraId="323689B4" w14:textId="77777777" w:rsidR="00F72C2E" w:rsidRPr="00C83045" w:rsidRDefault="00F72C2E" w:rsidP="00D4304B">
      <w:pPr>
        <w:widowControl w:val="0"/>
        <w:rPr>
          <w:color w:val="000000"/>
          <w:szCs w:val="22"/>
        </w:rPr>
      </w:pPr>
    </w:p>
    <w:p w14:paraId="323689B5"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2.</w:t>
      </w:r>
      <w:r w:rsidRPr="00C83045">
        <w:rPr>
          <w:b/>
          <w:color w:val="000000"/>
          <w:szCs w:val="22"/>
        </w:rPr>
        <w:tab/>
        <w:t>NÁZOV DRŽITEĽA ROZHODNUTIA O REGISTRÁCII</w:t>
      </w:r>
    </w:p>
    <w:p w14:paraId="323689B6" w14:textId="77777777" w:rsidR="00F72C2E" w:rsidRPr="00C83045" w:rsidRDefault="00F72C2E" w:rsidP="00D4304B">
      <w:pPr>
        <w:widowControl w:val="0"/>
        <w:rPr>
          <w:color w:val="000000"/>
          <w:szCs w:val="22"/>
        </w:rPr>
      </w:pPr>
    </w:p>
    <w:p w14:paraId="323689B7" w14:textId="77777777" w:rsidR="00F72C2E" w:rsidRPr="00C83045" w:rsidRDefault="00F72C2E" w:rsidP="00D4304B">
      <w:pPr>
        <w:widowControl w:val="0"/>
        <w:rPr>
          <w:snapToGrid w:val="0"/>
          <w:color w:val="000000"/>
          <w:szCs w:val="22"/>
        </w:rPr>
      </w:pPr>
      <w:r w:rsidRPr="00C83045">
        <w:rPr>
          <w:snapToGrid w:val="0"/>
          <w:color w:val="000000"/>
          <w:szCs w:val="22"/>
        </w:rPr>
        <w:t>Novartis Europharm Limited</w:t>
      </w:r>
    </w:p>
    <w:p w14:paraId="323689B8" w14:textId="77777777" w:rsidR="00F72C2E" w:rsidRPr="00C83045" w:rsidRDefault="00F72C2E" w:rsidP="00D4304B">
      <w:pPr>
        <w:widowControl w:val="0"/>
        <w:rPr>
          <w:color w:val="000000"/>
          <w:szCs w:val="22"/>
        </w:rPr>
      </w:pPr>
    </w:p>
    <w:p w14:paraId="323689B9" w14:textId="77777777" w:rsidR="00F72C2E" w:rsidRPr="00C83045" w:rsidRDefault="00F72C2E" w:rsidP="00D4304B">
      <w:pPr>
        <w:widowControl w:val="0"/>
        <w:rPr>
          <w:color w:val="000000"/>
          <w:szCs w:val="22"/>
        </w:rPr>
      </w:pPr>
    </w:p>
    <w:p w14:paraId="323689BA"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3.</w:t>
      </w:r>
      <w:r w:rsidRPr="00C83045">
        <w:rPr>
          <w:b/>
          <w:color w:val="000000"/>
          <w:szCs w:val="22"/>
        </w:rPr>
        <w:tab/>
        <w:t>DÁTUM EXSPIRÁCIE</w:t>
      </w:r>
    </w:p>
    <w:p w14:paraId="323689BB" w14:textId="77777777" w:rsidR="00F72C2E" w:rsidRPr="00C83045" w:rsidRDefault="00F72C2E" w:rsidP="00D4304B">
      <w:pPr>
        <w:widowControl w:val="0"/>
        <w:rPr>
          <w:color w:val="000000"/>
          <w:szCs w:val="22"/>
        </w:rPr>
      </w:pPr>
    </w:p>
    <w:p w14:paraId="323689BC" w14:textId="77777777" w:rsidR="00F72C2E" w:rsidRPr="00C83045" w:rsidRDefault="00F72C2E" w:rsidP="00D4304B">
      <w:pPr>
        <w:widowControl w:val="0"/>
        <w:rPr>
          <w:color w:val="000000"/>
          <w:szCs w:val="22"/>
        </w:rPr>
      </w:pPr>
      <w:r w:rsidRPr="00C83045">
        <w:rPr>
          <w:color w:val="000000"/>
          <w:szCs w:val="22"/>
        </w:rPr>
        <w:t>EXP</w:t>
      </w:r>
    </w:p>
    <w:p w14:paraId="323689BD" w14:textId="77777777" w:rsidR="00F72C2E" w:rsidRPr="00C83045" w:rsidRDefault="00F72C2E" w:rsidP="00D4304B">
      <w:pPr>
        <w:widowControl w:val="0"/>
        <w:rPr>
          <w:color w:val="000000"/>
          <w:szCs w:val="22"/>
        </w:rPr>
      </w:pPr>
    </w:p>
    <w:p w14:paraId="323689BE" w14:textId="77777777" w:rsidR="00F72C2E" w:rsidRPr="00C83045" w:rsidRDefault="00F72C2E" w:rsidP="00D4304B">
      <w:pPr>
        <w:widowControl w:val="0"/>
        <w:rPr>
          <w:color w:val="000000"/>
          <w:szCs w:val="22"/>
        </w:rPr>
      </w:pPr>
    </w:p>
    <w:p w14:paraId="323689BF"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color w:val="000000"/>
          <w:szCs w:val="22"/>
        </w:rPr>
      </w:pPr>
      <w:r w:rsidRPr="00C83045">
        <w:rPr>
          <w:b/>
          <w:color w:val="000000"/>
          <w:szCs w:val="22"/>
        </w:rPr>
        <w:t>4.</w:t>
      </w:r>
      <w:r w:rsidRPr="00C83045">
        <w:rPr>
          <w:b/>
          <w:color w:val="000000"/>
          <w:szCs w:val="22"/>
        </w:rPr>
        <w:tab/>
        <w:t>ČÍSLO VÝROBNEJ ŠARŽE</w:t>
      </w:r>
    </w:p>
    <w:p w14:paraId="323689C0" w14:textId="77777777" w:rsidR="00F72C2E" w:rsidRPr="00C83045" w:rsidRDefault="00F72C2E" w:rsidP="00D4304B">
      <w:pPr>
        <w:widowControl w:val="0"/>
        <w:rPr>
          <w:color w:val="000000"/>
          <w:szCs w:val="22"/>
        </w:rPr>
      </w:pPr>
    </w:p>
    <w:p w14:paraId="323689C1" w14:textId="77777777" w:rsidR="00F72C2E" w:rsidRPr="00C83045" w:rsidRDefault="00F72C2E" w:rsidP="00D4304B">
      <w:pPr>
        <w:widowControl w:val="0"/>
        <w:rPr>
          <w:color w:val="000000"/>
          <w:szCs w:val="22"/>
        </w:rPr>
      </w:pPr>
      <w:r w:rsidRPr="00C83045">
        <w:rPr>
          <w:color w:val="000000"/>
          <w:szCs w:val="22"/>
        </w:rPr>
        <w:t>Lot</w:t>
      </w:r>
    </w:p>
    <w:p w14:paraId="323689C2" w14:textId="77777777" w:rsidR="00F72C2E" w:rsidRPr="00C83045" w:rsidRDefault="00F72C2E" w:rsidP="00D4304B">
      <w:pPr>
        <w:widowControl w:val="0"/>
        <w:rPr>
          <w:color w:val="000000"/>
          <w:szCs w:val="22"/>
        </w:rPr>
      </w:pPr>
    </w:p>
    <w:p w14:paraId="323689C3" w14:textId="77777777" w:rsidR="00F72C2E" w:rsidRPr="00C83045" w:rsidRDefault="00F72C2E" w:rsidP="00D4304B">
      <w:pPr>
        <w:widowControl w:val="0"/>
        <w:rPr>
          <w:color w:val="000000"/>
          <w:szCs w:val="22"/>
        </w:rPr>
      </w:pPr>
    </w:p>
    <w:p w14:paraId="323689C4" w14:textId="77777777" w:rsidR="00F72C2E" w:rsidRPr="00C83045" w:rsidRDefault="00F72C2E" w:rsidP="00D4304B">
      <w:pPr>
        <w:widowControl w:val="0"/>
        <w:pBdr>
          <w:top w:val="single" w:sz="4" w:space="1" w:color="auto"/>
          <w:left w:val="single" w:sz="4" w:space="4" w:color="auto"/>
          <w:bottom w:val="single" w:sz="4" w:space="1" w:color="auto"/>
          <w:right w:val="single" w:sz="4" w:space="4" w:color="auto"/>
        </w:pBdr>
        <w:tabs>
          <w:tab w:val="left" w:pos="142"/>
        </w:tabs>
        <w:rPr>
          <w:b/>
          <w:noProof/>
          <w:color w:val="000000"/>
          <w:szCs w:val="22"/>
        </w:rPr>
      </w:pPr>
      <w:r w:rsidRPr="00C83045">
        <w:rPr>
          <w:b/>
          <w:noProof/>
          <w:color w:val="000000"/>
          <w:szCs w:val="22"/>
        </w:rPr>
        <w:t>5.</w:t>
      </w:r>
      <w:r w:rsidRPr="00C83045">
        <w:rPr>
          <w:b/>
          <w:noProof/>
          <w:color w:val="000000"/>
          <w:szCs w:val="22"/>
        </w:rPr>
        <w:tab/>
        <w:t>INÉ</w:t>
      </w:r>
    </w:p>
    <w:p w14:paraId="323689C5" w14:textId="77777777" w:rsidR="00F72C2E" w:rsidRPr="00C83045" w:rsidRDefault="00F72C2E" w:rsidP="00D4304B">
      <w:pPr>
        <w:widowControl w:val="0"/>
        <w:rPr>
          <w:color w:val="000000"/>
          <w:szCs w:val="22"/>
        </w:rPr>
      </w:pPr>
    </w:p>
    <w:p w14:paraId="323689C6" w14:textId="77777777" w:rsidR="00F72C2E" w:rsidRPr="00C83045" w:rsidRDefault="00F72C2E" w:rsidP="00D4304B">
      <w:pPr>
        <w:widowControl w:val="0"/>
        <w:ind w:left="0" w:firstLine="0"/>
        <w:rPr>
          <w:color w:val="000000"/>
          <w:szCs w:val="22"/>
        </w:rPr>
      </w:pPr>
      <w:r w:rsidRPr="00C83045">
        <w:rPr>
          <w:color w:val="000000"/>
          <w:szCs w:val="22"/>
        </w:rPr>
        <w:br w:type="page"/>
      </w:r>
    </w:p>
    <w:p w14:paraId="323689C7" w14:textId="77777777" w:rsidR="00F72C2E" w:rsidRPr="00C83045" w:rsidRDefault="00F72C2E" w:rsidP="00D4304B">
      <w:pPr>
        <w:widowControl w:val="0"/>
        <w:ind w:left="0" w:firstLine="0"/>
        <w:rPr>
          <w:color w:val="000000"/>
          <w:szCs w:val="22"/>
        </w:rPr>
      </w:pPr>
    </w:p>
    <w:p w14:paraId="323689C8" w14:textId="77777777" w:rsidR="00F72C2E" w:rsidRPr="00C83045" w:rsidRDefault="00F72C2E" w:rsidP="00D4304B">
      <w:pPr>
        <w:widowControl w:val="0"/>
        <w:ind w:left="0" w:firstLine="0"/>
        <w:rPr>
          <w:color w:val="000000"/>
          <w:szCs w:val="22"/>
        </w:rPr>
      </w:pPr>
    </w:p>
    <w:p w14:paraId="323689C9" w14:textId="77777777" w:rsidR="00F72C2E" w:rsidRPr="00C83045" w:rsidRDefault="00F72C2E" w:rsidP="00D4304B">
      <w:pPr>
        <w:widowControl w:val="0"/>
        <w:ind w:left="0" w:firstLine="0"/>
        <w:rPr>
          <w:color w:val="000000"/>
          <w:szCs w:val="22"/>
        </w:rPr>
      </w:pPr>
    </w:p>
    <w:p w14:paraId="323689CA" w14:textId="77777777" w:rsidR="00F72C2E" w:rsidRPr="00C83045" w:rsidRDefault="00F72C2E" w:rsidP="00D4304B">
      <w:pPr>
        <w:widowControl w:val="0"/>
        <w:ind w:left="0" w:firstLine="0"/>
        <w:rPr>
          <w:color w:val="000000"/>
          <w:szCs w:val="22"/>
        </w:rPr>
      </w:pPr>
    </w:p>
    <w:p w14:paraId="323689CB" w14:textId="77777777" w:rsidR="00F72C2E" w:rsidRPr="00C83045" w:rsidRDefault="00F72C2E" w:rsidP="00D4304B">
      <w:pPr>
        <w:widowControl w:val="0"/>
        <w:ind w:left="0" w:firstLine="0"/>
        <w:rPr>
          <w:color w:val="000000"/>
          <w:szCs w:val="22"/>
        </w:rPr>
      </w:pPr>
    </w:p>
    <w:p w14:paraId="323689CC" w14:textId="77777777" w:rsidR="00F72C2E" w:rsidRPr="00C83045" w:rsidRDefault="00F72C2E" w:rsidP="00D4304B">
      <w:pPr>
        <w:widowControl w:val="0"/>
        <w:ind w:left="0" w:firstLine="0"/>
        <w:rPr>
          <w:color w:val="000000"/>
          <w:szCs w:val="22"/>
        </w:rPr>
      </w:pPr>
    </w:p>
    <w:p w14:paraId="323689CD" w14:textId="77777777" w:rsidR="00F72C2E" w:rsidRPr="00C83045" w:rsidRDefault="00F72C2E" w:rsidP="00D4304B">
      <w:pPr>
        <w:widowControl w:val="0"/>
        <w:rPr>
          <w:color w:val="000000"/>
          <w:szCs w:val="22"/>
        </w:rPr>
      </w:pPr>
    </w:p>
    <w:p w14:paraId="323689CE" w14:textId="77777777" w:rsidR="00F72C2E" w:rsidRPr="00C83045" w:rsidRDefault="00F72C2E" w:rsidP="00D4304B">
      <w:pPr>
        <w:widowControl w:val="0"/>
        <w:rPr>
          <w:color w:val="000000"/>
          <w:szCs w:val="22"/>
        </w:rPr>
      </w:pPr>
    </w:p>
    <w:p w14:paraId="323689CF" w14:textId="77777777" w:rsidR="00F72C2E" w:rsidRPr="00C83045" w:rsidRDefault="00F72C2E" w:rsidP="00D4304B">
      <w:pPr>
        <w:widowControl w:val="0"/>
        <w:rPr>
          <w:color w:val="000000"/>
          <w:szCs w:val="22"/>
        </w:rPr>
      </w:pPr>
    </w:p>
    <w:p w14:paraId="323689D0" w14:textId="77777777" w:rsidR="00F72C2E" w:rsidRPr="00C83045" w:rsidRDefault="00F72C2E" w:rsidP="00D4304B">
      <w:pPr>
        <w:widowControl w:val="0"/>
        <w:rPr>
          <w:color w:val="000000"/>
          <w:szCs w:val="22"/>
        </w:rPr>
      </w:pPr>
    </w:p>
    <w:p w14:paraId="323689D1" w14:textId="77777777" w:rsidR="00F72C2E" w:rsidRPr="00C83045" w:rsidRDefault="00F72C2E" w:rsidP="00D4304B">
      <w:pPr>
        <w:widowControl w:val="0"/>
        <w:rPr>
          <w:color w:val="000000"/>
          <w:szCs w:val="22"/>
        </w:rPr>
      </w:pPr>
    </w:p>
    <w:p w14:paraId="323689D2" w14:textId="77777777" w:rsidR="00F72C2E" w:rsidRPr="00C83045" w:rsidRDefault="00F72C2E" w:rsidP="00D4304B">
      <w:pPr>
        <w:widowControl w:val="0"/>
        <w:rPr>
          <w:color w:val="000000"/>
          <w:szCs w:val="22"/>
        </w:rPr>
      </w:pPr>
    </w:p>
    <w:p w14:paraId="323689D3" w14:textId="77777777" w:rsidR="00F72C2E" w:rsidRPr="00C83045" w:rsidRDefault="00F72C2E" w:rsidP="00D4304B">
      <w:pPr>
        <w:widowControl w:val="0"/>
        <w:rPr>
          <w:color w:val="000000"/>
          <w:szCs w:val="22"/>
        </w:rPr>
      </w:pPr>
    </w:p>
    <w:p w14:paraId="323689D4" w14:textId="77777777" w:rsidR="00F72C2E" w:rsidRPr="00C83045" w:rsidRDefault="00F72C2E" w:rsidP="00D4304B">
      <w:pPr>
        <w:widowControl w:val="0"/>
        <w:rPr>
          <w:color w:val="000000"/>
          <w:szCs w:val="22"/>
        </w:rPr>
      </w:pPr>
    </w:p>
    <w:p w14:paraId="323689D5" w14:textId="77777777" w:rsidR="00F72C2E" w:rsidRPr="00C83045" w:rsidRDefault="00F72C2E" w:rsidP="00D4304B">
      <w:pPr>
        <w:widowControl w:val="0"/>
        <w:rPr>
          <w:color w:val="000000"/>
          <w:szCs w:val="22"/>
        </w:rPr>
      </w:pPr>
    </w:p>
    <w:p w14:paraId="323689D6" w14:textId="77777777" w:rsidR="00F72C2E" w:rsidRPr="00C83045" w:rsidRDefault="00F72C2E" w:rsidP="00D4304B">
      <w:pPr>
        <w:widowControl w:val="0"/>
        <w:rPr>
          <w:color w:val="000000"/>
          <w:szCs w:val="22"/>
        </w:rPr>
      </w:pPr>
    </w:p>
    <w:p w14:paraId="323689D7" w14:textId="77777777" w:rsidR="00F72C2E" w:rsidRPr="00C83045" w:rsidRDefault="00F72C2E" w:rsidP="00D4304B">
      <w:pPr>
        <w:widowControl w:val="0"/>
        <w:rPr>
          <w:color w:val="000000"/>
          <w:szCs w:val="22"/>
        </w:rPr>
      </w:pPr>
    </w:p>
    <w:p w14:paraId="323689D8" w14:textId="77777777" w:rsidR="00F72C2E" w:rsidRPr="00C83045" w:rsidRDefault="00F72C2E" w:rsidP="00D4304B">
      <w:pPr>
        <w:widowControl w:val="0"/>
        <w:rPr>
          <w:color w:val="000000"/>
          <w:szCs w:val="22"/>
        </w:rPr>
      </w:pPr>
    </w:p>
    <w:p w14:paraId="323689D9" w14:textId="77777777" w:rsidR="00F72C2E" w:rsidRPr="00C83045" w:rsidRDefault="00F72C2E" w:rsidP="00D4304B">
      <w:pPr>
        <w:widowControl w:val="0"/>
        <w:rPr>
          <w:color w:val="000000"/>
          <w:szCs w:val="22"/>
        </w:rPr>
      </w:pPr>
    </w:p>
    <w:p w14:paraId="323689DA" w14:textId="77777777" w:rsidR="00F72C2E" w:rsidRPr="00C83045" w:rsidRDefault="00F72C2E" w:rsidP="00D4304B">
      <w:pPr>
        <w:widowControl w:val="0"/>
        <w:rPr>
          <w:color w:val="000000"/>
          <w:szCs w:val="22"/>
        </w:rPr>
      </w:pPr>
    </w:p>
    <w:p w14:paraId="323689DB" w14:textId="77777777" w:rsidR="00F72C2E" w:rsidRDefault="00F72C2E" w:rsidP="00D4304B">
      <w:pPr>
        <w:widowControl w:val="0"/>
        <w:rPr>
          <w:color w:val="000000"/>
          <w:szCs w:val="22"/>
        </w:rPr>
      </w:pPr>
    </w:p>
    <w:p w14:paraId="323689DC" w14:textId="77777777" w:rsidR="003E286B" w:rsidRPr="00C83045" w:rsidRDefault="003E286B" w:rsidP="00D4304B">
      <w:pPr>
        <w:widowControl w:val="0"/>
        <w:rPr>
          <w:color w:val="000000"/>
          <w:szCs w:val="22"/>
        </w:rPr>
      </w:pPr>
    </w:p>
    <w:p w14:paraId="323689DD" w14:textId="77777777" w:rsidR="00F72C2E" w:rsidRPr="00C83045" w:rsidRDefault="00F72C2E" w:rsidP="00D4304B">
      <w:pPr>
        <w:widowControl w:val="0"/>
        <w:ind w:left="0" w:firstLine="0"/>
        <w:outlineLvl w:val="0"/>
        <w:rPr>
          <w:color w:val="000000"/>
          <w:szCs w:val="22"/>
        </w:rPr>
      </w:pPr>
    </w:p>
    <w:p w14:paraId="323689DE" w14:textId="77777777" w:rsidR="00F72C2E" w:rsidRPr="00C83045" w:rsidRDefault="00F72C2E" w:rsidP="00D4304B">
      <w:pPr>
        <w:widowControl w:val="0"/>
        <w:jc w:val="center"/>
        <w:outlineLvl w:val="0"/>
        <w:rPr>
          <w:color w:val="000000"/>
          <w:szCs w:val="22"/>
        </w:rPr>
      </w:pPr>
      <w:r w:rsidRPr="00C83045">
        <w:rPr>
          <w:b/>
          <w:color w:val="000000"/>
          <w:szCs w:val="22"/>
        </w:rPr>
        <w:t xml:space="preserve">B. PÍSOMNÁ INFORMÁCIA </w:t>
      </w:r>
      <w:smartTag w:uri="urn:schemas-microsoft-com:office:smarttags" w:element="stockticker">
        <w:r w:rsidRPr="00C83045">
          <w:rPr>
            <w:b/>
            <w:color w:val="000000"/>
            <w:szCs w:val="22"/>
          </w:rPr>
          <w:t>PRE</w:t>
        </w:r>
      </w:smartTag>
      <w:r w:rsidRPr="00C83045">
        <w:rPr>
          <w:b/>
          <w:color w:val="000000"/>
          <w:szCs w:val="22"/>
        </w:rPr>
        <w:t xml:space="preserve"> POUŽÍVATEĽ</w:t>
      </w:r>
      <w:r w:rsidR="00423585" w:rsidRPr="00C83045">
        <w:rPr>
          <w:b/>
          <w:color w:val="000000"/>
          <w:szCs w:val="22"/>
        </w:rPr>
        <w:t>A</w:t>
      </w:r>
    </w:p>
    <w:p w14:paraId="32368B6A" w14:textId="77777777" w:rsidR="00F72C2E" w:rsidRPr="00C83045" w:rsidRDefault="00F72C2E" w:rsidP="00D4304B">
      <w:pPr>
        <w:widowControl w:val="0"/>
        <w:ind w:left="0" w:firstLine="0"/>
        <w:jc w:val="center"/>
        <w:rPr>
          <w:b/>
          <w:color w:val="000000"/>
          <w:szCs w:val="22"/>
        </w:rPr>
      </w:pPr>
      <w:r w:rsidRPr="00C83045">
        <w:rPr>
          <w:color w:val="000000"/>
          <w:szCs w:val="22"/>
          <w:lang w:eastAsia="en-US"/>
        </w:rPr>
        <w:br w:type="page"/>
      </w:r>
      <w:r w:rsidR="00475A55" w:rsidRPr="00C83045">
        <w:rPr>
          <w:b/>
          <w:noProof/>
        </w:rPr>
        <w:lastRenderedPageBreak/>
        <w:t>Písomná informácia pre používate</w:t>
      </w:r>
      <w:r w:rsidR="000F7F9B" w:rsidRPr="00C83045">
        <w:rPr>
          <w:b/>
          <w:noProof/>
        </w:rPr>
        <w:t>ľa</w:t>
      </w:r>
    </w:p>
    <w:p w14:paraId="32368B6B" w14:textId="77777777" w:rsidR="00F72C2E" w:rsidRPr="00C83045" w:rsidRDefault="00F72C2E" w:rsidP="00D4304B">
      <w:pPr>
        <w:widowControl w:val="0"/>
        <w:ind w:left="0" w:firstLine="0"/>
        <w:rPr>
          <w:color w:val="000000"/>
          <w:szCs w:val="22"/>
        </w:rPr>
      </w:pPr>
    </w:p>
    <w:p w14:paraId="32368B6C" w14:textId="77777777" w:rsidR="00F72C2E" w:rsidRPr="00C83045" w:rsidRDefault="00F72C2E" w:rsidP="00D4304B">
      <w:pPr>
        <w:widowControl w:val="0"/>
        <w:jc w:val="center"/>
        <w:rPr>
          <w:color w:val="000000"/>
          <w:szCs w:val="22"/>
        </w:rPr>
      </w:pPr>
      <w:r w:rsidRPr="00C83045">
        <w:rPr>
          <w:b/>
          <w:color w:val="000000"/>
          <w:szCs w:val="22"/>
        </w:rPr>
        <w:t>Glivec 100 mg tvrdé kapsuly</w:t>
      </w:r>
    </w:p>
    <w:p w14:paraId="32368B6D" w14:textId="77777777" w:rsidR="00F72C2E" w:rsidRPr="00C83045" w:rsidRDefault="00C43839" w:rsidP="00D4304B">
      <w:pPr>
        <w:widowControl w:val="0"/>
        <w:jc w:val="center"/>
        <w:rPr>
          <w:color w:val="000000"/>
          <w:szCs w:val="22"/>
        </w:rPr>
      </w:pPr>
      <w:r>
        <w:rPr>
          <w:color w:val="000000"/>
          <w:szCs w:val="22"/>
        </w:rPr>
        <w:t>i</w:t>
      </w:r>
      <w:r w:rsidR="00F72C2E" w:rsidRPr="00C83045">
        <w:rPr>
          <w:color w:val="000000"/>
          <w:szCs w:val="22"/>
        </w:rPr>
        <w:t>matinib</w:t>
      </w:r>
    </w:p>
    <w:p w14:paraId="32368B6E" w14:textId="77777777" w:rsidR="00F72C2E" w:rsidRPr="00C83045" w:rsidRDefault="00F72C2E" w:rsidP="00D4304B">
      <w:pPr>
        <w:widowControl w:val="0"/>
        <w:ind w:left="0" w:firstLine="0"/>
        <w:rPr>
          <w:color w:val="000000"/>
          <w:szCs w:val="22"/>
        </w:rPr>
      </w:pPr>
    </w:p>
    <w:p w14:paraId="32368B6F" w14:textId="77777777" w:rsidR="00C861AD" w:rsidRPr="00C83045" w:rsidRDefault="00DF0316" w:rsidP="00D4304B">
      <w:pPr>
        <w:widowControl w:val="0"/>
        <w:tabs>
          <w:tab w:val="left" w:pos="720"/>
        </w:tabs>
        <w:ind w:left="0" w:firstLine="0"/>
        <w:rPr>
          <w:snapToGrid w:val="0"/>
          <w:szCs w:val="22"/>
          <w:lang w:eastAsia="en-US"/>
        </w:rPr>
      </w:pPr>
      <w:r w:rsidRPr="00C83045">
        <w:rPr>
          <w:noProof/>
          <w:snapToGrid w:val="0"/>
          <w:szCs w:val="20"/>
          <w:lang w:val="en-US" w:eastAsia="en-US"/>
        </w:rPr>
        <w:drawing>
          <wp:inline distT="0" distB="0" distL="0" distR="0" wp14:anchorId="32369042" wp14:editId="32369043">
            <wp:extent cx="201295" cy="173990"/>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C861AD" w:rsidRPr="00C83045">
        <w:rPr>
          <w:noProof/>
          <w:snapToGrid w:val="0"/>
          <w:szCs w:val="22"/>
          <w:lang w:eastAsia="en-US"/>
        </w:rPr>
        <w:t>Tento liek je predmetom ďalšieho monitorovania.</w:t>
      </w:r>
      <w:r w:rsidR="00C861AD" w:rsidRPr="00C83045">
        <w:rPr>
          <w:snapToGrid w:val="0"/>
          <w:szCs w:val="22"/>
          <w:lang w:eastAsia="en-US"/>
        </w:rPr>
        <w:t xml:space="preserve"> </w:t>
      </w:r>
      <w:r w:rsidR="00C861AD" w:rsidRPr="00C83045">
        <w:rPr>
          <w:noProof/>
          <w:snapToGrid w:val="0"/>
          <w:szCs w:val="22"/>
          <w:lang w:eastAsia="en-US"/>
        </w:rPr>
        <w:t>To umožní rýchle získanie nových informácií o bezpečnosti.</w:t>
      </w:r>
      <w:r w:rsidR="00C861AD" w:rsidRPr="00C83045">
        <w:rPr>
          <w:snapToGrid w:val="0"/>
          <w:szCs w:val="22"/>
          <w:lang w:eastAsia="en-US"/>
        </w:rPr>
        <w:t xml:space="preserve"> </w:t>
      </w:r>
      <w:r w:rsidR="00C861AD" w:rsidRPr="00C83045">
        <w:rPr>
          <w:noProof/>
          <w:snapToGrid w:val="0"/>
          <w:szCs w:val="22"/>
          <w:lang w:eastAsia="en-US"/>
        </w:rPr>
        <w:t>Môžete prispieť tým, že nahlásite akékoľvek vedľajšie účinky, ak sa u vás vyskytnú.</w:t>
      </w:r>
      <w:r w:rsidR="00C861AD" w:rsidRPr="00C83045">
        <w:rPr>
          <w:snapToGrid w:val="0"/>
          <w:szCs w:val="22"/>
          <w:lang w:eastAsia="en-US"/>
        </w:rPr>
        <w:t xml:space="preserve"> </w:t>
      </w:r>
      <w:r w:rsidR="00C861AD" w:rsidRPr="00C83045">
        <w:rPr>
          <w:noProof/>
          <w:snapToGrid w:val="0"/>
          <w:szCs w:val="22"/>
          <w:lang w:eastAsia="en-US"/>
        </w:rPr>
        <w:t>Informácie o</w:t>
      </w:r>
      <w:r w:rsidR="00C43839">
        <w:rPr>
          <w:noProof/>
          <w:snapToGrid w:val="0"/>
          <w:szCs w:val="22"/>
          <w:lang w:eastAsia="en-US"/>
        </w:rPr>
        <w:t> </w:t>
      </w:r>
      <w:r w:rsidR="00C861AD" w:rsidRPr="00C83045">
        <w:rPr>
          <w:noProof/>
          <w:snapToGrid w:val="0"/>
          <w:szCs w:val="22"/>
          <w:lang w:eastAsia="en-US"/>
        </w:rPr>
        <w:t>tom</w:t>
      </w:r>
      <w:r w:rsidR="00C43839">
        <w:rPr>
          <w:noProof/>
          <w:snapToGrid w:val="0"/>
          <w:szCs w:val="22"/>
          <w:lang w:eastAsia="en-US"/>
        </w:rPr>
        <w:t>,</w:t>
      </w:r>
      <w:r w:rsidR="00C861AD" w:rsidRPr="00C83045">
        <w:rPr>
          <w:noProof/>
          <w:snapToGrid w:val="0"/>
          <w:szCs w:val="22"/>
          <w:lang w:eastAsia="en-US"/>
        </w:rPr>
        <w:t xml:space="preserve"> ako hlásiť vedľajšie účinky, nájdete na konci časti 4.</w:t>
      </w:r>
    </w:p>
    <w:p w14:paraId="32368B70" w14:textId="77777777" w:rsidR="00F72C2E" w:rsidRPr="00C83045" w:rsidRDefault="00F72C2E" w:rsidP="00D4304B">
      <w:pPr>
        <w:widowControl w:val="0"/>
        <w:ind w:left="0" w:firstLine="0"/>
        <w:rPr>
          <w:color w:val="000000"/>
          <w:szCs w:val="22"/>
        </w:rPr>
      </w:pPr>
    </w:p>
    <w:p w14:paraId="32368B71" w14:textId="77777777" w:rsidR="00F80E99" w:rsidRPr="00C83045" w:rsidRDefault="00F80E99" w:rsidP="00D4304B">
      <w:pPr>
        <w:widowControl w:val="0"/>
        <w:ind w:left="0" w:firstLine="0"/>
        <w:rPr>
          <w:color w:val="000000"/>
          <w:szCs w:val="22"/>
        </w:rPr>
      </w:pPr>
      <w:r w:rsidRPr="00C83045">
        <w:rPr>
          <w:b/>
          <w:color w:val="000000"/>
          <w:szCs w:val="22"/>
        </w:rPr>
        <w:t xml:space="preserve">Pozorne si prečítajte celú písomnú informáciu </w:t>
      </w:r>
      <w:r w:rsidRPr="00C83045">
        <w:rPr>
          <w:b/>
          <w:noProof/>
        </w:rPr>
        <w:t xml:space="preserve">predtým, </w:t>
      </w:r>
      <w:r w:rsidR="005A09EB">
        <w:rPr>
          <w:b/>
          <w:noProof/>
        </w:rPr>
        <w:t>ako</w:t>
      </w:r>
      <w:r w:rsidR="005A09EB" w:rsidRPr="00C83045" w:rsidDel="00670EDB">
        <w:rPr>
          <w:b/>
          <w:color w:val="000000"/>
          <w:szCs w:val="22"/>
        </w:rPr>
        <w:t xml:space="preserve"> </w:t>
      </w:r>
      <w:r w:rsidRPr="00C83045">
        <w:rPr>
          <w:b/>
          <w:color w:val="000000"/>
          <w:szCs w:val="22"/>
        </w:rPr>
        <w:t xml:space="preserve">začnete užívať </w:t>
      </w:r>
      <w:r w:rsidRPr="00C83045">
        <w:rPr>
          <w:b/>
          <w:noProof/>
        </w:rPr>
        <w:t>tento liek, pretože obsahuje pre vás dôležité informácie</w:t>
      </w:r>
      <w:r w:rsidRPr="00C83045">
        <w:rPr>
          <w:b/>
          <w:color w:val="000000"/>
          <w:szCs w:val="22"/>
        </w:rPr>
        <w:t>.</w:t>
      </w:r>
    </w:p>
    <w:p w14:paraId="32368B72" w14:textId="77777777" w:rsidR="00F80E99" w:rsidRPr="00C83045" w:rsidRDefault="00F80E99" w:rsidP="00D4304B">
      <w:pPr>
        <w:widowControl w:val="0"/>
        <w:numPr>
          <w:ilvl w:val="0"/>
          <w:numId w:val="8"/>
        </w:numPr>
        <w:ind w:left="567" w:right="-2" w:hanging="567"/>
        <w:rPr>
          <w:color w:val="000000"/>
          <w:szCs w:val="22"/>
        </w:rPr>
      </w:pPr>
      <w:r w:rsidRPr="00C83045">
        <w:rPr>
          <w:color w:val="000000"/>
          <w:szCs w:val="22"/>
        </w:rPr>
        <w:t>Túto písomnú informáciu si uschovajte. Možno bude potrebné, aby ste si ju znovu prečítali.</w:t>
      </w:r>
    </w:p>
    <w:p w14:paraId="32368B73" w14:textId="77777777" w:rsidR="00F80E99" w:rsidRPr="00C83045" w:rsidRDefault="00F80E99" w:rsidP="00D4304B">
      <w:pPr>
        <w:widowControl w:val="0"/>
        <w:numPr>
          <w:ilvl w:val="0"/>
          <w:numId w:val="8"/>
        </w:numPr>
        <w:ind w:left="567" w:right="-2" w:hanging="567"/>
        <w:rPr>
          <w:color w:val="000000"/>
          <w:szCs w:val="22"/>
        </w:rPr>
      </w:pPr>
      <w:r w:rsidRPr="00C83045">
        <w:rPr>
          <w:color w:val="000000"/>
          <w:szCs w:val="22"/>
        </w:rPr>
        <w:t>Ak máte akékoľvek ďalšie otázky, obráťte sa na svojho lekára, lekárnika alebo zdravotnú sestru.</w:t>
      </w:r>
    </w:p>
    <w:p w14:paraId="32368B74" w14:textId="77777777" w:rsidR="00F80E99" w:rsidRPr="00C83045" w:rsidRDefault="00F80E99" w:rsidP="00D4304B">
      <w:pPr>
        <w:widowControl w:val="0"/>
        <w:numPr>
          <w:ilvl w:val="0"/>
          <w:numId w:val="8"/>
        </w:numPr>
        <w:ind w:left="567" w:right="-2" w:hanging="567"/>
        <w:rPr>
          <w:color w:val="000000"/>
          <w:szCs w:val="22"/>
        </w:rPr>
      </w:pPr>
      <w:r w:rsidRPr="00C83045">
        <w:rPr>
          <w:color w:val="000000"/>
          <w:szCs w:val="22"/>
        </w:rPr>
        <w:t>Tento liek bol predpísaný iba vám. Nedávajte ho nikomu inému. Môže mu uškodiť, dokonca aj vtedy, ak má rovnaké pr</w:t>
      </w:r>
      <w:r w:rsidR="00C43839">
        <w:rPr>
          <w:color w:val="000000"/>
          <w:szCs w:val="22"/>
        </w:rPr>
        <w:t>ejav</w:t>
      </w:r>
      <w:r w:rsidRPr="00C83045">
        <w:rPr>
          <w:color w:val="000000"/>
          <w:szCs w:val="22"/>
        </w:rPr>
        <w:t xml:space="preserve">y </w:t>
      </w:r>
      <w:r w:rsidRPr="00C83045">
        <w:rPr>
          <w:noProof/>
        </w:rPr>
        <w:t>ochorenia</w:t>
      </w:r>
      <w:r w:rsidRPr="00C83045">
        <w:rPr>
          <w:color w:val="000000"/>
          <w:szCs w:val="22"/>
        </w:rPr>
        <w:t xml:space="preserve"> ako vy.</w:t>
      </w:r>
    </w:p>
    <w:p w14:paraId="32368B75" w14:textId="77777777" w:rsidR="00F80E99" w:rsidRPr="00C83045" w:rsidRDefault="00F80E99" w:rsidP="00D4304B">
      <w:pPr>
        <w:widowControl w:val="0"/>
        <w:tabs>
          <w:tab w:val="left" w:pos="567"/>
        </w:tabs>
        <w:rPr>
          <w:color w:val="000000"/>
          <w:szCs w:val="22"/>
        </w:rPr>
      </w:pPr>
      <w:r w:rsidRPr="00C83045">
        <w:rPr>
          <w:color w:val="000000"/>
          <w:szCs w:val="22"/>
        </w:rPr>
        <w:t>-</w:t>
      </w:r>
      <w:r w:rsidRPr="00C83045">
        <w:rPr>
          <w:color w:val="000000"/>
          <w:szCs w:val="22"/>
        </w:rPr>
        <w:tab/>
        <w:t xml:space="preserve">Ak </w:t>
      </w:r>
      <w:r w:rsidRPr="00C83045">
        <w:rPr>
          <w:noProof/>
        </w:rPr>
        <w:t xml:space="preserve">sa u vás vyskytne </w:t>
      </w:r>
      <w:r w:rsidRPr="00C83045">
        <w:rPr>
          <w:color w:val="000000"/>
          <w:szCs w:val="22"/>
        </w:rPr>
        <w:t xml:space="preserve">akýkoľvek vedľajší účinok, </w:t>
      </w:r>
      <w:r w:rsidRPr="00C83045">
        <w:rPr>
          <w:noProof/>
        </w:rPr>
        <w:t>obráťte sa na svojho lekára, lekárnika alebo zdravotnú sestru.</w:t>
      </w:r>
      <w:r w:rsidRPr="00C83045">
        <w:rPr>
          <w:color w:val="000000"/>
          <w:szCs w:val="22"/>
        </w:rPr>
        <w:t xml:space="preserve"> </w:t>
      </w:r>
      <w:r w:rsidRPr="00C83045">
        <w:rPr>
          <w:noProof/>
        </w:rPr>
        <w:t xml:space="preserve">To sa týka aj akýchkoľvek vedľajších účinkov, </w:t>
      </w:r>
      <w:r w:rsidRPr="00C83045">
        <w:rPr>
          <w:color w:val="000000"/>
          <w:szCs w:val="22"/>
        </w:rPr>
        <w:t>ktoré nie sú uvedené v tejto písomnej informácii.</w:t>
      </w:r>
      <w:r w:rsidR="002E1867" w:rsidRPr="00C83045">
        <w:rPr>
          <w:color w:val="000000"/>
          <w:szCs w:val="22"/>
        </w:rPr>
        <w:t xml:space="preserve"> Pozri časť 4.</w:t>
      </w:r>
    </w:p>
    <w:p w14:paraId="32368B76" w14:textId="77777777" w:rsidR="00F80E99" w:rsidRPr="00C83045" w:rsidRDefault="00F80E99" w:rsidP="00D4304B">
      <w:pPr>
        <w:widowControl w:val="0"/>
        <w:numPr>
          <w:ilvl w:val="12"/>
          <w:numId w:val="0"/>
        </w:numPr>
        <w:rPr>
          <w:color w:val="000000"/>
          <w:szCs w:val="22"/>
        </w:rPr>
      </w:pPr>
    </w:p>
    <w:p w14:paraId="32368B77" w14:textId="77777777" w:rsidR="00F80E99" w:rsidRPr="00C83045" w:rsidRDefault="00F80E99" w:rsidP="00D4304B">
      <w:pPr>
        <w:widowControl w:val="0"/>
        <w:numPr>
          <w:ilvl w:val="12"/>
          <w:numId w:val="0"/>
        </w:numPr>
        <w:rPr>
          <w:color w:val="000000"/>
          <w:szCs w:val="22"/>
        </w:rPr>
      </w:pPr>
    </w:p>
    <w:p w14:paraId="32368B78" w14:textId="77777777" w:rsidR="00F80E99" w:rsidRPr="00C83045" w:rsidRDefault="00F80E99" w:rsidP="003E286B">
      <w:pPr>
        <w:keepNext/>
        <w:widowControl w:val="0"/>
        <w:numPr>
          <w:ilvl w:val="12"/>
          <w:numId w:val="0"/>
        </w:numPr>
        <w:outlineLvl w:val="0"/>
        <w:rPr>
          <w:color w:val="000000"/>
          <w:szCs w:val="22"/>
        </w:rPr>
      </w:pPr>
      <w:r w:rsidRPr="00C83045">
        <w:rPr>
          <w:b/>
          <w:color w:val="000000"/>
          <w:szCs w:val="22"/>
        </w:rPr>
        <w:t xml:space="preserve">V tejto písomnej informácii </w:t>
      </w:r>
      <w:r w:rsidRPr="00C83045">
        <w:rPr>
          <w:b/>
          <w:noProof/>
          <w:color w:val="000000"/>
          <w:szCs w:val="22"/>
        </w:rPr>
        <w:t>sa dozviete</w:t>
      </w:r>
      <w:r w:rsidR="00C43839">
        <w:rPr>
          <w:b/>
          <w:noProof/>
          <w:color w:val="000000"/>
          <w:szCs w:val="22"/>
        </w:rPr>
        <w:t>:</w:t>
      </w:r>
    </w:p>
    <w:p w14:paraId="32368B79" w14:textId="77777777" w:rsidR="00F80E99" w:rsidRPr="00C83045" w:rsidRDefault="00F80E99" w:rsidP="003E286B">
      <w:pPr>
        <w:keepNext/>
        <w:widowControl w:val="0"/>
        <w:rPr>
          <w:color w:val="000000"/>
          <w:szCs w:val="22"/>
        </w:rPr>
      </w:pPr>
      <w:r w:rsidRPr="00C83045">
        <w:rPr>
          <w:color w:val="000000"/>
          <w:szCs w:val="22"/>
        </w:rPr>
        <w:t>1.</w:t>
      </w:r>
      <w:r w:rsidRPr="00C83045">
        <w:rPr>
          <w:color w:val="000000"/>
          <w:szCs w:val="22"/>
        </w:rPr>
        <w:tab/>
        <w:t>Čo je Glivec a na čo sa používa</w:t>
      </w:r>
    </w:p>
    <w:p w14:paraId="32368B7A" w14:textId="77777777" w:rsidR="002E1867" w:rsidRPr="00C83045" w:rsidRDefault="002E1867" w:rsidP="003E286B">
      <w:pPr>
        <w:keepNext/>
        <w:widowControl w:val="0"/>
        <w:rPr>
          <w:color w:val="000000"/>
          <w:szCs w:val="22"/>
        </w:rPr>
      </w:pPr>
      <w:r w:rsidRPr="00C83045">
        <w:rPr>
          <w:color w:val="000000"/>
          <w:szCs w:val="22"/>
        </w:rPr>
        <w:t>2.</w:t>
      </w:r>
      <w:r w:rsidRPr="00C83045">
        <w:rPr>
          <w:color w:val="000000"/>
          <w:szCs w:val="22"/>
        </w:rPr>
        <w:tab/>
      </w:r>
      <w:r w:rsidRPr="00C83045">
        <w:rPr>
          <w:noProof/>
        </w:rPr>
        <w:t xml:space="preserve">Čo potrebujete vedieť predtým, </w:t>
      </w:r>
      <w:r w:rsidRPr="00C83045">
        <w:rPr>
          <w:color w:val="000000"/>
          <w:szCs w:val="22"/>
        </w:rPr>
        <w:t>ako užijete Glivec</w:t>
      </w:r>
    </w:p>
    <w:p w14:paraId="32368B7B" w14:textId="77777777" w:rsidR="00F80E99" w:rsidRPr="00C83045" w:rsidRDefault="00F80E99" w:rsidP="003E286B">
      <w:pPr>
        <w:keepNext/>
        <w:widowControl w:val="0"/>
        <w:rPr>
          <w:color w:val="000000"/>
          <w:szCs w:val="22"/>
        </w:rPr>
      </w:pPr>
      <w:r w:rsidRPr="00C83045">
        <w:rPr>
          <w:color w:val="000000"/>
          <w:szCs w:val="22"/>
        </w:rPr>
        <w:t>3.</w:t>
      </w:r>
      <w:r w:rsidRPr="00C83045">
        <w:rPr>
          <w:color w:val="000000"/>
          <w:szCs w:val="22"/>
        </w:rPr>
        <w:tab/>
        <w:t>Ako užívať Glivec</w:t>
      </w:r>
    </w:p>
    <w:p w14:paraId="32368B7C" w14:textId="77777777" w:rsidR="00F80E99" w:rsidRPr="00C83045" w:rsidRDefault="00F80E99" w:rsidP="003E286B">
      <w:pPr>
        <w:keepNext/>
        <w:widowControl w:val="0"/>
        <w:rPr>
          <w:color w:val="000000"/>
          <w:szCs w:val="22"/>
        </w:rPr>
      </w:pPr>
      <w:r w:rsidRPr="00C83045">
        <w:rPr>
          <w:color w:val="000000"/>
          <w:szCs w:val="22"/>
        </w:rPr>
        <w:t>4.</w:t>
      </w:r>
      <w:r w:rsidRPr="00C83045">
        <w:rPr>
          <w:color w:val="000000"/>
          <w:szCs w:val="22"/>
        </w:rPr>
        <w:tab/>
        <w:t>Možné vedľajšie účinky</w:t>
      </w:r>
    </w:p>
    <w:p w14:paraId="32368B7D" w14:textId="77777777" w:rsidR="00F80E99" w:rsidRPr="00C83045" w:rsidRDefault="00F80E99" w:rsidP="003E286B">
      <w:pPr>
        <w:keepNext/>
        <w:widowControl w:val="0"/>
        <w:rPr>
          <w:color w:val="000000"/>
          <w:szCs w:val="22"/>
        </w:rPr>
      </w:pPr>
      <w:r w:rsidRPr="00C83045">
        <w:rPr>
          <w:color w:val="000000"/>
          <w:szCs w:val="22"/>
        </w:rPr>
        <w:t>5.</w:t>
      </w:r>
      <w:r w:rsidRPr="00C83045">
        <w:rPr>
          <w:color w:val="000000"/>
          <w:szCs w:val="22"/>
        </w:rPr>
        <w:tab/>
        <w:t>Ako uchovávať Glivec</w:t>
      </w:r>
    </w:p>
    <w:p w14:paraId="32368B7E" w14:textId="77777777" w:rsidR="00F80E99" w:rsidRPr="00C83045" w:rsidRDefault="00F80E99" w:rsidP="00D4304B">
      <w:pPr>
        <w:widowControl w:val="0"/>
        <w:rPr>
          <w:color w:val="000000"/>
          <w:szCs w:val="22"/>
        </w:rPr>
      </w:pPr>
      <w:r w:rsidRPr="00C83045">
        <w:rPr>
          <w:color w:val="000000"/>
          <w:szCs w:val="22"/>
        </w:rPr>
        <w:t>6.</w:t>
      </w:r>
      <w:r w:rsidRPr="00C83045">
        <w:rPr>
          <w:color w:val="000000"/>
          <w:szCs w:val="22"/>
        </w:rPr>
        <w:tab/>
      </w:r>
      <w:r w:rsidRPr="00C83045">
        <w:rPr>
          <w:noProof/>
        </w:rPr>
        <w:t xml:space="preserve">Obsah balenia a ďalšie </w:t>
      </w:r>
      <w:r w:rsidRPr="00C83045">
        <w:rPr>
          <w:color w:val="000000"/>
          <w:szCs w:val="22"/>
        </w:rPr>
        <w:t>informácie</w:t>
      </w:r>
    </w:p>
    <w:p w14:paraId="32368B7F" w14:textId="77777777" w:rsidR="00F80E99" w:rsidRPr="00C83045" w:rsidRDefault="00F80E99" w:rsidP="00D4304B">
      <w:pPr>
        <w:widowControl w:val="0"/>
        <w:numPr>
          <w:ilvl w:val="12"/>
          <w:numId w:val="0"/>
        </w:numPr>
        <w:rPr>
          <w:color w:val="000000"/>
          <w:szCs w:val="22"/>
        </w:rPr>
      </w:pPr>
    </w:p>
    <w:p w14:paraId="32368B80" w14:textId="77777777" w:rsidR="00F80E99" w:rsidRPr="00C83045" w:rsidRDefault="00F80E99" w:rsidP="00D4304B">
      <w:pPr>
        <w:widowControl w:val="0"/>
        <w:numPr>
          <w:ilvl w:val="12"/>
          <w:numId w:val="0"/>
        </w:numPr>
        <w:rPr>
          <w:color w:val="000000"/>
          <w:szCs w:val="22"/>
        </w:rPr>
      </w:pPr>
    </w:p>
    <w:p w14:paraId="32368B81" w14:textId="77777777" w:rsidR="00F80E99" w:rsidRPr="00C83045" w:rsidRDefault="00F80E99" w:rsidP="00D4304B">
      <w:pPr>
        <w:keepNext/>
        <w:widowControl w:val="0"/>
        <w:numPr>
          <w:ilvl w:val="12"/>
          <w:numId w:val="0"/>
        </w:numPr>
        <w:ind w:left="567" w:hanging="567"/>
        <w:rPr>
          <w:b/>
          <w:color w:val="000000"/>
          <w:szCs w:val="22"/>
        </w:rPr>
      </w:pPr>
      <w:r w:rsidRPr="00C83045">
        <w:rPr>
          <w:b/>
          <w:color w:val="000000"/>
          <w:szCs w:val="22"/>
        </w:rPr>
        <w:t>1.</w:t>
      </w:r>
      <w:r w:rsidRPr="00C83045">
        <w:rPr>
          <w:b/>
          <w:color w:val="000000"/>
          <w:szCs w:val="22"/>
        </w:rPr>
        <w:tab/>
      </w:r>
      <w:r w:rsidRPr="00C83045">
        <w:rPr>
          <w:b/>
          <w:noProof/>
          <w:lang w:val="fr-FR"/>
        </w:rPr>
        <w:t xml:space="preserve">Čo je </w:t>
      </w:r>
      <w:r w:rsidRPr="00C83045">
        <w:rPr>
          <w:b/>
          <w:color w:val="000000"/>
          <w:szCs w:val="22"/>
        </w:rPr>
        <w:t>Glivec</w:t>
      </w:r>
      <w:r w:rsidRPr="00C83045">
        <w:rPr>
          <w:b/>
          <w:noProof/>
          <w:lang w:val="fr-FR"/>
        </w:rPr>
        <w:t xml:space="preserve"> a na čo sa používa</w:t>
      </w:r>
    </w:p>
    <w:p w14:paraId="32368B82" w14:textId="77777777" w:rsidR="00F80E99" w:rsidRPr="00C83045" w:rsidRDefault="00F80E99" w:rsidP="00D4304B">
      <w:pPr>
        <w:keepNext/>
        <w:widowControl w:val="0"/>
        <w:numPr>
          <w:ilvl w:val="12"/>
          <w:numId w:val="0"/>
        </w:numPr>
        <w:rPr>
          <w:color w:val="000000"/>
          <w:szCs w:val="22"/>
        </w:rPr>
      </w:pPr>
    </w:p>
    <w:p w14:paraId="32368B83" w14:textId="77777777" w:rsidR="00F80E99" w:rsidRPr="00C83045" w:rsidRDefault="00F80E99" w:rsidP="00D4304B">
      <w:pPr>
        <w:widowControl w:val="0"/>
        <w:numPr>
          <w:ilvl w:val="12"/>
          <w:numId w:val="0"/>
        </w:numPr>
        <w:rPr>
          <w:color w:val="000000"/>
          <w:szCs w:val="22"/>
        </w:rPr>
      </w:pPr>
      <w:r w:rsidRPr="00C83045">
        <w:rPr>
          <w:color w:val="000000"/>
          <w:szCs w:val="22"/>
        </w:rPr>
        <w:t>Glivec je liek, ktorý obsahuje liečivo nazývané imatinib. Tento liek účinkuje tak, že bráni množeniu abnormálnych buniek pri ochoreniach uvedených nižšie. Patria k nim niektoré druhy rakoviny.</w:t>
      </w:r>
    </w:p>
    <w:p w14:paraId="32368B84" w14:textId="77777777" w:rsidR="00F80E99" w:rsidRPr="00C83045" w:rsidRDefault="00F80E99" w:rsidP="00D4304B">
      <w:pPr>
        <w:widowControl w:val="0"/>
        <w:numPr>
          <w:ilvl w:val="12"/>
          <w:numId w:val="0"/>
        </w:numPr>
        <w:rPr>
          <w:color w:val="000000"/>
          <w:szCs w:val="22"/>
        </w:rPr>
      </w:pPr>
    </w:p>
    <w:p w14:paraId="32368B85" w14:textId="77777777" w:rsidR="00F80E99" w:rsidRPr="00C83045" w:rsidRDefault="00F80E99" w:rsidP="00D4304B">
      <w:pPr>
        <w:keepNext/>
        <w:widowControl w:val="0"/>
        <w:ind w:left="0" w:firstLine="0"/>
        <w:rPr>
          <w:b/>
          <w:color w:val="000000"/>
          <w:szCs w:val="22"/>
        </w:rPr>
      </w:pPr>
      <w:r w:rsidRPr="00C83045">
        <w:rPr>
          <w:b/>
          <w:color w:val="000000"/>
          <w:szCs w:val="22"/>
        </w:rPr>
        <w:t>Glivecom sa lieči u dospelých a detí:</w:t>
      </w:r>
    </w:p>
    <w:p w14:paraId="32368B86" w14:textId="77777777" w:rsidR="00F80E99" w:rsidRPr="00C83045" w:rsidRDefault="00F80E99" w:rsidP="00D4304B">
      <w:pPr>
        <w:keepNext/>
        <w:widowControl w:val="0"/>
        <w:ind w:left="0" w:firstLine="0"/>
        <w:rPr>
          <w:color w:val="000000"/>
          <w:szCs w:val="22"/>
        </w:rPr>
      </w:pPr>
    </w:p>
    <w:p w14:paraId="32368B87" w14:textId="77777777" w:rsidR="00F80E99" w:rsidRPr="00C83045" w:rsidRDefault="00F80E99" w:rsidP="00D4304B">
      <w:pPr>
        <w:widowControl w:val="0"/>
        <w:numPr>
          <w:ilvl w:val="0"/>
          <w:numId w:val="15"/>
        </w:numPr>
        <w:ind w:left="574" w:hanging="574"/>
        <w:rPr>
          <w:color w:val="000000"/>
          <w:szCs w:val="22"/>
        </w:rPr>
      </w:pPr>
      <w:r w:rsidRPr="00C83045">
        <w:rPr>
          <w:b/>
          <w:bCs/>
          <w:color w:val="000000"/>
          <w:szCs w:val="22"/>
        </w:rPr>
        <w:t>Chronic</w:t>
      </w:r>
      <w:r w:rsidRPr="00C83045">
        <w:rPr>
          <w:b/>
          <w:color w:val="000000"/>
          <w:szCs w:val="22"/>
        </w:rPr>
        <w:t>ká myelocytová leukémia (CML).</w:t>
      </w:r>
      <w:r w:rsidRPr="00C83045">
        <w:rPr>
          <w:color w:val="000000"/>
          <w:szCs w:val="22"/>
        </w:rPr>
        <w:t xml:space="preserve"> Leukémia je rakovina bielych krviniek. Tieto biele krvinky obvykle pomáhajú telu bojovať proti infekciám. Chronická myelocytová leukémia je druhom leukémie, pri ktorej niektoré abnormálne biele krvinky (nazývané myeloidné bunky) sa začnú nekontrolovane množiť.</w:t>
      </w:r>
    </w:p>
    <w:p w14:paraId="32368B88" w14:textId="77777777" w:rsidR="00B66B4F" w:rsidRPr="00C83045" w:rsidRDefault="00B66B4F" w:rsidP="00D4304B">
      <w:pPr>
        <w:widowControl w:val="0"/>
        <w:numPr>
          <w:ilvl w:val="0"/>
          <w:numId w:val="15"/>
        </w:numPr>
        <w:ind w:left="567" w:hanging="567"/>
        <w:rPr>
          <w:color w:val="000000"/>
          <w:szCs w:val="22"/>
        </w:rPr>
      </w:pPr>
      <w:r w:rsidRPr="00C83045">
        <w:rPr>
          <w:b/>
          <w:color w:val="000000"/>
          <w:szCs w:val="22"/>
        </w:rPr>
        <w:t xml:space="preserve">Akútna lymfoblastická leukémia s pozitívnym chromozómom Philadelphia (Ph-pozitívna </w:t>
      </w:r>
      <w:smartTag w:uri="urn:schemas-microsoft-com:office:smarttags" w:element="stockticker">
        <w:r w:rsidRPr="00C83045">
          <w:rPr>
            <w:b/>
            <w:color w:val="000000"/>
            <w:szCs w:val="22"/>
          </w:rPr>
          <w:t>ALL</w:t>
        </w:r>
      </w:smartTag>
      <w:r w:rsidRPr="00C83045">
        <w:rPr>
          <w:b/>
          <w:color w:val="000000"/>
          <w:szCs w:val="22"/>
        </w:rPr>
        <w:t>).</w:t>
      </w:r>
      <w:r w:rsidRPr="00C83045">
        <w:rPr>
          <w:color w:val="000000"/>
          <w:szCs w:val="22"/>
        </w:rPr>
        <w:t xml:space="preserve"> Leukémia je rakovina bielych krviniek. Tieto biele krvinky obvykle pomáhajú telu bojovať proti infekciám. Akútna lymfoblastická leukémia je druhom leukémie, pri ktorej určité abnormálne biele krvinky (označované ako lymfoblasty) sa začnú nekontrolovane množiť. Glivec bráni množeniu týchto buniek.</w:t>
      </w:r>
    </w:p>
    <w:p w14:paraId="32368B89" w14:textId="77777777" w:rsidR="00F80E99" w:rsidRPr="00C83045" w:rsidRDefault="00F80E99" w:rsidP="00D4304B">
      <w:pPr>
        <w:widowControl w:val="0"/>
        <w:ind w:left="0" w:firstLine="0"/>
        <w:rPr>
          <w:color w:val="000000"/>
          <w:szCs w:val="22"/>
        </w:rPr>
      </w:pPr>
    </w:p>
    <w:p w14:paraId="32368B8A" w14:textId="77777777" w:rsidR="00F80E99" w:rsidRPr="00C83045" w:rsidRDefault="00F80E99" w:rsidP="00D4304B">
      <w:pPr>
        <w:keepNext/>
        <w:widowControl w:val="0"/>
        <w:ind w:left="0" w:firstLine="0"/>
        <w:rPr>
          <w:b/>
          <w:color w:val="000000"/>
          <w:szCs w:val="22"/>
        </w:rPr>
      </w:pPr>
      <w:r w:rsidRPr="00C83045">
        <w:rPr>
          <w:b/>
          <w:color w:val="000000"/>
          <w:szCs w:val="22"/>
        </w:rPr>
        <w:t>Glivecom sa tiež liečia u dospelých:</w:t>
      </w:r>
    </w:p>
    <w:p w14:paraId="32368B8B" w14:textId="77777777" w:rsidR="00F80E99" w:rsidRPr="00C83045" w:rsidRDefault="00F80E99" w:rsidP="00D4304B">
      <w:pPr>
        <w:keepNext/>
        <w:widowControl w:val="0"/>
        <w:ind w:left="0" w:firstLine="0"/>
        <w:rPr>
          <w:color w:val="000000"/>
          <w:szCs w:val="22"/>
        </w:rPr>
      </w:pPr>
    </w:p>
    <w:p w14:paraId="32368B8C" w14:textId="77777777" w:rsidR="00F80E99" w:rsidRPr="00C83045" w:rsidRDefault="00F80E99" w:rsidP="00D4304B">
      <w:pPr>
        <w:widowControl w:val="0"/>
        <w:numPr>
          <w:ilvl w:val="0"/>
          <w:numId w:val="15"/>
        </w:numPr>
        <w:ind w:left="567" w:hanging="567"/>
        <w:rPr>
          <w:color w:val="000000"/>
          <w:szCs w:val="22"/>
        </w:rPr>
      </w:pPr>
      <w:r w:rsidRPr="00C83045">
        <w:rPr>
          <w:b/>
          <w:color w:val="000000"/>
          <w:szCs w:val="22"/>
        </w:rPr>
        <w:t>Myelodysplastické/myeloproliferatívne ochorenia (</w:t>
      </w:r>
      <w:smartTag w:uri="urn:schemas-microsoft-com:office:smarttags" w:element="stockticker">
        <w:r w:rsidRPr="00C83045">
          <w:rPr>
            <w:b/>
            <w:color w:val="000000"/>
            <w:szCs w:val="22"/>
          </w:rPr>
          <w:t>MDS</w:t>
        </w:r>
      </w:smartTag>
      <w:r w:rsidRPr="00C83045">
        <w:rPr>
          <w:b/>
          <w:color w:val="000000"/>
          <w:szCs w:val="22"/>
        </w:rPr>
        <w:t>/MPD).</w:t>
      </w:r>
      <w:r w:rsidRPr="00C83045">
        <w:rPr>
          <w:color w:val="000000"/>
          <w:szCs w:val="22"/>
        </w:rPr>
        <w:t xml:space="preserve"> Je to skupina ochorení krvi, pri ktorých sa niektoré krvinky začnú nekontrolovane množiť. Glivec bráni množeniu týchto krviniek pri určitom podtype týchto ochorení.</w:t>
      </w:r>
    </w:p>
    <w:p w14:paraId="32368B8D" w14:textId="77777777" w:rsidR="00F80E99" w:rsidRPr="00C83045" w:rsidRDefault="00F80E99" w:rsidP="00D4304B">
      <w:pPr>
        <w:widowControl w:val="0"/>
        <w:numPr>
          <w:ilvl w:val="0"/>
          <w:numId w:val="15"/>
        </w:numPr>
        <w:ind w:left="567" w:hanging="567"/>
        <w:rPr>
          <w:color w:val="000000"/>
          <w:szCs w:val="22"/>
        </w:rPr>
      </w:pPr>
      <w:r w:rsidRPr="00C83045">
        <w:rPr>
          <w:b/>
          <w:color w:val="000000"/>
          <w:szCs w:val="22"/>
        </w:rPr>
        <w:t>Hypereozinofilný syndróm (HES) a/alebo chronická eozinofilová leukémia (</w:t>
      </w:r>
      <w:smartTag w:uri="urn:schemas-microsoft-com:office:smarttags" w:element="stockticker">
        <w:r w:rsidRPr="00C83045">
          <w:rPr>
            <w:b/>
            <w:color w:val="000000"/>
            <w:szCs w:val="22"/>
          </w:rPr>
          <w:t>CEL</w:t>
        </w:r>
      </w:smartTag>
      <w:r w:rsidRPr="00C83045">
        <w:rPr>
          <w:b/>
          <w:color w:val="000000"/>
          <w:szCs w:val="22"/>
        </w:rPr>
        <w:t>).</w:t>
      </w:r>
      <w:r w:rsidRPr="00C83045">
        <w:rPr>
          <w:color w:val="000000"/>
          <w:szCs w:val="22"/>
        </w:rPr>
        <w:t xml:space="preserve"> Sú to ochorenia krvi, pri ktorých sa niektoré krvinky (nazývané eozinofily) začnú nekontrolovane množiť. Glivec bráni množeniu týchto krviniek pri určitom podtype týchto ochorení.</w:t>
      </w:r>
    </w:p>
    <w:p w14:paraId="32368B8E" w14:textId="77777777" w:rsidR="00F80E99" w:rsidRPr="00C83045" w:rsidRDefault="00F80E99" w:rsidP="00D4304B">
      <w:pPr>
        <w:widowControl w:val="0"/>
        <w:numPr>
          <w:ilvl w:val="0"/>
          <w:numId w:val="15"/>
        </w:numPr>
        <w:ind w:left="567" w:hanging="567"/>
        <w:rPr>
          <w:color w:val="000000"/>
          <w:szCs w:val="22"/>
        </w:rPr>
      </w:pPr>
      <w:r w:rsidRPr="00C83045">
        <w:rPr>
          <w:b/>
          <w:color w:val="000000"/>
          <w:szCs w:val="22"/>
        </w:rPr>
        <w:t xml:space="preserve">Gastrointestinálne strómové nádory (GIST). </w:t>
      </w:r>
      <w:r w:rsidRPr="00C83045">
        <w:rPr>
          <w:color w:val="000000"/>
          <w:szCs w:val="22"/>
        </w:rPr>
        <w:t>GIST je rakovina žalúdka a čriev. Vzniká z nekontrolovaného množenia buniek podporných tkanív týchto orgánov.</w:t>
      </w:r>
    </w:p>
    <w:p w14:paraId="32368B8F" w14:textId="77777777" w:rsidR="00F80E99" w:rsidRPr="00C83045" w:rsidRDefault="00F80E99" w:rsidP="00D4304B">
      <w:pPr>
        <w:widowControl w:val="0"/>
        <w:numPr>
          <w:ilvl w:val="0"/>
          <w:numId w:val="15"/>
        </w:numPr>
        <w:ind w:left="567" w:hanging="567"/>
        <w:rPr>
          <w:color w:val="000000"/>
          <w:szCs w:val="22"/>
        </w:rPr>
      </w:pPr>
      <w:r w:rsidRPr="00C83045">
        <w:rPr>
          <w:b/>
          <w:color w:val="000000"/>
          <w:szCs w:val="22"/>
        </w:rPr>
        <w:t>Dermatofibrosarcoma protuberans (DFSP).</w:t>
      </w:r>
      <w:r w:rsidRPr="00C83045">
        <w:rPr>
          <w:color w:val="000000"/>
          <w:szCs w:val="22"/>
        </w:rPr>
        <w:t xml:space="preserve"> DFSP je rakovina tkaniva pod kožou, v ktorom </w:t>
      </w:r>
      <w:r w:rsidRPr="00C83045">
        <w:rPr>
          <w:color w:val="000000"/>
          <w:szCs w:val="22"/>
        </w:rPr>
        <w:lastRenderedPageBreak/>
        <w:t>sa niektoré bunky začnú nekontrolovane množiť. Glivec bráni množeniu týchto buniek.</w:t>
      </w:r>
    </w:p>
    <w:p w14:paraId="32368B90" w14:textId="77777777" w:rsidR="00F80E99" w:rsidRPr="00C83045" w:rsidRDefault="00F80E99" w:rsidP="00D4304B">
      <w:pPr>
        <w:widowControl w:val="0"/>
        <w:ind w:left="0" w:firstLine="0"/>
        <w:rPr>
          <w:color w:val="000000"/>
          <w:szCs w:val="22"/>
        </w:rPr>
      </w:pPr>
      <w:r w:rsidRPr="00C83045">
        <w:rPr>
          <w:color w:val="000000"/>
          <w:szCs w:val="22"/>
        </w:rPr>
        <w:t>V ďalších častiach tejto písomnej informácie budeme používať skratky, keď sa bude hovoriť o týchto ochoreniach.</w:t>
      </w:r>
    </w:p>
    <w:p w14:paraId="32368B91" w14:textId="77777777" w:rsidR="00F80E99" w:rsidRPr="00C83045" w:rsidRDefault="00F80E99" w:rsidP="00D4304B">
      <w:pPr>
        <w:widowControl w:val="0"/>
        <w:ind w:left="0" w:firstLine="0"/>
        <w:rPr>
          <w:color w:val="000000"/>
          <w:szCs w:val="22"/>
        </w:rPr>
      </w:pPr>
    </w:p>
    <w:p w14:paraId="32368B92" w14:textId="77777777" w:rsidR="00F80E99" w:rsidRPr="00C83045" w:rsidRDefault="00F80E99" w:rsidP="00D4304B">
      <w:pPr>
        <w:widowControl w:val="0"/>
        <w:ind w:left="0" w:firstLine="0"/>
        <w:rPr>
          <w:color w:val="000000"/>
          <w:szCs w:val="22"/>
        </w:rPr>
      </w:pPr>
      <w:r w:rsidRPr="00C83045">
        <w:rPr>
          <w:color w:val="000000"/>
          <w:szCs w:val="22"/>
        </w:rPr>
        <w:t>Ak sa chcete dozvedieť, ako Glivec účinkuje alebo prečo vám predpísali tento liek, obráťte sa na svojho lekára.</w:t>
      </w:r>
    </w:p>
    <w:p w14:paraId="32368B93" w14:textId="77777777" w:rsidR="00F80E99" w:rsidRPr="00C83045" w:rsidRDefault="00F80E99" w:rsidP="00D4304B">
      <w:pPr>
        <w:widowControl w:val="0"/>
        <w:ind w:left="0" w:firstLine="0"/>
        <w:rPr>
          <w:color w:val="000000"/>
          <w:szCs w:val="22"/>
        </w:rPr>
      </w:pPr>
    </w:p>
    <w:p w14:paraId="32368B94" w14:textId="77777777" w:rsidR="00F80E99" w:rsidRPr="00C83045" w:rsidRDefault="00F80E99" w:rsidP="00D4304B">
      <w:pPr>
        <w:widowControl w:val="0"/>
        <w:ind w:left="0" w:firstLine="0"/>
        <w:rPr>
          <w:color w:val="000000"/>
          <w:szCs w:val="22"/>
        </w:rPr>
      </w:pPr>
    </w:p>
    <w:p w14:paraId="32368B95" w14:textId="77777777" w:rsidR="002E1867" w:rsidRPr="00C83045" w:rsidRDefault="002E1867" w:rsidP="00D4304B">
      <w:pPr>
        <w:keepNext/>
        <w:widowControl w:val="0"/>
        <w:numPr>
          <w:ilvl w:val="12"/>
          <w:numId w:val="0"/>
        </w:numPr>
        <w:ind w:left="567" w:hanging="567"/>
        <w:rPr>
          <w:color w:val="000000"/>
          <w:szCs w:val="22"/>
        </w:rPr>
      </w:pPr>
      <w:r w:rsidRPr="00C83045">
        <w:rPr>
          <w:b/>
          <w:color w:val="000000"/>
          <w:szCs w:val="22"/>
        </w:rPr>
        <w:t>2.</w:t>
      </w:r>
      <w:r w:rsidRPr="00C83045">
        <w:rPr>
          <w:b/>
          <w:color w:val="000000"/>
          <w:szCs w:val="22"/>
        </w:rPr>
        <w:tab/>
      </w:r>
      <w:r w:rsidRPr="00C83045">
        <w:rPr>
          <w:b/>
          <w:noProof/>
        </w:rPr>
        <w:t>Čo potrebujete vedieť predtým, ako užijete Glivec</w:t>
      </w:r>
    </w:p>
    <w:p w14:paraId="32368B96" w14:textId="77777777" w:rsidR="00F80E99" w:rsidRPr="00C83045" w:rsidRDefault="00F80E99" w:rsidP="00D4304B">
      <w:pPr>
        <w:keepNext/>
        <w:widowControl w:val="0"/>
        <w:numPr>
          <w:ilvl w:val="12"/>
          <w:numId w:val="0"/>
        </w:numPr>
        <w:rPr>
          <w:color w:val="000000"/>
          <w:szCs w:val="22"/>
        </w:rPr>
      </w:pPr>
    </w:p>
    <w:p w14:paraId="32368B97" w14:textId="77777777" w:rsidR="00F80E99" w:rsidRPr="00C83045" w:rsidRDefault="00F80E99" w:rsidP="00D4304B">
      <w:pPr>
        <w:widowControl w:val="0"/>
        <w:ind w:left="0" w:firstLine="0"/>
        <w:rPr>
          <w:color w:val="000000"/>
          <w:szCs w:val="22"/>
        </w:rPr>
      </w:pPr>
      <w:r w:rsidRPr="00C83045">
        <w:rPr>
          <w:color w:val="000000"/>
          <w:szCs w:val="22"/>
        </w:rPr>
        <w:t>Glivec vám predpíše len lekár, ktorý má skúsenosti s liekmi používanými na liečbu rakoviny krvi alebo solídnych nádorov.</w:t>
      </w:r>
    </w:p>
    <w:p w14:paraId="32368B98" w14:textId="77777777" w:rsidR="00F80E99" w:rsidRPr="00C83045" w:rsidRDefault="00F80E99" w:rsidP="00D4304B">
      <w:pPr>
        <w:widowControl w:val="0"/>
        <w:ind w:left="0" w:firstLine="0"/>
        <w:rPr>
          <w:color w:val="000000"/>
          <w:szCs w:val="22"/>
        </w:rPr>
      </w:pPr>
    </w:p>
    <w:p w14:paraId="32368B99" w14:textId="77777777" w:rsidR="00F80E99" w:rsidRPr="00C83045" w:rsidRDefault="00F80E99" w:rsidP="00D4304B">
      <w:pPr>
        <w:widowControl w:val="0"/>
        <w:ind w:left="0" w:firstLine="0"/>
        <w:rPr>
          <w:color w:val="000000"/>
          <w:szCs w:val="22"/>
        </w:rPr>
      </w:pPr>
      <w:r w:rsidRPr="00C83045">
        <w:rPr>
          <w:color w:val="000000"/>
          <w:szCs w:val="22"/>
        </w:rPr>
        <w:t>Dôsledne dodržujte všetky pokyny svojho lekára, aj keď sa budú líšiť od všeobecných údajov v tejto písomnej informácii.</w:t>
      </w:r>
    </w:p>
    <w:p w14:paraId="32368B9A" w14:textId="77777777" w:rsidR="00F80E99" w:rsidRPr="00C83045" w:rsidRDefault="00F80E99" w:rsidP="00D4304B">
      <w:pPr>
        <w:widowControl w:val="0"/>
        <w:rPr>
          <w:color w:val="000000"/>
          <w:szCs w:val="22"/>
        </w:rPr>
      </w:pPr>
    </w:p>
    <w:p w14:paraId="32368B9B" w14:textId="77777777" w:rsidR="00F80E99" w:rsidRPr="00C83045" w:rsidRDefault="00F80E99" w:rsidP="00D4304B">
      <w:pPr>
        <w:keepNext/>
        <w:widowControl w:val="0"/>
        <w:rPr>
          <w:b/>
          <w:color w:val="000000"/>
          <w:szCs w:val="22"/>
        </w:rPr>
      </w:pPr>
      <w:r w:rsidRPr="00C83045">
        <w:rPr>
          <w:b/>
          <w:color w:val="000000"/>
          <w:szCs w:val="22"/>
        </w:rPr>
        <w:t>Neužívajte Glivec:</w:t>
      </w:r>
    </w:p>
    <w:p w14:paraId="32368B9C" w14:textId="77777777" w:rsidR="00F80E99" w:rsidRPr="00C83045" w:rsidRDefault="00F80E99" w:rsidP="00D4304B">
      <w:pPr>
        <w:widowControl w:val="0"/>
        <w:numPr>
          <w:ilvl w:val="0"/>
          <w:numId w:val="2"/>
        </w:numPr>
        <w:rPr>
          <w:color w:val="000000"/>
          <w:szCs w:val="22"/>
        </w:rPr>
      </w:pPr>
      <w:r w:rsidRPr="00C83045">
        <w:rPr>
          <w:color w:val="000000"/>
          <w:szCs w:val="22"/>
        </w:rPr>
        <w:t xml:space="preserve">ak ste alergický na imatinib alebo na </w:t>
      </w:r>
      <w:r w:rsidRPr="00C83045">
        <w:rPr>
          <w:noProof/>
          <w:color w:val="000000"/>
          <w:szCs w:val="22"/>
        </w:rPr>
        <w:t>ktorúkoľvek</w:t>
      </w:r>
      <w:r w:rsidRPr="00C83045">
        <w:rPr>
          <w:color w:val="000000"/>
          <w:szCs w:val="22"/>
        </w:rPr>
        <w:t xml:space="preserve"> z ďalších zložiek </w:t>
      </w:r>
      <w:r w:rsidRPr="00C83045">
        <w:rPr>
          <w:noProof/>
        </w:rPr>
        <w:t>tohto lieku (uvedených</w:t>
      </w:r>
      <w:r w:rsidRPr="00C83045">
        <w:rPr>
          <w:color w:val="000000"/>
          <w:szCs w:val="22"/>
        </w:rPr>
        <w:t xml:space="preserve"> v časti 6).</w:t>
      </w:r>
    </w:p>
    <w:p w14:paraId="32368B9D" w14:textId="77777777" w:rsidR="00F80E99" w:rsidRPr="00C83045" w:rsidRDefault="00F80E99" w:rsidP="00D4304B">
      <w:pPr>
        <w:widowControl w:val="0"/>
        <w:ind w:left="0" w:firstLine="0"/>
        <w:rPr>
          <w:color w:val="000000"/>
          <w:szCs w:val="22"/>
        </w:rPr>
      </w:pPr>
      <w:r w:rsidRPr="00C83045">
        <w:rPr>
          <w:color w:val="000000"/>
          <w:szCs w:val="22"/>
        </w:rPr>
        <w:t xml:space="preserve">Ak sa vás to týka, </w:t>
      </w:r>
      <w:r w:rsidRPr="00C83045">
        <w:rPr>
          <w:b/>
          <w:color w:val="000000"/>
          <w:szCs w:val="22"/>
        </w:rPr>
        <w:t>povedzte o tom svojmu lekárovi a neužite Glivec.</w:t>
      </w:r>
    </w:p>
    <w:p w14:paraId="32368B9E" w14:textId="77777777" w:rsidR="00F80E99" w:rsidRPr="00C83045" w:rsidRDefault="00F80E99" w:rsidP="00D4304B">
      <w:pPr>
        <w:widowControl w:val="0"/>
        <w:ind w:left="0" w:firstLine="0"/>
        <w:rPr>
          <w:color w:val="000000"/>
          <w:szCs w:val="22"/>
        </w:rPr>
      </w:pPr>
    </w:p>
    <w:p w14:paraId="32368B9F" w14:textId="77777777" w:rsidR="00F80E99" w:rsidRPr="00C83045" w:rsidRDefault="00F80E99" w:rsidP="00D4304B">
      <w:pPr>
        <w:widowControl w:val="0"/>
        <w:ind w:left="0" w:firstLine="0"/>
        <w:rPr>
          <w:color w:val="000000"/>
          <w:szCs w:val="22"/>
        </w:rPr>
      </w:pPr>
      <w:r w:rsidRPr="00C83045">
        <w:rPr>
          <w:color w:val="000000"/>
          <w:szCs w:val="22"/>
        </w:rPr>
        <w:t>Ak si myslíte, že by ste mohli byť alergický, ale nie ste si istý, poraďte sa s lekárom.</w:t>
      </w:r>
    </w:p>
    <w:p w14:paraId="32368BA0" w14:textId="77777777" w:rsidR="00F80E99" w:rsidRPr="00C83045" w:rsidRDefault="00F80E99" w:rsidP="00D4304B">
      <w:pPr>
        <w:pStyle w:val="BodyText"/>
        <w:widowControl w:val="0"/>
        <w:rPr>
          <w:color w:val="000000"/>
          <w:sz w:val="22"/>
          <w:szCs w:val="22"/>
        </w:rPr>
      </w:pPr>
    </w:p>
    <w:p w14:paraId="32368BA1" w14:textId="77777777" w:rsidR="00F80E99" w:rsidRPr="00C83045" w:rsidRDefault="00F80E99" w:rsidP="00D4304B">
      <w:pPr>
        <w:keepNext/>
        <w:widowControl w:val="0"/>
        <w:numPr>
          <w:ilvl w:val="12"/>
          <w:numId w:val="0"/>
        </w:numPr>
        <w:ind w:right="-2"/>
        <w:outlineLvl w:val="0"/>
        <w:rPr>
          <w:noProof/>
        </w:rPr>
      </w:pPr>
      <w:r w:rsidRPr="00C83045">
        <w:rPr>
          <w:b/>
          <w:noProof/>
        </w:rPr>
        <w:t>Upozornenia a opatrenia</w:t>
      </w:r>
    </w:p>
    <w:p w14:paraId="32368BA2" w14:textId="77777777" w:rsidR="002E1867" w:rsidRPr="00C83045" w:rsidRDefault="002E1867" w:rsidP="00D4304B">
      <w:pPr>
        <w:keepNext/>
        <w:widowControl w:val="0"/>
        <w:rPr>
          <w:b/>
          <w:color w:val="000000"/>
          <w:szCs w:val="22"/>
        </w:rPr>
      </w:pPr>
      <w:r w:rsidRPr="00C83045">
        <w:rPr>
          <w:noProof/>
        </w:rPr>
        <w:t xml:space="preserve">Predtým, ako začnete užívať </w:t>
      </w:r>
      <w:r w:rsidRPr="00C83045">
        <w:rPr>
          <w:color w:val="000000"/>
          <w:szCs w:val="22"/>
        </w:rPr>
        <w:t>Glivec,</w:t>
      </w:r>
      <w:r w:rsidRPr="00C83045">
        <w:rPr>
          <w:noProof/>
        </w:rPr>
        <w:t xml:space="preserve"> obráťte sa na svojho lekára</w:t>
      </w:r>
      <w:r w:rsidRPr="00C83045">
        <w:rPr>
          <w:color w:val="000000"/>
          <w:szCs w:val="22"/>
        </w:rPr>
        <w:t>:</w:t>
      </w:r>
    </w:p>
    <w:p w14:paraId="32368BA3" w14:textId="77777777" w:rsidR="00F80E99" w:rsidRPr="00C83045" w:rsidRDefault="00F80E99" w:rsidP="00D4304B">
      <w:pPr>
        <w:widowControl w:val="0"/>
        <w:numPr>
          <w:ilvl w:val="0"/>
          <w:numId w:val="3"/>
        </w:numPr>
        <w:tabs>
          <w:tab w:val="left" w:pos="9072"/>
        </w:tabs>
        <w:rPr>
          <w:color w:val="000000"/>
          <w:szCs w:val="22"/>
        </w:rPr>
      </w:pPr>
      <w:r w:rsidRPr="00C83045">
        <w:rPr>
          <w:color w:val="000000"/>
          <w:szCs w:val="22"/>
        </w:rPr>
        <w:t>ak máte alebo ste niekedy mali ťažkosti s pečeňou, obličkami alebo srdcom.</w:t>
      </w:r>
    </w:p>
    <w:p w14:paraId="32368BA4" w14:textId="77777777" w:rsidR="00F80E99" w:rsidRDefault="00F80E99" w:rsidP="00D4304B">
      <w:pPr>
        <w:widowControl w:val="0"/>
        <w:numPr>
          <w:ilvl w:val="0"/>
          <w:numId w:val="3"/>
        </w:numPr>
        <w:tabs>
          <w:tab w:val="left" w:pos="9072"/>
        </w:tabs>
        <w:rPr>
          <w:color w:val="000000"/>
          <w:szCs w:val="22"/>
        </w:rPr>
      </w:pPr>
      <w:r w:rsidRPr="00C83045">
        <w:rPr>
          <w:color w:val="000000"/>
          <w:szCs w:val="22"/>
        </w:rPr>
        <w:t>ak užívate liek levotyroxín, pretože vám odstránili štítnu žľazu.</w:t>
      </w:r>
    </w:p>
    <w:p w14:paraId="32368BA5" w14:textId="77777777" w:rsidR="002471A8" w:rsidRPr="000E618B" w:rsidRDefault="002471A8" w:rsidP="00D4304B">
      <w:pPr>
        <w:widowControl w:val="0"/>
        <w:numPr>
          <w:ilvl w:val="0"/>
          <w:numId w:val="3"/>
        </w:numPr>
        <w:tabs>
          <w:tab w:val="left" w:pos="9072"/>
        </w:tabs>
        <w:rPr>
          <w:color w:val="000000"/>
          <w:szCs w:val="22"/>
        </w:rPr>
      </w:pPr>
      <w:r>
        <w:rPr>
          <w:color w:val="000000"/>
        </w:rPr>
        <w:t>ak ste niekedy mali alebo v súčasnosti by ste mohli mať infekciu zapríčinenú vírusom hepatitídy B. Dôvodom je, že Glivec by mohol spôsobiť, že sa hepatitída</w:t>
      </w:r>
      <w:r w:rsidR="00F1077D">
        <w:rPr>
          <w:color w:val="000000"/>
        </w:rPr>
        <w:t> </w:t>
      </w:r>
      <w:r>
        <w:rPr>
          <w:color w:val="000000"/>
        </w:rPr>
        <w:t>B opäť aktivuje, čo môže byť v niektorých prípadoch smrteľné. Lekár bude pred začatím liečby pacientov pozorne sledovať na prejavy tejto infekcie.</w:t>
      </w:r>
    </w:p>
    <w:p w14:paraId="32368BA6" w14:textId="77777777" w:rsidR="000E618B" w:rsidRPr="000E618B" w:rsidRDefault="000E618B" w:rsidP="00D4304B">
      <w:pPr>
        <w:widowControl w:val="0"/>
        <w:numPr>
          <w:ilvl w:val="0"/>
          <w:numId w:val="3"/>
        </w:numPr>
        <w:tabs>
          <w:tab w:val="left" w:pos="9072"/>
        </w:tabs>
        <w:rPr>
          <w:color w:val="000000"/>
          <w:szCs w:val="22"/>
        </w:rPr>
      </w:pPr>
      <w:r>
        <w:rPr>
          <w:color w:val="000000"/>
          <w:szCs w:val="22"/>
        </w:rPr>
        <w:t xml:space="preserve">ak sa pri užívaní lieku Glivec vyskytnú modriny, krvácanie, horúčka, únava a zmätenosť, kontaktujte svojho lekára. Môžu to byť prejavy poškodenia </w:t>
      </w:r>
      <w:r w:rsidR="00FD70D8">
        <w:rPr>
          <w:color w:val="000000"/>
          <w:szCs w:val="22"/>
        </w:rPr>
        <w:t xml:space="preserve">krvných </w:t>
      </w:r>
      <w:r>
        <w:rPr>
          <w:color w:val="000000"/>
          <w:szCs w:val="22"/>
        </w:rPr>
        <w:t>ciev známe ako trombotická mikroangiopatia (TMA).</w:t>
      </w:r>
    </w:p>
    <w:p w14:paraId="32368BA7" w14:textId="77777777" w:rsidR="00F80E99" w:rsidRPr="00C83045" w:rsidRDefault="00F80E99" w:rsidP="00D4304B">
      <w:pPr>
        <w:widowControl w:val="0"/>
        <w:tabs>
          <w:tab w:val="left" w:pos="9072"/>
        </w:tabs>
        <w:ind w:left="0" w:firstLine="0"/>
        <w:rPr>
          <w:b/>
          <w:color w:val="000000"/>
          <w:szCs w:val="22"/>
        </w:rPr>
      </w:pPr>
      <w:r w:rsidRPr="00C83045">
        <w:rPr>
          <w:color w:val="000000"/>
          <w:szCs w:val="22"/>
        </w:rPr>
        <w:t xml:space="preserve">Ak sa vás niečo z uvedeného týka, </w:t>
      </w:r>
      <w:r w:rsidRPr="00C83045">
        <w:rPr>
          <w:b/>
          <w:color w:val="000000"/>
          <w:szCs w:val="22"/>
        </w:rPr>
        <w:t>povedzte o tom svojmu lekárovi skôr, ako užijete Glivec.</w:t>
      </w:r>
    </w:p>
    <w:p w14:paraId="32368BA8" w14:textId="77777777" w:rsidR="00F80E99" w:rsidRPr="006A4594" w:rsidRDefault="00F80E99" w:rsidP="00D4304B">
      <w:pPr>
        <w:widowControl w:val="0"/>
        <w:tabs>
          <w:tab w:val="left" w:pos="9072"/>
        </w:tabs>
        <w:ind w:left="0" w:firstLine="0"/>
        <w:rPr>
          <w:color w:val="000000"/>
          <w:szCs w:val="22"/>
        </w:rPr>
      </w:pPr>
    </w:p>
    <w:p w14:paraId="32368BA9" w14:textId="77777777" w:rsidR="00EE456A" w:rsidRPr="006A4594" w:rsidRDefault="00EE456A" w:rsidP="00D4304B">
      <w:pPr>
        <w:widowControl w:val="0"/>
        <w:tabs>
          <w:tab w:val="left" w:pos="9072"/>
        </w:tabs>
        <w:ind w:left="0" w:firstLine="0"/>
        <w:rPr>
          <w:color w:val="000000"/>
          <w:szCs w:val="22"/>
        </w:rPr>
      </w:pPr>
      <w:r w:rsidRPr="006A4594">
        <w:rPr>
          <w:color w:val="000000"/>
          <w:szCs w:val="22"/>
        </w:rPr>
        <w:t>Počas užívania Glivecu možete byť citlivejší na slnko. Je dôležité pokryť časti pokožky vystavené slnku a používať opaľovací krém s vysokým ochranným faktorom pred slnečným žiarením (SPF, sun protection factor). Tieto bezpečnostné opatrenia sa vzťahujú aj na deti.</w:t>
      </w:r>
    </w:p>
    <w:p w14:paraId="32368BAA" w14:textId="77777777" w:rsidR="00EE456A" w:rsidRPr="006A4594" w:rsidRDefault="00EE456A" w:rsidP="00D4304B">
      <w:pPr>
        <w:widowControl w:val="0"/>
        <w:tabs>
          <w:tab w:val="left" w:pos="9072"/>
        </w:tabs>
        <w:ind w:left="0" w:firstLine="0"/>
        <w:rPr>
          <w:color w:val="000000"/>
          <w:szCs w:val="22"/>
        </w:rPr>
      </w:pPr>
    </w:p>
    <w:p w14:paraId="32368BAB" w14:textId="77777777" w:rsidR="00F80E99" w:rsidRPr="00C83045" w:rsidRDefault="00F80E99" w:rsidP="00D4304B">
      <w:pPr>
        <w:widowControl w:val="0"/>
        <w:tabs>
          <w:tab w:val="left" w:pos="9072"/>
        </w:tabs>
        <w:ind w:left="0" w:firstLine="0"/>
        <w:rPr>
          <w:color w:val="000000"/>
          <w:szCs w:val="22"/>
        </w:rPr>
      </w:pPr>
      <w:r w:rsidRPr="00C83045">
        <w:rPr>
          <w:b/>
          <w:color w:val="000000"/>
          <w:szCs w:val="22"/>
        </w:rPr>
        <w:t xml:space="preserve">Ihneď povedzte svojmu lekárovi, </w:t>
      </w:r>
      <w:r w:rsidRPr="00C83045">
        <w:rPr>
          <w:color w:val="000000"/>
          <w:szCs w:val="22"/>
        </w:rPr>
        <w:t>ak sa vám</w:t>
      </w:r>
      <w:r w:rsidRPr="00C83045">
        <w:rPr>
          <w:b/>
          <w:color w:val="000000"/>
          <w:szCs w:val="22"/>
        </w:rPr>
        <w:t xml:space="preserve"> počas liečby Glivecom </w:t>
      </w:r>
      <w:r w:rsidRPr="00C83045">
        <w:rPr>
          <w:color w:val="000000"/>
          <w:szCs w:val="22"/>
        </w:rPr>
        <w:t>veľmi rýchlo zvýši telesná hmotnosť. Glivec môže spôsobiť, že telo zadržiava vodu (závažné zadržiavanie tekutiny).</w:t>
      </w:r>
    </w:p>
    <w:p w14:paraId="32368BAC" w14:textId="77777777" w:rsidR="00F80E99" w:rsidRPr="00C83045" w:rsidRDefault="00F80E99" w:rsidP="00D4304B">
      <w:pPr>
        <w:widowControl w:val="0"/>
        <w:tabs>
          <w:tab w:val="left" w:pos="9072"/>
        </w:tabs>
        <w:rPr>
          <w:color w:val="000000"/>
          <w:szCs w:val="22"/>
        </w:rPr>
      </w:pPr>
    </w:p>
    <w:p w14:paraId="32368BAD" w14:textId="77777777" w:rsidR="00F80E99" w:rsidRPr="00C83045" w:rsidRDefault="00F80E99" w:rsidP="00D4304B">
      <w:pPr>
        <w:widowControl w:val="0"/>
        <w:tabs>
          <w:tab w:val="left" w:pos="9072"/>
        </w:tabs>
        <w:ind w:left="0" w:firstLine="0"/>
        <w:rPr>
          <w:color w:val="000000"/>
          <w:szCs w:val="22"/>
        </w:rPr>
      </w:pPr>
      <w:r w:rsidRPr="00C83045">
        <w:rPr>
          <w:color w:val="000000"/>
          <w:szCs w:val="22"/>
        </w:rPr>
        <w:t>Počas užívania Glivecu si lekár bude pravidelne overovať, či liek účinkuje. Pravidelne vám budú kontrolovať aj krv a telesnú hmotnosť.</w:t>
      </w:r>
    </w:p>
    <w:p w14:paraId="32368BAE" w14:textId="77777777" w:rsidR="00F80E99" w:rsidRPr="00C83045" w:rsidRDefault="00F80E99" w:rsidP="00D4304B">
      <w:pPr>
        <w:widowControl w:val="0"/>
        <w:tabs>
          <w:tab w:val="left" w:pos="9072"/>
        </w:tabs>
        <w:ind w:left="0" w:firstLine="0"/>
        <w:rPr>
          <w:color w:val="000000"/>
          <w:szCs w:val="22"/>
        </w:rPr>
      </w:pPr>
    </w:p>
    <w:p w14:paraId="32368BAF" w14:textId="77777777" w:rsidR="00F80E99" w:rsidRPr="00C83045" w:rsidRDefault="00F80E99" w:rsidP="00D4304B">
      <w:pPr>
        <w:keepNext/>
        <w:widowControl w:val="0"/>
        <w:ind w:left="0" w:firstLine="0"/>
        <w:rPr>
          <w:color w:val="000000"/>
          <w:szCs w:val="22"/>
        </w:rPr>
      </w:pPr>
      <w:r w:rsidRPr="00C83045">
        <w:rPr>
          <w:b/>
          <w:noProof/>
        </w:rPr>
        <w:t>Deti a dospievajúci</w:t>
      </w:r>
    </w:p>
    <w:p w14:paraId="32368BB0" w14:textId="77777777" w:rsidR="00471032" w:rsidRPr="00C83045" w:rsidRDefault="00471032" w:rsidP="00D4304B">
      <w:pPr>
        <w:widowControl w:val="0"/>
        <w:ind w:left="0" w:firstLine="0"/>
        <w:rPr>
          <w:color w:val="000000"/>
          <w:szCs w:val="22"/>
        </w:rPr>
      </w:pPr>
      <w:r w:rsidRPr="00C83045">
        <w:rPr>
          <w:color w:val="000000"/>
          <w:szCs w:val="22"/>
        </w:rPr>
        <w:t xml:space="preserve">Glivecom sa lieči aj CML u detí. </w:t>
      </w:r>
      <w:r w:rsidRPr="00C83045">
        <w:rPr>
          <w:noProof/>
          <w:color w:val="000000"/>
          <w:szCs w:val="22"/>
        </w:rPr>
        <w:t xml:space="preserve">Nie sú žiadne skúsenosti s použitím u detí s CML mladších ako 2-ročných. </w:t>
      </w:r>
      <w:r w:rsidRPr="00C83045">
        <w:rPr>
          <w:color w:val="000000"/>
          <w:szCs w:val="22"/>
        </w:rPr>
        <w:t>Skúsenosti s použitím u detí s Ph-pozitívnou </w:t>
      </w:r>
      <w:smartTag w:uri="urn:schemas-microsoft-com:office:smarttags" w:element="stockticker">
        <w:r w:rsidRPr="00C83045">
          <w:rPr>
            <w:color w:val="000000"/>
            <w:szCs w:val="22"/>
          </w:rPr>
          <w:t>ALL</w:t>
        </w:r>
      </w:smartTag>
      <w:r w:rsidRPr="00C83045">
        <w:rPr>
          <w:color w:val="000000"/>
          <w:szCs w:val="22"/>
        </w:rPr>
        <w:t xml:space="preserve"> sú obmedzené a skúsenosti s použitím u detí s </w:t>
      </w:r>
      <w:smartTag w:uri="urn:schemas-microsoft-com:office:smarttags" w:element="stockticker">
        <w:r w:rsidRPr="00C83045">
          <w:rPr>
            <w:color w:val="000000"/>
            <w:szCs w:val="22"/>
          </w:rPr>
          <w:t>MDS</w:t>
        </w:r>
      </w:smartTag>
      <w:r w:rsidRPr="00C83045">
        <w:rPr>
          <w:color w:val="000000"/>
          <w:szCs w:val="22"/>
        </w:rPr>
        <w:t>/MPD, DFSP, GIST a H</w:t>
      </w:r>
      <w:smartTag w:uri="urn:schemas-microsoft-com:office:smarttags" w:element="PersonName">
        <w:r w:rsidRPr="00C83045">
          <w:rPr>
            <w:color w:val="000000"/>
            <w:szCs w:val="22"/>
          </w:rPr>
          <w:t>ES</w:t>
        </w:r>
      </w:smartTag>
      <w:r w:rsidRPr="00C83045">
        <w:rPr>
          <w:color w:val="000000"/>
          <w:szCs w:val="22"/>
        </w:rPr>
        <w:t>/CEL sú veľmi obmedzené.</w:t>
      </w:r>
    </w:p>
    <w:p w14:paraId="32368BB1" w14:textId="77777777" w:rsidR="00F80E99" w:rsidRPr="00C83045" w:rsidRDefault="00F80E99" w:rsidP="00D4304B">
      <w:pPr>
        <w:widowControl w:val="0"/>
        <w:ind w:left="0" w:firstLine="0"/>
        <w:rPr>
          <w:color w:val="000000"/>
          <w:szCs w:val="22"/>
        </w:rPr>
      </w:pPr>
    </w:p>
    <w:p w14:paraId="32368BB2" w14:textId="77777777" w:rsidR="00F80E99" w:rsidRPr="00C83045" w:rsidRDefault="00F80E99" w:rsidP="00D4304B">
      <w:pPr>
        <w:widowControl w:val="0"/>
        <w:ind w:left="0" w:firstLine="0"/>
        <w:rPr>
          <w:noProof/>
          <w:color w:val="000000"/>
          <w:szCs w:val="22"/>
        </w:rPr>
      </w:pPr>
      <w:r w:rsidRPr="00C83045">
        <w:rPr>
          <w:color w:val="000000"/>
          <w:szCs w:val="22"/>
        </w:rPr>
        <w:t>Niektoré deti a dospievajúci užívajúci Glivec môžu rásť pomalšie, ako je normálne. Lekár bude kontrolovať ich rast počas pravidelných návštev.</w:t>
      </w:r>
    </w:p>
    <w:p w14:paraId="32368BB3" w14:textId="77777777" w:rsidR="00F80E99" w:rsidRPr="00C83045" w:rsidRDefault="00F80E99" w:rsidP="00D4304B">
      <w:pPr>
        <w:widowControl w:val="0"/>
        <w:tabs>
          <w:tab w:val="left" w:pos="9072"/>
        </w:tabs>
        <w:ind w:left="0" w:firstLine="0"/>
        <w:rPr>
          <w:color w:val="000000"/>
          <w:szCs w:val="22"/>
        </w:rPr>
      </w:pPr>
    </w:p>
    <w:p w14:paraId="32368BB4" w14:textId="77777777" w:rsidR="00F80E99" w:rsidRPr="00C83045" w:rsidRDefault="00F80E99" w:rsidP="00D4304B">
      <w:pPr>
        <w:keepNext/>
        <w:widowControl w:val="0"/>
        <w:numPr>
          <w:ilvl w:val="12"/>
          <w:numId w:val="0"/>
        </w:numPr>
        <w:ind w:right="-2"/>
        <w:rPr>
          <w:b/>
          <w:noProof/>
        </w:rPr>
      </w:pPr>
      <w:r w:rsidRPr="00C83045">
        <w:rPr>
          <w:b/>
          <w:noProof/>
        </w:rPr>
        <w:t>Iné lieky a Glivec</w:t>
      </w:r>
    </w:p>
    <w:p w14:paraId="32368BB5" w14:textId="77777777" w:rsidR="00F80E99" w:rsidRPr="00C83045" w:rsidRDefault="002E1867" w:rsidP="00D4304B">
      <w:pPr>
        <w:widowControl w:val="0"/>
        <w:numPr>
          <w:ilvl w:val="12"/>
          <w:numId w:val="0"/>
        </w:numPr>
        <w:ind w:right="-2"/>
        <w:rPr>
          <w:color w:val="000000"/>
          <w:szCs w:val="22"/>
        </w:rPr>
      </w:pPr>
      <w:r w:rsidRPr="00C83045">
        <w:rPr>
          <w:color w:val="000000"/>
          <w:szCs w:val="22"/>
        </w:rPr>
        <w:t xml:space="preserve">Ak teraz užívate, alebo ste v poslednom čase užívali, </w:t>
      </w:r>
      <w:r w:rsidRPr="00C83045">
        <w:rPr>
          <w:noProof/>
        </w:rPr>
        <w:t>či práve budete užívať</w:t>
      </w:r>
      <w:r w:rsidRPr="00C83045">
        <w:rPr>
          <w:b/>
          <w:i/>
          <w:noProof/>
        </w:rPr>
        <w:t xml:space="preserve"> </w:t>
      </w:r>
      <w:r w:rsidRPr="00C83045">
        <w:rPr>
          <w:noProof/>
        </w:rPr>
        <w:t>ďalšie lieky</w:t>
      </w:r>
      <w:r w:rsidR="00F80E99" w:rsidRPr="00C83045">
        <w:rPr>
          <w:noProof/>
        </w:rPr>
        <w:t>,</w:t>
      </w:r>
      <w:r w:rsidR="00F80E99" w:rsidRPr="00C83045">
        <w:rPr>
          <w:color w:val="000000"/>
          <w:szCs w:val="22"/>
        </w:rPr>
        <w:t xml:space="preserve"> vrátane liekov, ktorých výdaj nie je viazaný na lekársky predpis (napr. paracetamol) a liekov z liečivých rastlín </w:t>
      </w:r>
      <w:r w:rsidR="00F80E99" w:rsidRPr="00C83045">
        <w:rPr>
          <w:color w:val="000000"/>
          <w:szCs w:val="22"/>
        </w:rPr>
        <w:lastRenderedPageBreak/>
        <w:t xml:space="preserve">(napr. ľubovník bodkovaný), </w:t>
      </w:r>
      <w:r w:rsidR="00F80E99" w:rsidRPr="00C83045">
        <w:rPr>
          <w:noProof/>
        </w:rPr>
        <w:t>povedzte to</w:t>
      </w:r>
      <w:r w:rsidR="00F80E99" w:rsidRPr="00C83045">
        <w:rPr>
          <w:color w:val="000000"/>
          <w:szCs w:val="22"/>
        </w:rPr>
        <w:t xml:space="preserve"> svojmu lekárovi alebo lekárnikovi. Určité lieky môžu ovplyvniť účinok Glivecu, keď sa užívajú súčasne. Môžu zvýšiť alebo znížiť účinok Glivecu, čo má za následok buď zvýšenie vedľajších účinkov, alebo zníženie účinnosti Glivecu. Glivec môže rovnako ovplyvniť niektoré iné lieky.</w:t>
      </w:r>
    </w:p>
    <w:p w14:paraId="32368BB6" w14:textId="77777777" w:rsidR="00A368A1" w:rsidRPr="00C83045" w:rsidRDefault="00A368A1" w:rsidP="00D4304B">
      <w:pPr>
        <w:widowControl w:val="0"/>
        <w:numPr>
          <w:ilvl w:val="12"/>
          <w:numId w:val="0"/>
        </w:numPr>
        <w:ind w:right="-2"/>
        <w:rPr>
          <w:color w:val="000000"/>
          <w:szCs w:val="22"/>
        </w:rPr>
      </w:pPr>
    </w:p>
    <w:p w14:paraId="32368BB7" w14:textId="77777777" w:rsidR="00A368A1" w:rsidRPr="00C83045" w:rsidRDefault="00A368A1" w:rsidP="00D4304B">
      <w:pPr>
        <w:widowControl w:val="0"/>
        <w:numPr>
          <w:ilvl w:val="12"/>
          <w:numId w:val="0"/>
        </w:numPr>
        <w:ind w:right="-2"/>
        <w:rPr>
          <w:color w:val="000000"/>
          <w:szCs w:val="22"/>
        </w:rPr>
      </w:pPr>
      <w:r w:rsidRPr="00C83045">
        <w:rPr>
          <w:color w:val="000000"/>
          <w:szCs w:val="22"/>
        </w:rPr>
        <w:t>Ak užívate lieky, ktoré bránia vzniku krvných zrazenín, povedzte o tom svojmu lekárovi.</w:t>
      </w:r>
    </w:p>
    <w:p w14:paraId="32368BB8" w14:textId="77777777" w:rsidR="00F80E99" w:rsidRPr="00C83045" w:rsidRDefault="00F80E99" w:rsidP="00D4304B">
      <w:pPr>
        <w:widowControl w:val="0"/>
        <w:tabs>
          <w:tab w:val="left" w:pos="9072"/>
        </w:tabs>
        <w:ind w:left="0" w:firstLine="0"/>
        <w:rPr>
          <w:color w:val="000000"/>
          <w:szCs w:val="22"/>
        </w:rPr>
      </w:pPr>
    </w:p>
    <w:p w14:paraId="32368BB9" w14:textId="77777777" w:rsidR="00F80E99" w:rsidRPr="00C83045" w:rsidRDefault="00F80E99" w:rsidP="00D4304B">
      <w:pPr>
        <w:keepNext/>
        <w:widowControl w:val="0"/>
        <w:numPr>
          <w:ilvl w:val="12"/>
          <w:numId w:val="0"/>
        </w:numPr>
        <w:ind w:right="-2"/>
        <w:outlineLvl w:val="0"/>
        <w:rPr>
          <w:b/>
          <w:color w:val="000000"/>
          <w:szCs w:val="22"/>
        </w:rPr>
      </w:pPr>
      <w:r w:rsidRPr="00C83045">
        <w:rPr>
          <w:b/>
          <w:color w:val="000000"/>
          <w:szCs w:val="22"/>
        </w:rPr>
        <w:t>Tehotenstvo, dojčenie a plodnosť</w:t>
      </w:r>
    </w:p>
    <w:p w14:paraId="32368BBA" w14:textId="77777777" w:rsidR="00F80E99" w:rsidRPr="00C83045" w:rsidRDefault="00F80E99" w:rsidP="00D4304B">
      <w:pPr>
        <w:widowControl w:val="0"/>
        <w:numPr>
          <w:ilvl w:val="0"/>
          <w:numId w:val="16"/>
        </w:numPr>
        <w:tabs>
          <w:tab w:val="left" w:pos="9072"/>
        </w:tabs>
        <w:rPr>
          <w:color w:val="000000"/>
          <w:szCs w:val="22"/>
        </w:rPr>
      </w:pPr>
      <w:r w:rsidRPr="00C83045">
        <w:rPr>
          <w:noProof/>
        </w:rPr>
        <w:t xml:space="preserve">Ak ste tehotná alebo dojčíte, ak si myslíte, že ste tehotná alebo ak plánujete otehotnieť, poraďte sa so svojím lekárom predtým, </w:t>
      </w:r>
      <w:r w:rsidR="005A09EB">
        <w:rPr>
          <w:noProof/>
        </w:rPr>
        <w:t>ako</w:t>
      </w:r>
      <w:r w:rsidRPr="00C83045">
        <w:rPr>
          <w:noProof/>
        </w:rPr>
        <w:t xml:space="preserve"> začnete užívať tento liek.</w:t>
      </w:r>
    </w:p>
    <w:p w14:paraId="32368BBB" w14:textId="77777777" w:rsidR="00F80E99" w:rsidRPr="00C83045" w:rsidRDefault="00F80E99" w:rsidP="00D4304B">
      <w:pPr>
        <w:widowControl w:val="0"/>
        <w:numPr>
          <w:ilvl w:val="0"/>
          <w:numId w:val="16"/>
        </w:numPr>
        <w:tabs>
          <w:tab w:val="left" w:pos="9072"/>
        </w:tabs>
        <w:rPr>
          <w:color w:val="000000"/>
          <w:szCs w:val="22"/>
        </w:rPr>
      </w:pPr>
      <w:r w:rsidRPr="00C83045">
        <w:rPr>
          <w:color w:val="000000"/>
          <w:szCs w:val="22"/>
        </w:rPr>
        <w:t>Glivec sa neodporúča užívať počas tehotenstva, ak to nie jednoznačne potrebné, pretože to môže poškodiť vaše dieťa. Lekár sa s vami porozpráva o možných rizikách užívania Glivecu v tehotenstve.</w:t>
      </w:r>
    </w:p>
    <w:p w14:paraId="32368BBC" w14:textId="77777777" w:rsidR="00F80E99" w:rsidRPr="00C83045" w:rsidRDefault="00F80E99" w:rsidP="00D4304B">
      <w:pPr>
        <w:widowControl w:val="0"/>
        <w:numPr>
          <w:ilvl w:val="0"/>
          <w:numId w:val="17"/>
        </w:numPr>
        <w:tabs>
          <w:tab w:val="left" w:pos="9072"/>
        </w:tabs>
        <w:rPr>
          <w:color w:val="000000"/>
          <w:szCs w:val="22"/>
        </w:rPr>
      </w:pPr>
      <w:r w:rsidRPr="00C83045">
        <w:rPr>
          <w:color w:val="000000"/>
          <w:szCs w:val="22"/>
        </w:rPr>
        <w:t xml:space="preserve">Ženy, ktoré môžu otehotnieť, majú počas liečby </w:t>
      </w:r>
      <w:r w:rsidR="00BC130B">
        <w:rPr>
          <w:color w:val="000000"/>
          <w:szCs w:val="22"/>
        </w:rPr>
        <w:t>a najmenej 15</w:t>
      </w:r>
      <w:r w:rsidR="004A2C12">
        <w:rPr>
          <w:color w:val="000000"/>
          <w:szCs w:val="22"/>
        </w:rPr>
        <w:t> </w:t>
      </w:r>
      <w:r w:rsidR="00BC130B">
        <w:rPr>
          <w:color w:val="000000"/>
          <w:szCs w:val="22"/>
        </w:rPr>
        <w:t xml:space="preserve">dní po ukončení liečby </w:t>
      </w:r>
      <w:r w:rsidRPr="00C83045">
        <w:rPr>
          <w:color w:val="000000"/>
          <w:szCs w:val="22"/>
        </w:rPr>
        <w:t>používať účinnú antikoncepciu.</w:t>
      </w:r>
    </w:p>
    <w:p w14:paraId="32368BBD" w14:textId="77777777" w:rsidR="00F80E99" w:rsidRPr="00C83045" w:rsidRDefault="00F80E99" w:rsidP="00D4304B">
      <w:pPr>
        <w:widowControl w:val="0"/>
        <w:numPr>
          <w:ilvl w:val="0"/>
          <w:numId w:val="17"/>
        </w:numPr>
        <w:tabs>
          <w:tab w:val="left" w:pos="9072"/>
        </w:tabs>
        <w:rPr>
          <w:color w:val="000000"/>
          <w:szCs w:val="22"/>
        </w:rPr>
      </w:pPr>
      <w:r w:rsidRPr="00C83045">
        <w:rPr>
          <w:color w:val="000000"/>
          <w:szCs w:val="22"/>
        </w:rPr>
        <w:t xml:space="preserve">Počas liečby </w:t>
      </w:r>
      <w:r w:rsidR="00BC130B">
        <w:rPr>
          <w:color w:val="000000"/>
          <w:szCs w:val="22"/>
        </w:rPr>
        <w:t>a najmenej 15</w:t>
      </w:r>
      <w:r w:rsidR="004A2C12">
        <w:rPr>
          <w:color w:val="000000"/>
          <w:szCs w:val="22"/>
        </w:rPr>
        <w:t> </w:t>
      </w:r>
      <w:r w:rsidR="00BC130B">
        <w:rPr>
          <w:color w:val="000000"/>
          <w:szCs w:val="22"/>
        </w:rPr>
        <w:t xml:space="preserve">dní po ukončení liečby </w:t>
      </w:r>
      <w:r w:rsidRPr="00C83045">
        <w:rPr>
          <w:color w:val="000000"/>
          <w:szCs w:val="22"/>
        </w:rPr>
        <w:t>Glivecom nedojčite</w:t>
      </w:r>
      <w:r w:rsidR="00BC130B">
        <w:rPr>
          <w:color w:val="000000"/>
          <w:szCs w:val="22"/>
        </w:rPr>
        <w:t>, pretože to môže poškodiť vaše dieťa</w:t>
      </w:r>
      <w:r w:rsidRPr="00C83045">
        <w:rPr>
          <w:color w:val="000000"/>
          <w:szCs w:val="22"/>
        </w:rPr>
        <w:t>.</w:t>
      </w:r>
    </w:p>
    <w:p w14:paraId="32368BBE" w14:textId="77777777" w:rsidR="00F80E99" w:rsidRPr="00C83045" w:rsidRDefault="00F80E99" w:rsidP="00D4304B">
      <w:pPr>
        <w:widowControl w:val="0"/>
        <w:numPr>
          <w:ilvl w:val="0"/>
          <w:numId w:val="17"/>
        </w:numPr>
        <w:tabs>
          <w:tab w:val="left" w:pos="9072"/>
        </w:tabs>
        <w:rPr>
          <w:color w:val="000000"/>
          <w:szCs w:val="22"/>
        </w:rPr>
      </w:pPr>
      <w:r w:rsidRPr="00C83045">
        <w:rPr>
          <w:color w:val="000000"/>
          <w:szCs w:val="22"/>
        </w:rPr>
        <w:t>Pacientom, ktorých znepokojuje ich plodnosť počas užívania Glivecu, sa odporúča, aby sa poradili so svojím lekárom.</w:t>
      </w:r>
    </w:p>
    <w:p w14:paraId="32368BBF" w14:textId="77777777" w:rsidR="00F80E99" w:rsidRPr="00C83045" w:rsidRDefault="00F80E99" w:rsidP="00D4304B">
      <w:pPr>
        <w:widowControl w:val="0"/>
        <w:tabs>
          <w:tab w:val="left" w:pos="9072"/>
        </w:tabs>
        <w:ind w:left="0" w:firstLine="0"/>
        <w:rPr>
          <w:color w:val="000000"/>
          <w:szCs w:val="22"/>
        </w:rPr>
      </w:pPr>
    </w:p>
    <w:p w14:paraId="32368BC0" w14:textId="77777777" w:rsidR="00F80E99" w:rsidRPr="00C83045" w:rsidRDefault="00F80E99" w:rsidP="00D4304B">
      <w:pPr>
        <w:keepNext/>
        <w:widowControl w:val="0"/>
        <w:tabs>
          <w:tab w:val="left" w:pos="9072"/>
        </w:tabs>
        <w:ind w:left="0" w:firstLine="0"/>
        <w:rPr>
          <w:b/>
          <w:color w:val="000000"/>
          <w:szCs w:val="22"/>
        </w:rPr>
      </w:pPr>
      <w:r w:rsidRPr="00C83045">
        <w:rPr>
          <w:b/>
          <w:color w:val="000000"/>
          <w:szCs w:val="22"/>
        </w:rPr>
        <w:t>Vedenie vozidiel a obsluha strojov</w:t>
      </w:r>
    </w:p>
    <w:p w14:paraId="32368BC1" w14:textId="77777777" w:rsidR="00F80E99" w:rsidRPr="00C83045" w:rsidRDefault="00F80E99" w:rsidP="00D4304B">
      <w:pPr>
        <w:widowControl w:val="0"/>
        <w:tabs>
          <w:tab w:val="left" w:pos="9072"/>
        </w:tabs>
        <w:ind w:left="0" w:firstLine="0"/>
        <w:rPr>
          <w:color w:val="000000"/>
          <w:szCs w:val="22"/>
        </w:rPr>
      </w:pPr>
      <w:r w:rsidRPr="00C83045">
        <w:rPr>
          <w:color w:val="000000"/>
          <w:szCs w:val="22"/>
        </w:rPr>
        <w:t>Počas užívania tohto lieku môžete pocítiť závraty alebo ospalosť alebo mať neostré videnie. Ak sa to stane, neveďte vozidlo a nepoužívajte žiadne nástroje alebo neobsluhujte stroje, kým sa nebudete opäť cítiť dobre.</w:t>
      </w:r>
    </w:p>
    <w:p w14:paraId="32368BC2" w14:textId="77777777" w:rsidR="00F80E99" w:rsidRPr="00C83045" w:rsidRDefault="00F80E99" w:rsidP="00D4304B">
      <w:pPr>
        <w:widowControl w:val="0"/>
        <w:tabs>
          <w:tab w:val="left" w:pos="9072"/>
        </w:tabs>
        <w:ind w:left="0" w:firstLine="0"/>
        <w:rPr>
          <w:color w:val="000000"/>
          <w:szCs w:val="22"/>
        </w:rPr>
      </w:pPr>
    </w:p>
    <w:p w14:paraId="32368BC3" w14:textId="77777777" w:rsidR="00F80E99" w:rsidRPr="00C83045" w:rsidRDefault="00F80E99" w:rsidP="00D4304B">
      <w:pPr>
        <w:pStyle w:val="BodyText2"/>
        <w:widowControl w:val="0"/>
        <w:spacing w:after="0" w:line="240" w:lineRule="auto"/>
        <w:ind w:left="0" w:firstLine="0"/>
        <w:rPr>
          <w:color w:val="000000"/>
          <w:szCs w:val="22"/>
        </w:rPr>
      </w:pPr>
    </w:p>
    <w:p w14:paraId="32368BC4" w14:textId="77777777" w:rsidR="00F72C2E" w:rsidRPr="00C83045" w:rsidRDefault="00F72C2E" w:rsidP="00D4304B">
      <w:pPr>
        <w:keepNext/>
        <w:widowControl w:val="0"/>
        <w:rPr>
          <w:b/>
          <w:color w:val="000000"/>
          <w:szCs w:val="22"/>
        </w:rPr>
      </w:pPr>
      <w:r w:rsidRPr="00C83045">
        <w:rPr>
          <w:b/>
          <w:color w:val="000000"/>
          <w:szCs w:val="22"/>
        </w:rPr>
        <w:t>3.</w:t>
      </w:r>
      <w:r w:rsidRPr="00C83045">
        <w:rPr>
          <w:b/>
          <w:color w:val="000000"/>
          <w:szCs w:val="22"/>
        </w:rPr>
        <w:tab/>
      </w:r>
      <w:r w:rsidR="00475A55" w:rsidRPr="00C83045">
        <w:rPr>
          <w:b/>
          <w:noProof/>
        </w:rPr>
        <w:t>Ako užívať Glivec</w:t>
      </w:r>
    </w:p>
    <w:p w14:paraId="32368BC5" w14:textId="77777777" w:rsidR="00F72C2E" w:rsidRPr="00C83045" w:rsidRDefault="00F72C2E" w:rsidP="00D4304B">
      <w:pPr>
        <w:keepNext/>
        <w:widowControl w:val="0"/>
        <w:tabs>
          <w:tab w:val="left" w:pos="9072"/>
        </w:tabs>
        <w:rPr>
          <w:color w:val="000000"/>
          <w:szCs w:val="22"/>
        </w:rPr>
      </w:pPr>
    </w:p>
    <w:p w14:paraId="32368BC6" w14:textId="77777777" w:rsidR="00F72C2E" w:rsidRPr="00C83045" w:rsidRDefault="00F72C2E" w:rsidP="00D4304B">
      <w:pPr>
        <w:widowControl w:val="0"/>
        <w:tabs>
          <w:tab w:val="left" w:pos="9072"/>
        </w:tabs>
        <w:ind w:left="0" w:firstLine="0"/>
        <w:rPr>
          <w:bCs/>
          <w:color w:val="000000"/>
          <w:szCs w:val="22"/>
        </w:rPr>
      </w:pPr>
      <w:r w:rsidRPr="00C83045">
        <w:rPr>
          <w:bCs/>
          <w:color w:val="000000"/>
          <w:szCs w:val="22"/>
        </w:rPr>
        <w:t xml:space="preserve">Váš lekár </w:t>
      </w:r>
      <w:r w:rsidR="00475A55" w:rsidRPr="00C83045">
        <w:rPr>
          <w:bCs/>
          <w:color w:val="000000"/>
          <w:szCs w:val="22"/>
        </w:rPr>
        <w:t>v</w:t>
      </w:r>
      <w:r w:rsidRPr="00C83045">
        <w:rPr>
          <w:bCs/>
          <w:color w:val="000000"/>
          <w:szCs w:val="22"/>
        </w:rPr>
        <w:t xml:space="preserve">ám predpísal Glivec, pretože trpíte závažným ochorením. Glivec </w:t>
      </w:r>
      <w:r w:rsidR="00475A55" w:rsidRPr="00C83045">
        <w:rPr>
          <w:bCs/>
          <w:color w:val="000000"/>
          <w:szCs w:val="22"/>
        </w:rPr>
        <w:t>v</w:t>
      </w:r>
      <w:r w:rsidRPr="00C83045">
        <w:rPr>
          <w:bCs/>
          <w:color w:val="000000"/>
          <w:szCs w:val="22"/>
        </w:rPr>
        <w:t>ám môže pomôcť bojovať proti tomuto ochoreniu.</w:t>
      </w:r>
    </w:p>
    <w:p w14:paraId="32368BC7" w14:textId="77777777" w:rsidR="00F72C2E" w:rsidRPr="00C83045" w:rsidRDefault="00F72C2E" w:rsidP="00D4304B">
      <w:pPr>
        <w:widowControl w:val="0"/>
        <w:tabs>
          <w:tab w:val="left" w:pos="9072"/>
        </w:tabs>
        <w:ind w:left="0" w:firstLine="0"/>
        <w:rPr>
          <w:bCs/>
          <w:color w:val="000000"/>
          <w:szCs w:val="22"/>
        </w:rPr>
      </w:pPr>
    </w:p>
    <w:p w14:paraId="32368BC8" w14:textId="77777777" w:rsidR="00F72C2E" w:rsidRPr="00C83045" w:rsidRDefault="00F72C2E" w:rsidP="00D4304B">
      <w:pPr>
        <w:widowControl w:val="0"/>
        <w:tabs>
          <w:tab w:val="left" w:pos="9072"/>
        </w:tabs>
        <w:ind w:left="0" w:firstLine="0"/>
        <w:rPr>
          <w:bCs/>
          <w:color w:val="000000"/>
          <w:szCs w:val="22"/>
        </w:rPr>
      </w:pPr>
      <w:r w:rsidRPr="00C83045">
        <w:rPr>
          <w:bCs/>
          <w:color w:val="000000"/>
          <w:szCs w:val="22"/>
        </w:rPr>
        <w:t xml:space="preserve">Vždy však užívajte </w:t>
      </w:r>
      <w:r w:rsidR="00475A55" w:rsidRPr="00C83045">
        <w:rPr>
          <w:bCs/>
          <w:color w:val="000000"/>
          <w:szCs w:val="22"/>
        </w:rPr>
        <w:t>tento liek</w:t>
      </w:r>
      <w:r w:rsidRPr="00C83045">
        <w:rPr>
          <w:bCs/>
          <w:color w:val="000000"/>
          <w:szCs w:val="22"/>
        </w:rPr>
        <w:t xml:space="preserve"> presne tak, ako </w:t>
      </w:r>
      <w:r w:rsidR="00475A55" w:rsidRPr="00C83045">
        <w:rPr>
          <w:bCs/>
          <w:color w:val="000000"/>
          <w:szCs w:val="22"/>
        </w:rPr>
        <w:t>v</w:t>
      </w:r>
      <w:r w:rsidRPr="00C83045">
        <w:rPr>
          <w:bCs/>
          <w:color w:val="000000"/>
          <w:szCs w:val="22"/>
        </w:rPr>
        <w:t xml:space="preserve">ám povedal </w:t>
      </w:r>
      <w:r w:rsidR="00475A55" w:rsidRPr="00C83045">
        <w:rPr>
          <w:bCs/>
          <w:color w:val="000000"/>
          <w:szCs w:val="22"/>
        </w:rPr>
        <w:t>v</w:t>
      </w:r>
      <w:r w:rsidRPr="00C83045">
        <w:rPr>
          <w:bCs/>
          <w:color w:val="000000"/>
          <w:szCs w:val="22"/>
        </w:rPr>
        <w:t>áš lekár</w:t>
      </w:r>
      <w:r w:rsidR="00475A55" w:rsidRPr="00C83045">
        <w:rPr>
          <w:noProof/>
        </w:rPr>
        <w:t xml:space="preserve"> alebo lekárnik</w:t>
      </w:r>
      <w:r w:rsidRPr="00C83045">
        <w:rPr>
          <w:bCs/>
          <w:color w:val="000000"/>
          <w:szCs w:val="22"/>
        </w:rPr>
        <w:t xml:space="preserve">. Je dôležité, aby ste to robili tak dlho, ako </w:t>
      </w:r>
      <w:r w:rsidR="00475A55" w:rsidRPr="00C83045">
        <w:rPr>
          <w:bCs/>
          <w:color w:val="000000"/>
          <w:szCs w:val="22"/>
        </w:rPr>
        <w:t>v</w:t>
      </w:r>
      <w:r w:rsidRPr="00C83045">
        <w:rPr>
          <w:bCs/>
          <w:color w:val="000000"/>
          <w:szCs w:val="22"/>
        </w:rPr>
        <w:t>ám lekár</w:t>
      </w:r>
      <w:r w:rsidR="00475A55" w:rsidRPr="00C83045">
        <w:rPr>
          <w:noProof/>
        </w:rPr>
        <w:t xml:space="preserve"> alebo lekárnik</w:t>
      </w:r>
      <w:r w:rsidRPr="00C83045">
        <w:rPr>
          <w:bCs/>
          <w:color w:val="000000"/>
          <w:szCs w:val="22"/>
        </w:rPr>
        <w:t xml:space="preserve"> povie. Ak si nie ste niečím istý, overte si to u svojho lekára alebo lekárnika.</w:t>
      </w:r>
    </w:p>
    <w:p w14:paraId="32368BC9" w14:textId="77777777" w:rsidR="00F72C2E" w:rsidRPr="00C83045" w:rsidRDefault="00F72C2E" w:rsidP="00D4304B">
      <w:pPr>
        <w:widowControl w:val="0"/>
        <w:tabs>
          <w:tab w:val="left" w:pos="9072"/>
        </w:tabs>
        <w:ind w:left="0" w:firstLine="0"/>
        <w:rPr>
          <w:bCs/>
          <w:color w:val="000000"/>
          <w:szCs w:val="22"/>
        </w:rPr>
      </w:pPr>
    </w:p>
    <w:p w14:paraId="32368BCA" w14:textId="77777777" w:rsidR="00F72C2E" w:rsidRPr="00C83045" w:rsidRDefault="00F72C2E" w:rsidP="00D4304B">
      <w:pPr>
        <w:widowControl w:val="0"/>
        <w:tabs>
          <w:tab w:val="left" w:pos="9072"/>
        </w:tabs>
        <w:ind w:left="0" w:firstLine="0"/>
        <w:rPr>
          <w:color w:val="000000"/>
          <w:szCs w:val="22"/>
        </w:rPr>
      </w:pPr>
      <w:r w:rsidRPr="00C83045">
        <w:rPr>
          <w:bCs/>
          <w:color w:val="000000"/>
          <w:szCs w:val="22"/>
        </w:rPr>
        <w:t xml:space="preserve">Neprestaňte užívať Glivec, kým </w:t>
      </w:r>
      <w:r w:rsidR="00475A55" w:rsidRPr="00C83045">
        <w:rPr>
          <w:bCs/>
          <w:color w:val="000000"/>
          <w:szCs w:val="22"/>
        </w:rPr>
        <w:t>v</w:t>
      </w:r>
      <w:r w:rsidRPr="00C83045">
        <w:rPr>
          <w:bCs/>
          <w:color w:val="000000"/>
          <w:szCs w:val="22"/>
        </w:rPr>
        <w:t xml:space="preserve">ám to neodporučí </w:t>
      </w:r>
      <w:r w:rsidR="00475A55" w:rsidRPr="00C83045">
        <w:rPr>
          <w:bCs/>
          <w:color w:val="000000"/>
          <w:szCs w:val="22"/>
        </w:rPr>
        <w:t>v</w:t>
      </w:r>
      <w:r w:rsidRPr="00C83045">
        <w:rPr>
          <w:bCs/>
          <w:color w:val="000000"/>
          <w:szCs w:val="22"/>
        </w:rPr>
        <w:t xml:space="preserve">áš lekár. Ak tento liek už nemôžete užívať tak, ako </w:t>
      </w:r>
      <w:r w:rsidR="00475A55" w:rsidRPr="00C83045">
        <w:rPr>
          <w:bCs/>
          <w:color w:val="000000"/>
          <w:szCs w:val="22"/>
        </w:rPr>
        <w:t>v</w:t>
      </w:r>
      <w:r w:rsidRPr="00C83045">
        <w:rPr>
          <w:bCs/>
          <w:color w:val="000000"/>
          <w:szCs w:val="22"/>
        </w:rPr>
        <w:t>ám to predpísal lekár, alebo máte pocit, že ho už nepotrebujete, ihneď sa spojte so svojím lekárom.</w:t>
      </w:r>
    </w:p>
    <w:p w14:paraId="32368BCB" w14:textId="77777777" w:rsidR="00F72C2E" w:rsidRPr="00C83045" w:rsidRDefault="00F72C2E" w:rsidP="00D4304B">
      <w:pPr>
        <w:widowControl w:val="0"/>
        <w:tabs>
          <w:tab w:val="left" w:pos="9072"/>
        </w:tabs>
        <w:rPr>
          <w:color w:val="000000"/>
          <w:szCs w:val="22"/>
        </w:rPr>
      </w:pPr>
    </w:p>
    <w:p w14:paraId="32368BCC" w14:textId="77777777" w:rsidR="00F72C2E" w:rsidRPr="00C83045" w:rsidRDefault="00F72C2E" w:rsidP="00D4304B">
      <w:pPr>
        <w:keepNext/>
        <w:widowControl w:val="0"/>
        <w:tabs>
          <w:tab w:val="left" w:pos="9072"/>
        </w:tabs>
        <w:rPr>
          <w:b/>
          <w:color w:val="000000"/>
          <w:szCs w:val="22"/>
        </w:rPr>
      </w:pPr>
      <w:r w:rsidRPr="00C83045">
        <w:rPr>
          <w:b/>
          <w:color w:val="000000"/>
          <w:szCs w:val="22"/>
        </w:rPr>
        <w:t>Koľko Glivecu užiť</w:t>
      </w:r>
    </w:p>
    <w:p w14:paraId="32368BCD" w14:textId="77777777" w:rsidR="00F72C2E" w:rsidRPr="00C83045" w:rsidRDefault="00F72C2E" w:rsidP="00D4304B">
      <w:pPr>
        <w:keepNext/>
        <w:widowControl w:val="0"/>
        <w:tabs>
          <w:tab w:val="left" w:pos="9072"/>
        </w:tabs>
        <w:rPr>
          <w:color w:val="000000"/>
          <w:szCs w:val="22"/>
        </w:rPr>
      </w:pPr>
    </w:p>
    <w:p w14:paraId="32368BCE" w14:textId="77777777" w:rsidR="00F72C2E" w:rsidRPr="00C83045" w:rsidRDefault="00F72C2E" w:rsidP="00D4304B">
      <w:pPr>
        <w:keepNext/>
        <w:widowControl w:val="0"/>
        <w:tabs>
          <w:tab w:val="left" w:pos="9072"/>
        </w:tabs>
        <w:rPr>
          <w:b/>
          <w:color w:val="000000"/>
          <w:szCs w:val="22"/>
        </w:rPr>
      </w:pPr>
      <w:r w:rsidRPr="00C83045">
        <w:rPr>
          <w:b/>
          <w:color w:val="000000"/>
          <w:szCs w:val="22"/>
        </w:rPr>
        <w:t>Použitie u dospelých</w:t>
      </w:r>
    </w:p>
    <w:p w14:paraId="32368BCF" w14:textId="77777777" w:rsidR="00F72C2E" w:rsidRPr="00C83045" w:rsidRDefault="00F72C2E" w:rsidP="00D4304B">
      <w:pPr>
        <w:widowControl w:val="0"/>
        <w:tabs>
          <w:tab w:val="left" w:pos="9072"/>
        </w:tabs>
        <w:ind w:left="0" w:firstLine="0"/>
        <w:rPr>
          <w:color w:val="000000"/>
          <w:szCs w:val="22"/>
        </w:rPr>
      </w:pPr>
      <w:r w:rsidRPr="00C83045">
        <w:rPr>
          <w:color w:val="000000"/>
          <w:szCs w:val="22"/>
        </w:rPr>
        <w:t xml:space="preserve">Lekár </w:t>
      </w:r>
      <w:r w:rsidR="00475A55" w:rsidRPr="00C83045">
        <w:rPr>
          <w:color w:val="000000"/>
          <w:szCs w:val="22"/>
        </w:rPr>
        <w:t>v</w:t>
      </w:r>
      <w:r w:rsidRPr="00C83045">
        <w:rPr>
          <w:color w:val="000000"/>
          <w:szCs w:val="22"/>
        </w:rPr>
        <w:t>ám presne povie, koľko kapsúl Glivecu máte užiť.</w:t>
      </w:r>
    </w:p>
    <w:p w14:paraId="32368BD0" w14:textId="77777777" w:rsidR="00F72C2E" w:rsidRPr="00C83045" w:rsidRDefault="00F72C2E" w:rsidP="00D4304B">
      <w:pPr>
        <w:widowControl w:val="0"/>
        <w:tabs>
          <w:tab w:val="left" w:pos="9072"/>
        </w:tabs>
        <w:ind w:left="0" w:firstLine="0"/>
        <w:rPr>
          <w:color w:val="000000"/>
          <w:szCs w:val="22"/>
        </w:rPr>
      </w:pPr>
    </w:p>
    <w:p w14:paraId="32368BD1" w14:textId="77777777" w:rsidR="00F72C2E" w:rsidRPr="00C83045" w:rsidRDefault="00F72C2E" w:rsidP="00D4304B">
      <w:pPr>
        <w:pStyle w:val="Text"/>
        <w:keepNext/>
        <w:widowControl w:val="0"/>
        <w:numPr>
          <w:ilvl w:val="1"/>
          <w:numId w:val="18"/>
        </w:numPr>
        <w:tabs>
          <w:tab w:val="clear" w:pos="1440"/>
          <w:tab w:val="num" w:pos="567"/>
        </w:tabs>
        <w:spacing w:before="0"/>
        <w:ind w:left="567" w:hanging="567"/>
        <w:jc w:val="left"/>
        <w:rPr>
          <w:color w:val="000000"/>
          <w:sz w:val="22"/>
          <w:szCs w:val="22"/>
          <w:lang w:val="sk-SK"/>
        </w:rPr>
      </w:pPr>
      <w:r w:rsidRPr="00C83045">
        <w:rPr>
          <w:b/>
          <w:bCs/>
          <w:color w:val="000000"/>
          <w:sz w:val="22"/>
          <w:szCs w:val="22"/>
          <w:lang w:val="sk-SK"/>
        </w:rPr>
        <w:t>Pri liečbe CML:</w:t>
      </w:r>
    </w:p>
    <w:p w14:paraId="32368BD2" w14:textId="77777777" w:rsidR="00F72C2E" w:rsidRPr="00C83045" w:rsidRDefault="00F72C2E" w:rsidP="00D4304B">
      <w:pPr>
        <w:keepNext/>
        <w:widowControl w:val="0"/>
        <w:tabs>
          <w:tab w:val="left" w:pos="9072"/>
        </w:tabs>
        <w:ind w:firstLine="0"/>
        <w:rPr>
          <w:color w:val="000000"/>
          <w:szCs w:val="22"/>
        </w:rPr>
      </w:pPr>
      <w:r w:rsidRPr="00C83045">
        <w:rPr>
          <w:color w:val="000000"/>
          <w:szCs w:val="22"/>
        </w:rPr>
        <w:t xml:space="preserve">V závislosti od </w:t>
      </w:r>
      <w:r w:rsidR="00475A55" w:rsidRPr="00C83045">
        <w:rPr>
          <w:color w:val="000000"/>
          <w:szCs w:val="22"/>
        </w:rPr>
        <w:t>v</w:t>
      </w:r>
      <w:r w:rsidRPr="00C83045">
        <w:rPr>
          <w:color w:val="000000"/>
          <w:szCs w:val="22"/>
        </w:rPr>
        <w:t>ášho stavu je zvyčajná začiatočná dávka buď 400 mg, alebo 600 mg:</w:t>
      </w:r>
    </w:p>
    <w:p w14:paraId="32368BD3" w14:textId="77777777" w:rsidR="00F72C2E" w:rsidRPr="00C83045" w:rsidRDefault="00F72C2E" w:rsidP="00D4304B">
      <w:pPr>
        <w:keepNext/>
        <w:widowControl w:val="0"/>
        <w:numPr>
          <w:ilvl w:val="0"/>
          <w:numId w:val="10"/>
        </w:numPr>
        <w:tabs>
          <w:tab w:val="left" w:pos="9072"/>
        </w:tabs>
        <w:rPr>
          <w:color w:val="000000"/>
          <w:szCs w:val="22"/>
        </w:rPr>
      </w:pPr>
      <w:r w:rsidRPr="00C83045">
        <w:rPr>
          <w:b/>
          <w:color w:val="000000"/>
          <w:szCs w:val="22"/>
        </w:rPr>
        <w:t>400 mg</w:t>
      </w:r>
      <w:r w:rsidRPr="00C83045">
        <w:rPr>
          <w:color w:val="000000"/>
          <w:szCs w:val="22"/>
        </w:rPr>
        <w:t xml:space="preserve"> sa užíva ako 4 kapsuly </w:t>
      </w:r>
      <w:r w:rsidRPr="00C83045">
        <w:rPr>
          <w:b/>
          <w:color w:val="000000"/>
          <w:szCs w:val="22"/>
        </w:rPr>
        <w:t>raz</w:t>
      </w:r>
      <w:r w:rsidRPr="00C83045">
        <w:rPr>
          <w:color w:val="000000"/>
          <w:szCs w:val="22"/>
        </w:rPr>
        <w:t xml:space="preserve"> denne.</w:t>
      </w:r>
    </w:p>
    <w:p w14:paraId="32368BD4" w14:textId="77777777" w:rsidR="00F72C2E" w:rsidRPr="00C83045" w:rsidRDefault="00F72C2E" w:rsidP="00D4304B">
      <w:pPr>
        <w:widowControl w:val="0"/>
        <w:numPr>
          <w:ilvl w:val="0"/>
          <w:numId w:val="10"/>
        </w:numPr>
        <w:tabs>
          <w:tab w:val="left" w:pos="9072"/>
        </w:tabs>
        <w:rPr>
          <w:color w:val="000000"/>
          <w:szCs w:val="22"/>
        </w:rPr>
      </w:pPr>
      <w:r w:rsidRPr="00C83045">
        <w:rPr>
          <w:b/>
          <w:color w:val="000000"/>
          <w:szCs w:val="22"/>
        </w:rPr>
        <w:t>600 mg</w:t>
      </w:r>
      <w:r w:rsidRPr="00C83045">
        <w:rPr>
          <w:color w:val="000000"/>
          <w:szCs w:val="22"/>
        </w:rPr>
        <w:t xml:space="preserve"> sa užíva ako 6 kapsúl </w:t>
      </w:r>
      <w:r w:rsidRPr="00C83045">
        <w:rPr>
          <w:b/>
          <w:color w:val="000000"/>
          <w:szCs w:val="22"/>
        </w:rPr>
        <w:t>raz</w:t>
      </w:r>
      <w:r w:rsidRPr="00C83045">
        <w:rPr>
          <w:color w:val="000000"/>
          <w:szCs w:val="22"/>
        </w:rPr>
        <w:t xml:space="preserve"> denne.</w:t>
      </w:r>
    </w:p>
    <w:p w14:paraId="32368BD5" w14:textId="77777777" w:rsidR="00F72C2E" w:rsidRPr="00C83045" w:rsidRDefault="00F72C2E" w:rsidP="00D4304B">
      <w:pPr>
        <w:widowControl w:val="0"/>
        <w:tabs>
          <w:tab w:val="left" w:pos="9072"/>
        </w:tabs>
        <w:ind w:left="0" w:firstLine="0"/>
        <w:rPr>
          <w:color w:val="000000"/>
          <w:szCs w:val="22"/>
        </w:rPr>
      </w:pPr>
    </w:p>
    <w:p w14:paraId="32368BD6" w14:textId="77777777" w:rsidR="00F72C2E" w:rsidRPr="00C83045" w:rsidRDefault="00F72C2E" w:rsidP="00D4304B">
      <w:pPr>
        <w:pStyle w:val="Text"/>
        <w:keepNext/>
        <w:widowControl w:val="0"/>
        <w:numPr>
          <w:ilvl w:val="1"/>
          <w:numId w:val="18"/>
        </w:numPr>
        <w:tabs>
          <w:tab w:val="clear" w:pos="1440"/>
          <w:tab w:val="num" w:pos="567"/>
        </w:tabs>
        <w:spacing w:before="0"/>
        <w:ind w:left="567" w:hanging="567"/>
        <w:jc w:val="left"/>
        <w:rPr>
          <w:color w:val="000000"/>
          <w:sz w:val="22"/>
          <w:szCs w:val="22"/>
          <w:lang w:val="sk-SK"/>
        </w:rPr>
      </w:pPr>
      <w:r w:rsidRPr="00C83045">
        <w:rPr>
          <w:b/>
          <w:bCs/>
          <w:color w:val="000000"/>
          <w:sz w:val="22"/>
          <w:szCs w:val="22"/>
          <w:lang w:val="sk-SK"/>
        </w:rPr>
        <w:t>Pri liečbe GIST:</w:t>
      </w:r>
    </w:p>
    <w:p w14:paraId="32368BD7" w14:textId="77777777" w:rsidR="00F72C2E" w:rsidRPr="00C83045" w:rsidRDefault="00F72C2E" w:rsidP="00D4304B">
      <w:pPr>
        <w:widowControl w:val="0"/>
        <w:tabs>
          <w:tab w:val="left" w:pos="9072"/>
        </w:tabs>
        <w:ind w:firstLine="0"/>
        <w:rPr>
          <w:color w:val="000000"/>
          <w:szCs w:val="22"/>
        </w:rPr>
      </w:pPr>
      <w:r w:rsidRPr="00C83045">
        <w:rPr>
          <w:color w:val="000000"/>
          <w:szCs w:val="22"/>
        </w:rPr>
        <w:t xml:space="preserve">Začiatočná dávka je 400 mg a užíva sa ako 4 kapsuly </w:t>
      </w:r>
      <w:r w:rsidRPr="00C83045">
        <w:rPr>
          <w:b/>
          <w:color w:val="000000"/>
          <w:szCs w:val="22"/>
        </w:rPr>
        <w:t>raz</w:t>
      </w:r>
      <w:r w:rsidRPr="00C83045">
        <w:rPr>
          <w:color w:val="000000"/>
          <w:szCs w:val="22"/>
        </w:rPr>
        <w:t xml:space="preserve"> denne.</w:t>
      </w:r>
    </w:p>
    <w:p w14:paraId="32368BD8" w14:textId="77777777" w:rsidR="00F72C2E" w:rsidRPr="00C83045" w:rsidRDefault="00F72C2E" w:rsidP="00D4304B">
      <w:pPr>
        <w:widowControl w:val="0"/>
        <w:tabs>
          <w:tab w:val="left" w:pos="9072"/>
        </w:tabs>
        <w:ind w:left="0" w:firstLine="0"/>
        <w:rPr>
          <w:color w:val="000000"/>
          <w:szCs w:val="22"/>
        </w:rPr>
      </w:pPr>
    </w:p>
    <w:p w14:paraId="32368BD9" w14:textId="77777777" w:rsidR="00F72C2E" w:rsidRPr="00C83045" w:rsidRDefault="00F72C2E" w:rsidP="00D4304B">
      <w:pPr>
        <w:widowControl w:val="0"/>
        <w:tabs>
          <w:tab w:val="left" w:pos="9072"/>
        </w:tabs>
        <w:ind w:left="0" w:firstLine="0"/>
        <w:rPr>
          <w:color w:val="000000"/>
          <w:szCs w:val="22"/>
        </w:rPr>
      </w:pPr>
      <w:r w:rsidRPr="00C83045">
        <w:rPr>
          <w:color w:val="000000"/>
          <w:szCs w:val="22"/>
        </w:rPr>
        <w:t xml:space="preserve">Pri CML a GIST </w:t>
      </w:r>
      <w:r w:rsidR="00475A55" w:rsidRPr="00C83045">
        <w:rPr>
          <w:color w:val="000000"/>
          <w:szCs w:val="22"/>
        </w:rPr>
        <w:t>v</w:t>
      </w:r>
      <w:r w:rsidRPr="00C83045">
        <w:rPr>
          <w:color w:val="000000"/>
          <w:szCs w:val="22"/>
        </w:rPr>
        <w:t xml:space="preserve">ám lekár môže predpísať vyššiu alebo nižšiu dávku v závislosti od </w:t>
      </w:r>
      <w:r w:rsidR="00475A55" w:rsidRPr="00C83045">
        <w:rPr>
          <w:color w:val="000000"/>
          <w:szCs w:val="22"/>
        </w:rPr>
        <w:t>v</w:t>
      </w:r>
      <w:r w:rsidRPr="00C83045">
        <w:rPr>
          <w:color w:val="000000"/>
          <w:szCs w:val="22"/>
        </w:rPr>
        <w:t xml:space="preserve">ašej odpovede na liečbu. Ak je </w:t>
      </w:r>
      <w:r w:rsidR="00475A55" w:rsidRPr="00C83045">
        <w:rPr>
          <w:color w:val="000000"/>
          <w:szCs w:val="22"/>
        </w:rPr>
        <w:t>v</w:t>
      </w:r>
      <w:r w:rsidRPr="00C83045">
        <w:rPr>
          <w:color w:val="000000"/>
          <w:szCs w:val="22"/>
        </w:rPr>
        <w:t>aša denná dávka 800 mg (8 kapsúl), užívajte 4 kapsuly ráno a 4 kapsuly večer.</w:t>
      </w:r>
    </w:p>
    <w:p w14:paraId="32368BDA" w14:textId="77777777" w:rsidR="00F72C2E" w:rsidRPr="00C83045" w:rsidRDefault="00F72C2E" w:rsidP="00D4304B">
      <w:pPr>
        <w:widowControl w:val="0"/>
        <w:tabs>
          <w:tab w:val="left" w:pos="9072"/>
        </w:tabs>
        <w:ind w:left="0" w:firstLine="0"/>
        <w:rPr>
          <w:color w:val="000000"/>
          <w:szCs w:val="22"/>
        </w:rPr>
      </w:pPr>
    </w:p>
    <w:p w14:paraId="32368BDB" w14:textId="77777777" w:rsidR="00F72C2E" w:rsidRPr="00C83045" w:rsidRDefault="00F72C2E" w:rsidP="00D4304B">
      <w:pPr>
        <w:pStyle w:val="Text"/>
        <w:keepNext/>
        <w:widowControl w:val="0"/>
        <w:numPr>
          <w:ilvl w:val="1"/>
          <w:numId w:val="18"/>
        </w:numPr>
        <w:tabs>
          <w:tab w:val="clear" w:pos="1440"/>
          <w:tab w:val="num" w:pos="567"/>
        </w:tabs>
        <w:spacing w:before="0"/>
        <w:ind w:left="567" w:hanging="567"/>
        <w:jc w:val="left"/>
        <w:rPr>
          <w:b/>
          <w:color w:val="000000"/>
          <w:sz w:val="22"/>
          <w:szCs w:val="22"/>
          <w:lang w:val="sk-SK"/>
        </w:rPr>
      </w:pPr>
      <w:r w:rsidRPr="00C83045">
        <w:rPr>
          <w:b/>
          <w:bCs/>
          <w:color w:val="000000"/>
          <w:sz w:val="22"/>
          <w:szCs w:val="22"/>
          <w:lang w:val="sk-SK"/>
        </w:rPr>
        <w:t xml:space="preserve">Pri liečbe </w:t>
      </w:r>
      <w:r w:rsidRPr="00C83045">
        <w:rPr>
          <w:b/>
          <w:color w:val="000000"/>
          <w:sz w:val="22"/>
          <w:szCs w:val="22"/>
          <w:lang w:val="sk-SK"/>
        </w:rPr>
        <w:t xml:space="preserve">Ph-pozitívnej </w:t>
      </w:r>
      <w:smartTag w:uri="urn:schemas-microsoft-com:office:smarttags" w:element="stockticker">
        <w:r w:rsidRPr="00C83045">
          <w:rPr>
            <w:b/>
            <w:color w:val="000000"/>
            <w:sz w:val="22"/>
            <w:szCs w:val="22"/>
            <w:lang w:val="sk-SK"/>
          </w:rPr>
          <w:t>ALL</w:t>
        </w:r>
      </w:smartTag>
      <w:r w:rsidRPr="00C83045">
        <w:rPr>
          <w:b/>
          <w:bCs/>
          <w:color w:val="000000"/>
          <w:sz w:val="22"/>
          <w:szCs w:val="22"/>
          <w:lang w:val="sk-SK"/>
        </w:rPr>
        <w:t>:</w:t>
      </w:r>
    </w:p>
    <w:p w14:paraId="32368BDC" w14:textId="77777777" w:rsidR="00F72C2E" w:rsidRPr="00C83045" w:rsidRDefault="00F72C2E" w:rsidP="00D4304B">
      <w:pPr>
        <w:widowControl w:val="0"/>
        <w:tabs>
          <w:tab w:val="left" w:pos="9072"/>
        </w:tabs>
        <w:ind w:firstLine="0"/>
        <w:rPr>
          <w:color w:val="000000"/>
          <w:szCs w:val="22"/>
        </w:rPr>
      </w:pPr>
      <w:r w:rsidRPr="00C83045">
        <w:rPr>
          <w:color w:val="000000"/>
          <w:szCs w:val="22"/>
        </w:rPr>
        <w:t xml:space="preserve">Začiatočná dávka je 600 mg a užíva sa ako 6 kapsúl </w:t>
      </w:r>
      <w:r w:rsidRPr="00C83045">
        <w:rPr>
          <w:b/>
          <w:color w:val="000000"/>
          <w:szCs w:val="22"/>
        </w:rPr>
        <w:t>raz</w:t>
      </w:r>
      <w:r w:rsidRPr="00C83045">
        <w:rPr>
          <w:color w:val="000000"/>
          <w:szCs w:val="22"/>
        </w:rPr>
        <w:t xml:space="preserve"> denne.</w:t>
      </w:r>
    </w:p>
    <w:p w14:paraId="32368BDD" w14:textId="77777777" w:rsidR="00F72C2E" w:rsidRPr="00C83045" w:rsidRDefault="00F72C2E" w:rsidP="00D4304B">
      <w:pPr>
        <w:widowControl w:val="0"/>
        <w:tabs>
          <w:tab w:val="left" w:pos="9072"/>
        </w:tabs>
        <w:ind w:left="0" w:firstLine="0"/>
        <w:rPr>
          <w:color w:val="000000"/>
          <w:szCs w:val="22"/>
        </w:rPr>
      </w:pPr>
    </w:p>
    <w:p w14:paraId="32368BDE" w14:textId="77777777" w:rsidR="00F72C2E" w:rsidRPr="00C83045" w:rsidRDefault="00F72C2E" w:rsidP="00D4304B">
      <w:pPr>
        <w:pStyle w:val="Text"/>
        <w:keepNext/>
        <w:widowControl w:val="0"/>
        <w:numPr>
          <w:ilvl w:val="1"/>
          <w:numId w:val="18"/>
        </w:numPr>
        <w:tabs>
          <w:tab w:val="clear" w:pos="1440"/>
          <w:tab w:val="num" w:pos="567"/>
        </w:tabs>
        <w:spacing w:before="0"/>
        <w:ind w:left="567" w:hanging="567"/>
        <w:jc w:val="left"/>
        <w:rPr>
          <w:b/>
          <w:color w:val="000000"/>
          <w:sz w:val="22"/>
          <w:szCs w:val="22"/>
          <w:lang w:val="sk-SK"/>
        </w:rPr>
      </w:pPr>
      <w:r w:rsidRPr="00C83045">
        <w:rPr>
          <w:b/>
          <w:bCs/>
          <w:color w:val="000000"/>
          <w:sz w:val="22"/>
          <w:szCs w:val="22"/>
          <w:lang w:val="sk-SK"/>
        </w:rPr>
        <w:t xml:space="preserve">Pri liečbe </w:t>
      </w:r>
      <w:smartTag w:uri="urn:schemas-microsoft-com:office:smarttags" w:element="stockticker">
        <w:r w:rsidRPr="00C83045">
          <w:rPr>
            <w:b/>
            <w:color w:val="000000"/>
            <w:sz w:val="22"/>
            <w:szCs w:val="22"/>
            <w:lang w:val="sk-SK"/>
          </w:rPr>
          <w:t>MDS</w:t>
        </w:r>
      </w:smartTag>
      <w:r w:rsidRPr="00C83045">
        <w:rPr>
          <w:b/>
          <w:color w:val="000000"/>
          <w:sz w:val="22"/>
          <w:szCs w:val="22"/>
          <w:lang w:val="sk-SK"/>
        </w:rPr>
        <w:t>/MPD</w:t>
      </w:r>
      <w:r w:rsidRPr="00C83045">
        <w:rPr>
          <w:b/>
          <w:bCs/>
          <w:color w:val="000000"/>
          <w:sz w:val="22"/>
          <w:szCs w:val="22"/>
          <w:lang w:val="sk-SK"/>
        </w:rPr>
        <w:t>:</w:t>
      </w:r>
    </w:p>
    <w:p w14:paraId="32368BDF" w14:textId="77777777" w:rsidR="00F72C2E" w:rsidRPr="00C83045" w:rsidRDefault="00F72C2E" w:rsidP="00D4304B">
      <w:pPr>
        <w:widowControl w:val="0"/>
        <w:tabs>
          <w:tab w:val="left" w:pos="9072"/>
        </w:tabs>
        <w:ind w:firstLine="0"/>
        <w:rPr>
          <w:color w:val="000000"/>
          <w:szCs w:val="22"/>
        </w:rPr>
      </w:pPr>
      <w:r w:rsidRPr="00C83045">
        <w:rPr>
          <w:color w:val="000000"/>
          <w:szCs w:val="22"/>
        </w:rPr>
        <w:t xml:space="preserve">Začiatočná dávka je 400 mg a užíva sa ako 4 kapsuly </w:t>
      </w:r>
      <w:r w:rsidRPr="00C83045">
        <w:rPr>
          <w:b/>
          <w:color w:val="000000"/>
          <w:szCs w:val="22"/>
        </w:rPr>
        <w:t>raz</w:t>
      </w:r>
      <w:r w:rsidRPr="00C83045">
        <w:rPr>
          <w:color w:val="000000"/>
          <w:szCs w:val="22"/>
        </w:rPr>
        <w:t xml:space="preserve"> denne.</w:t>
      </w:r>
    </w:p>
    <w:p w14:paraId="32368BE0" w14:textId="77777777" w:rsidR="00F72C2E" w:rsidRPr="00C83045" w:rsidRDefault="00F72C2E" w:rsidP="00D4304B">
      <w:pPr>
        <w:widowControl w:val="0"/>
        <w:tabs>
          <w:tab w:val="left" w:pos="9072"/>
        </w:tabs>
        <w:ind w:left="0" w:firstLine="0"/>
        <w:rPr>
          <w:color w:val="000000"/>
          <w:szCs w:val="22"/>
        </w:rPr>
      </w:pPr>
    </w:p>
    <w:p w14:paraId="32368BE1" w14:textId="77777777" w:rsidR="00F72C2E" w:rsidRPr="00C83045" w:rsidRDefault="00F72C2E" w:rsidP="00D4304B">
      <w:pPr>
        <w:pStyle w:val="Text"/>
        <w:keepNext/>
        <w:widowControl w:val="0"/>
        <w:numPr>
          <w:ilvl w:val="1"/>
          <w:numId w:val="18"/>
        </w:numPr>
        <w:tabs>
          <w:tab w:val="clear" w:pos="1440"/>
          <w:tab w:val="num" w:pos="567"/>
        </w:tabs>
        <w:spacing w:before="0"/>
        <w:ind w:left="567" w:hanging="567"/>
        <w:jc w:val="left"/>
        <w:rPr>
          <w:b/>
          <w:color w:val="000000"/>
          <w:sz w:val="22"/>
          <w:szCs w:val="22"/>
          <w:lang w:val="sk-SK"/>
        </w:rPr>
      </w:pPr>
      <w:r w:rsidRPr="00C83045">
        <w:rPr>
          <w:b/>
          <w:bCs/>
          <w:color w:val="000000"/>
          <w:sz w:val="22"/>
          <w:szCs w:val="22"/>
          <w:lang w:val="sk-SK"/>
        </w:rPr>
        <w:t xml:space="preserve">Pri liečbe </w:t>
      </w:r>
      <w:r w:rsidRPr="00C83045">
        <w:rPr>
          <w:b/>
          <w:color w:val="000000"/>
          <w:sz w:val="22"/>
          <w:szCs w:val="22"/>
          <w:lang w:val="sk-SK"/>
        </w:rPr>
        <w:t>HES/</w:t>
      </w:r>
      <w:smartTag w:uri="urn:schemas-microsoft-com:office:smarttags" w:element="stockticker">
        <w:r w:rsidRPr="00C83045">
          <w:rPr>
            <w:b/>
            <w:color w:val="000000"/>
            <w:sz w:val="22"/>
            <w:szCs w:val="22"/>
            <w:lang w:val="sk-SK"/>
          </w:rPr>
          <w:t>CEL</w:t>
        </w:r>
      </w:smartTag>
      <w:r w:rsidRPr="00C83045">
        <w:rPr>
          <w:b/>
          <w:bCs/>
          <w:color w:val="000000"/>
          <w:sz w:val="22"/>
          <w:szCs w:val="22"/>
          <w:lang w:val="sk-SK"/>
        </w:rPr>
        <w:t>:</w:t>
      </w:r>
    </w:p>
    <w:p w14:paraId="32368BE2" w14:textId="77777777" w:rsidR="00F72C2E" w:rsidRPr="00C83045" w:rsidRDefault="00F72C2E" w:rsidP="00D4304B">
      <w:pPr>
        <w:widowControl w:val="0"/>
        <w:tabs>
          <w:tab w:val="left" w:pos="9072"/>
        </w:tabs>
        <w:ind w:firstLine="0"/>
        <w:rPr>
          <w:color w:val="000000"/>
          <w:szCs w:val="22"/>
        </w:rPr>
      </w:pPr>
      <w:r w:rsidRPr="00C83045">
        <w:rPr>
          <w:color w:val="000000"/>
          <w:szCs w:val="22"/>
        </w:rPr>
        <w:t xml:space="preserve">Začiatočná dávka je 100 mg a užíva sa ako 1 kapsula </w:t>
      </w:r>
      <w:r w:rsidRPr="00C83045">
        <w:rPr>
          <w:b/>
          <w:color w:val="000000"/>
          <w:szCs w:val="22"/>
        </w:rPr>
        <w:t>raz</w:t>
      </w:r>
      <w:r w:rsidRPr="00C83045">
        <w:rPr>
          <w:color w:val="000000"/>
          <w:szCs w:val="22"/>
        </w:rPr>
        <w:t xml:space="preserve"> denne. Váš lekár môže rozhodnúť o zvýšení dávky na 400 mg, ktoré sa užívajú ako 4 kapsuly </w:t>
      </w:r>
      <w:r w:rsidRPr="00C83045">
        <w:rPr>
          <w:b/>
          <w:color w:val="000000"/>
          <w:szCs w:val="22"/>
        </w:rPr>
        <w:t>raz</w:t>
      </w:r>
      <w:r w:rsidRPr="00C83045">
        <w:rPr>
          <w:color w:val="000000"/>
          <w:szCs w:val="22"/>
        </w:rPr>
        <w:t xml:space="preserve"> denne, v závislosti od </w:t>
      </w:r>
      <w:r w:rsidR="00475A55" w:rsidRPr="00C83045">
        <w:rPr>
          <w:color w:val="000000"/>
          <w:szCs w:val="22"/>
        </w:rPr>
        <w:t>v</w:t>
      </w:r>
      <w:r w:rsidRPr="00C83045">
        <w:rPr>
          <w:color w:val="000000"/>
          <w:szCs w:val="22"/>
        </w:rPr>
        <w:t>ašej odpovede na liečbu.</w:t>
      </w:r>
    </w:p>
    <w:p w14:paraId="32368BE3" w14:textId="77777777" w:rsidR="00F72C2E" w:rsidRPr="00C83045" w:rsidRDefault="00F72C2E" w:rsidP="00D4304B">
      <w:pPr>
        <w:widowControl w:val="0"/>
        <w:tabs>
          <w:tab w:val="left" w:pos="9072"/>
        </w:tabs>
        <w:ind w:left="0" w:firstLine="0"/>
        <w:rPr>
          <w:color w:val="000000"/>
          <w:szCs w:val="22"/>
        </w:rPr>
      </w:pPr>
    </w:p>
    <w:p w14:paraId="32368BE4" w14:textId="77777777" w:rsidR="00F72C2E" w:rsidRPr="00C83045" w:rsidRDefault="00F72C2E" w:rsidP="00D4304B">
      <w:pPr>
        <w:pStyle w:val="Text"/>
        <w:keepNext/>
        <w:widowControl w:val="0"/>
        <w:numPr>
          <w:ilvl w:val="1"/>
          <w:numId w:val="18"/>
        </w:numPr>
        <w:tabs>
          <w:tab w:val="clear" w:pos="1440"/>
          <w:tab w:val="num" w:pos="567"/>
        </w:tabs>
        <w:spacing w:before="0"/>
        <w:ind w:left="567" w:hanging="567"/>
        <w:jc w:val="left"/>
        <w:rPr>
          <w:b/>
          <w:color w:val="000000"/>
          <w:sz w:val="22"/>
          <w:szCs w:val="22"/>
          <w:lang w:val="sk-SK"/>
        </w:rPr>
      </w:pPr>
      <w:r w:rsidRPr="00C83045">
        <w:rPr>
          <w:b/>
          <w:bCs/>
          <w:color w:val="000000"/>
          <w:sz w:val="22"/>
          <w:szCs w:val="22"/>
          <w:lang w:val="sk-SK"/>
        </w:rPr>
        <w:t xml:space="preserve">Pri liečbe </w:t>
      </w:r>
      <w:r w:rsidRPr="00C83045">
        <w:rPr>
          <w:b/>
          <w:color w:val="000000"/>
          <w:sz w:val="22"/>
          <w:szCs w:val="22"/>
          <w:lang w:val="sk-SK"/>
        </w:rPr>
        <w:t>DFSP</w:t>
      </w:r>
      <w:r w:rsidRPr="00C83045">
        <w:rPr>
          <w:b/>
          <w:bCs/>
          <w:color w:val="000000"/>
          <w:sz w:val="22"/>
          <w:szCs w:val="22"/>
          <w:lang w:val="sk-SK"/>
        </w:rPr>
        <w:t>:</w:t>
      </w:r>
    </w:p>
    <w:p w14:paraId="32368BE5" w14:textId="77777777" w:rsidR="00F72C2E" w:rsidRPr="00C83045" w:rsidRDefault="00F72C2E" w:rsidP="00D4304B">
      <w:pPr>
        <w:widowControl w:val="0"/>
        <w:tabs>
          <w:tab w:val="left" w:pos="9072"/>
        </w:tabs>
        <w:ind w:firstLine="0"/>
        <w:rPr>
          <w:color w:val="000000"/>
          <w:szCs w:val="22"/>
        </w:rPr>
      </w:pPr>
      <w:r w:rsidRPr="00C83045">
        <w:rPr>
          <w:color w:val="000000"/>
          <w:szCs w:val="22"/>
        </w:rPr>
        <w:t>Dávka je 800 mg denne (8 kapsúl), ktoré sa užívajú ako 4 kapsuly ráno a 4 kapsuly večer.</w:t>
      </w:r>
    </w:p>
    <w:p w14:paraId="32368BE6" w14:textId="77777777" w:rsidR="00F72C2E" w:rsidRPr="00C83045" w:rsidRDefault="00F72C2E" w:rsidP="00D4304B">
      <w:pPr>
        <w:widowControl w:val="0"/>
        <w:tabs>
          <w:tab w:val="left" w:pos="9072"/>
        </w:tabs>
        <w:ind w:left="0" w:firstLine="0"/>
        <w:rPr>
          <w:color w:val="000000"/>
          <w:szCs w:val="22"/>
        </w:rPr>
      </w:pPr>
    </w:p>
    <w:p w14:paraId="32368BE7" w14:textId="77777777" w:rsidR="00F72C2E" w:rsidRPr="00C83045" w:rsidRDefault="00F72C2E" w:rsidP="00D4304B">
      <w:pPr>
        <w:keepNext/>
        <w:widowControl w:val="0"/>
        <w:tabs>
          <w:tab w:val="left" w:pos="9072"/>
        </w:tabs>
        <w:ind w:left="0" w:firstLine="0"/>
        <w:rPr>
          <w:b/>
          <w:color w:val="000000"/>
          <w:szCs w:val="22"/>
        </w:rPr>
      </w:pPr>
      <w:r w:rsidRPr="00C83045">
        <w:rPr>
          <w:b/>
          <w:color w:val="000000"/>
          <w:szCs w:val="22"/>
        </w:rPr>
        <w:t>Použitie u detí</w:t>
      </w:r>
      <w:r w:rsidR="00475A55" w:rsidRPr="00C83045">
        <w:rPr>
          <w:b/>
          <w:color w:val="000000"/>
          <w:szCs w:val="22"/>
        </w:rPr>
        <w:t xml:space="preserve"> a dospievajúcich</w:t>
      </w:r>
    </w:p>
    <w:p w14:paraId="32368BE8" w14:textId="77777777" w:rsidR="00F72C2E" w:rsidRPr="00C83045" w:rsidRDefault="00F72C2E" w:rsidP="00D4304B">
      <w:pPr>
        <w:widowControl w:val="0"/>
        <w:tabs>
          <w:tab w:val="left" w:pos="9072"/>
        </w:tabs>
        <w:ind w:left="0" w:firstLine="0"/>
        <w:rPr>
          <w:color w:val="000000"/>
          <w:szCs w:val="22"/>
        </w:rPr>
      </w:pPr>
      <w:r w:rsidRPr="00C83045">
        <w:rPr>
          <w:color w:val="000000"/>
          <w:szCs w:val="22"/>
        </w:rPr>
        <w:t xml:space="preserve">Lekár </w:t>
      </w:r>
      <w:r w:rsidR="00475A55" w:rsidRPr="00C83045">
        <w:rPr>
          <w:color w:val="000000"/>
          <w:szCs w:val="22"/>
        </w:rPr>
        <w:t>v</w:t>
      </w:r>
      <w:r w:rsidRPr="00C83045">
        <w:rPr>
          <w:color w:val="000000"/>
          <w:szCs w:val="22"/>
        </w:rPr>
        <w:t xml:space="preserve">ám povie, koľko kapsúl Glivecu máte podať </w:t>
      </w:r>
      <w:r w:rsidR="00475A55" w:rsidRPr="00C83045">
        <w:rPr>
          <w:color w:val="000000"/>
          <w:szCs w:val="22"/>
        </w:rPr>
        <w:t>v</w:t>
      </w:r>
      <w:r w:rsidRPr="00C83045">
        <w:rPr>
          <w:color w:val="000000"/>
          <w:szCs w:val="22"/>
        </w:rPr>
        <w:t xml:space="preserve">ášmu dieťaťu. Množstvo podávaného Glivecu závisí od ochorenia </w:t>
      </w:r>
      <w:r w:rsidR="00475A55" w:rsidRPr="00C83045">
        <w:rPr>
          <w:color w:val="000000"/>
          <w:szCs w:val="22"/>
        </w:rPr>
        <w:t>v</w:t>
      </w:r>
      <w:r w:rsidRPr="00C83045">
        <w:rPr>
          <w:color w:val="000000"/>
          <w:szCs w:val="22"/>
        </w:rPr>
        <w:t>ášho dieťaťa, jeho telesnej hmotnosti a výšky. Celková denná dávka u detí nesmie prekročiť 800 mg</w:t>
      </w:r>
      <w:r w:rsidR="002D3E47" w:rsidRPr="00C83045">
        <w:rPr>
          <w:color w:val="000000"/>
          <w:szCs w:val="22"/>
        </w:rPr>
        <w:t xml:space="preserve"> pri CML a 600 mg pri Ph-pozitívnej ALL</w:t>
      </w:r>
      <w:r w:rsidRPr="00C83045">
        <w:rPr>
          <w:color w:val="000000"/>
          <w:szCs w:val="22"/>
        </w:rPr>
        <w:t xml:space="preserve">. Liek možno podávať </w:t>
      </w:r>
      <w:r w:rsidR="00475A55" w:rsidRPr="00C83045">
        <w:rPr>
          <w:color w:val="000000"/>
          <w:szCs w:val="22"/>
        </w:rPr>
        <w:t>v</w:t>
      </w:r>
      <w:r w:rsidRPr="00C83045">
        <w:rPr>
          <w:color w:val="000000"/>
          <w:szCs w:val="22"/>
        </w:rPr>
        <w:t>ášmu dieťaťu denne buď v jednej dávke, alebo dennú dávku možno rozdeliť na dve podania (polovica ráno a polovica večer).</w:t>
      </w:r>
    </w:p>
    <w:p w14:paraId="32368BE9" w14:textId="77777777" w:rsidR="00F72C2E" w:rsidRPr="00C83045" w:rsidRDefault="00F72C2E" w:rsidP="00D4304B">
      <w:pPr>
        <w:widowControl w:val="0"/>
        <w:tabs>
          <w:tab w:val="left" w:pos="9072"/>
        </w:tabs>
        <w:ind w:left="0" w:firstLine="0"/>
        <w:rPr>
          <w:color w:val="000000"/>
          <w:szCs w:val="22"/>
        </w:rPr>
      </w:pPr>
    </w:p>
    <w:p w14:paraId="32368BEA" w14:textId="77777777" w:rsidR="00F72C2E" w:rsidRPr="00C83045" w:rsidRDefault="00F72C2E" w:rsidP="00D4304B">
      <w:pPr>
        <w:keepNext/>
        <w:widowControl w:val="0"/>
        <w:tabs>
          <w:tab w:val="left" w:pos="9072"/>
        </w:tabs>
        <w:ind w:left="0" w:firstLine="0"/>
        <w:rPr>
          <w:b/>
          <w:color w:val="000000"/>
          <w:szCs w:val="22"/>
        </w:rPr>
      </w:pPr>
      <w:r w:rsidRPr="00C83045">
        <w:rPr>
          <w:b/>
          <w:color w:val="000000"/>
          <w:szCs w:val="22"/>
        </w:rPr>
        <w:t>Kedy a ako užívať Glivec</w:t>
      </w:r>
    </w:p>
    <w:p w14:paraId="32368BEB" w14:textId="77777777" w:rsidR="00F72C2E" w:rsidRPr="00C83045" w:rsidRDefault="00F72C2E" w:rsidP="00D4304B">
      <w:pPr>
        <w:widowControl w:val="0"/>
        <w:numPr>
          <w:ilvl w:val="0"/>
          <w:numId w:val="19"/>
        </w:numPr>
        <w:tabs>
          <w:tab w:val="left" w:pos="9072"/>
        </w:tabs>
        <w:rPr>
          <w:color w:val="000000"/>
          <w:szCs w:val="22"/>
        </w:rPr>
      </w:pPr>
      <w:r w:rsidRPr="00C83045">
        <w:rPr>
          <w:b/>
          <w:color w:val="000000"/>
          <w:szCs w:val="22"/>
        </w:rPr>
        <w:t>Glivec užívajte pri jedle.</w:t>
      </w:r>
      <w:r w:rsidRPr="00C83045">
        <w:rPr>
          <w:color w:val="000000"/>
          <w:szCs w:val="22"/>
        </w:rPr>
        <w:t xml:space="preserve"> Pomôže </w:t>
      </w:r>
      <w:r w:rsidR="00FF761E" w:rsidRPr="00C83045">
        <w:rPr>
          <w:color w:val="000000"/>
          <w:szCs w:val="22"/>
        </w:rPr>
        <w:t>v</w:t>
      </w:r>
      <w:r w:rsidRPr="00C83045">
        <w:rPr>
          <w:color w:val="000000"/>
          <w:szCs w:val="22"/>
        </w:rPr>
        <w:t>ás to ochrániť pred žalúdočnými ťažkosťami počas užívania Glivecu.</w:t>
      </w:r>
    </w:p>
    <w:p w14:paraId="32368BEC" w14:textId="77777777" w:rsidR="00F72C2E" w:rsidRPr="00C83045" w:rsidRDefault="00F72C2E" w:rsidP="00D4304B">
      <w:pPr>
        <w:widowControl w:val="0"/>
        <w:numPr>
          <w:ilvl w:val="0"/>
          <w:numId w:val="19"/>
        </w:numPr>
        <w:tabs>
          <w:tab w:val="left" w:pos="9072"/>
        </w:tabs>
        <w:rPr>
          <w:color w:val="000000"/>
          <w:szCs w:val="22"/>
        </w:rPr>
      </w:pPr>
      <w:r w:rsidRPr="00C83045">
        <w:rPr>
          <w:b/>
          <w:color w:val="000000"/>
          <w:szCs w:val="22"/>
        </w:rPr>
        <w:t>Kapsuly prehĺtajte celé a zapíjajte ich veľkým pohárom vody.</w:t>
      </w:r>
      <w:r w:rsidRPr="00C83045">
        <w:rPr>
          <w:color w:val="000000"/>
          <w:szCs w:val="22"/>
        </w:rPr>
        <w:t xml:space="preserve"> Kapsuly neotvárajte a nedrvte, pokiaľ nemáte ťažkosti s ich prehĺtaním (ako sa to môže stať u detí).</w:t>
      </w:r>
    </w:p>
    <w:p w14:paraId="32368BED" w14:textId="77777777" w:rsidR="00F72C2E" w:rsidRPr="00C83045" w:rsidRDefault="00F72C2E" w:rsidP="00D4304B">
      <w:pPr>
        <w:widowControl w:val="0"/>
        <w:numPr>
          <w:ilvl w:val="0"/>
          <w:numId w:val="19"/>
        </w:numPr>
        <w:tabs>
          <w:tab w:val="left" w:pos="9072"/>
        </w:tabs>
        <w:rPr>
          <w:color w:val="000000"/>
          <w:szCs w:val="22"/>
        </w:rPr>
      </w:pPr>
      <w:r w:rsidRPr="00C83045">
        <w:rPr>
          <w:color w:val="000000"/>
          <w:szCs w:val="22"/>
        </w:rPr>
        <w:t>Ak kapsuly nemôžete prehĺtať, môžete ich otvoriť a nasypať prášok do pohára obyčajnej vody alebo jablkovej šťavy.</w:t>
      </w:r>
    </w:p>
    <w:p w14:paraId="32368BEE" w14:textId="77777777" w:rsidR="00F72C2E" w:rsidRPr="00C83045" w:rsidRDefault="00F72C2E" w:rsidP="00D4304B">
      <w:pPr>
        <w:widowControl w:val="0"/>
        <w:numPr>
          <w:ilvl w:val="0"/>
          <w:numId w:val="19"/>
        </w:numPr>
        <w:tabs>
          <w:tab w:val="left" w:pos="9072"/>
        </w:tabs>
        <w:rPr>
          <w:color w:val="000000"/>
          <w:szCs w:val="22"/>
        </w:rPr>
      </w:pPr>
      <w:r w:rsidRPr="00C83045">
        <w:rPr>
          <w:color w:val="000000"/>
          <w:szCs w:val="22"/>
        </w:rPr>
        <w:t xml:space="preserve">Ak ste tehotná alebo môžete otehotnieť a pokúšate sa otvárať kapsuly, postupujte pri tom opatrne, aby obsah kapsúl neprišiel do styku s </w:t>
      </w:r>
      <w:r w:rsidR="00FF761E" w:rsidRPr="00C83045">
        <w:rPr>
          <w:color w:val="000000"/>
          <w:szCs w:val="22"/>
        </w:rPr>
        <w:t>v</w:t>
      </w:r>
      <w:r w:rsidRPr="00C83045">
        <w:rPr>
          <w:color w:val="000000"/>
          <w:szCs w:val="22"/>
        </w:rPr>
        <w:t>ašou kožou alebo očami a aby ste ho nevdýchli. Ihneď po otvorení kapsúl si umyte ruky.</w:t>
      </w:r>
    </w:p>
    <w:p w14:paraId="32368BEF" w14:textId="77777777" w:rsidR="00F72C2E" w:rsidRPr="00C83045" w:rsidRDefault="00F72C2E" w:rsidP="00D4304B">
      <w:pPr>
        <w:widowControl w:val="0"/>
        <w:tabs>
          <w:tab w:val="left" w:pos="9072"/>
        </w:tabs>
        <w:ind w:left="0" w:firstLine="0"/>
        <w:rPr>
          <w:color w:val="000000"/>
          <w:szCs w:val="22"/>
        </w:rPr>
      </w:pPr>
    </w:p>
    <w:p w14:paraId="32368BF0" w14:textId="77777777" w:rsidR="00F72C2E" w:rsidRPr="00C83045" w:rsidRDefault="00F72C2E" w:rsidP="00D4304B">
      <w:pPr>
        <w:keepNext/>
        <w:widowControl w:val="0"/>
        <w:tabs>
          <w:tab w:val="left" w:pos="9072"/>
        </w:tabs>
        <w:ind w:left="0" w:firstLine="0"/>
        <w:rPr>
          <w:b/>
          <w:color w:val="000000"/>
          <w:szCs w:val="22"/>
        </w:rPr>
      </w:pPr>
      <w:r w:rsidRPr="00C83045">
        <w:rPr>
          <w:b/>
          <w:color w:val="000000"/>
          <w:szCs w:val="22"/>
        </w:rPr>
        <w:t>Ako dlho užívať Glivec</w:t>
      </w:r>
    </w:p>
    <w:p w14:paraId="32368BF1" w14:textId="77777777" w:rsidR="00F72C2E" w:rsidRPr="00C83045" w:rsidRDefault="00F72C2E" w:rsidP="00D4304B">
      <w:pPr>
        <w:widowControl w:val="0"/>
        <w:tabs>
          <w:tab w:val="left" w:pos="9072"/>
        </w:tabs>
        <w:ind w:left="0" w:firstLine="0"/>
        <w:rPr>
          <w:color w:val="000000"/>
          <w:szCs w:val="22"/>
        </w:rPr>
      </w:pPr>
      <w:r w:rsidRPr="00C83045">
        <w:rPr>
          <w:color w:val="000000"/>
          <w:szCs w:val="22"/>
        </w:rPr>
        <w:t xml:space="preserve">Pokračujte v užívaní Glivecu každý deň tak dlho, ako </w:t>
      </w:r>
      <w:r w:rsidR="00FF761E" w:rsidRPr="00C83045">
        <w:rPr>
          <w:color w:val="000000"/>
          <w:szCs w:val="22"/>
        </w:rPr>
        <w:t>v</w:t>
      </w:r>
      <w:r w:rsidRPr="00C83045">
        <w:rPr>
          <w:color w:val="000000"/>
          <w:szCs w:val="22"/>
        </w:rPr>
        <w:t xml:space="preserve">ám to povie </w:t>
      </w:r>
      <w:r w:rsidR="00FF761E" w:rsidRPr="00C83045">
        <w:rPr>
          <w:color w:val="000000"/>
          <w:szCs w:val="22"/>
        </w:rPr>
        <w:t xml:space="preserve">váš </w:t>
      </w:r>
      <w:r w:rsidRPr="00C83045">
        <w:rPr>
          <w:color w:val="000000"/>
          <w:szCs w:val="22"/>
        </w:rPr>
        <w:t>lekár.</w:t>
      </w:r>
    </w:p>
    <w:p w14:paraId="32368BF2" w14:textId="77777777" w:rsidR="00F72C2E" w:rsidRPr="00C83045" w:rsidRDefault="00F72C2E" w:rsidP="00D4304B">
      <w:pPr>
        <w:widowControl w:val="0"/>
        <w:tabs>
          <w:tab w:val="left" w:pos="9072"/>
        </w:tabs>
        <w:ind w:left="0" w:firstLine="0"/>
        <w:rPr>
          <w:color w:val="000000"/>
          <w:szCs w:val="22"/>
        </w:rPr>
      </w:pPr>
    </w:p>
    <w:p w14:paraId="32368BF3" w14:textId="77777777" w:rsidR="00F72C2E" w:rsidRPr="00C83045" w:rsidRDefault="00F72C2E" w:rsidP="00D4304B">
      <w:pPr>
        <w:keepNext/>
        <w:widowControl w:val="0"/>
        <w:tabs>
          <w:tab w:val="left" w:pos="9072"/>
        </w:tabs>
        <w:ind w:left="0" w:firstLine="0"/>
        <w:rPr>
          <w:b/>
          <w:color w:val="000000"/>
          <w:szCs w:val="22"/>
        </w:rPr>
      </w:pPr>
      <w:r w:rsidRPr="00C83045">
        <w:rPr>
          <w:b/>
          <w:color w:val="000000"/>
          <w:szCs w:val="22"/>
        </w:rPr>
        <w:t>Ak užijete viac Glivecu, ako máte</w:t>
      </w:r>
    </w:p>
    <w:p w14:paraId="32368BF4" w14:textId="77777777" w:rsidR="00F72C2E" w:rsidRPr="00C83045" w:rsidRDefault="00F72C2E" w:rsidP="00D4304B">
      <w:pPr>
        <w:widowControl w:val="0"/>
        <w:tabs>
          <w:tab w:val="left" w:pos="9072"/>
        </w:tabs>
        <w:ind w:left="0" w:firstLine="0"/>
        <w:rPr>
          <w:color w:val="000000"/>
          <w:szCs w:val="22"/>
        </w:rPr>
      </w:pPr>
      <w:r w:rsidRPr="00C83045">
        <w:rPr>
          <w:color w:val="000000"/>
          <w:szCs w:val="22"/>
        </w:rPr>
        <w:t xml:space="preserve">Ak ste omylom užili príliš veľa kapsúl, </w:t>
      </w:r>
      <w:r w:rsidRPr="00C83045">
        <w:rPr>
          <w:b/>
          <w:color w:val="000000"/>
          <w:szCs w:val="22"/>
        </w:rPr>
        <w:t>okamžite</w:t>
      </w:r>
      <w:r w:rsidRPr="00C83045">
        <w:rPr>
          <w:color w:val="000000"/>
          <w:szCs w:val="22"/>
        </w:rPr>
        <w:t xml:space="preserve"> o tom povedzte lekárovi. Možno budete potrebovať lekárske ošetrenie. Vezmite si so sebou balenie lieku.</w:t>
      </w:r>
    </w:p>
    <w:p w14:paraId="32368BF5" w14:textId="77777777" w:rsidR="00F72C2E" w:rsidRPr="00C83045" w:rsidRDefault="00F72C2E" w:rsidP="00D4304B">
      <w:pPr>
        <w:widowControl w:val="0"/>
        <w:numPr>
          <w:ilvl w:val="12"/>
          <w:numId w:val="0"/>
        </w:numPr>
        <w:rPr>
          <w:color w:val="000000"/>
          <w:szCs w:val="22"/>
        </w:rPr>
      </w:pPr>
    </w:p>
    <w:p w14:paraId="32368BF6" w14:textId="77777777" w:rsidR="00F72C2E" w:rsidRPr="00C83045" w:rsidRDefault="00F72C2E" w:rsidP="00D4304B">
      <w:pPr>
        <w:keepNext/>
        <w:widowControl w:val="0"/>
        <w:numPr>
          <w:ilvl w:val="12"/>
          <w:numId w:val="0"/>
        </w:numPr>
        <w:ind w:right="-2"/>
        <w:outlineLvl w:val="0"/>
        <w:rPr>
          <w:color w:val="000000"/>
          <w:szCs w:val="22"/>
        </w:rPr>
      </w:pPr>
      <w:r w:rsidRPr="00C83045">
        <w:rPr>
          <w:b/>
          <w:color w:val="000000"/>
          <w:szCs w:val="22"/>
        </w:rPr>
        <w:t>Ak zabudnete užiť Glivec</w:t>
      </w:r>
    </w:p>
    <w:p w14:paraId="32368BF7" w14:textId="77777777" w:rsidR="00F72C2E" w:rsidRPr="00C83045" w:rsidRDefault="00F72C2E" w:rsidP="00D4304B">
      <w:pPr>
        <w:widowControl w:val="0"/>
        <w:numPr>
          <w:ilvl w:val="0"/>
          <w:numId w:val="20"/>
        </w:numPr>
        <w:rPr>
          <w:color w:val="000000"/>
          <w:szCs w:val="22"/>
        </w:rPr>
      </w:pPr>
      <w:r w:rsidRPr="00C83045">
        <w:rPr>
          <w:color w:val="000000"/>
          <w:szCs w:val="22"/>
        </w:rPr>
        <w:t>Ak zabudnete užiť dávku, užite ju hneď, keď si spomeniete. Ak je ale už takmer čas na ďalšiu dávku, vynechajte dávku, na ktorú ste zabudli.</w:t>
      </w:r>
    </w:p>
    <w:p w14:paraId="32368BF8" w14:textId="77777777" w:rsidR="00F72C2E" w:rsidRPr="00C83045" w:rsidRDefault="00F72C2E" w:rsidP="00D4304B">
      <w:pPr>
        <w:widowControl w:val="0"/>
        <w:numPr>
          <w:ilvl w:val="0"/>
          <w:numId w:val="20"/>
        </w:numPr>
        <w:rPr>
          <w:color w:val="000000"/>
          <w:szCs w:val="22"/>
        </w:rPr>
      </w:pPr>
      <w:r w:rsidRPr="00C83045">
        <w:rPr>
          <w:color w:val="000000"/>
          <w:szCs w:val="22"/>
        </w:rPr>
        <w:t>Potom pokračujte vo svojom normálnom rozvrhu užívania.</w:t>
      </w:r>
    </w:p>
    <w:p w14:paraId="32368BF9" w14:textId="77777777" w:rsidR="00F72C2E" w:rsidRPr="00C83045" w:rsidRDefault="00F72C2E" w:rsidP="00D4304B">
      <w:pPr>
        <w:widowControl w:val="0"/>
        <w:numPr>
          <w:ilvl w:val="0"/>
          <w:numId w:val="20"/>
        </w:numPr>
        <w:rPr>
          <w:color w:val="000000"/>
          <w:szCs w:val="22"/>
        </w:rPr>
      </w:pPr>
      <w:r w:rsidRPr="00C83045">
        <w:rPr>
          <w:color w:val="000000"/>
          <w:szCs w:val="22"/>
        </w:rPr>
        <w:t>Neužívajte dvojnásobnú dávku, aby ste nahradili vynechanú dávku.</w:t>
      </w:r>
    </w:p>
    <w:p w14:paraId="32368BFA" w14:textId="77777777" w:rsidR="00F72C2E" w:rsidRPr="00C83045" w:rsidRDefault="00F72C2E" w:rsidP="00D4304B">
      <w:pPr>
        <w:widowControl w:val="0"/>
        <w:numPr>
          <w:ilvl w:val="12"/>
          <w:numId w:val="0"/>
        </w:numPr>
        <w:rPr>
          <w:color w:val="000000"/>
          <w:szCs w:val="22"/>
        </w:rPr>
      </w:pPr>
    </w:p>
    <w:p w14:paraId="32368BFB" w14:textId="77777777" w:rsidR="00F72C2E" w:rsidRPr="00C83045" w:rsidRDefault="00FC49D9" w:rsidP="00D4304B">
      <w:pPr>
        <w:widowControl w:val="0"/>
        <w:numPr>
          <w:ilvl w:val="12"/>
          <w:numId w:val="0"/>
        </w:numPr>
        <w:rPr>
          <w:color w:val="000000"/>
          <w:szCs w:val="22"/>
        </w:rPr>
      </w:pPr>
      <w:r w:rsidRPr="00C83045">
        <w:rPr>
          <w:color w:val="000000"/>
          <w:szCs w:val="22"/>
        </w:rPr>
        <w:t xml:space="preserve">Ak máte </w:t>
      </w:r>
      <w:r w:rsidRPr="00C83045">
        <w:rPr>
          <w:noProof/>
          <w:szCs w:val="22"/>
        </w:rPr>
        <w:t>akékoľvek</w:t>
      </w:r>
      <w:r w:rsidRPr="00C83045">
        <w:rPr>
          <w:color w:val="000000"/>
          <w:szCs w:val="22"/>
        </w:rPr>
        <w:t xml:space="preserve"> </w:t>
      </w:r>
      <w:r w:rsidR="00E61D15" w:rsidRPr="00A72672">
        <w:t>ďalšie</w:t>
      </w:r>
      <w:r w:rsidR="00E61D15" w:rsidRPr="00C83045">
        <w:rPr>
          <w:color w:val="000000"/>
          <w:szCs w:val="22"/>
        </w:rPr>
        <w:t xml:space="preserve"> </w:t>
      </w:r>
      <w:r w:rsidRPr="00C83045">
        <w:rPr>
          <w:color w:val="000000"/>
          <w:szCs w:val="22"/>
        </w:rPr>
        <w:t xml:space="preserve">otázky týkajúce sa použitia tohto lieku, </w:t>
      </w:r>
      <w:r w:rsidRPr="00C83045">
        <w:rPr>
          <w:noProof/>
          <w:color w:val="000000"/>
          <w:szCs w:val="22"/>
        </w:rPr>
        <w:t xml:space="preserve">opýtajte sa </w:t>
      </w:r>
      <w:r w:rsidRPr="00C83045">
        <w:rPr>
          <w:color w:val="000000"/>
          <w:szCs w:val="22"/>
        </w:rPr>
        <w:t xml:space="preserve">svojho lekára, lekárnika alebo </w:t>
      </w:r>
      <w:r w:rsidR="00FF761E" w:rsidRPr="00C83045">
        <w:rPr>
          <w:noProof/>
        </w:rPr>
        <w:t>zdravotnej sestry</w:t>
      </w:r>
      <w:r w:rsidR="00F72C2E" w:rsidRPr="00C83045">
        <w:rPr>
          <w:color w:val="000000"/>
          <w:szCs w:val="22"/>
        </w:rPr>
        <w:t>.</w:t>
      </w:r>
    </w:p>
    <w:p w14:paraId="32368BFC" w14:textId="77777777" w:rsidR="00F72C2E" w:rsidRPr="00C83045" w:rsidRDefault="00F72C2E" w:rsidP="00D4304B">
      <w:pPr>
        <w:widowControl w:val="0"/>
        <w:numPr>
          <w:ilvl w:val="12"/>
          <w:numId w:val="0"/>
        </w:numPr>
        <w:rPr>
          <w:color w:val="000000"/>
          <w:szCs w:val="22"/>
        </w:rPr>
      </w:pPr>
    </w:p>
    <w:p w14:paraId="32368BFD" w14:textId="77777777" w:rsidR="00F72C2E" w:rsidRPr="00C83045" w:rsidRDefault="00F72C2E" w:rsidP="00D4304B">
      <w:pPr>
        <w:widowControl w:val="0"/>
        <w:numPr>
          <w:ilvl w:val="12"/>
          <w:numId w:val="0"/>
        </w:numPr>
        <w:rPr>
          <w:color w:val="000000"/>
          <w:szCs w:val="22"/>
        </w:rPr>
      </w:pPr>
    </w:p>
    <w:p w14:paraId="32368BFE" w14:textId="77777777" w:rsidR="00591A69" w:rsidRPr="00C83045" w:rsidRDefault="00591A69" w:rsidP="00D4304B">
      <w:pPr>
        <w:keepNext/>
        <w:widowControl w:val="0"/>
        <w:ind w:left="600" w:hanging="600"/>
        <w:outlineLvl w:val="0"/>
        <w:rPr>
          <w:b/>
          <w:color w:val="000000"/>
          <w:szCs w:val="22"/>
        </w:rPr>
      </w:pPr>
      <w:r w:rsidRPr="00C83045">
        <w:rPr>
          <w:b/>
          <w:color w:val="000000"/>
          <w:szCs w:val="22"/>
        </w:rPr>
        <w:t>4.</w:t>
      </w:r>
      <w:r w:rsidRPr="00C83045">
        <w:rPr>
          <w:b/>
          <w:color w:val="000000"/>
          <w:szCs w:val="22"/>
        </w:rPr>
        <w:tab/>
      </w:r>
      <w:r w:rsidRPr="00C83045">
        <w:rPr>
          <w:b/>
          <w:noProof/>
        </w:rPr>
        <w:t>Možné vedľajšie účinky</w:t>
      </w:r>
    </w:p>
    <w:p w14:paraId="32368BFF" w14:textId="77777777" w:rsidR="00591A69" w:rsidRPr="00C83045" w:rsidRDefault="00591A69" w:rsidP="00D4304B">
      <w:pPr>
        <w:keepNext/>
        <w:widowControl w:val="0"/>
        <w:ind w:left="0" w:firstLine="0"/>
        <w:outlineLvl w:val="0"/>
        <w:rPr>
          <w:color w:val="000000"/>
          <w:szCs w:val="22"/>
        </w:rPr>
      </w:pPr>
    </w:p>
    <w:p w14:paraId="32368C00" w14:textId="77777777" w:rsidR="00591A69" w:rsidRPr="00C83045" w:rsidRDefault="00591A69" w:rsidP="00D4304B">
      <w:pPr>
        <w:widowControl w:val="0"/>
        <w:tabs>
          <w:tab w:val="left" w:pos="9072"/>
        </w:tabs>
        <w:ind w:left="0" w:firstLine="0"/>
        <w:rPr>
          <w:color w:val="000000"/>
          <w:szCs w:val="22"/>
        </w:rPr>
      </w:pPr>
      <w:r w:rsidRPr="00C83045">
        <w:rPr>
          <w:color w:val="000000"/>
          <w:szCs w:val="22"/>
        </w:rPr>
        <w:t xml:space="preserve">Tak ako všetky lieky, aj </w:t>
      </w:r>
      <w:r w:rsidRPr="00C83045">
        <w:rPr>
          <w:noProof/>
        </w:rPr>
        <w:t>tento liek</w:t>
      </w:r>
      <w:r w:rsidRPr="00C83045">
        <w:rPr>
          <w:color w:val="000000"/>
          <w:szCs w:val="22"/>
        </w:rPr>
        <w:t xml:space="preserve"> môže spôsobovať vedľajšie účinky, hoci sa neprejavia u každého. Zvyčajne bývajú slabé až stredne silné.</w:t>
      </w:r>
    </w:p>
    <w:p w14:paraId="32368C01" w14:textId="77777777" w:rsidR="00591A69" w:rsidRPr="00C83045" w:rsidRDefault="00591A69" w:rsidP="00D4304B">
      <w:pPr>
        <w:widowControl w:val="0"/>
        <w:tabs>
          <w:tab w:val="left" w:pos="9072"/>
        </w:tabs>
        <w:ind w:left="0" w:firstLine="0"/>
        <w:rPr>
          <w:color w:val="000000"/>
          <w:szCs w:val="22"/>
        </w:rPr>
      </w:pPr>
    </w:p>
    <w:p w14:paraId="32368C02" w14:textId="77777777" w:rsidR="00591A69" w:rsidRPr="00C83045" w:rsidRDefault="00591A69" w:rsidP="003E286B">
      <w:pPr>
        <w:keepNext/>
        <w:widowControl w:val="0"/>
        <w:tabs>
          <w:tab w:val="left" w:pos="9072"/>
        </w:tabs>
        <w:ind w:left="0" w:firstLine="0"/>
        <w:rPr>
          <w:b/>
          <w:color w:val="000000"/>
          <w:szCs w:val="22"/>
        </w:rPr>
      </w:pPr>
      <w:r w:rsidRPr="00C83045">
        <w:rPr>
          <w:b/>
          <w:color w:val="000000"/>
          <w:szCs w:val="22"/>
        </w:rPr>
        <w:t>Niektoré vedľajšie účinky môžu byť závažné. Ak sa u vás vyskytne niektorý z nasledujúcich účinkov, okamžite o tom povedzte svojmu lekárovi:</w:t>
      </w:r>
    </w:p>
    <w:p w14:paraId="32368C03" w14:textId="77777777" w:rsidR="00591A69" w:rsidRPr="00C83045" w:rsidRDefault="00591A69" w:rsidP="003E286B">
      <w:pPr>
        <w:keepNext/>
        <w:widowControl w:val="0"/>
        <w:tabs>
          <w:tab w:val="left" w:pos="9072"/>
        </w:tabs>
        <w:ind w:left="0" w:firstLine="0"/>
        <w:rPr>
          <w:color w:val="000000"/>
          <w:szCs w:val="22"/>
        </w:rPr>
      </w:pPr>
    </w:p>
    <w:p w14:paraId="32368C04" w14:textId="77777777" w:rsidR="00591A69" w:rsidRPr="00C83045" w:rsidRDefault="00591A69" w:rsidP="00D4304B">
      <w:pPr>
        <w:keepNext/>
        <w:widowControl w:val="0"/>
        <w:tabs>
          <w:tab w:val="left" w:pos="9072"/>
        </w:tabs>
        <w:ind w:left="0" w:firstLine="0"/>
        <w:rPr>
          <w:color w:val="000000"/>
          <w:szCs w:val="22"/>
        </w:rPr>
      </w:pPr>
      <w:r w:rsidRPr="00C83045">
        <w:rPr>
          <w:b/>
          <w:color w:val="000000"/>
          <w:szCs w:val="22"/>
        </w:rPr>
        <w:t>Veľmi časté</w:t>
      </w:r>
      <w:r w:rsidRPr="00C83045">
        <w:rPr>
          <w:color w:val="000000"/>
          <w:szCs w:val="22"/>
        </w:rPr>
        <w:t xml:space="preserve"> (</w:t>
      </w:r>
      <w:r w:rsidRPr="00C83045">
        <w:rPr>
          <w:rFonts w:eastAsia="SimSun"/>
          <w:color w:val="000000"/>
          <w:szCs w:val="22"/>
          <w:lang w:eastAsia="zh-CN"/>
        </w:rPr>
        <w:t>môžu postihnúť viac ako 1 z 10 ľudí</w:t>
      </w:r>
      <w:r w:rsidRPr="00C83045">
        <w:rPr>
          <w:color w:val="000000"/>
          <w:szCs w:val="22"/>
        </w:rPr>
        <w:t xml:space="preserve">) </w:t>
      </w:r>
      <w:r w:rsidRPr="00C83045">
        <w:rPr>
          <w:b/>
          <w:color w:val="000000"/>
          <w:szCs w:val="22"/>
        </w:rPr>
        <w:t>alebo časté</w:t>
      </w:r>
      <w:r w:rsidRPr="00C83045">
        <w:rPr>
          <w:color w:val="000000"/>
          <w:szCs w:val="22"/>
        </w:rPr>
        <w:t xml:space="preserve"> (</w:t>
      </w:r>
      <w:r w:rsidRPr="00C83045">
        <w:rPr>
          <w:rFonts w:eastAsia="SimSun"/>
          <w:color w:val="000000"/>
          <w:szCs w:val="22"/>
          <w:lang w:eastAsia="zh-CN"/>
        </w:rPr>
        <w:t>môžu postihnúť až 1 z 10 ľudí):</w:t>
      </w:r>
    </w:p>
    <w:p w14:paraId="32368C05"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 xml:space="preserve">Náhle zvýšenie telesnej hmotnosti. Glivec môže spôsobiť, že vaše telo zadržiava vodu (závažné </w:t>
      </w:r>
      <w:r w:rsidRPr="00C83045">
        <w:rPr>
          <w:color w:val="000000"/>
          <w:szCs w:val="22"/>
        </w:rPr>
        <w:lastRenderedPageBreak/>
        <w:t>zadržiavanie tekutiny).</w:t>
      </w:r>
    </w:p>
    <w:p w14:paraId="32368C06"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Príznaky infekcie, ako je horúčka, zimnica, bolesť hrdla alebo vredy v ústach. Glivec môže znížiť počet bielych krviniek, takže infekcie môžete dostávať ľahšie.</w:t>
      </w:r>
    </w:p>
    <w:p w14:paraId="32368C07"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Neočakávané krvácanie alebo vznik krvných podliatin (bez toho, aby ste sa zranili).</w:t>
      </w:r>
    </w:p>
    <w:p w14:paraId="32368C08" w14:textId="77777777" w:rsidR="00591A69" w:rsidRPr="00C83045" w:rsidRDefault="00591A69" w:rsidP="00D4304B">
      <w:pPr>
        <w:widowControl w:val="0"/>
        <w:tabs>
          <w:tab w:val="left" w:pos="9072"/>
        </w:tabs>
        <w:ind w:left="0" w:firstLine="0"/>
        <w:rPr>
          <w:color w:val="000000"/>
          <w:szCs w:val="22"/>
        </w:rPr>
      </w:pPr>
    </w:p>
    <w:p w14:paraId="32368C09" w14:textId="77777777" w:rsidR="00591A69" w:rsidRPr="00C83045" w:rsidRDefault="00591A69" w:rsidP="00D4304B">
      <w:pPr>
        <w:keepNext/>
        <w:widowControl w:val="0"/>
        <w:tabs>
          <w:tab w:val="left" w:pos="9072"/>
        </w:tabs>
        <w:ind w:left="0" w:firstLine="0"/>
        <w:rPr>
          <w:color w:val="000000"/>
          <w:szCs w:val="22"/>
        </w:rPr>
      </w:pPr>
      <w:r w:rsidRPr="00C83045">
        <w:rPr>
          <w:b/>
          <w:color w:val="000000"/>
          <w:szCs w:val="22"/>
        </w:rPr>
        <w:t>Menej časté</w:t>
      </w:r>
      <w:r w:rsidRPr="00C83045">
        <w:rPr>
          <w:color w:val="000000"/>
          <w:szCs w:val="22"/>
        </w:rPr>
        <w:t xml:space="preserve"> (</w:t>
      </w:r>
      <w:r w:rsidRPr="00C83045">
        <w:rPr>
          <w:rFonts w:eastAsia="SimSun"/>
          <w:color w:val="000000"/>
          <w:szCs w:val="22"/>
          <w:lang w:eastAsia="zh-CN"/>
        </w:rPr>
        <w:t>môžu postihnúť až 1 zo 100 ľudí)</w:t>
      </w:r>
      <w:r w:rsidRPr="00C83045">
        <w:rPr>
          <w:color w:val="000000"/>
          <w:szCs w:val="22"/>
        </w:rPr>
        <w:t xml:space="preserve"> </w:t>
      </w:r>
      <w:r w:rsidRPr="00C83045">
        <w:rPr>
          <w:b/>
          <w:color w:val="000000"/>
          <w:szCs w:val="22"/>
        </w:rPr>
        <w:t>alebo zriedkavé</w:t>
      </w:r>
      <w:r w:rsidRPr="00C83045">
        <w:rPr>
          <w:color w:val="000000"/>
          <w:szCs w:val="22"/>
        </w:rPr>
        <w:t xml:space="preserve"> (</w:t>
      </w:r>
      <w:r w:rsidRPr="00C83045">
        <w:rPr>
          <w:rFonts w:eastAsia="SimSun"/>
          <w:color w:val="000000"/>
          <w:szCs w:val="22"/>
          <w:lang w:eastAsia="zh-CN"/>
        </w:rPr>
        <w:t>môžu postihnúť až 1 z 1 000 ľudí):</w:t>
      </w:r>
    </w:p>
    <w:p w14:paraId="32368C0A"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Bolesť na hrudi, nepravidelný srdcový rytmus (prejavy problémov so srdcom).</w:t>
      </w:r>
    </w:p>
    <w:p w14:paraId="32368C0B"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Kašeľ, ťažkosti s dýchaním alebo bolestivé dýchanie (prejavy problémov s pľúcami).</w:t>
      </w:r>
    </w:p>
    <w:p w14:paraId="32368C0C"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Závraty alebo mdloby (prejavy nízkeho tlaku krvi).</w:t>
      </w:r>
    </w:p>
    <w:p w14:paraId="32368C0D"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Nutkanie na vracanie (nauzea) so stratou chuti do jedenia, tmavý moč, zožltnutie kože alebo očí (prejavy problémov s pečeňou).</w:t>
      </w:r>
    </w:p>
    <w:p w14:paraId="32368C0E"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Vyrážky, sčervenenie kože s pľuzgiermi na perách, očiach, koži alebo v ústach, šúpanie kože, horúčka, vypuklé červené alebo purpurové miesta na koži, svrbenie, pocit pálenia, pľuzgierovité vyrážky (prejavy problémov s kožou).</w:t>
      </w:r>
    </w:p>
    <w:p w14:paraId="32368C0F"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Silná bolesť brucha, krv pri vracaní, v stolici alebo v moči, čierna stolica (prejavy problémov s tráviacou sústavou).</w:t>
      </w:r>
    </w:p>
    <w:p w14:paraId="32368C10"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Závažné zníženie tvorby moču, pocit smädu (prejavy problémov s obličkami).</w:t>
      </w:r>
    </w:p>
    <w:p w14:paraId="32368C11"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Nutkanie na vracanie s hnačkou a vracaním, bolesť brucha alebo horúčka (prejavy problémov s črevami).</w:t>
      </w:r>
    </w:p>
    <w:p w14:paraId="32368C12"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Silná bolesť hlavy, slabosť alebo ochrnutie končatín alebo tváre, ťažkosti pri hovorení, náhla strata vedomia (prejavy problémov s nervovou sústavou, napr. krvácania alebo opuchu v lebke/mozgu).</w:t>
      </w:r>
    </w:p>
    <w:p w14:paraId="32368C13"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Bledosť kože, pocit únavy a dýchavičnosť a tmavý moč (prejavy nízkeho počtu červených krviniek).</w:t>
      </w:r>
    </w:p>
    <w:p w14:paraId="32368C14"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Bolesť očí alebo zhoršenie zraku, krvácanie v očiach.</w:t>
      </w:r>
    </w:p>
    <w:p w14:paraId="32368C15"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Bolesť bedrových kĺbov alebo ťažkosti pri chodení.</w:t>
      </w:r>
    </w:p>
    <w:p w14:paraId="32368C16"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Necitlivé alebo studené prsty na nohách a rukách (prejavy Raynaudovho syndrómu).</w:t>
      </w:r>
    </w:p>
    <w:p w14:paraId="32368C17"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Náhly opuch a sčervenenie kože (prejavy infekcie kože nazývanej celulitída).</w:t>
      </w:r>
    </w:p>
    <w:p w14:paraId="32368C18"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Nedoslýchavosť.</w:t>
      </w:r>
    </w:p>
    <w:p w14:paraId="32368C19"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Svalová slabosť a svalové kŕče s poruchou srdcového rytmu (prejavy zmien množstva draslíka v krvi).</w:t>
      </w:r>
    </w:p>
    <w:p w14:paraId="32368C1A"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Podliatiny.</w:t>
      </w:r>
    </w:p>
    <w:p w14:paraId="32368C1B"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Bolesť žalúdka s nutkaním na vracanie (nauzea).</w:t>
      </w:r>
    </w:p>
    <w:p w14:paraId="32368C1C"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Svalové kŕče s horúčkou, červenohnedý moč, svalová bolesť alebo slabosť (prejav problémov so svalmi).</w:t>
      </w:r>
    </w:p>
    <w:p w14:paraId="32368C1D"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Bolesť v panve, niekedy s nutkaním na vracanie a vracaním, s neočakávaným krvácaním z pošvy, závraty alebo mdloby následkom nízkeho krvného tlaku (prejavy problémov s vaječníkmi alebo maternicou).</w:t>
      </w:r>
    </w:p>
    <w:p w14:paraId="32368C1E" w14:textId="77777777" w:rsidR="00591A69" w:rsidRDefault="00591A69" w:rsidP="00D4304B">
      <w:pPr>
        <w:widowControl w:val="0"/>
        <w:numPr>
          <w:ilvl w:val="0"/>
          <w:numId w:val="7"/>
        </w:numPr>
        <w:tabs>
          <w:tab w:val="left" w:pos="9072"/>
        </w:tabs>
        <w:rPr>
          <w:color w:val="000000"/>
          <w:szCs w:val="22"/>
        </w:rPr>
      </w:pPr>
      <w:r w:rsidRPr="00C83045">
        <w:rPr>
          <w:color w:val="000000"/>
          <w:szCs w:val="22"/>
        </w:rPr>
        <w:t>Nutkanie na vracanie, dýchavičnosť, nepravidelný tep srdca, zakalený moč, únava a/alebo nepríjemné pocity v kĺboch spojené s abnormálnymi výsledkami laboratórnych testov (napr. vysoká hladina draslíka, kyseliny močovej a </w:t>
      </w:r>
      <w:r w:rsidR="00DA354A" w:rsidRPr="00C83045">
        <w:rPr>
          <w:color w:val="000000"/>
          <w:szCs w:val="22"/>
        </w:rPr>
        <w:t xml:space="preserve">vápnika </w:t>
      </w:r>
      <w:r w:rsidRPr="00C83045">
        <w:rPr>
          <w:color w:val="000000"/>
          <w:szCs w:val="22"/>
        </w:rPr>
        <w:t xml:space="preserve">a nízka hladina </w:t>
      </w:r>
      <w:r w:rsidR="00DA354A" w:rsidRPr="00C83045">
        <w:rPr>
          <w:color w:val="000000"/>
          <w:szCs w:val="22"/>
        </w:rPr>
        <w:t>fosforu</w:t>
      </w:r>
      <w:r w:rsidRPr="00C83045">
        <w:rPr>
          <w:color w:val="000000"/>
          <w:szCs w:val="22"/>
        </w:rPr>
        <w:t xml:space="preserve"> v krvi).</w:t>
      </w:r>
    </w:p>
    <w:p w14:paraId="32368C1F" w14:textId="77777777" w:rsidR="000E618B" w:rsidRPr="00C83045" w:rsidRDefault="000E618B" w:rsidP="00D4304B">
      <w:pPr>
        <w:widowControl w:val="0"/>
        <w:numPr>
          <w:ilvl w:val="0"/>
          <w:numId w:val="7"/>
        </w:numPr>
        <w:tabs>
          <w:tab w:val="left" w:pos="9072"/>
        </w:tabs>
        <w:rPr>
          <w:color w:val="000000"/>
          <w:szCs w:val="22"/>
        </w:rPr>
      </w:pPr>
      <w:r>
        <w:rPr>
          <w:color w:val="000000"/>
          <w:szCs w:val="22"/>
        </w:rPr>
        <w:t>Krvné zrazeniny v malých krvných cievach (trombotická mikroangiopatia).</w:t>
      </w:r>
    </w:p>
    <w:p w14:paraId="32368C20" w14:textId="77777777" w:rsidR="004532C2" w:rsidRPr="00C83045" w:rsidRDefault="004532C2" w:rsidP="00D4304B">
      <w:pPr>
        <w:pStyle w:val="Text"/>
        <w:widowControl w:val="0"/>
        <w:spacing w:before="0"/>
        <w:jc w:val="left"/>
        <w:rPr>
          <w:color w:val="000000"/>
          <w:sz w:val="22"/>
          <w:szCs w:val="22"/>
          <w:lang w:val="sk-SK"/>
        </w:rPr>
      </w:pPr>
    </w:p>
    <w:p w14:paraId="32368C21" w14:textId="77777777" w:rsidR="004532C2" w:rsidRPr="000F36E0" w:rsidRDefault="004532C2" w:rsidP="00D4304B">
      <w:pPr>
        <w:pStyle w:val="Text"/>
        <w:keepNext/>
        <w:widowControl w:val="0"/>
        <w:spacing w:before="0"/>
        <w:jc w:val="left"/>
        <w:rPr>
          <w:color w:val="000000"/>
          <w:sz w:val="22"/>
          <w:szCs w:val="22"/>
          <w:lang w:val="sk-SK"/>
        </w:rPr>
      </w:pPr>
      <w:r w:rsidRPr="000F36E0">
        <w:rPr>
          <w:b/>
          <w:color w:val="000000"/>
          <w:sz w:val="22"/>
          <w:szCs w:val="22"/>
          <w:lang w:val="sk-SK"/>
        </w:rPr>
        <w:t>Neznáme</w:t>
      </w:r>
      <w:r w:rsidR="008677A7" w:rsidRPr="000F36E0">
        <w:rPr>
          <w:b/>
          <w:color w:val="000000"/>
          <w:sz w:val="22"/>
          <w:szCs w:val="22"/>
          <w:lang w:val="sk-SK"/>
        </w:rPr>
        <w:t xml:space="preserve"> </w:t>
      </w:r>
      <w:r w:rsidR="008677A7" w:rsidRPr="000F36E0">
        <w:rPr>
          <w:color w:val="000000"/>
          <w:sz w:val="22"/>
          <w:szCs w:val="22"/>
          <w:lang w:val="sk-SK"/>
        </w:rPr>
        <w:t>(z dostupných údajov sa častosť nedá odhadnúť):</w:t>
      </w:r>
    </w:p>
    <w:p w14:paraId="32368C22" w14:textId="77777777" w:rsidR="00101ECE" w:rsidRDefault="004532C2" w:rsidP="00D4304B">
      <w:pPr>
        <w:pStyle w:val="Text"/>
        <w:widowControl w:val="0"/>
        <w:numPr>
          <w:ilvl w:val="0"/>
          <w:numId w:val="30"/>
        </w:numPr>
        <w:tabs>
          <w:tab w:val="clear" w:pos="357"/>
        </w:tabs>
        <w:spacing w:before="0"/>
        <w:ind w:left="567" w:hanging="567"/>
        <w:jc w:val="left"/>
        <w:rPr>
          <w:sz w:val="22"/>
          <w:szCs w:val="22"/>
        </w:rPr>
      </w:pPr>
      <w:r w:rsidRPr="000F36E0">
        <w:rPr>
          <w:sz w:val="22"/>
          <w:szCs w:val="22"/>
          <w:lang w:val="sk-SK"/>
        </w:rPr>
        <w:t xml:space="preserve">Rozsiahly a vážny výsev,  pocit nevoľnosti, horúčka, vysoká hladina určitého typu bielych krviniek alebo zožltnutie kože a očných bielok (príznaky žltačky) spojený s s dýchavičnosťou, bolesťou/ťaživým pocitom na hrudi, výrazný pokles tvroby moču a pocit smädu atď. </w:t>
      </w:r>
      <w:r w:rsidRPr="00C83045">
        <w:rPr>
          <w:sz w:val="22"/>
          <w:szCs w:val="22"/>
        </w:rPr>
        <w:t>(príznaky alergickej reakce spojenej s liečbou).</w:t>
      </w:r>
    </w:p>
    <w:p w14:paraId="32368C23" w14:textId="77777777" w:rsidR="002471A8" w:rsidRPr="00451AC2" w:rsidRDefault="00EB72C1" w:rsidP="00D4304B">
      <w:pPr>
        <w:widowControl w:val="0"/>
        <w:numPr>
          <w:ilvl w:val="0"/>
          <w:numId w:val="25"/>
        </w:numPr>
        <w:tabs>
          <w:tab w:val="left" w:pos="9072"/>
        </w:tabs>
        <w:rPr>
          <w:color w:val="000000"/>
          <w:szCs w:val="22"/>
        </w:rPr>
      </w:pPr>
      <w:r>
        <w:rPr>
          <w:szCs w:val="22"/>
        </w:rPr>
        <w:t>Chronické zlyhávanie obličiek.</w:t>
      </w:r>
    </w:p>
    <w:p w14:paraId="32368C24" w14:textId="77777777" w:rsidR="00EB72C1" w:rsidRPr="002471A8" w:rsidRDefault="002471A8" w:rsidP="00D4304B">
      <w:pPr>
        <w:pStyle w:val="Text"/>
        <w:widowControl w:val="0"/>
        <w:numPr>
          <w:ilvl w:val="0"/>
          <w:numId w:val="30"/>
        </w:numPr>
        <w:tabs>
          <w:tab w:val="clear" w:pos="357"/>
        </w:tabs>
        <w:spacing w:before="0"/>
        <w:ind w:left="567" w:hanging="567"/>
        <w:jc w:val="left"/>
        <w:rPr>
          <w:sz w:val="22"/>
          <w:szCs w:val="22"/>
          <w:lang w:val="sk-SK"/>
        </w:rPr>
      </w:pPr>
      <w:r w:rsidRPr="00451AC2">
        <w:rPr>
          <w:color w:val="000000"/>
          <w:sz w:val="22"/>
          <w:szCs w:val="22"/>
          <w:lang w:val="sk-SK"/>
        </w:rPr>
        <w:t>Rekurencia (opätovný výskyt, reaktivácia - opätovná aktivácia) infekcie zapríčinenej vírusom hepatitídy</w:t>
      </w:r>
      <w:r w:rsidR="00F1077D">
        <w:rPr>
          <w:color w:val="000000"/>
          <w:sz w:val="22"/>
          <w:szCs w:val="22"/>
          <w:lang w:val="sk-SK"/>
        </w:rPr>
        <w:t> </w:t>
      </w:r>
      <w:r w:rsidRPr="00451AC2">
        <w:rPr>
          <w:color w:val="000000"/>
          <w:sz w:val="22"/>
          <w:szCs w:val="22"/>
          <w:lang w:val="sk-SK"/>
        </w:rPr>
        <w:t>B, keď ste mali hepatitídu</w:t>
      </w:r>
      <w:r w:rsidR="00F1077D">
        <w:rPr>
          <w:color w:val="000000"/>
          <w:sz w:val="22"/>
          <w:szCs w:val="22"/>
          <w:lang w:val="sk-SK"/>
        </w:rPr>
        <w:t> </w:t>
      </w:r>
      <w:r w:rsidRPr="00451AC2">
        <w:rPr>
          <w:color w:val="000000"/>
          <w:sz w:val="22"/>
          <w:szCs w:val="22"/>
          <w:lang w:val="sk-SK"/>
        </w:rPr>
        <w:t>B v minulosti (infekciu pečene).</w:t>
      </w:r>
    </w:p>
    <w:p w14:paraId="32368C25" w14:textId="77777777" w:rsidR="004532C2" w:rsidRPr="002471A8" w:rsidRDefault="004532C2" w:rsidP="00D4304B">
      <w:pPr>
        <w:pStyle w:val="Text"/>
        <w:widowControl w:val="0"/>
        <w:spacing w:before="0"/>
        <w:jc w:val="left"/>
        <w:rPr>
          <w:color w:val="000000"/>
          <w:sz w:val="22"/>
          <w:szCs w:val="22"/>
          <w:lang w:val="sk-SK"/>
        </w:rPr>
      </w:pPr>
    </w:p>
    <w:p w14:paraId="32368C26" w14:textId="77777777" w:rsidR="00591A69" w:rsidRPr="00C83045" w:rsidRDefault="00591A69" w:rsidP="00D4304B">
      <w:pPr>
        <w:widowControl w:val="0"/>
        <w:tabs>
          <w:tab w:val="left" w:pos="9072"/>
        </w:tabs>
        <w:rPr>
          <w:color w:val="000000"/>
          <w:szCs w:val="22"/>
        </w:rPr>
      </w:pPr>
      <w:r w:rsidRPr="00C83045">
        <w:rPr>
          <w:color w:val="000000"/>
          <w:szCs w:val="22"/>
        </w:rPr>
        <w:t xml:space="preserve">Ak sa u vás vyskytne niektorý z týchto účinkov, </w:t>
      </w:r>
      <w:r w:rsidRPr="00C83045">
        <w:rPr>
          <w:b/>
          <w:color w:val="000000"/>
          <w:szCs w:val="22"/>
        </w:rPr>
        <w:t>ihneď o tom povedzte svojmu lekárovi.</w:t>
      </w:r>
    </w:p>
    <w:p w14:paraId="32368C27" w14:textId="77777777" w:rsidR="00591A69" w:rsidRPr="00C83045" w:rsidRDefault="00591A69" w:rsidP="00D4304B">
      <w:pPr>
        <w:widowControl w:val="0"/>
        <w:tabs>
          <w:tab w:val="left" w:pos="9072"/>
        </w:tabs>
        <w:rPr>
          <w:color w:val="000000"/>
          <w:szCs w:val="22"/>
        </w:rPr>
      </w:pPr>
    </w:p>
    <w:p w14:paraId="32368C28" w14:textId="77777777" w:rsidR="00591A69" w:rsidRPr="00C83045" w:rsidRDefault="00591A69" w:rsidP="00D4304B">
      <w:pPr>
        <w:keepNext/>
        <w:widowControl w:val="0"/>
        <w:tabs>
          <w:tab w:val="left" w:pos="9072"/>
        </w:tabs>
        <w:rPr>
          <w:b/>
          <w:color w:val="000000"/>
          <w:szCs w:val="22"/>
        </w:rPr>
      </w:pPr>
      <w:r w:rsidRPr="00C83045">
        <w:rPr>
          <w:b/>
          <w:color w:val="000000"/>
          <w:szCs w:val="22"/>
        </w:rPr>
        <w:lastRenderedPageBreak/>
        <w:t>K ďalším vedľajším účinkom môžu patriť:</w:t>
      </w:r>
    </w:p>
    <w:p w14:paraId="32368C29" w14:textId="77777777" w:rsidR="00591A69" w:rsidRPr="00C83045" w:rsidRDefault="00591A69" w:rsidP="00D4304B">
      <w:pPr>
        <w:keepNext/>
        <w:widowControl w:val="0"/>
        <w:tabs>
          <w:tab w:val="left" w:pos="9072"/>
        </w:tabs>
        <w:rPr>
          <w:i/>
          <w:color w:val="000000"/>
          <w:szCs w:val="22"/>
        </w:rPr>
      </w:pPr>
    </w:p>
    <w:p w14:paraId="32368C2A" w14:textId="77777777" w:rsidR="00591A69" w:rsidRPr="00C83045" w:rsidRDefault="00591A69" w:rsidP="00D4304B">
      <w:pPr>
        <w:keepNext/>
        <w:widowControl w:val="0"/>
        <w:tabs>
          <w:tab w:val="left" w:pos="9072"/>
        </w:tabs>
        <w:rPr>
          <w:color w:val="000000"/>
          <w:szCs w:val="22"/>
        </w:rPr>
      </w:pPr>
      <w:r w:rsidRPr="00C83045">
        <w:rPr>
          <w:b/>
          <w:color w:val="000000"/>
          <w:szCs w:val="22"/>
        </w:rPr>
        <w:t>Veľmi časté</w:t>
      </w:r>
      <w:r w:rsidRPr="00C83045">
        <w:rPr>
          <w:color w:val="000000"/>
          <w:szCs w:val="22"/>
        </w:rPr>
        <w:t xml:space="preserve"> (</w:t>
      </w:r>
      <w:r w:rsidRPr="00C83045">
        <w:rPr>
          <w:rFonts w:eastAsia="SimSun"/>
          <w:color w:val="000000"/>
          <w:szCs w:val="22"/>
          <w:lang w:eastAsia="zh-CN"/>
        </w:rPr>
        <w:t>môžu postihnúť viac ako 1 z 10 ľudí</w:t>
      </w:r>
      <w:r w:rsidRPr="00C83045">
        <w:rPr>
          <w:color w:val="000000"/>
          <w:szCs w:val="22"/>
        </w:rPr>
        <w:t>):</w:t>
      </w:r>
    </w:p>
    <w:p w14:paraId="32368C2B" w14:textId="77777777" w:rsidR="00591A69" w:rsidRPr="00C83045" w:rsidRDefault="00591A69" w:rsidP="00D4304B">
      <w:pPr>
        <w:widowControl w:val="0"/>
        <w:numPr>
          <w:ilvl w:val="0"/>
          <w:numId w:val="23"/>
        </w:numPr>
        <w:tabs>
          <w:tab w:val="left" w:pos="5160"/>
          <w:tab w:val="left" w:pos="9072"/>
        </w:tabs>
        <w:rPr>
          <w:color w:val="000000"/>
          <w:szCs w:val="22"/>
        </w:rPr>
      </w:pPr>
      <w:r w:rsidRPr="00C83045">
        <w:rPr>
          <w:color w:val="000000"/>
          <w:szCs w:val="22"/>
        </w:rPr>
        <w:t>Bolesť hlavy alebo pocit únavy.</w:t>
      </w:r>
    </w:p>
    <w:p w14:paraId="32368C2C" w14:textId="77777777" w:rsidR="00591A69" w:rsidRPr="00C83045" w:rsidRDefault="00591A69" w:rsidP="00D4304B">
      <w:pPr>
        <w:widowControl w:val="0"/>
        <w:numPr>
          <w:ilvl w:val="0"/>
          <w:numId w:val="23"/>
        </w:numPr>
        <w:tabs>
          <w:tab w:val="left" w:pos="5160"/>
          <w:tab w:val="left" w:pos="9072"/>
        </w:tabs>
        <w:rPr>
          <w:color w:val="000000"/>
          <w:szCs w:val="22"/>
        </w:rPr>
      </w:pPr>
      <w:r w:rsidRPr="00C83045">
        <w:rPr>
          <w:color w:val="000000"/>
          <w:szCs w:val="22"/>
        </w:rPr>
        <w:t>Nutkanie na vracanie (nauzea), vracanie, hnačka alebo tráviace ťažkosti.</w:t>
      </w:r>
    </w:p>
    <w:p w14:paraId="32368C2D" w14:textId="77777777" w:rsidR="00591A69" w:rsidRPr="00C83045" w:rsidRDefault="00591A69" w:rsidP="00D4304B">
      <w:pPr>
        <w:widowControl w:val="0"/>
        <w:numPr>
          <w:ilvl w:val="0"/>
          <w:numId w:val="23"/>
        </w:numPr>
        <w:tabs>
          <w:tab w:val="left" w:pos="5160"/>
          <w:tab w:val="left" w:pos="9072"/>
        </w:tabs>
        <w:rPr>
          <w:color w:val="000000"/>
          <w:szCs w:val="22"/>
        </w:rPr>
      </w:pPr>
      <w:r w:rsidRPr="00C83045">
        <w:rPr>
          <w:color w:val="000000"/>
          <w:szCs w:val="22"/>
        </w:rPr>
        <w:t>Kožné vyrážky.</w:t>
      </w:r>
    </w:p>
    <w:p w14:paraId="32368C2E" w14:textId="77777777" w:rsidR="00591A69" w:rsidRPr="003219F2" w:rsidRDefault="00591A69" w:rsidP="00D4304B">
      <w:pPr>
        <w:widowControl w:val="0"/>
        <w:numPr>
          <w:ilvl w:val="0"/>
          <w:numId w:val="23"/>
        </w:numPr>
        <w:tabs>
          <w:tab w:val="left" w:pos="5160"/>
          <w:tab w:val="left" w:pos="9072"/>
        </w:tabs>
        <w:rPr>
          <w:color w:val="000000"/>
          <w:szCs w:val="22"/>
        </w:rPr>
      </w:pPr>
      <w:r w:rsidRPr="005B1E87">
        <w:rPr>
          <w:color w:val="000000"/>
          <w:szCs w:val="22"/>
        </w:rPr>
        <w:t>Svalové kŕče alebo bolesť kĺbov, svalov alebo kostí</w:t>
      </w:r>
      <w:r w:rsidR="005B1E87" w:rsidRPr="005B1E87">
        <w:rPr>
          <w:color w:val="000000"/>
          <w:szCs w:val="22"/>
        </w:rPr>
        <w:t xml:space="preserve"> počas liečby Glivecom alebo po </w:t>
      </w:r>
      <w:r w:rsidR="005B1E87" w:rsidRPr="00AA24F2">
        <w:rPr>
          <w:color w:val="000000"/>
          <w:szCs w:val="22"/>
        </w:rPr>
        <w:t>ukončení užívania Glivecu</w:t>
      </w:r>
      <w:r w:rsidRPr="003219F2">
        <w:rPr>
          <w:color w:val="000000"/>
          <w:szCs w:val="22"/>
        </w:rPr>
        <w:t>.</w:t>
      </w:r>
    </w:p>
    <w:p w14:paraId="32368C2F" w14:textId="77777777" w:rsidR="00591A69" w:rsidRPr="00C83045" w:rsidRDefault="00591A69" w:rsidP="00D4304B">
      <w:pPr>
        <w:widowControl w:val="0"/>
        <w:numPr>
          <w:ilvl w:val="0"/>
          <w:numId w:val="23"/>
        </w:numPr>
        <w:tabs>
          <w:tab w:val="left" w:pos="5160"/>
          <w:tab w:val="left" w:pos="9072"/>
        </w:tabs>
        <w:rPr>
          <w:color w:val="000000"/>
          <w:szCs w:val="22"/>
        </w:rPr>
      </w:pPr>
      <w:r w:rsidRPr="00C83045">
        <w:rPr>
          <w:color w:val="000000"/>
          <w:szCs w:val="22"/>
        </w:rPr>
        <w:t>Opuchy, napr. okolo členkov, alebo opuchnuté oči.</w:t>
      </w:r>
    </w:p>
    <w:p w14:paraId="32368C30" w14:textId="77777777" w:rsidR="00591A69" w:rsidRPr="00C83045" w:rsidRDefault="00591A69" w:rsidP="00D4304B">
      <w:pPr>
        <w:widowControl w:val="0"/>
        <w:numPr>
          <w:ilvl w:val="0"/>
          <w:numId w:val="23"/>
        </w:numPr>
        <w:tabs>
          <w:tab w:val="left" w:pos="5160"/>
          <w:tab w:val="left" w:pos="9072"/>
        </w:tabs>
        <w:rPr>
          <w:color w:val="000000"/>
          <w:szCs w:val="22"/>
        </w:rPr>
      </w:pPr>
      <w:r w:rsidRPr="00C83045">
        <w:rPr>
          <w:color w:val="000000"/>
          <w:szCs w:val="22"/>
        </w:rPr>
        <w:t>Zvýšenie telesnej hmotnosti.</w:t>
      </w:r>
    </w:p>
    <w:p w14:paraId="32368C31" w14:textId="77777777" w:rsidR="00591A69" w:rsidRPr="00C83045" w:rsidRDefault="00591A69" w:rsidP="00D4304B">
      <w:pPr>
        <w:widowControl w:val="0"/>
        <w:tabs>
          <w:tab w:val="left" w:pos="9072"/>
        </w:tabs>
        <w:ind w:left="0" w:firstLine="0"/>
        <w:rPr>
          <w:b/>
          <w:color w:val="000000"/>
          <w:szCs w:val="22"/>
        </w:rPr>
      </w:pPr>
      <w:r w:rsidRPr="00C83045">
        <w:rPr>
          <w:color w:val="000000"/>
          <w:szCs w:val="22"/>
        </w:rPr>
        <w:t xml:space="preserve">Ak vám niektorý z týchto účinkov spôsobuje závažné ťažkosti, </w:t>
      </w:r>
      <w:r w:rsidRPr="00C83045">
        <w:rPr>
          <w:b/>
          <w:color w:val="000000"/>
          <w:szCs w:val="22"/>
        </w:rPr>
        <w:t>povedzte o tom svojmu lekárovi.</w:t>
      </w:r>
    </w:p>
    <w:p w14:paraId="32368C32" w14:textId="77777777" w:rsidR="00591A69" w:rsidRPr="00C83045" w:rsidRDefault="00591A69" w:rsidP="00D4304B">
      <w:pPr>
        <w:widowControl w:val="0"/>
        <w:tabs>
          <w:tab w:val="left" w:pos="9072"/>
        </w:tabs>
        <w:ind w:left="0" w:firstLine="0"/>
        <w:rPr>
          <w:color w:val="000000"/>
          <w:szCs w:val="22"/>
        </w:rPr>
      </w:pPr>
    </w:p>
    <w:p w14:paraId="32368C33" w14:textId="77777777" w:rsidR="00591A69" w:rsidRPr="00C83045" w:rsidRDefault="00591A69" w:rsidP="00D4304B">
      <w:pPr>
        <w:keepNext/>
        <w:widowControl w:val="0"/>
        <w:tabs>
          <w:tab w:val="left" w:pos="9072"/>
        </w:tabs>
        <w:ind w:left="0" w:firstLine="0"/>
        <w:rPr>
          <w:color w:val="000000"/>
          <w:szCs w:val="22"/>
        </w:rPr>
      </w:pPr>
      <w:r w:rsidRPr="00C83045">
        <w:rPr>
          <w:b/>
          <w:color w:val="000000"/>
          <w:szCs w:val="22"/>
        </w:rPr>
        <w:t>Časté</w:t>
      </w:r>
      <w:r w:rsidRPr="00C83045">
        <w:rPr>
          <w:color w:val="000000"/>
          <w:szCs w:val="22"/>
        </w:rPr>
        <w:t xml:space="preserve"> (</w:t>
      </w:r>
      <w:r w:rsidRPr="00C83045">
        <w:rPr>
          <w:rFonts w:eastAsia="SimSun"/>
          <w:color w:val="000000"/>
          <w:szCs w:val="22"/>
          <w:lang w:eastAsia="zh-CN"/>
        </w:rPr>
        <w:t>môžu postihnúť až 1 z 10 ľudí):</w:t>
      </w:r>
    </w:p>
    <w:p w14:paraId="32368C34"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Strata chuti do jedenia, zníženie telesnej hmotnosti alebo porucha vnímania chuti.</w:t>
      </w:r>
    </w:p>
    <w:p w14:paraId="32368C35"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Závraty alebo pocit slabosti.</w:t>
      </w:r>
    </w:p>
    <w:p w14:paraId="32368C36"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Nespavosť.</w:t>
      </w:r>
    </w:p>
    <w:p w14:paraId="32368C37"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Výtok z oka so svrbením, sčervenením a opuchom (zápal očných spojoviek), slzenie alebo neostré videnie.</w:t>
      </w:r>
    </w:p>
    <w:p w14:paraId="32368C38"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Krvácanie z nosa.</w:t>
      </w:r>
    </w:p>
    <w:p w14:paraId="32368C39"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Bolesť alebo nadúvanie brucha, plynatosť, pálenie záhy alebo zápcha.</w:t>
      </w:r>
    </w:p>
    <w:p w14:paraId="32368C3A"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Svrbenie.</w:t>
      </w:r>
    </w:p>
    <w:p w14:paraId="32368C3B"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Neobvyklé vypadávanie alebo rednutie vlasov.</w:t>
      </w:r>
    </w:p>
    <w:p w14:paraId="32368C3C"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Znížená citlivosť na rukách alebo nohách.</w:t>
      </w:r>
    </w:p>
    <w:p w14:paraId="32368C3D"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Vredy v ústach.</w:t>
      </w:r>
    </w:p>
    <w:p w14:paraId="32368C3E"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Bolesť a opuch kĺbov.</w:t>
      </w:r>
    </w:p>
    <w:p w14:paraId="32368C3F"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Suchosť v ústach, suchosť kože alebo suchosť očí.</w:t>
      </w:r>
    </w:p>
    <w:p w14:paraId="32368C40"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Znížená alebo zvýšená citlivosť kože.</w:t>
      </w:r>
    </w:p>
    <w:p w14:paraId="32368C41"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Návaly tepla, zimnica alebo nočné potenie.</w:t>
      </w:r>
    </w:p>
    <w:p w14:paraId="32368C42" w14:textId="77777777" w:rsidR="00591A69" w:rsidRPr="00C83045" w:rsidRDefault="00591A69" w:rsidP="00D4304B">
      <w:pPr>
        <w:widowControl w:val="0"/>
        <w:tabs>
          <w:tab w:val="left" w:pos="9072"/>
        </w:tabs>
        <w:ind w:left="0" w:firstLine="0"/>
        <w:rPr>
          <w:b/>
          <w:color w:val="000000"/>
          <w:szCs w:val="22"/>
        </w:rPr>
      </w:pPr>
      <w:r w:rsidRPr="00C83045">
        <w:rPr>
          <w:color w:val="000000"/>
          <w:szCs w:val="22"/>
        </w:rPr>
        <w:t xml:space="preserve">Ak vám niektorý z týchto účinkov spôsobuje závažné ťažkosti, </w:t>
      </w:r>
      <w:r w:rsidRPr="00C83045">
        <w:rPr>
          <w:b/>
          <w:color w:val="000000"/>
          <w:szCs w:val="22"/>
        </w:rPr>
        <w:t>povedzte o tom svojmu lekárovi.</w:t>
      </w:r>
    </w:p>
    <w:p w14:paraId="32368C43" w14:textId="77777777" w:rsidR="00591A69" w:rsidRPr="00C83045" w:rsidRDefault="00591A69" w:rsidP="00D4304B">
      <w:pPr>
        <w:widowControl w:val="0"/>
        <w:tabs>
          <w:tab w:val="left" w:pos="9072"/>
        </w:tabs>
        <w:ind w:left="0" w:firstLine="0"/>
        <w:rPr>
          <w:color w:val="000000"/>
          <w:szCs w:val="22"/>
        </w:rPr>
      </w:pPr>
    </w:p>
    <w:p w14:paraId="32368C44" w14:textId="77777777" w:rsidR="00591A69" w:rsidRPr="00C83045" w:rsidRDefault="00591A69" w:rsidP="00D4304B">
      <w:pPr>
        <w:keepNext/>
        <w:widowControl w:val="0"/>
        <w:tabs>
          <w:tab w:val="left" w:pos="9072"/>
        </w:tabs>
        <w:ind w:left="0" w:firstLine="0"/>
        <w:rPr>
          <w:color w:val="000000"/>
          <w:szCs w:val="22"/>
        </w:rPr>
      </w:pPr>
      <w:r w:rsidRPr="00C83045">
        <w:rPr>
          <w:b/>
          <w:color w:val="000000"/>
          <w:szCs w:val="22"/>
        </w:rPr>
        <w:t>Neznáme</w:t>
      </w:r>
      <w:r w:rsidRPr="00C83045">
        <w:rPr>
          <w:color w:val="000000"/>
          <w:szCs w:val="22"/>
        </w:rPr>
        <w:t xml:space="preserve"> (</w:t>
      </w:r>
      <w:r w:rsidRPr="00C83045">
        <w:rPr>
          <w:rFonts w:eastAsia="SimSun"/>
          <w:color w:val="000000"/>
          <w:szCs w:val="22"/>
          <w:lang w:eastAsia="zh-CN"/>
        </w:rPr>
        <w:t>z dostupných údajov sa častosť nedá odhadnúť):</w:t>
      </w:r>
    </w:p>
    <w:p w14:paraId="32368C45" w14:textId="77777777" w:rsidR="009F23CA" w:rsidRPr="009F23CA" w:rsidRDefault="00591A69" w:rsidP="00D4304B">
      <w:pPr>
        <w:pStyle w:val="Text"/>
        <w:widowControl w:val="0"/>
        <w:numPr>
          <w:ilvl w:val="0"/>
          <w:numId w:val="30"/>
        </w:numPr>
        <w:tabs>
          <w:tab w:val="clear" w:pos="357"/>
          <w:tab w:val="num" w:pos="567"/>
        </w:tabs>
        <w:spacing w:before="0"/>
        <w:ind w:left="567" w:hanging="567"/>
        <w:jc w:val="left"/>
        <w:rPr>
          <w:color w:val="000000"/>
          <w:sz w:val="22"/>
          <w:szCs w:val="22"/>
          <w:lang w:val="sk-SK"/>
        </w:rPr>
      </w:pPr>
      <w:r w:rsidRPr="009F23CA">
        <w:rPr>
          <w:color w:val="000000"/>
          <w:sz w:val="22"/>
          <w:szCs w:val="22"/>
          <w:lang w:val="sk-SK"/>
        </w:rPr>
        <w:t>Sčervenenie a/alebo opuch dlaní a chodidiel, ktoré môže sprevádzať mravčenie a pálčivá bolesť.</w:t>
      </w:r>
    </w:p>
    <w:p w14:paraId="32368C46" w14:textId="77777777" w:rsidR="00591A69" w:rsidRPr="00C83045" w:rsidRDefault="009F23CA" w:rsidP="00D4304B">
      <w:pPr>
        <w:widowControl w:val="0"/>
        <w:numPr>
          <w:ilvl w:val="0"/>
          <w:numId w:val="25"/>
        </w:numPr>
        <w:tabs>
          <w:tab w:val="left" w:pos="9072"/>
        </w:tabs>
        <w:rPr>
          <w:color w:val="000000"/>
          <w:szCs w:val="22"/>
        </w:rPr>
      </w:pPr>
      <w:r>
        <w:rPr>
          <w:color w:val="000000"/>
          <w:szCs w:val="22"/>
        </w:rPr>
        <w:t>Bolestivé a/alebo pľuzgierovité rany na koži.</w:t>
      </w:r>
    </w:p>
    <w:p w14:paraId="32368C47" w14:textId="77777777" w:rsidR="00591A69" w:rsidRPr="00C83045" w:rsidRDefault="00591A69" w:rsidP="00D4304B">
      <w:pPr>
        <w:widowControl w:val="0"/>
        <w:numPr>
          <w:ilvl w:val="0"/>
          <w:numId w:val="25"/>
        </w:numPr>
        <w:tabs>
          <w:tab w:val="left" w:pos="9072"/>
        </w:tabs>
        <w:rPr>
          <w:color w:val="000000"/>
          <w:szCs w:val="22"/>
        </w:rPr>
      </w:pPr>
      <w:r w:rsidRPr="00C83045">
        <w:rPr>
          <w:color w:val="000000"/>
          <w:szCs w:val="22"/>
        </w:rPr>
        <w:t>Spomalenie rastu u detí a dospievajúcich.</w:t>
      </w:r>
    </w:p>
    <w:p w14:paraId="32368C48" w14:textId="77777777" w:rsidR="00591A69" w:rsidRPr="00C83045" w:rsidRDefault="00591A69" w:rsidP="00D4304B">
      <w:pPr>
        <w:widowControl w:val="0"/>
        <w:tabs>
          <w:tab w:val="left" w:pos="9072"/>
        </w:tabs>
        <w:ind w:left="0" w:firstLine="0"/>
        <w:rPr>
          <w:b/>
          <w:color w:val="000000"/>
          <w:szCs w:val="22"/>
        </w:rPr>
      </w:pPr>
      <w:r w:rsidRPr="00C83045">
        <w:rPr>
          <w:color w:val="000000"/>
          <w:szCs w:val="22"/>
        </w:rPr>
        <w:t xml:space="preserve">Ak vám niektorý z týchto účinkov spôsobuje závažné ťažkosti, </w:t>
      </w:r>
      <w:r w:rsidRPr="00C83045">
        <w:rPr>
          <w:b/>
          <w:color w:val="000000"/>
          <w:szCs w:val="22"/>
        </w:rPr>
        <w:t>povedzte o tom svojmu lekárovi.</w:t>
      </w:r>
    </w:p>
    <w:p w14:paraId="32368C49" w14:textId="77777777" w:rsidR="00591A69" w:rsidRPr="00C83045" w:rsidRDefault="00591A69" w:rsidP="00D4304B">
      <w:pPr>
        <w:widowControl w:val="0"/>
        <w:tabs>
          <w:tab w:val="left" w:pos="9072"/>
        </w:tabs>
        <w:ind w:left="0" w:firstLine="0"/>
        <w:rPr>
          <w:color w:val="000000"/>
          <w:szCs w:val="22"/>
        </w:rPr>
      </w:pPr>
    </w:p>
    <w:p w14:paraId="32368C4A" w14:textId="77777777" w:rsidR="00591A69" w:rsidRPr="00C83045" w:rsidRDefault="00591A69" w:rsidP="00D4304B">
      <w:pPr>
        <w:keepNext/>
        <w:widowControl w:val="0"/>
        <w:numPr>
          <w:ilvl w:val="12"/>
          <w:numId w:val="0"/>
        </w:numPr>
        <w:tabs>
          <w:tab w:val="left" w:pos="720"/>
        </w:tabs>
        <w:rPr>
          <w:b/>
          <w:szCs w:val="22"/>
        </w:rPr>
      </w:pPr>
      <w:r w:rsidRPr="00C83045">
        <w:rPr>
          <w:b/>
          <w:noProof/>
          <w:szCs w:val="22"/>
        </w:rPr>
        <w:t>Hlásenie vedľajších účinkov</w:t>
      </w:r>
    </w:p>
    <w:p w14:paraId="32368C4B" w14:textId="77777777" w:rsidR="00591A69" w:rsidRPr="00C83045" w:rsidRDefault="00591A69" w:rsidP="00D4304B">
      <w:pPr>
        <w:widowControl w:val="0"/>
        <w:numPr>
          <w:ilvl w:val="12"/>
          <w:numId w:val="0"/>
        </w:numPr>
        <w:tabs>
          <w:tab w:val="left" w:pos="720"/>
        </w:tabs>
        <w:ind w:right="-2"/>
        <w:rPr>
          <w:noProof/>
          <w:szCs w:val="22"/>
        </w:rPr>
      </w:pPr>
      <w:r w:rsidRPr="00C83045">
        <w:rPr>
          <w:noProof/>
          <w:szCs w:val="22"/>
        </w:rPr>
        <w:t>Ak sa u vás vyskytne akýkoľvek vedľajší účinok, obráťte sa na svojho lekára, lekárnika alebo zdravotnú sestru.</w:t>
      </w:r>
      <w:r w:rsidRPr="00C83045">
        <w:t xml:space="preserve"> </w:t>
      </w:r>
      <w:r w:rsidRPr="00C83045">
        <w:rPr>
          <w:noProof/>
          <w:szCs w:val="22"/>
        </w:rPr>
        <w:t>To sa týka aj akýchkoľvek vedľajších účinkov, ktoré nie sú uvedené v tejto písomnej informácii.</w:t>
      </w:r>
      <w:r w:rsidRPr="00C83045">
        <w:rPr>
          <w:szCs w:val="22"/>
        </w:rPr>
        <w:t xml:space="preserve"> </w:t>
      </w:r>
      <w:r w:rsidRPr="00C83045">
        <w:rPr>
          <w:noProof/>
          <w:szCs w:val="22"/>
        </w:rPr>
        <w:t xml:space="preserve">Vedľajšie účinky môžete hlásiť aj priamo </w:t>
      </w:r>
      <w:r w:rsidR="00E61D15">
        <w:rPr>
          <w:noProof/>
          <w:szCs w:val="22"/>
        </w:rPr>
        <w:t>na</w:t>
      </w:r>
      <w:r w:rsidR="00E61D15" w:rsidRPr="00C83045">
        <w:rPr>
          <w:noProof/>
          <w:szCs w:val="22"/>
        </w:rPr>
        <w:t xml:space="preserve"> </w:t>
      </w:r>
      <w:r w:rsidRPr="00C83045">
        <w:rPr>
          <w:noProof/>
          <w:szCs w:val="22"/>
          <w:shd w:val="clear" w:color="auto" w:fill="D9D9D9"/>
        </w:rPr>
        <w:t xml:space="preserve">národné </w:t>
      </w:r>
      <w:r w:rsidR="00E61D15">
        <w:rPr>
          <w:noProof/>
          <w:szCs w:val="22"/>
          <w:shd w:val="clear" w:color="auto" w:fill="D9D9D9"/>
        </w:rPr>
        <w:t>centrum</w:t>
      </w:r>
      <w:r w:rsidRPr="00C83045">
        <w:rPr>
          <w:noProof/>
          <w:szCs w:val="22"/>
          <w:shd w:val="clear" w:color="auto" w:fill="D9D9D9"/>
        </w:rPr>
        <w:t xml:space="preserve"> hlásenia uvedené v</w:t>
      </w:r>
      <w:r w:rsidR="00731003">
        <w:rPr>
          <w:noProof/>
          <w:szCs w:val="22"/>
          <w:shd w:val="clear" w:color="auto" w:fill="D9D9D9"/>
        </w:rPr>
        <w:t> </w:t>
      </w:r>
      <w:hyperlink r:id="rId16" w:history="1">
        <w:r w:rsidRPr="00C83045">
          <w:rPr>
            <w:rStyle w:val="Hyperlink"/>
            <w:noProof/>
            <w:szCs w:val="22"/>
            <w:shd w:val="clear" w:color="auto" w:fill="D9D9D9"/>
          </w:rPr>
          <w:t>P</w:t>
        </w:r>
        <w:r w:rsidRPr="00C83045">
          <w:rPr>
            <w:rStyle w:val="Hyperlink"/>
            <w:shd w:val="clear" w:color="auto" w:fill="D9D9D9"/>
          </w:rPr>
          <w:t>rílohe</w:t>
        </w:r>
        <w:r w:rsidR="00731003">
          <w:rPr>
            <w:rStyle w:val="Hyperlink"/>
            <w:shd w:val="clear" w:color="auto" w:fill="D9D9D9"/>
          </w:rPr>
          <w:t> </w:t>
        </w:r>
        <w:r w:rsidRPr="00C83045">
          <w:rPr>
            <w:rStyle w:val="Hyperlink"/>
            <w:shd w:val="clear" w:color="auto" w:fill="D9D9D9"/>
          </w:rPr>
          <w:t>V</w:t>
        </w:r>
      </w:hyperlink>
      <w:r w:rsidRPr="00C83045">
        <w:rPr>
          <w:noProof/>
          <w:szCs w:val="22"/>
        </w:rPr>
        <w:t>.</w:t>
      </w:r>
      <w:r w:rsidRPr="00C83045">
        <w:rPr>
          <w:szCs w:val="22"/>
        </w:rPr>
        <w:t xml:space="preserve"> </w:t>
      </w:r>
      <w:r w:rsidRPr="00C83045">
        <w:rPr>
          <w:noProof/>
          <w:szCs w:val="22"/>
        </w:rPr>
        <w:t>Hlásením vedľajších účinkov môžete prispieť k získaniu ďalších informácií o bezpečnosti tohto lieku.</w:t>
      </w:r>
    </w:p>
    <w:p w14:paraId="32368C4C" w14:textId="77777777" w:rsidR="00591A69" w:rsidRPr="00C83045" w:rsidRDefault="00591A69" w:rsidP="00D4304B">
      <w:pPr>
        <w:widowControl w:val="0"/>
        <w:numPr>
          <w:ilvl w:val="12"/>
          <w:numId w:val="0"/>
        </w:numPr>
        <w:rPr>
          <w:color w:val="000000"/>
          <w:szCs w:val="22"/>
        </w:rPr>
      </w:pPr>
    </w:p>
    <w:p w14:paraId="32368C4D" w14:textId="77777777" w:rsidR="00591A69" w:rsidRPr="00C83045" w:rsidRDefault="00591A69" w:rsidP="00D4304B">
      <w:pPr>
        <w:widowControl w:val="0"/>
        <w:numPr>
          <w:ilvl w:val="12"/>
          <w:numId w:val="0"/>
        </w:numPr>
        <w:rPr>
          <w:color w:val="000000"/>
          <w:szCs w:val="22"/>
        </w:rPr>
      </w:pPr>
    </w:p>
    <w:p w14:paraId="32368C4E" w14:textId="77777777" w:rsidR="00F80E99" w:rsidRPr="00C83045" w:rsidRDefault="00F80E99" w:rsidP="00D4304B">
      <w:pPr>
        <w:keepNext/>
        <w:widowControl w:val="0"/>
        <w:numPr>
          <w:ilvl w:val="12"/>
          <w:numId w:val="0"/>
        </w:numPr>
        <w:ind w:left="567" w:hanging="567"/>
        <w:outlineLvl w:val="0"/>
        <w:rPr>
          <w:color w:val="000000"/>
          <w:szCs w:val="22"/>
        </w:rPr>
      </w:pPr>
      <w:r w:rsidRPr="00C83045">
        <w:rPr>
          <w:b/>
          <w:color w:val="000000"/>
          <w:szCs w:val="22"/>
        </w:rPr>
        <w:t>5.</w:t>
      </w:r>
      <w:r w:rsidRPr="00C83045">
        <w:rPr>
          <w:b/>
          <w:color w:val="000000"/>
          <w:szCs w:val="22"/>
        </w:rPr>
        <w:tab/>
      </w:r>
      <w:r w:rsidRPr="00C83045">
        <w:rPr>
          <w:b/>
          <w:noProof/>
        </w:rPr>
        <w:t>Ako uchovávať Glivec</w:t>
      </w:r>
    </w:p>
    <w:p w14:paraId="32368C4F" w14:textId="77777777" w:rsidR="00F80E99" w:rsidRPr="00C83045" w:rsidRDefault="00F80E99" w:rsidP="00D4304B">
      <w:pPr>
        <w:keepNext/>
        <w:widowControl w:val="0"/>
        <w:ind w:left="0" w:firstLine="0"/>
        <w:rPr>
          <w:color w:val="000000"/>
          <w:szCs w:val="22"/>
        </w:rPr>
      </w:pPr>
    </w:p>
    <w:p w14:paraId="32368C50" w14:textId="77777777" w:rsidR="00F80E99" w:rsidRPr="00C83045" w:rsidRDefault="00F80E99" w:rsidP="00D4304B">
      <w:pPr>
        <w:widowControl w:val="0"/>
        <w:numPr>
          <w:ilvl w:val="0"/>
          <w:numId w:val="4"/>
        </w:numPr>
        <w:tabs>
          <w:tab w:val="clear" w:pos="720"/>
        </w:tabs>
        <w:ind w:hanging="567"/>
        <w:rPr>
          <w:color w:val="000000"/>
          <w:szCs w:val="22"/>
        </w:rPr>
      </w:pPr>
      <w:r w:rsidRPr="00C83045">
        <w:rPr>
          <w:noProof/>
        </w:rPr>
        <w:t xml:space="preserve">Tento liek </w:t>
      </w:r>
      <w:r w:rsidRPr="00C83045">
        <w:rPr>
          <w:color w:val="000000"/>
          <w:szCs w:val="22"/>
        </w:rPr>
        <w:t>uchovávajte mimo dohľadu a dosahu detí.</w:t>
      </w:r>
    </w:p>
    <w:p w14:paraId="32368C51" w14:textId="77777777" w:rsidR="00F80E99" w:rsidRPr="00C83045" w:rsidRDefault="00F80E99" w:rsidP="00D4304B">
      <w:pPr>
        <w:widowControl w:val="0"/>
        <w:numPr>
          <w:ilvl w:val="0"/>
          <w:numId w:val="4"/>
        </w:numPr>
        <w:tabs>
          <w:tab w:val="clear" w:pos="720"/>
        </w:tabs>
        <w:ind w:hanging="567"/>
        <w:rPr>
          <w:color w:val="000000"/>
          <w:szCs w:val="22"/>
        </w:rPr>
      </w:pPr>
      <w:r w:rsidRPr="00C83045">
        <w:rPr>
          <w:color w:val="000000"/>
          <w:szCs w:val="22"/>
        </w:rPr>
        <w:t xml:space="preserve">Nepoužívajte </w:t>
      </w:r>
      <w:r w:rsidRPr="00C83045">
        <w:rPr>
          <w:noProof/>
        </w:rPr>
        <w:t xml:space="preserve">tento liek </w:t>
      </w:r>
      <w:r w:rsidRPr="00C83045">
        <w:rPr>
          <w:color w:val="000000"/>
          <w:szCs w:val="22"/>
        </w:rPr>
        <w:t>po dátume exspirácie, ktorý je uvedený na škatuli</w:t>
      </w:r>
      <w:r w:rsidR="009F23CA">
        <w:rPr>
          <w:color w:val="000000"/>
          <w:szCs w:val="22"/>
        </w:rPr>
        <w:t xml:space="preserve"> po EXP</w:t>
      </w:r>
      <w:r w:rsidRPr="00C83045">
        <w:rPr>
          <w:color w:val="000000"/>
          <w:szCs w:val="22"/>
        </w:rPr>
        <w:t>.</w:t>
      </w:r>
    </w:p>
    <w:p w14:paraId="32368C52" w14:textId="77777777" w:rsidR="00F80E99" w:rsidRPr="00C83045" w:rsidRDefault="00F80E99" w:rsidP="00D4304B">
      <w:pPr>
        <w:widowControl w:val="0"/>
        <w:numPr>
          <w:ilvl w:val="0"/>
          <w:numId w:val="4"/>
        </w:numPr>
        <w:tabs>
          <w:tab w:val="clear" w:pos="720"/>
        </w:tabs>
        <w:ind w:hanging="567"/>
        <w:rPr>
          <w:color w:val="000000"/>
          <w:szCs w:val="22"/>
        </w:rPr>
      </w:pPr>
      <w:r w:rsidRPr="00C83045">
        <w:rPr>
          <w:color w:val="000000"/>
          <w:szCs w:val="22"/>
        </w:rPr>
        <w:t>Uchovávajte pri teplote neprevyšujúcej 30°C.</w:t>
      </w:r>
    </w:p>
    <w:p w14:paraId="32368C53" w14:textId="77777777" w:rsidR="00F80E99" w:rsidRPr="00C83045" w:rsidRDefault="00F80E99" w:rsidP="00D4304B">
      <w:pPr>
        <w:widowControl w:val="0"/>
        <w:numPr>
          <w:ilvl w:val="0"/>
          <w:numId w:val="4"/>
        </w:numPr>
        <w:tabs>
          <w:tab w:val="clear" w:pos="720"/>
        </w:tabs>
        <w:ind w:hanging="567"/>
        <w:rPr>
          <w:color w:val="000000"/>
          <w:szCs w:val="22"/>
        </w:rPr>
      </w:pPr>
      <w:r w:rsidRPr="00C83045">
        <w:rPr>
          <w:color w:val="000000"/>
          <w:szCs w:val="22"/>
        </w:rPr>
        <w:t>Uchovávajte v pôvodnom obale na ochranu pred vlhkosťou.</w:t>
      </w:r>
    </w:p>
    <w:p w14:paraId="32368C54" w14:textId="77777777" w:rsidR="00C56B00" w:rsidRPr="00C83045" w:rsidRDefault="00F80E99" w:rsidP="00D4304B">
      <w:pPr>
        <w:widowControl w:val="0"/>
        <w:numPr>
          <w:ilvl w:val="0"/>
          <w:numId w:val="4"/>
        </w:numPr>
        <w:tabs>
          <w:tab w:val="clear" w:pos="720"/>
        </w:tabs>
        <w:ind w:hanging="567"/>
        <w:rPr>
          <w:color w:val="000000"/>
          <w:szCs w:val="22"/>
        </w:rPr>
      </w:pPr>
      <w:r w:rsidRPr="00C83045">
        <w:rPr>
          <w:color w:val="000000"/>
          <w:szCs w:val="22"/>
        </w:rPr>
        <w:t>Nepoužite balenie, ktoré je poškodené alebo nesie stopy nedovoleného zaobchádzania.</w:t>
      </w:r>
    </w:p>
    <w:p w14:paraId="32368C55" w14:textId="77777777" w:rsidR="00FC49D9" w:rsidRPr="00C83045" w:rsidRDefault="00FC49D9" w:rsidP="00D4304B">
      <w:pPr>
        <w:widowControl w:val="0"/>
        <w:numPr>
          <w:ilvl w:val="0"/>
          <w:numId w:val="4"/>
        </w:numPr>
        <w:tabs>
          <w:tab w:val="clear" w:pos="720"/>
        </w:tabs>
        <w:ind w:hanging="567"/>
        <w:rPr>
          <w:color w:val="000000"/>
          <w:szCs w:val="22"/>
        </w:rPr>
      </w:pPr>
      <w:r w:rsidRPr="00C83045">
        <w:rPr>
          <w:noProof/>
          <w:szCs w:val="22"/>
        </w:rPr>
        <w:t>Nelikvidujte</w:t>
      </w:r>
      <w:r w:rsidRPr="00C83045" w:rsidDel="004B2B65">
        <w:t xml:space="preserve"> </w:t>
      </w:r>
      <w:r w:rsidRPr="00C83045">
        <w:t>lieky odpadovou vodou alebo domovým odpadom.</w:t>
      </w:r>
      <w:r w:rsidRPr="00C83045">
        <w:rPr>
          <w:noProof/>
        </w:rPr>
        <w:t xml:space="preserve"> </w:t>
      </w:r>
      <w:r w:rsidRPr="00C83045">
        <w:t>Nepoužitý liek vráťte do lekárne.</w:t>
      </w:r>
      <w:r w:rsidRPr="00C83045">
        <w:rPr>
          <w:noProof/>
        </w:rPr>
        <w:t xml:space="preserve"> </w:t>
      </w:r>
      <w:r w:rsidRPr="00C83045">
        <w:t>Tieto opatrenia pomôžu chrániť životné prostredie.</w:t>
      </w:r>
    </w:p>
    <w:p w14:paraId="32368C56" w14:textId="77777777" w:rsidR="00F80E99" w:rsidRPr="00C83045" w:rsidRDefault="00F80E99" w:rsidP="00D4304B">
      <w:pPr>
        <w:widowControl w:val="0"/>
        <w:rPr>
          <w:color w:val="000000"/>
          <w:szCs w:val="22"/>
        </w:rPr>
      </w:pPr>
    </w:p>
    <w:p w14:paraId="32368C57" w14:textId="77777777" w:rsidR="00F80E99" w:rsidRPr="00C83045" w:rsidRDefault="00F80E99" w:rsidP="00D4304B">
      <w:pPr>
        <w:widowControl w:val="0"/>
        <w:rPr>
          <w:color w:val="000000"/>
          <w:szCs w:val="22"/>
        </w:rPr>
      </w:pPr>
    </w:p>
    <w:p w14:paraId="32368C58" w14:textId="77777777" w:rsidR="00F72C2E" w:rsidRPr="00C83045" w:rsidRDefault="00F72C2E" w:rsidP="00D4304B">
      <w:pPr>
        <w:keepNext/>
        <w:widowControl w:val="0"/>
        <w:rPr>
          <w:b/>
          <w:color w:val="000000"/>
          <w:szCs w:val="22"/>
        </w:rPr>
      </w:pPr>
      <w:r w:rsidRPr="00C83045">
        <w:rPr>
          <w:b/>
          <w:color w:val="000000"/>
          <w:szCs w:val="22"/>
        </w:rPr>
        <w:lastRenderedPageBreak/>
        <w:t>6.</w:t>
      </w:r>
      <w:r w:rsidRPr="00C83045">
        <w:rPr>
          <w:b/>
          <w:color w:val="000000"/>
          <w:szCs w:val="22"/>
        </w:rPr>
        <w:tab/>
      </w:r>
      <w:r w:rsidR="00F32D05" w:rsidRPr="00C83045">
        <w:rPr>
          <w:b/>
          <w:noProof/>
        </w:rPr>
        <w:t>Obsah balenia a ďalšie informácie</w:t>
      </w:r>
    </w:p>
    <w:p w14:paraId="32368C59" w14:textId="77777777" w:rsidR="00F72C2E" w:rsidRPr="00C83045" w:rsidRDefault="00F72C2E" w:rsidP="00D4304B">
      <w:pPr>
        <w:keepNext/>
        <w:widowControl w:val="0"/>
        <w:numPr>
          <w:ilvl w:val="12"/>
          <w:numId w:val="0"/>
        </w:numPr>
        <w:rPr>
          <w:color w:val="000000"/>
          <w:szCs w:val="22"/>
        </w:rPr>
      </w:pPr>
    </w:p>
    <w:p w14:paraId="32368C5A" w14:textId="77777777" w:rsidR="00F72C2E" w:rsidRPr="00C83045" w:rsidRDefault="00F72C2E" w:rsidP="00D4304B">
      <w:pPr>
        <w:keepNext/>
        <w:widowControl w:val="0"/>
        <w:ind w:left="0" w:firstLine="0"/>
        <w:rPr>
          <w:b/>
          <w:color w:val="000000"/>
          <w:szCs w:val="22"/>
        </w:rPr>
      </w:pPr>
      <w:r w:rsidRPr="00C83045">
        <w:rPr>
          <w:b/>
          <w:color w:val="000000"/>
          <w:szCs w:val="22"/>
        </w:rPr>
        <w:t>Čo Glivec obsahuje</w:t>
      </w:r>
    </w:p>
    <w:p w14:paraId="32368C5B" w14:textId="77777777" w:rsidR="00F72C2E" w:rsidRPr="00C83045" w:rsidRDefault="00F72C2E" w:rsidP="00D4304B">
      <w:pPr>
        <w:widowControl w:val="0"/>
        <w:numPr>
          <w:ilvl w:val="0"/>
          <w:numId w:val="6"/>
        </w:numPr>
        <w:rPr>
          <w:color w:val="000000"/>
          <w:szCs w:val="22"/>
        </w:rPr>
      </w:pPr>
      <w:r w:rsidRPr="00C83045">
        <w:rPr>
          <w:color w:val="000000"/>
          <w:szCs w:val="22"/>
        </w:rPr>
        <w:t>Liečivo je imatinibiummesilát. Každá kapsula Glivecu obsahuje 100 mg imatinibu</w:t>
      </w:r>
      <w:r w:rsidR="00F32D05" w:rsidRPr="00C83045">
        <w:rPr>
          <w:color w:val="000000"/>
          <w:szCs w:val="22"/>
        </w:rPr>
        <w:t xml:space="preserve"> (ako </w:t>
      </w:r>
      <w:r w:rsidRPr="00C83045">
        <w:rPr>
          <w:color w:val="000000"/>
          <w:szCs w:val="22"/>
        </w:rPr>
        <w:t>mesilátu</w:t>
      </w:r>
      <w:r w:rsidR="00F32D05" w:rsidRPr="00C83045">
        <w:rPr>
          <w:color w:val="000000"/>
          <w:szCs w:val="22"/>
        </w:rPr>
        <w:t>)</w:t>
      </w:r>
      <w:r w:rsidRPr="00C83045">
        <w:rPr>
          <w:color w:val="000000"/>
          <w:szCs w:val="22"/>
        </w:rPr>
        <w:t>.</w:t>
      </w:r>
    </w:p>
    <w:p w14:paraId="32368C5C" w14:textId="77777777" w:rsidR="00F72C2E" w:rsidRPr="00C83045" w:rsidRDefault="00F72C2E" w:rsidP="00D4304B">
      <w:pPr>
        <w:widowControl w:val="0"/>
        <w:numPr>
          <w:ilvl w:val="0"/>
          <w:numId w:val="6"/>
        </w:numPr>
        <w:rPr>
          <w:color w:val="000000"/>
          <w:szCs w:val="22"/>
        </w:rPr>
      </w:pPr>
      <w:r w:rsidRPr="00C83045">
        <w:rPr>
          <w:color w:val="000000"/>
          <w:szCs w:val="22"/>
        </w:rPr>
        <w:t xml:space="preserve">Ďalšie zložky sú mikrokryštalická celulóza, krospovidón, magnéziumstearát a koloidný oxid kremičitý bezvodý. Stena kapsuly obsahuje želatínu, červený oxid železitý (E172), žltý oxid železitý (E172) a oxid titaničitý (E171). Farbivo na potlač obsahuje červený oxid železitý </w:t>
      </w:r>
      <w:r w:rsidR="002D590E" w:rsidRPr="00C83045">
        <w:rPr>
          <w:color w:val="000000"/>
          <w:szCs w:val="22"/>
        </w:rPr>
        <w:t>(E172) a šelak.</w:t>
      </w:r>
    </w:p>
    <w:p w14:paraId="32368C5D" w14:textId="77777777" w:rsidR="00F72C2E" w:rsidRPr="00C83045" w:rsidRDefault="00F72C2E" w:rsidP="00D4304B">
      <w:pPr>
        <w:widowControl w:val="0"/>
        <w:numPr>
          <w:ilvl w:val="12"/>
          <w:numId w:val="0"/>
        </w:numPr>
        <w:rPr>
          <w:color w:val="000000"/>
          <w:szCs w:val="22"/>
        </w:rPr>
      </w:pPr>
    </w:p>
    <w:p w14:paraId="32368C5E" w14:textId="77777777" w:rsidR="00F72C2E" w:rsidRPr="00C83045" w:rsidRDefault="00F72C2E" w:rsidP="00D4304B">
      <w:pPr>
        <w:keepNext/>
        <w:widowControl w:val="0"/>
        <w:numPr>
          <w:ilvl w:val="12"/>
          <w:numId w:val="0"/>
        </w:numPr>
        <w:ind w:right="-2"/>
        <w:rPr>
          <w:b/>
          <w:color w:val="000000"/>
          <w:szCs w:val="22"/>
        </w:rPr>
      </w:pPr>
      <w:r w:rsidRPr="00C83045">
        <w:rPr>
          <w:b/>
          <w:color w:val="000000"/>
          <w:szCs w:val="22"/>
        </w:rPr>
        <w:t>Ako vyzerá Glivec a obsah balenia</w:t>
      </w:r>
    </w:p>
    <w:p w14:paraId="32368C5F" w14:textId="77777777" w:rsidR="00F72C2E" w:rsidRPr="00C83045" w:rsidRDefault="00F72C2E" w:rsidP="00D4304B">
      <w:pPr>
        <w:widowControl w:val="0"/>
        <w:numPr>
          <w:ilvl w:val="12"/>
          <w:numId w:val="0"/>
        </w:numPr>
        <w:rPr>
          <w:color w:val="000000"/>
          <w:szCs w:val="22"/>
        </w:rPr>
      </w:pPr>
      <w:r w:rsidRPr="00C83045">
        <w:rPr>
          <w:color w:val="000000"/>
          <w:szCs w:val="22"/>
        </w:rPr>
        <w:t>Glivec 100 mg kapsuly sú oranžové až šedooranžové s označením „</w:t>
      </w:r>
      <w:smartTag w:uri="urn:schemas-microsoft-com:office:smarttags" w:element="stockticker">
        <w:r w:rsidRPr="00C83045">
          <w:rPr>
            <w:color w:val="000000"/>
            <w:szCs w:val="22"/>
          </w:rPr>
          <w:t>NVR</w:t>
        </w:r>
      </w:smartTag>
      <w:r w:rsidRPr="00C83045">
        <w:rPr>
          <w:color w:val="000000"/>
          <w:szCs w:val="22"/>
        </w:rPr>
        <w:t> SI“. Obsahujú biely až žltý prášok.</w:t>
      </w:r>
    </w:p>
    <w:p w14:paraId="32368C60" w14:textId="77777777" w:rsidR="00F72C2E" w:rsidRPr="00C83045" w:rsidRDefault="00F72C2E" w:rsidP="00D4304B">
      <w:pPr>
        <w:widowControl w:val="0"/>
        <w:numPr>
          <w:ilvl w:val="12"/>
          <w:numId w:val="0"/>
        </w:numPr>
        <w:rPr>
          <w:color w:val="000000"/>
          <w:szCs w:val="22"/>
        </w:rPr>
      </w:pPr>
    </w:p>
    <w:p w14:paraId="32368C61" w14:textId="77777777" w:rsidR="00F72C2E" w:rsidRPr="00C83045" w:rsidRDefault="00F72C2E" w:rsidP="00D4304B">
      <w:pPr>
        <w:widowControl w:val="0"/>
        <w:numPr>
          <w:ilvl w:val="12"/>
          <w:numId w:val="0"/>
        </w:numPr>
        <w:rPr>
          <w:color w:val="000000"/>
          <w:szCs w:val="22"/>
        </w:rPr>
      </w:pPr>
      <w:r w:rsidRPr="00C83045">
        <w:rPr>
          <w:color w:val="000000"/>
          <w:szCs w:val="22"/>
        </w:rPr>
        <w:t xml:space="preserve">Dodávajú sa v baleniach obsahujúcich 24, 48, 96, 120 alebo 180 kapsúl, ale všetky balenia nemusia byť dostupné vo </w:t>
      </w:r>
      <w:r w:rsidR="00133258" w:rsidRPr="00C83045">
        <w:rPr>
          <w:color w:val="000000"/>
          <w:szCs w:val="22"/>
        </w:rPr>
        <w:t>v</w:t>
      </w:r>
      <w:r w:rsidRPr="00C83045">
        <w:rPr>
          <w:color w:val="000000"/>
          <w:szCs w:val="22"/>
        </w:rPr>
        <w:t>ašej krajine.</w:t>
      </w:r>
    </w:p>
    <w:p w14:paraId="32368C62" w14:textId="77777777" w:rsidR="00F72C2E" w:rsidRPr="00C83045" w:rsidRDefault="00F72C2E" w:rsidP="00D4304B">
      <w:pPr>
        <w:widowControl w:val="0"/>
        <w:numPr>
          <w:ilvl w:val="12"/>
          <w:numId w:val="0"/>
        </w:numPr>
        <w:rPr>
          <w:color w:val="000000"/>
          <w:szCs w:val="22"/>
        </w:rPr>
      </w:pPr>
    </w:p>
    <w:p w14:paraId="32368C63" w14:textId="77777777" w:rsidR="00F72C2E" w:rsidRPr="00C83045" w:rsidRDefault="00F72C2E" w:rsidP="00D4304B">
      <w:pPr>
        <w:keepNext/>
        <w:widowControl w:val="0"/>
        <w:numPr>
          <w:ilvl w:val="12"/>
          <w:numId w:val="0"/>
        </w:numPr>
        <w:rPr>
          <w:b/>
          <w:color w:val="000000"/>
          <w:szCs w:val="22"/>
        </w:rPr>
      </w:pPr>
      <w:r w:rsidRPr="00C83045">
        <w:rPr>
          <w:b/>
          <w:color w:val="000000"/>
          <w:szCs w:val="22"/>
        </w:rPr>
        <w:t>Držiteľ rozhodnutia o registrácii</w:t>
      </w:r>
    </w:p>
    <w:p w14:paraId="32368C64" w14:textId="77777777" w:rsidR="00F72C2E" w:rsidRPr="00C83045" w:rsidRDefault="00F72C2E" w:rsidP="00D4304B">
      <w:pPr>
        <w:keepNext/>
        <w:widowControl w:val="0"/>
        <w:ind w:left="0" w:firstLine="0"/>
        <w:rPr>
          <w:bCs/>
          <w:color w:val="000000"/>
          <w:szCs w:val="22"/>
        </w:rPr>
      </w:pPr>
      <w:r w:rsidRPr="00C83045">
        <w:rPr>
          <w:bCs/>
          <w:color w:val="000000"/>
          <w:szCs w:val="22"/>
        </w:rPr>
        <w:t>Novartis Europharm Limited</w:t>
      </w:r>
    </w:p>
    <w:p w14:paraId="32368C65" w14:textId="77777777" w:rsidR="006E79DA" w:rsidRPr="00EB33FE" w:rsidRDefault="006E79DA" w:rsidP="00D4304B">
      <w:pPr>
        <w:keepNext/>
        <w:widowControl w:val="0"/>
        <w:rPr>
          <w:color w:val="000000"/>
        </w:rPr>
      </w:pPr>
      <w:r w:rsidRPr="00EB33FE">
        <w:rPr>
          <w:color w:val="000000"/>
        </w:rPr>
        <w:t>Vista Building</w:t>
      </w:r>
    </w:p>
    <w:p w14:paraId="32368C66" w14:textId="77777777" w:rsidR="006E79DA" w:rsidRPr="00EB33FE" w:rsidRDefault="006E79DA" w:rsidP="00D4304B">
      <w:pPr>
        <w:keepNext/>
        <w:widowControl w:val="0"/>
        <w:rPr>
          <w:color w:val="000000"/>
        </w:rPr>
      </w:pPr>
      <w:r w:rsidRPr="00EB33FE">
        <w:rPr>
          <w:color w:val="000000"/>
        </w:rPr>
        <w:t>Elm Park, Merrion Road</w:t>
      </w:r>
    </w:p>
    <w:p w14:paraId="32368C67" w14:textId="77777777" w:rsidR="006E79DA" w:rsidRPr="00EB33FE" w:rsidRDefault="006E79DA" w:rsidP="00D4304B">
      <w:pPr>
        <w:keepNext/>
        <w:widowControl w:val="0"/>
        <w:rPr>
          <w:color w:val="000000"/>
        </w:rPr>
      </w:pPr>
      <w:r w:rsidRPr="00EB33FE">
        <w:rPr>
          <w:color w:val="000000"/>
        </w:rPr>
        <w:t>Dublin 4</w:t>
      </w:r>
    </w:p>
    <w:p w14:paraId="32368C68" w14:textId="77777777" w:rsidR="006E79DA" w:rsidRDefault="006E79DA" w:rsidP="00D4304B">
      <w:pPr>
        <w:widowControl w:val="0"/>
        <w:rPr>
          <w:color w:val="000000"/>
        </w:rPr>
      </w:pPr>
      <w:r w:rsidRPr="00EB33FE">
        <w:rPr>
          <w:color w:val="000000"/>
        </w:rPr>
        <w:t>Írsko</w:t>
      </w:r>
    </w:p>
    <w:p w14:paraId="32368C69" w14:textId="77777777" w:rsidR="00F72C2E" w:rsidRPr="00C83045" w:rsidRDefault="00F72C2E" w:rsidP="00D4304B">
      <w:pPr>
        <w:widowControl w:val="0"/>
        <w:numPr>
          <w:ilvl w:val="12"/>
          <w:numId w:val="0"/>
        </w:numPr>
        <w:rPr>
          <w:color w:val="000000"/>
          <w:szCs w:val="22"/>
        </w:rPr>
      </w:pPr>
    </w:p>
    <w:p w14:paraId="32368C6A" w14:textId="77777777" w:rsidR="00F72C2E" w:rsidRPr="00C83045" w:rsidRDefault="00F72C2E" w:rsidP="00D4304B">
      <w:pPr>
        <w:keepNext/>
        <w:widowControl w:val="0"/>
        <w:numPr>
          <w:ilvl w:val="12"/>
          <w:numId w:val="0"/>
        </w:numPr>
        <w:rPr>
          <w:b/>
          <w:color w:val="000000"/>
          <w:szCs w:val="22"/>
        </w:rPr>
      </w:pPr>
      <w:r w:rsidRPr="00C83045">
        <w:rPr>
          <w:b/>
          <w:color w:val="000000"/>
          <w:szCs w:val="22"/>
        </w:rPr>
        <w:t>Výrobca</w:t>
      </w:r>
    </w:p>
    <w:p w14:paraId="32368C6B" w14:textId="77777777" w:rsidR="00F72C2E" w:rsidRPr="00C83045" w:rsidRDefault="00F72C2E" w:rsidP="00D4304B">
      <w:pPr>
        <w:keepNext/>
        <w:widowControl w:val="0"/>
        <w:numPr>
          <w:ilvl w:val="12"/>
          <w:numId w:val="0"/>
        </w:numPr>
        <w:rPr>
          <w:color w:val="000000"/>
          <w:szCs w:val="22"/>
        </w:rPr>
      </w:pPr>
      <w:r w:rsidRPr="00C83045">
        <w:rPr>
          <w:color w:val="000000"/>
          <w:szCs w:val="22"/>
        </w:rPr>
        <w:t>Novartis Pharma GmbH</w:t>
      </w:r>
    </w:p>
    <w:p w14:paraId="32368C6C" w14:textId="77777777" w:rsidR="00F72C2E" w:rsidRPr="00C83045" w:rsidRDefault="00F72C2E" w:rsidP="00D4304B">
      <w:pPr>
        <w:keepNext/>
        <w:widowControl w:val="0"/>
        <w:numPr>
          <w:ilvl w:val="12"/>
          <w:numId w:val="0"/>
        </w:numPr>
        <w:rPr>
          <w:color w:val="000000"/>
          <w:szCs w:val="22"/>
        </w:rPr>
      </w:pPr>
      <w:r w:rsidRPr="00C83045">
        <w:rPr>
          <w:color w:val="000000"/>
          <w:szCs w:val="22"/>
        </w:rPr>
        <w:t>Roonstrasse 25</w:t>
      </w:r>
    </w:p>
    <w:p w14:paraId="32368C6D" w14:textId="77777777" w:rsidR="00F72C2E" w:rsidRPr="00C83045" w:rsidRDefault="00F72C2E" w:rsidP="00D4304B">
      <w:pPr>
        <w:keepNext/>
        <w:widowControl w:val="0"/>
        <w:numPr>
          <w:ilvl w:val="12"/>
          <w:numId w:val="0"/>
        </w:numPr>
        <w:rPr>
          <w:color w:val="000000"/>
          <w:szCs w:val="22"/>
        </w:rPr>
      </w:pPr>
      <w:r w:rsidRPr="00C83045">
        <w:rPr>
          <w:color w:val="000000"/>
          <w:szCs w:val="22"/>
        </w:rPr>
        <w:t>D-90429 Norimberg</w:t>
      </w:r>
    </w:p>
    <w:p w14:paraId="32368C6E" w14:textId="77777777" w:rsidR="00F72C2E" w:rsidRPr="00C83045" w:rsidRDefault="00F72C2E" w:rsidP="00D4304B">
      <w:pPr>
        <w:widowControl w:val="0"/>
        <w:numPr>
          <w:ilvl w:val="12"/>
          <w:numId w:val="0"/>
        </w:numPr>
        <w:rPr>
          <w:color w:val="000000"/>
          <w:szCs w:val="22"/>
        </w:rPr>
      </w:pPr>
      <w:r w:rsidRPr="00C83045">
        <w:rPr>
          <w:color w:val="000000"/>
          <w:szCs w:val="22"/>
        </w:rPr>
        <w:t>Nemecko</w:t>
      </w:r>
    </w:p>
    <w:p w14:paraId="32368C6F" w14:textId="20D26594" w:rsidR="00F72C2E" w:rsidRDefault="00F72C2E" w:rsidP="00D4304B">
      <w:pPr>
        <w:widowControl w:val="0"/>
        <w:numPr>
          <w:ilvl w:val="12"/>
          <w:numId w:val="0"/>
        </w:numPr>
        <w:rPr>
          <w:color w:val="000000"/>
          <w:szCs w:val="22"/>
        </w:rPr>
      </w:pPr>
    </w:p>
    <w:p w14:paraId="6F4E22C3" w14:textId="77777777" w:rsidR="00DC2178" w:rsidRPr="00DC2178" w:rsidRDefault="00DC2178" w:rsidP="00DC2178">
      <w:pPr>
        <w:keepNext/>
        <w:widowControl w:val="0"/>
        <w:rPr>
          <w:szCs w:val="22"/>
          <w:shd w:val="pct15" w:color="auto" w:fill="auto"/>
        </w:rPr>
      </w:pPr>
      <w:r w:rsidRPr="00DC2178">
        <w:rPr>
          <w:szCs w:val="22"/>
          <w:shd w:val="pct15" w:color="auto" w:fill="auto"/>
        </w:rPr>
        <w:t>Sandoz S.R.L.</w:t>
      </w:r>
    </w:p>
    <w:p w14:paraId="23988256" w14:textId="77777777" w:rsidR="00DC2178" w:rsidRPr="00DC2178" w:rsidRDefault="00DC2178" w:rsidP="00DC2178">
      <w:pPr>
        <w:keepNext/>
        <w:widowControl w:val="0"/>
        <w:rPr>
          <w:szCs w:val="22"/>
          <w:shd w:val="pct15" w:color="auto" w:fill="auto"/>
        </w:rPr>
      </w:pPr>
      <w:r w:rsidRPr="00DC2178">
        <w:rPr>
          <w:szCs w:val="22"/>
          <w:shd w:val="pct15" w:color="auto" w:fill="auto"/>
        </w:rPr>
        <w:t>Str. Livezeni nr. 7A</w:t>
      </w:r>
    </w:p>
    <w:p w14:paraId="2CCCDB82" w14:textId="77777777" w:rsidR="00DC2178" w:rsidRPr="00DC2178" w:rsidRDefault="00DC2178" w:rsidP="00DC2178">
      <w:pPr>
        <w:keepNext/>
        <w:widowControl w:val="0"/>
        <w:rPr>
          <w:szCs w:val="22"/>
          <w:shd w:val="pct15" w:color="auto" w:fill="auto"/>
        </w:rPr>
      </w:pPr>
      <w:r w:rsidRPr="00DC2178">
        <w:rPr>
          <w:szCs w:val="22"/>
          <w:shd w:val="pct15" w:color="auto" w:fill="auto"/>
        </w:rPr>
        <w:t>540472, Targu Mures</w:t>
      </w:r>
    </w:p>
    <w:p w14:paraId="428FA007" w14:textId="7203A3B2" w:rsidR="00DC2178" w:rsidRPr="00DC2178" w:rsidRDefault="00DC2178" w:rsidP="00DC2178">
      <w:pPr>
        <w:widowControl w:val="0"/>
        <w:numPr>
          <w:ilvl w:val="12"/>
          <w:numId w:val="0"/>
        </w:numPr>
        <w:rPr>
          <w:szCs w:val="22"/>
          <w:shd w:val="pct15" w:color="auto" w:fill="auto"/>
        </w:rPr>
      </w:pPr>
      <w:r w:rsidRPr="00DC2178">
        <w:rPr>
          <w:szCs w:val="22"/>
          <w:shd w:val="pct15" w:color="auto" w:fill="auto"/>
        </w:rPr>
        <w:t>Rumunsko</w:t>
      </w:r>
    </w:p>
    <w:p w14:paraId="10ABE033" w14:textId="77777777" w:rsidR="00DC2178" w:rsidRPr="00C83045" w:rsidRDefault="00DC2178" w:rsidP="00DC2178">
      <w:pPr>
        <w:widowControl w:val="0"/>
        <w:numPr>
          <w:ilvl w:val="12"/>
          <w:numId w:val="0"/>
        </w:numPr>
        <w:rPr>
          <w:color w:val="000000"/>
          <w:szCs w:val="22"/>
        </w:rPr>
      </w:pPr>
    </w:p>
    <w:p w14:paraId="32368C70" w14:textId="77777777" w:rsidR="00F72C2E" w:rsidRPr="00C83045" w:rsidRDefault="00F72C2E" w:rsidP="00DC2178">
      <w:pPr>
        <w:keepNext/>
        <w:keepLines/>
        <w:widowControl w:val="0"/>
        <w:numPr>
          <w:ilvl w:val="12"/>
          <w:numId w:val="0"/>
        </w:numPr>
        <w:rPr>
          <w:color w:val="000000"/>
          <w:szCs w:val="22"/>
        </w:rPr>
      </w:pPr>
      <w:r w:rsidRPr="00C83045">
        <w:rPr>
          <w:color w:val="000000"/>
          <w:szCs w:val="22"/>
        </w:rPr>
        <w:t>Ak potrebujete akúkoľvek informáciu o tomto lieku, kontaktujte miestneho zástupcu držiteľa rozhodnutia o registrácii:</w:t>
      </w:r>
    </w:p>
    <w:p w14:paraId="32368C71" w14:textId="77777777" w:rsidR="00CF747B" w:rsidRPr="00C83045" w:rsidRDefault="00CF747B" w:rsidP="00D4304B">
      <w:pPr>
        <w:keepNext/>
        <w:widowControl w:val="0"/>
        <w:ind w:right="-449"/>
        <w:rPr>
          <w:color w:val="000000"/>
          <w:szCs w:val="22"/>
        </w:rPr>
      </w:pPr>
    </w:p>
    <w:tbl>
      <w:tblPr>
        <w:tblW w:w="9300" w:type="dxa"/>
        <w:tblLayout w:type="fixed"/>
        <w:tblLook w:val="0000" w:firstRow="0" w:lastRow="0" w:firstColumn="0" w:lastColumn="0" w:noHBand="0" w:noVBand="0"/>
      </w:tblPr>
      <w:tblGrid>
        <w:gridCol w:w="4650"/>
        <w:gridCol w:w="4650"/>
      </w:tblGrid>
      <w:tr w:rsidR="00CF747B" w:rsidRPr="006E79DA" w14:paraId="32368C7A" w14:textId="77777777" w:rsidTr="00500409">
        <w:trPr>
          <w:cantSplit/>
        </w:trPr>
        <w:tc>
          <w:tcPr>
            <w:tcW w:w="4650" w:type="dxa"/>
          </w:tcPr>
          <w:p w14:paraId="32368C72" w14:textId="77777777" w:rsidR="00CF747B" w:rsidRPr="00C83045" w:rsidRDefault="00CF747B" w:rsidP="00D4304B">
            <w:pPr>
              <w:widowControl w:val="0"/>
              <w:rPr>
                <w:b/>
                <w:color w:val="000000"/>
                <w:szCs w:val="22"/>
                <w:lang w:val="fr-FR"/>
              </w:rPr>
            </w:pPr>
            <w:r w:rsidRPr="00C83045">
              <w:rPr>
                <w:b/>
                <w:color w:val="000000"/>
                <w:szCs w:val="22"/>
                <w:lang w:val="fr-FR"/>
              </w:rPr>
              <w:t>België/Belgique/Belgien</w:t>
            </w:r>
          </w:p>
          <w:p w14:paraId="32368C73" w14:textId="77777777" w:rsidR="00CF747B" w:rsidRPr="00C83045" w:rsidRDefault="00CF747B" w:rsidP="00D4304B">
            <w:pPr>
              <w:widowControl w:val="0"/>
              <w:tabs>
                <w:tab w:val="left" w:pos="2490"/>
              </w:tabs>
              <w:rPr>
                <w:color w:val="000000"/>
                <w:szCs w:val="22"/>
                <w:lang w:val="fr-FR"/>
              </w:rPr>
            </w:pPr>
            <w:r w:rsidRPr="00C83045">
              <w:rPr>
                <w:color w:val="000000"/>
                <w:szCs w:val="22"/>
                <w:lang w:val="fr-FR"/>
              </w:rPr>
              <w:t>Novartis Pharma N.V.</w:t>
            </w:r>
          </w:p>
          <w:p w14:paraId="32368C74" w14:textId="77777777" w:rsidR="00CF747B" w:rsidRPr="00C83045" w:rsidRDefault="00CF747B" w:rsidP="00D4304B">
            <w:pPr>
              <w:widowControl w:val="0"/>
              <w:rPr>
                <w:color w:val="000000"/>
                <w:szCs w:val="22"/>
              </w:rPr>
            </w:pPr>
            <w:r w:rsidRPr="00C83045">
              <w:rPr>
                <w:color w:val="000000"/>
                <w:szCs w:val="22"/>
              </w:rPr>
              <w:t>Tél/Tel: +32 2 246 16 11</w:t>
            </w:r>
          </w:p>
          <w:p w14:paraId="32368C75" w14:textId="77777777" w:rsidR="00CF747B" w:rsidRPr="00C83045" w:rsidRDefault="00CF747B" w:rsidP="00D4304B">
            <w:pPr>
              <w:widowControl w:val="0"/>
              <w:rPr>
                <w:b/>
                <w:color w:val="000000"/>
                <w:szCs w:val="22"/>
              </w:rPr>
            </w:pPr>
          </w:p>
        </w:tc>
        <w:tc>
          <w:tcPr>
            <w:tcW w:w="4650" w:type="dxa"/>
          </w:tcPr>
          <w:p w14:paraId="32368C76" w14:textId="77777777" w:rsidR="00CF747B" w:rsidRPr="006E79DA" w:rsidRDefault="00CF747B" w:rsidP="00D4304B">
            <w:pPr>
              <w:widowControl w:val="0"/>
              <w:rPr>
                <w:b/>
                <w:color w:val="000000"/>
                <w:szCs w:val="22"/>
                <w:lang w:val="es-ES"/>
              </w:rPr>
            </w:pPr>
            <w:r w:rsidRPr="006E79DA">
              <w:rPr>
                <w:b/>
                <w:color w:val="000000"/>
                <w:szCs w:val="22"/>
                <w:lang w:val="es-ES"/>
              </w:rPr>
              <w:t>Lietuva</w:t>
            </w:r>
          </w:p>
          <w:p w14:paraId="32368C77" w14:textId="1F4BCDB1" w:rsidR="007F105B" w:rsidRPr="007F105B" w:rsidRDefault="007F105B" w:rsidP="00D4304B">
            <w:pPr>
              <w:widowControl w:val="0"/>
              <w:rPr>
                <w:color w:val="000000"/>
                <w:szCs w:val="22"/>
                <w:lang w:val="es-ES"/>
              </w:rPr>
            </w:pPr>
            <w:r w:rsidRPr="007F105B">
              <w:rPr>
                <w:color w:val="000000"/>
                <w:szCs w:val="22"/>
                <w:lang w:val="es-ES"/>
              </w:rPr>
              <w:t>SIA Novartis Baltics Lietuvos filialas</w:t>
            </w:r>
          </w:p>
          <w:p w14:paraId="32368C78" w14:textId="77777777" w:rsidR="00CF747B" w:rsidRPr="00C83045" w:rsidRDefault="00CF747B" w:rsidP="00D4304B">
            <w:pPr>
              <w:widowControl w:val="0"/>
              <w:rPr>
                <w:color w:val="000000"/>
                <w:szCs w:val="22"/>
              </w:rPr>
            </w:pPr>
            <w:r w:rsidRPr="00C83045">
              <w:rPr>
                <w:color w:val="000000"/>
                <w:szCs w:val="22"/>
              </w:rPr>
              <w:t>Tel: +370 5 269 16 50</w:t>
            </w:r>
          </w:p>
          <w:p w14:paraId="32368C79" w14:textId="77777777" w:rsidR="00CF747B" w:rsidRPr="006E79DA" w:rsidRDefault="00CF747B" w:rsidP="00D4304B">
            <w:pPr>
              <w:widowControl w:val="0"/>
              <w:rPr>
                <w:color w:val="000000"/>
                <w:szCs w:val="22"/>
                <w:lang w:val="es-ES"/>
              </w:rPr>
            </w:pPr>
          </w:p>
        </w:tc>
      </w:tr>
      <w:tr w:rsidR="00CF747B" w:rsidRPr="00C83045" w14:paraId="32368C83" w14:textId="77777777" w:rsidTr="00500409">
        <w:trPr>
          <w:cantSplit/>
        </w:trPr>
        <w:tc>
          <w:tcPr>
            <w:tcW w:w="4650" w:type="dxa"/>
          </w:tcPr>
          <w:p w14:paraId="32368C7B" w14:textId="77777777" w:rsidR="00CF747B" w:rsidRPr="00CD056A" w:rsidRDefault="00CF747B" w:rsidP="00D4304B">
            <w:pPr>
              <w:widowControl w:val="0"/>
              <w:rPr>
                <w:b/>
                <w:noProof/>
                <w:color w:val="000000"/>
                <w:szCs w:val="22"/>
                <w:lang w:val="es-ES"/>
              </w:rPr>
            </w:pPr>
            <w:r w:rsidRPr="00C83045">
              <w:rPr>
                <w:b/>
                <w:noProof/>
                <w:color w:val="000000"/>
                <w:szCs w:val="22"/>
              </w:rPr>
              <w:t>България</w:t>
            </w:r>
          </w:p>
          <w:p w14:paraId="32368C7C" w14:textId="77777777" w:rsidR="00CF747B" w:rsidRPr="00CD056A" w:rsidRDefault="009F23CA" w:rsidP="00D4304B">
            <w:pPr>
              <w:widowControl w:val="0"/>
              <w:rPr>
                <w:noProof/>
                <w:color w:val="000000"/>
                <w:szCs w:val="22"/>
                <w:lang w:val="es-ES"/>
              </w:rPr>
            </w:pPr>
            <w:r w:rsidRPr="00CD056A">
              <w:rPr>
                <w:szCs w:val="22"/>
                <w:lang w:val="es-ES"/>
              </w:rPr>
              <w:t>Novartis Bulgaria EOOD</w:t>
            </w:r>
          </w:p>
          <w:p w14:paraId="32368C7D" w14:textId="77777777" w:rsidR="00CF747B" w:rsidRPr="00C83045" w:rsidRDefault="00CF747B" w:rsidP="00D4304B">
            <w:pPr>
              <w:widowControl w:val="0"/>
              <w:rPr>
                <w:noProof/>
                <w:color w:val="000000"/>
                <w:szCs w:val="22"/>
              </w:rPr>
            </w:pPr>
            <w:r w:rsidRPr="00C83045">
              <w:rPr>
                <w:noProof/>
                <w:color w:val="000000"/>
                <w:szCs w:val="22"/>
              </w:rPr>
              <w:t>Тел.: +359 2 489 98 28</w:t>
            </w:r>
          </w:p>
          <w:p w14:paraId="32368C7E" w14:textId="77777777" w:rsidR="00CF747B" w:rsidRPr="00C83045" w:rsidRDefault="00CF747B" w:rsidP="00D4304B">
            <w:pPr>
              <w:widowControl w:val="0"/>
              <w:rPr>
                <w:b/>
                <w:color w:val="000000"/>
                <w:szCs w:val="22"/>
                <w:lang w:val="pt-BR"/>
              </w:rPr>
            </w:pPr>
          </w:p>
        </w:tc>
        <w:tc>
          <w:tcPr>
            <w:tcW w:w="4650" w:type="dxa"/>
          </w:tcPr>
          <w:p w14:paraId="32368C7F" w14:textId="77777777" w:rsidR="00CF747B" w:rsidRPr="00C83045" w:rsidRDefault="00CF747B" w:rsidP="00D4304B">
            <w:pPr>
              <w:widowControl w:val="0"/>
              <w:rPr>
                <w:b/>
                <w:color w:val="000000"/>
                <w:szCs w:val="22"/>
                <w:lang w:val="de-CH"/>
              </w:rPr>
            </w:pPr>
            <w:r w:rsidRPr="00C83045">
              <w:rPr>
                <w:b/>
                <w:color w:val="000000"/>
                <w:szCs w:val="22"/>
                <w:lang w:val="de-CH"/>
              </w:rPr>
              <w:t>Luxembourg/Luxemburg</w:t>
            </w:r>
          </w:p>
          <w:p w14:paraId="32368C80" w14:textId="77777777" w:rsidR="00CF747B" w:rsidRPr="00C83045" w:rsidRDefault="00CF747B" w:rsidP="00D4304B">
            <w:pPr>
              <w:widowControl w:val="0"/>
              <w:rPr>
                <w:color w:val="000000"/>
                <w:szCs w:val="22"/>
                <w:lang w:val="de-CH"/>
              </w:rPr>
            </w:pPr>
            <w:r w:rsidRPr="00C83045">
              <w:rPr>
                <w:color w:val="000000"/>
                <w:szCs w:val="22"/>
                <w:lang w:val="de-CH"/>
              </w:rPr>
              <w:t>Novartis Pharma N.V.</w:t>
            </w:r>
          </w:p>
          <w:p w14:paraId="32368C81" w14:textId="77777777" w:rsidR="00CF747B" w:rsidRPr="00C83045" w:rsidRDefault="00CF747B" w:rsidP="00D4304B">
            <w:pPr>
              <w:widowControl w:val="0"/>
              <w:rPr>
                <w:color w:val="000000"/>
                <w:szCs w:val="22"/>
                <w:lang w:val="de-CH"/>
              </w:rPr>
            </w:pPr>
            <w:r w:rsidRPr="00C83045">
              <w:rPr>
                <w:color w:val="000000"/>
                <w:szCs w:val="22"/>
                <w:lang w:val="de-CH"/>
              </w:rPr>
              <w:t>Tél/Tel: +32 2 246 16 11</w:t>
            </w:r>
          </w:p>
          <w:p w14:paraId="32368C82" w14:textId="77777777" w:rsidR="00CF747B" w:rsidRPr="00C83045" w:rsidRDefault="00CF747B" w:rsidP="00D4304B">
            <w:pPr>
              <w:widowControl w:val="0"/>
              <w:rPr>
                <w:color w:val="000000"/>
                <w:szCs w:val="22"/>
                <w:lang w:val="de-CH"/>
              </w:rPr>
            </w:pPr>
          </w:p>
        </w:tc>
      </w:tr>
      <w:tr w:rsidR="00CF747B" w:rsidRPr="00C83045" w14:paraId="32368C8B" w14:textId="77777777" w:rsidTr="00500409">
        <w:trPr>
          <w:cantSplit/>
        </w:trPr>
        <w:tc>
          <w:tcPr>
            <w:tcW w:w="4650" w:type="dxa"/>
          </w:tcPr>
          <w:p w14:paraId="32368C84" w14:textId="77777777" w:rsidR="00CF747B" w:rsidRPr="00C83045" w:rsidRDefault="00CF747B" w:rsidP="00D4304B">
            <w:pPr>
              <w:widowControl w:val="0"/>
              <w:rPr>
                <w:b/>
                <w:color w:val="000000"/>
                <w:szCs w:val="22"/>
                <w:lang w:val="pt-BR"/>
              </w:rPr>
            </w:pPr>
            <w:r w:rsidRPr="00C83045">
              <w:rPr>
                <w:b/>
                <w:color w:val="000000"/>
                <w:szCs w:val="22"/>
                <w:lang w:val="pt-BR"/>
              </w:rPr>
              <w:t>Česká republika</w:t>
            </w:r>
          </w:p>
          <w:p w14:paraId="32368C85" w14:textId="77777777" w:rsidR="00CF747B" w:rsidRPr="00C83045" w:rsidRDefault="00CF747B" w:rsidP="00D4304B">
            <w:pPr>
              <w:widowControl w:val="0"/>
              <w:rPr>
                <w:color w:val="000000"/>
                <w:szCs w:val="22"/>
                <w:lang w:val="pt-BR"/>
              </w:rPr>
            </w:pPr>
            <w:r w:rsidRPr="00C83045">
              <w:rPr>
                <w:color w:val="000000"/>
                <w:szCs w:val="22"/>
                <w:lang w:val="pt-BR"/>
              </w:rPr>
              <w:t>Novartis s.r.o.</w:t>
            </w:r>
          </w:p>
          <w:p w14:paraId="32368C86" w14:textId="77777777" w:rsidR="00CF747B" w:rsidRPr="00C83045" w:rsidRDefault="00CF747B" w:rsidP="00D4304B">
            <w:pPr>
              <w:widowControl w:val="0"/>
              <w:rPr>
                <w:color w:val="000000"/>
                <w:szCs w:val="22"/>
              </w:rPr>
            </w:pPr>
            <w:r w:rsidRPr="00C83045">
              <w:rPr>
                <w:color w:val="000000"/>
                <w:szCs w:val="22"/>
              </w:rPr>
              <w:t>Tel: +420 225 775 111</w:t>
            </w:r>
          </w:p>
          <w:p w14:paraId="32368C87" w14:textId="77777777" w:rsidR="00CF747B" w:rsidRPr="00C83045" w:rsidRDefault="00CF747B" w:rsidP="00D4304B">
            <w:pPr>
              <w:widowControl w:val="0"/>
              <w:rPr>
                <w:b/>
                <w:color w:val="000000"/>
                <w:szCs w:val="22"/>
              </w:rPr>
            </w:pPr>
          </w:p>
        </w:tc>
        <w:tc>
          <w:tcPr>
            <w:tcW w:w="4650" w:type="dxa"/>
          </w:tcPr>
          <w:p w14:paraId="32368C88" w14:textId="77777777" w:rsidR="00CF747B" w:rsidRPr="00C83045" w:rsidRDefault="00CF747B" w:rsidP="00D4304B">
            <w:pPr>
              <w:widowControl w:val="0"/>
              <w:rPr>
                <w:b/>
                <w:color w:val="000000"/>
                <w:szCs w:val="22"/>
                <w:lang w:val="pt-BR"/>
              </w:rPr>
            </w:pPr>
            <w:r w:rsidRPr="00C83045">
              <w:rPr>
                <w:b/>
                <w:color w:val="000000"/>
                <w:szCs w:val="22"/>
                <w:lang w:val="pt-BR"/>
              </w:rPr>
              <w:t>Magyarország</w:t>
            </w:r>
          </w:p>
          <w:p w14:paraId="32368C89" w14:textId="77777777" w:rsidR="00CF747B" w:rsidRPr="00C83045" w:rsidRDefault="00CF747B" w:rsidP="00D4304B">
            <w:pPr>
              <w:widowControl w:val="0"/>
              <w:rPr>
                <w:color w:val="000000"/>
                <w:szCs w:val="22"/>
                <w:lang w:val="pt-BR"/>
              </w:rPr>
            </w:pPr>
            <w:r w:rsidRPr="00C83045">
              <w:rPr>
                <w:color w:val="000000"/>
                <w:szCs w:val="22"/>
                <w:lang w:val="pt-BR"/>
              </w:rPr>
              <w:t>Novartis Hungária Kft.</w:t>
            </w:r>
          </w:p>
          <w:p w14:paraId="32368C8A" w14:textId="77777777" w:rsidR="00CF747B" w:rsidRPr="00C83045" w:rsidRDefault="00CF747B" w:rsidP="00D4304B">
            <w:pPr>
              <w:widowControl w:val="0"/>
              <w:rPr>
                <w:color w:val="000000"/>
                <w:szCs w:val="22"/>
                <w:lang w:val="pt-BR"/>
              </w:rPr>
            </w:pPr>
            <w:r w:rsidRPr="00C83045">
              <w:rPr>
                <w:color w:val="000000"/>
                <w:szCs w:val="22"/>
                <w:lang w:val="pt-BR"/>
              </w:rPr>
              <w:t>Tel.: +36 1 457 65 00</w:t>
            </w:r>
          </w:p>
        </w:tc>
      </w:tr>
      <w:tr w:rsidR="00CF747B" w:rsidRPr="00C83045" w14:paraId="32368C93" w14:textId="77777777" w:rsidTr="00500409">
        <w:trPr>
          <w:cantSplit/>
        </w:trPr>
        <w:tc>
          <w:tcPr>
            <w:tcW w:w="4650" w:type="dxa"/>
          </w:tcPr>
          <w:p w14:paraId="32368C8C" w14:textId="77777777" w:rsidR="00CF747B" w:rsidRPr="00C83045" w:rsidRDefault="00CF747B" w:rsidP="00D4304B">
            <w:pPr>
              <w:widowControl w:val="0"/>
              <w:rPr>
                <w:b/>
                <w:color w:val="000000"/>
                <w:szCs w:val="22"/>
              </w:rPr>
            </w:pPr>
            <w:r w:rsidRPr="00C83045">
              <w:rPr>
                <w:b/>
                <w:color w:val="000000"/>
                <w:szCs w:val="22"/>
              </w:rPr>
              <w:t>Danmark</w:t>
            </w:r>
          </w:p>
          <w:p w14:paraId="32368C8D" w14:textId="77777777" w:rsidR="00CF747B" w:rsidRPr="00C83045" w:rsidRDefault="00CF747B" w:rsidP="00D4304B">
            <w:pPr>
              <w:widowControl w:val="0"/>
              <w:rPr>
                <w:color w:val="000000"/>
                <w:szCs w:val="22"/>
              </w:rPr>
            </w:pPr>
            <w:r w:rsidRPr="00C83045">
              <w:rPr>
                <w:color w:val="000000"/>
                <w:szCs w:val="22"/>
              </w:rPr>
              <w:t>Novartis Healthcare A/S</w:t>
            </w:r>
          </w:p>
          <w:p w14:paraId="32368C8E" w14:textId="77777777" w:rsidR="00CF747B" w:rsidRPr="00C83045" w:rsidRDefault="00CF747B" w:rsidP="00D4304B">
            <w:pPr>
              <w:widowControl w:val="0"/>
              <w:rPr>
                <w:color w:val="000000"/>
                <w:szCs w:val="22"/>
              </w:rPr>
            </w:pPr>
            <w:r w:rsidRPr="00C83045">
              <w:rPr>
                <w:color w:val="000000"/>
                <w:szCs w:val="22"/>
              </w:rPr>
              <w:t>Tlf: +45 39 16 84 00</w:t>
            </w:r>
          </w:p>
          <w:p w14:paraId="32368C8F" w14:textId="77777777" w:rsidR="00CF747B" w:rsidRPr="00C83045" w:rsidRDefault="00CF747B" w:rsidP="00D4304B">
            <w:pPr>
              <w:widowControl w:val="0"/>
              <w:rPr>
                <w:b/>
                <w:color w:val="000000"/>
                <w:szCs w:val="22"/>
              </w:rPr>
            </w:pPr>
          </w:p>
        </w:tc>
        <w:tc>
          <w:tcPr>
            <w:tcW w:w="4650" w:type="dxa"/>
          </w:tcPr>
          <w:p w14:paraId="32368C90" w14:textId="77777777" w:rsidR="00CF747B" w:rsidRPr="00C83045" w:rsidRDefault="00CF747B" w:rsidP="00D4304B">
            <w:pPr>
              <w:widowControl w:val="0"/>
              <w:rPr>
                <w:b/>
                <w:color w:val="000000"/>
                <w:szCs w:val="22"/>
                <w:lang w:val="pt-BR"/>
              </w:rPr>
            </w:pPr>
            <w:r w:rsidRPr="00C83045">
              <w:rPr>
                <w:b/>
                <w:color w:val="000000"/>
                <w:szCs w:val="22"/>
                <w:lang w:val="pt-BR"/>
              </w:rPr>
              <w:t>Malta</w:t>
            </w:r>
          </w:p>
          <w:p w14:paraId="32368C91" w14:textId="77777777" w:rsidR="00CF747B" w:rsidRPr="00C83045" w:rsidRDefault="00CF747B" w:rsidP="00D4304B">
            <w:pPr>
              <w:widowControl w:val="0"/>
              <w:rPr>
                <w:color w:val="000000"/>
                <w:szCs w:val="22"/>
                <w:lang w:val="pt-BR"/>
              </w:rPr>
            </w:pPr>
            <w:r w:rsidRPr="00C83045">
              <w:rPr>
                <w:color w:val="000000"/>
                <w:szCs w:val="22"/>
                <w:lang w:val="pt-BR"/>
              </w:rPr>
              <w:t>Novartis Pharma Services Inc.</w:t>
            </w:r>
          </w:p>
          <w:p w14:paraId="32368C92" w14:textId="77777777" w:rsidR="00CF747B" w:rsidRPr="00C83045" w:rsidRDefault="00CF747B" w:rsidP="00D4304B">
            <w:pPr>
              <w:widowControl w:val="0"/>
              <w:rPr>
                <w:color w:val="000000"/>
                <w:szCs w:val="22"/>
              </w:rPr>
            </w:pPr>
            <w:r w:rsidRPr="00C83045">
              <w:rPr>
                <w:color w:val="000000"/>
                <w:szCs w:val="22"/>
              </w:rPr>
              <w:t xml:space="preserve">Tel: +356 </w:t>
            </w:r>
            <w:r w:rsidRPr="00C83045">
              <w:rPr>
                <w:color w:val="000000"/>
              </w:rPr>
              <w:t>2122 2872</w:t>
            </w:r>
          </w:p>
        </w:tc>
      </w:tr>
      <w:tr w:rsidR="00CF747B" w:rsidRPr="00C83045" w14:paraId="32368C9B" w14:textId="77777777" w:rsidTr="00500409">
        <w:trPr>
          <w:cantSplit/>
        </w:trPr>
        <w:tc>
          <w:tcPr>
            <w:tcW w:w="4650" w:type="dxa"/>
          </w:tcPr>
          <w:p w14:paraId="32368C94" w14:textId="77777777" w:rsidR="00CF747B" w:rsidRPr="00C83045" w:rsidRDefault="00CF747B" w:rsidP="00D4304B">
            <w:pPr>
              <w:widowControl w:val="0"/>
              <w:rPr>
                <w:b/>
                <w:color w:val="000000"/>
                <w:szCs w:val="22"/>
                <w:lang w:val="de-CH"/>
              </w:rPr>
            </w:pPr>
            <w:r w:rsidRPr="00C83045">
              <w:rPr>
                <w:b/>
                <w:color w:val="000000"/>
                <w:szCs w:val="22"/>
                <w:lang w:val="de-CH"/>
              </w:rPr>
              <w:lastRenderedPageBreak/>
              <w:t>Deutschland</w:t>
            </w:r>
          </w:p>
          <w:p w14:paraId="32368C95" w14:textId="77777777" w:rsidR="00CF747B" w:rsidRPr="00C83045" w:rsidRDefault="00CF747B" w:rsidP="00D4304B">
            <w:pPr>
              <w:widowControl w:val="0"/>
              <w:rPr>
                <w:color w:val="000000"/>
                <w:szCs w:val="22"/>
                <w:lang w:val="de-CH"/>
              </w:rPr>
            </w:pPr>
            <w:r w:rsidRPr="00C83045">
              <w:rPr>
                <w:color w:val="000000"/>
                <w:szCs w:val="22"/>
                <w:lang w:val="de-CH"/>
              </w:rPr>
              <w:t>Novartis Pharma GmbH</w:t>
            </w:r>
          </w:p>
          <w:p w14:paraId="32368C96" w14:textId="77777777" w:rsidR="00CF747B" w:rsidRPr="00C83045" w:rsidRDefault="00CF747B" w:rsidP="00D4304B">
            <w:pPr>
              <w:widowControl w:val="0"/>
              <w:rPr>
                <w:color w:val="000000"/>
                <w:szCs w:val="22"/>
                <w:lang w:val="de-CH"/>
              </w:rPr>
            </w:pPr>
            <w:r w:rsidRPr="00C83045">
              <w:rPr>
                <w:color w:val="000000"/>
                <w:szCs w:val="22"/>
                <w:lang w:val="de-CH"/>
              </w:rPr>
              <w:t>Tel: +49 911 273 0</w:t>
            </w:r>
          </w:p>
          <w:p w14:paraId="32368C97" w14:textId="77777777" w:rsidR="00CF747B" w:rsidRPr="00C83045" w:rsidRDefault="00CF747B" w:rsidP="00D4304B">
            <w:pPr>
              <w:widowControl w:val="0"/>
              <w:rPr>
                <w:b/>
                <w:color w:val="000000"/>
                <w:szCs w:val="22"/>
                <w:lang w:val="de-CH"/>
              </w:rPr>
            </w:pPr>
          </w:p>
        </w:tc>
        <w:tc>
          <w:tcPr>
            <w:tcW w:w="4650" w:type="dxa"/>
          </w:tcPr>
          <w:p w14:paraId="32368C98" w14:textId="77777777" w:rsidR="00CF747B" w:rsidRPr="00C83045" w:rsidRDefault="00CF747B" w:rsidP="00D4304B">
            <w:pPr>
              <w:widowControl w:val="0"/>
              <w:rPr>
                <w:b/>
                <w:color w:val="000000"/>
                <w:szCs w:val="22"/>
                <w:lang w:val="de-CH"/>
              </w:rPr>
            </w:pPr>
            <w:r w:rsidRPr="00C83045">
              <w:rPr>
                <w:b/>
                <w:color w:val="000000"/>
                <w:szCs w:val="22"/>
                <w:lang w:val="de-CH"/>
              </w:rPr>
              <w:t>Nederland</w:t>
            </w:r>
          </w:p>
          <w:p w14:paraId="32368C99" w14:textId="77777777" w:rsidR="00CF747B" w:rsidRPr="00C83045" w:rsidRDefault="00CF747B" w:rsidP="00D4304B">
            <w:pPr>
              <w:widowControl w:val="0"/>
              <w:rPr>
                <w:color w:val="000000"/>
                <w:szCs w:val="22"/>
                <w:lang w:val="de-CH"/>
              </w:rPr>
            </w:pPr>
            <w:r w:rsidRPr="00C83045">
              <w:rPr>
                <w:color w:val="000000"/>
                <w:szCs w:val="22"/>
                <w:lang w:val="de-CH"/>
              </w:rPr>
              <w:t>Novartis Pharma B.V.</w:t>
            </w:r>
          </w:p>
          <w:p w14:paraId="32368C9A" w14:textId="3A1EBB18" w:rsidR="00CF747B" w:rsidRPr="00C83045" w:rsidRDefault="00CF747B" w:rsidP="00670E2E">
            <w:pPr>
              <w:widowControl w:val="0"/>
              <w:rPr>
                <w:color w:val="000000"/>
                <w:szCs w:val="22"/>
              </w:rPr>
            </w:pPr>
            <w:r w:rsidRPr="00C83045">
              <w:rPr>
                <w:color w:val="000000"/>
                <w:szCs w:val="22"/>
              </w:rPr>
              <w:t xml:space="preserve">Tel: +31 </w:t>
            </w:r>
            <w:r w:rsidR="00670E2E">
              <w:rPr>
                <w:color w:val="000000"/>
                <w:szCs w:val="22"/>
              </w:rPr>
              <w:t>88 04 52</w:t>
            </w:r>
            <w:r w:rsidRPr="00C83045">
              <w:rPr>
                <w:color w:val="000000"/>
                <w:szCs w:val="22"/>
              </w:rPr>
              <w:t xml:space="preserve"> </w:t>
            </w:r>
            <w:r w:rsidR="00FC49D9" w:rsidRPr="00C83045">
              <w:rPr>
                <w:color w:val="000000"/>
                <w:szCs w:val="22"/>
              </w:rPr>
              <w:t>555</w:t>
            </w:r>
          </w:p>
        </w:tc>
      </w:tr>
      <w:tr w:rsidR="00CF747B" w:rsidRPr="00C83045" w14:paraId="32368CA3" w14:textId="77777777" w:rsidTr="00500409">
        <w:trPr>
          <w:cantSplit/>
        </w:trPr>
        <w:tc>
          <w:tcPr>
            <w:tcW w:w="4650" w:type="dxa"/>
          </w:tcPr>
          <w:p w14:paraId="32368C9C" w14:textId="77777777" w:rsidR="00CF747B" w:rsidRPr="004470EE" w:rsidRDefault="00CF747B" w:rsidP="00D4304B">
            <w:pPr>
              <w:widowControl w:val="0"/>
              <w:rPr>
                <w:b/>
                <w:color w:val="000000"/>
                <w:szCs w:val="22"/>
                <w:lang w:val="it-IT"/>
              </w:rPr>
            </w:pPr>
            <w:r w:rsidRPr="004470EE">
              <w:rPr>
                <w:b/>
                <w:color w:val="000000"/>
                <w:szCs w:val="22"/>
                <w:lang w:val="it-IT"/>
              </w:rPr>
              <w:t>Eesti</w:t>
            </w:r>
          </w:p>
          <w:p w14:paraId="32368C9D" w14:textId="77777777" w:rsidR="007F105B" w:rsidRPr="007F105B" w:rsidRDefault="007F105B" w:rsidP="00D4304B">
            <w:pPr>
              <w:widowControl w:val="0"/>
              <w:rPr>
                <w:color w:val="000000"/>
                <w:szCs w:val="22"/>
                <w:lang w:val="it-IT"/>
              </w:rPr>
            </w:pPr>
            <w:r w:rsidRPr="007F105B">
              <w:rPr>
                <w:color w:val="000000"/>
                <w:szCs w:val="22"/>
                <w:lang w:val="it-IT"/>
              </w:rPr>
              <w:t>SIA Novartis Baltics Eesti filiaal</w:t>
            </w:r>
          </w:p>
          <w:p w14:paraId="32368C9E" w14:textId="77777777" w:rsidR="00CF747B" w:rsidRPr="00C83045" w:rsidRDefault="00CF747B" w:rsidP="00D4304B">
            <w:pPr>
              <w:widowControl w:val="0"/>
              <w:rPr>
                <w:color w:val="000000"/>
                <w:szCs w:val="22"/>
              </w:rPr>
            </w:pPr>
            <w:r w:rsidRPr="00C83045">
              <w:rPr>
                <w:color w:val="000000"/>
                <w:szCs w:val="22"/>
              </w:rPr>
              <w:t>Tel: +372 66 30 810</w:t>
            </w:r>
          </w:p>
          <w:p w14:paraId="32368C9F" w14:textId="77777777" w:rsidR="00CF747B" w:rsidRPr="00C83045" w:rsidRDefault="00CF747B" w:rsidP="00D4304B">
            <w:pPr>
              <w:widowControl w:val="0"/>
              <w:rPr>
                <w:b/>
                <w:color w:val="000000"/>
                <w:szCs w:val="22"/>
              </w:rPr>
            </w:pPr>
          </w:p>
        </w:tc>
        <w:tc>
          <w:tcPr>
            <w:tcW w:w="4650" w:type="dxa"/>
          </w:tcPr>
          <w:p w14:paraId="32368CA0" w14:textId="77777777" w:rsidR="00CF747B" w:rsidRPr="00C83045" w:rsidRDefault="00CF747B" w:rsidP="00D4304B">
            <w:pPr>
              <w:widowControl w:val="0"/>
              <w:rPr>
                <w:b/>
                <w:color w:val="000000"/>
                <w:szCs w:val="22"/>
                <w:lang w:val="pt-BR"/>
              </w:rPr>
            </w:pPr>
            <w:r w:rsidRPr="00C83045">
              <w:rPr>
                <w:b/>
                <w:color w:val="000000"/>
                <w:szCs w:val="22"/>
                <w:lang w:val="pt-BR"/>
              </w:rPr>
              <w:t>Norge</w:t>
            </w:r>
          </w:p>
          <w:p w14:paraId="32368CA1" w14:textId="77777777" w:rsidR="00CF747B" w:rsidRPr="00C83045" w:rsidRDefault="00CF747B" w:rsidP="00D4304B">
            <w:pPr>
              <w:widowControl w:val="0"/>
              <w:rPr>
                <w:color w:val="000000"/>
                <w:szCs w:val="22"/>
                <w:lang w:val="pt-BR"/>
              </w:rPr>
            </w:pPr>
            <w:r w:rsidRPr="00C83045">
              <w:rPr>
                <w:color w:val="000000"/>
                <w:szCs w:val="22"/>
                <w:lang w:val="pt-BR"/>
              </w:rPr>
              <w:t>Novartis Norge AS</w:t>
            </w:r>
          </w:p>
          <w:p w14:paraId="32368CA2" w14:textId="77777777" w:rsidR="00CF747B" w:rsidRPr="00C83045" w:rsidRDefault="00CF747B" w:rsidP="00D4304B">
            <w:pPr>
              <w:widowControl w:val="0"/>
              <w:rPr>
                <w:color w:val="000000"/>
                <w:szCs w:val="22"/>
                <w:lang w:val="pt-BR"/>
              </w:rPr>
            </w:pPr>
            <w:r w:rsidRPr="00C83045">
              <w:rPr>
                <w:color w:val="000000"/>
                <w:szCs w:val="22"/>
                <w:lang w:val="pt-BR"/>
              </w:rPr>
              <w:t>Tlf: +47 23 05 20 00</w:t>
            </w:r>
          </w:p>
        </w:tc>
      </w:tr>
      <w:tr w:rsidR="00CF747B" w:rsidRPr="00C83045" w14:paraId="32368CAB" w14:textId="77777777" w:rsidTr="00500409">
        <w:trPr>
          <w:cantSplit/>
        </w:trPr>
        <w:tc>
          <w:tcPr>
            <w:tcW w:w="4650" w:type="dxa"/>
          </w:tcPr>
          <w:p w14:paraId="32368CA4" w14:textId="77777777" w:rsidR="00CF747B" w:rsidRPr="00C83045" w:rsidRDefault="00CF747B" w:rsidP="00D4304B">
            <w:pPr>
              <w:widowControl w:val="0"/>
              <w:rPr>
                <w:b/>
                <w:color w:val="000000"/>
                <w:szCs w:val="22"/>
                <w:lang w:val="pt-BR"/>
              </w:rPr>
            </w:pPr>
            <w:r w:rsidRPr="00C83045">
              <w:rPr>
                <w:b/>
                <w:color w:val="000000"/>
                <w:szCs w:val="22"/>
              </w:rPr>
              <w:t>Ελλάδα</w:t>
            </w:r>
          </w:p>
          <w:p w14:paraId="32368CA5" w14:textId="77777777" w:rsidR="00CF747B" w:rsidRPr="00C83045" w:rsidRDefault="00CF747B" w:rsidP="00D4304B">
            <w:pPr>
              <w:widowControl w:val="0"/>
              <w:rPr>
                <w:color w:val="000000"/>
                <w:szCs w:val="22"/>
                <w:lang w:val="pt-BR"/>
              </w:rPr>
            </w:pPr>
            <w:r w:rsidRPr="00C83045">
              <w:rPr>
                <w:color w:val="000000"/>
                <w:szCs w:val="22"/>
                <w:lang w:val="pt-BR"/>
              </w:rPr>
              <w:t>Novartis (Hellas) A.E.B.E.</w:t>
            </w:r>
          </w:p>
          <w:p w14:paraId="32368CA6" w14:textId="77777777" w:rsidR="00CF747B" w:rsidRPr="00C83045" w:rsidRDefault="00CF747B" w:rsidP="00D4304B">
            <w:pPr>
              <w:widowControl w:val="0"/>
              <w:rPr>
                <w:color w:val="000000"/>
                <w:szCs w:val="22"/>
                <w:lang w:val="pt-BR"/>
              </w:rPr>
            </w:pPr>
            <w:r w:rsidRPr="00C83045">
              <w:rPr>
                <w:color w:val="000000"/>
                <w:szCs w:val="22"/>
              </w:rPr>
              <w:t>Τηλ</w:t>
            </w:r>
            <w:r w:rsidRPr="00C83045">
              <w:rPr>
                <w:color w:val="000000"/>
                <w:szCs w:val="22"/>
                <w:lang w:val="pt-BR"/>
              </w:rPr>
              <w:t>: +30 210 281 17 12</w:t>
            </w:r>
          </w:p>
          <w:p w14:paraId="32368CA7" w14:textId="77777777" w:rsidR="00CF747B" w:rsidRPr="00C83045" w:rsidRDefault="00CF747B" w:rsidP="00D4304B">
            <w:pPr>
              <w:widowControl w:val="0"/>
              <w:rPr>
                <w:b/>
                <w:color w:val="000000"/>
                <w:szCs w:val="22"/>
                <w:lang w:val="pt-BR"/>
              </w:rPr>
            </w:pPr>
          </w:p>
        </w:tc>
        <w:tc>
          <w:tcPr>
            <w:tcW w:w="4650" w:type="dxa"/>
          </w:tcPr>
          <w:p w14:paraId="32368CA8" w14:textId="77777777" w:rsidR="00CF747B" w:rsidRPr="00C83045" w:rsidRDefault="00CF747B" w:rsidP="00D4304B">
            <w:pPr>
              <w:widowControl w:val="0"/>
              <w:rPr>
                <w:b/>
                <w:color w:val="000000"/>
                <w:szCs w:val="22"/>
                <w:lang w:val="de-CH"/>
              </w:rPr>
            </w:pPr>
            <w:r w:rsidRPr="00C83045">
              <w:rPr>
                <w:b/>
                <w:color w:val="000000"/>
                <w:szCs w:val="22"/>
                <w:lang w:val="de-CH"/>
              </w:rPr>
              <w:t>Österreich</w:t>
            </w:r>
          </w:p>
          <w:p w14:paraId="32368CA9" w14:textId="77777777" w:rsidR="00CF747B" w:rsidRPr="00C83045" w:rsidRDefault="00CF747B" w:rsidP="00D4304B">
            <w:pPr>
              <w:widowControl w:val="0"/>
              <w:rPr>
                <w:color w:val="000000"/>
                <w:szCs w:val="22"/>
                <w:lang w:val="de-CH"/>
              </w:rPr>
            </w:pPr>
            <w:r w:rsidRPr="00C83045">
              <w:rPr>
                <w:color w:val="000000"/>
                <w:szCs w:val="22"/>
                <w:lang w:val="de-CH"/>
              </w:rPr>
              <w:t>Novartis Pharma GmbH</w:t>
            </w:r>
          </w:p>
          <w:p w14:paraId="32368CAA" w14:textId="77777777" w:rsidR="00CF747B" w:rsidRPr="00C83045" w:rsidRDefault="00CF747B" w:rsidP="00D4304B">
            <w:pPr>
              <w:widowControl w:val="0"/>
              <w:rPr>
                <w:color w:val="000000"/>
                <w:szCs w:val="22"/>
                <w:lang w:val="de-CH"/>
              </w:rPr>
            </w:pPr>
            <w:r w:rsidRPr="00C83045">
              <w:rPr>
                <w:color w:val="000000"/>
                <w:szCs w:val="22"/>
                <w:lang w:val="de-CH"/>
              </w:rPr>
              <w:t>Tel: +43 1 86 6570</w:t>
            </w:r>
          </w:p>
        </w:tc>
      </w:tr>
      <w:tr w:rsidR="00CF747B" w:rsidRPr="00C83045" w14:paraId="32368CB3" w14:textId="77777777" w:rsidTr="00500409">
        <w:trPr>
          <w:cantSplit/>
        </w:trPr>
        <w:tc>
          <w:tcPr>
            <w:tcW w:w="4650" w:type="dxa"/>
          </w:tcPr>
          <w:p w14:paraId="32368CAC" w14:textId="77777777" w:rsidR="00CF747B" w:rsidRPr="00C83045" w:rsidRDefault="00CF747B" w:rsidP="00D4304B">
            <w:pPr>
              <w:widowControl w:val="0"/>
              <w:rPr>
                <w:b/>
                <w:color w:val="000000"/>
                <w:szCs w:val="22"/>
                <w:lang w:val="pt-BR"/>
              </w:rPr>
            </w:pPr>
            <w:r w:rsidRPr="00C83045">
              <w:rPr>
                <w:b/>
                <w:color w:val="000000"/>
                <w:szCs w:val="22"/>
                <w:lang w:val="pt-BR"/>
              </w:rPr>
              <w:t>España</w:t>
            </w:r>
          </w:p>
          <w:p w14:paraId="32368CAD" w14:textId="77777777" w:rsidR="00CF747B" w:rsidRPr="00C83045" w:rsidRDefault="00CF747B" w:rsidP="00D4304B">
            <w:pPr>
              <w:widowControl w:val="0"/>
              <w:rPr>
                <w:color w:val="000000"/>
                <w:szCs w:val="22"/>
                <w:lang w:val="pt-BR"/>
              </w:rPr>
            </w:pPr>
            <w:r w:rsidRPr="00C83045">
              <w:rPr>
                <w:color w:val="000000"/>
                <w:szCs w:val="22"/>
                <w:lang w:val="pt-BR"/>
              </w:rPr>
              <w:t>Novartis Farmacéutica, S.A.</w:t>
            </w:r>
          </w:p>
          <w:p w14:paraId="32368CAE" w14:textId="77777777" w:rsidR="00CF747B" w:rsidRPr="00C83045" w:rsidRDefault="00CF747B" w:rsidP="00D4304B">
            <w:pPr>
              <w:widowControl w:val="0"/>
              <w:rPr>
                <w:color w:val="000000"/>
                <w:szCs w:val="22"/>
              </w:rPr>
            </w:pPr>
            <w:r w:rsidRPr="00C83045">
              <w:rPr>
                <w:color w:val="000000"/>
                <w:szCs w:val="22"/>
              </w:rPr>
              <w:t>Tel: +34 93 306 42 00</w:t>
            </w:r>
          </w:p>
          <w:p w14:paraId="32368CAF" w14:textId="77777777" w:rsidR="00CF747B" w:rsidRPr="00C83045" w:rsidRDefault="00CF747B" w:rsidP="00D4304B">
            <w:pPr>
              <w:widowControl w:val="0"/>
              <w:rPr>
                <w:b/>
                <w:color w:val="000000"/>
                <w:szCs w:val="22"/>
              </w:rPr>
            </w:pPr>
          </w:p>
        </w:tc>
        <w:tc>
          <w:tcPr>
            <w:tcW w:w="4650" w:type="dxa"/>
          </w:tcPr>
          <w:p w14:paraId="32368CB0" w14:textId="77777777" w:rsidR="00CF747B" w:rsidRPr="00C83045" w:rsidRDefault="00CF747B" w:rsidP="00D4304B">
            <w:pPr>
              <w:widowControl w:val="0"/>
              <w:rPr>
                <w:b/>
                <w:color w:val="000000"/>
                <w:szCs w:val="22"/>
                <w:lang w:val="pt-BR"/>
              </w:rPr>
            </w:pPr>
            <w:r w:rsidRPr="00C83045">
              <w:rPr>
                <w:b/>
                <w:color w:val="000000"/>
                <w:szCs w:val="22"/>
                <w:lang w:val="pt-BR"/>
              </w:rPr>
              <w:t>Polska</w:t>
            </w:r>
          </w:p>
          <w:p w14:paraId="32368CB1" w14:textId="77777777" w:rsidR="00CF747B" w:rsidRPr="00C83045" w:rsidRDefault="00CF747B" w:rsidP="00D4304B">
            <w:pPr>
              <w:widowControl w:val="0"/>
              <w:rPr>
                <w:color w:val="000000"/>
                <w:szCs w:val="22"/>
                <w:lang w:val="pt-BR"/>
              </w:rPr>
            </w:pPr>
            <w:r w:rsidRPr="00C83045">
              <w:rPr>
                <w:color w:val="000000"/>
                <w:szCs w:val="22"/>
                <w:lang w:val="pt-BR"/>
              </w:rPr>
              <w:t>Novartis Poland Sp. z o.o.</w:t>
            </w:r>
          </w:p>
          <w:p w14:paraId="32368CB2" w14:textId="77777777" w:rsidR="00CF747B" w:rsidRPr="00C83045" w:rsidRDefault="00CF747B" w:rsidP="00D4304B">
            <w:pPr>
              <w:widowControl w:val="0"/>
              <w:rPr>
                <w:color w:val="000000"/>
                <w:szCs w:val="22"/>
                <w:lang w:val="pt-BR"/>
              </w:rPr>
            </w:pPr>
            <w:r w:rsidRPr="00C83045">
              <w:rPr>
                <w:color w:val="000000"/>
                <w:szCs w:val="22"/>
                <w:lang w:val="pt-BR"/>
              </w:rPr>
              <w:t xml:space="preserve">Tel.: +48 22 </w:t>
            </w:r>
            <w:r w:rsidRPr="00C83045">
              <w:rPr>
                <w:szCs w:val="22"/>
              </w:rPr>
              <w:t>375 4888</w:t>
            </w:r>
          </w:p>
        </w:tc>
      </w:tr>
      <w:tr w:rsidR="00CF747B" w:rsidRPr="00C83045" w14:paraId="32368CBB" w14:textId="77777777" w:rsidTr="00500409">
        <w:trPr>
          <w:cantSplit/>
        </w:trPr>
        <w:tc>
          <w:tcPr>
            <w:tcW w:w="4650" w:type="dxa"/>
          </w:tcPr>
          <w:p w14:paraId="32368CB4" w14:textId="77777777" w:rsidR="00CF747B" w:rsidRPr="00C83045" w:rsidRDefault="00CF747B" w:rsidP="00D4304B">
            <w:pPr>
              <w:widowControl w:val="0"/>
              <w:rPr>
                <w:b/>
                <w:color w:val="000000"/>
                <w:szCs w:val="22"/>
                <w:lang w:val="fr-FR"/>
              </w:rPr>
            </w:pPr>
            <w:r w:rsidRPr="00C83045">
              <w:rPr>
                <w:b/>
                <w:color w:val="000000"/>
                <w:szCs w:val="22"/>
                <w:lang w:val="fr-FR"/>
              </w:rPr>
              <w:t>France</w:t>
            </w:r>
          </w:p>
          <w:p w14:paraId="32368CB5" w14:textId="77777777" w:rsidR="00CF747B" w:rsidRPr="00C83045" w:rsidRDefault="00CF747B" w:rsidP="00D4304B">
            <w:pPr>
              <w:widowControl w:val="0"/>
              <w:rPr>
                <w:color w:val="000000"/>
                <w:szCs w:val="22"/>
                <w:lang w:val="fr-FR"/>
              </w:rPr>
            </w:pPr>
            <w:r w:rsidRPr="00C83045">
              <w:rPr>
                <w:color w:val="000000"/>
                <w:szCs w:val="22"/>
                <w:lang w:val="fr-FR"/>
              </w:rPr>
              <w:t>Novartis Pharma S.A.S.</w:t>
            </w:r>
          </w:p>
          <w:p w14:paraId="32368CB6" w14:textId="77777777" w:rsidR="00CF747B" w:rsidRPr="00C83045" w:rsidRDefault="00CF747B" w:rsidP="00D4304B">
            <w:pPr>
              <w:widowControl w:val="0"/>
              <w:rPr>
                <w:color w:val="000000"/>
                <w:szCs w:val="22"/>
                <w:lang w:val="fr-FR"/>
              </w:rPr>
            </w:pPr>
            <w:r w:rsidRPr="00C83045">
              <w:rPr>
                <w:color w:val="000000"/>
                <w:szCs w:val="22"/>
                <w:lang w:val="fr-FR"/>
              </w:rPr>
              <w:t>Tél: +33 1 55 47 66 00</w:t>
            </w:r>
          </w:p>
          <w:p w14:paraId="32368CB7" w14:textId="77777777" w:rsidR="00CF747B" w:rsidRPr="00C83045" w:rsidRDefault="00CF747B" w:rsidP="00D4304B">
            <w:pPr>
              <w:widowControl w:val="0"/>
              <w:rPr>
                <w:b/>
                <w:color w:val="000000"/>
                <w:szCs w:val="22"/>
                <w:lang w:val="fr-FR"/>
              </w:rPr>
            </w:pPr>
          </w:p>
        </w:tc>
        <w:tc>
          <w:tcPr>
            <w:tcW w:w="4650" w:type="dxa"/>
          </w:tcPr>
          <w:p w14:paraId="32368CB8" w14:textId="77777777" w:rsidR="00CF747B" w:rsidRPr="00C83045" w:rsidRDefault="00CF747B" w:rsidP="00D4304B">
            <w:pPr>
              <w:widowControl w:val="0"/>
              <w:rPr>
                <w:b/>
                <w:color w:val="000000"/>
                <w:szCs w:val="22"/>
                <w:lang w:val="pt-BR"/>
              </w:rPr>
            </w:pPr>
            <w:r w:rsidRPr="00C83045">
              <w:rPr>
                <w:b/>
                <w:color w:val="000000"/>
                <w:szCs w:val="22"/>
                <w:lang w:val="pt-BR"/>
              </w:rPr>
              <w:t>Portugal</w:t>
            </w:r>
          </w:p>
          <w:p w14:paraId="32368CB9" w14:textId="77777777" w:rsidR="00CF747B" w:rsidRPr="00C83045" w:rsidRDefault="00CF747B" w:rsidP="00D4304B">
            <w:pPr>
              <w:widowControl w:val="0"/>
              <w:rPr>
                <w:color w:val="000000"/>
                <w:szCs w:val="22"/>
                <w:lang w:val="pt-BR"/>
              </w:rPr>
            </w:pPr>
            <w:r w:rsidRPr="00C83045">
              <w:rPr>
                <w:color w:val="000000"/>
                <w:szCs w:val="22"/>
                <w:lang w:val="pt-BR"/>
              </w:rPr>
              <w:t>Novartis Farma - Produtos Farmacêuticos, S.A.</w:t>
            </w:r>
          </w:p>
          <w:p w14:paraId="32368CBA" w14:textId="77777777" w:rsidR="00CF747B" w:rsidRPr="00C83045" w:rsidRDefault="00CF747B" w:rsidP="00D4304B">
            <w:pPr>
              <w:widowControl w:val="0"/>
              <w:rPr>
                <w:color w:val="000000"/>
                <w:szCs w:val="22"/>
              </w:rPr>
            </w:pPr>
            <w:r w:rsidRPr="00C83045">
              <w:rPr>
                <w:color w:val="000000"/>
                <w:szCs w:val="22"/>
              </w:rPr>
              <w:t>Tel: +351 21 000 8600</w:t>
            </w:r>
          </w:p>
        </w:tc>
      </w:tr>
      <w:tr w:rsidR="00CF747B" w:rsidRPr="00C83045" w14:paraId="32368CC3" w14:textId="77777777" w:rsidTr="00500409">
        <w:trPr>
          <w:cantSplit/>
        </w:trPr>
        <w:tc>
          <w:tcPr>
            <w:tcW w:w="4650" w:type="dxa"/>
          </w:tcPr>
          <w:p w14:paraId="32368CBC" w14:textId="77777777" w:rsidR="00CF747B" w:rsidRPr="00C83045" w:rsidRDefault="00CF747B" w:rsidP="00D4304B">
            <w:pPr>
              <w:widowControl w:val="0"/>
              <w:rPr>
                <w:rFonts w:eastAsia="PMingLiU"/>
                <w:b/>
              </w:rPr>
            </w:pPr>
            <w:r w:rsidRPr="00C83045">
              <w:rPr>
                <w:rFonts w:eastAsia="PMingLiU"/>
                <w:b/>
              </w:rPr>
              <w:t>Hrvatska</w:t>
            </w:r>
          </w:p>
          <w:p w14:paraId="32368CBD" w14:textId="77777777" w:rsidR="00CF747B" w:rsidRPr="00C83045" w:rsidRDefault="00CF747B" w:rsidP="00D4304B">
            <w:pPr>
              <w:widowControl w:val="0"/>
            </w:pPr>
            <w:r w:rsidRPr="00C83045">
              <w:t>Novartis Hrvatska d.o.o.</w:t>
            </w:r>
          </w:p>
          <w:p w14:paraId="32368CBE" w14:textId="77777777" w:rsidR="00CF747B" w:rsidRPr="00C83045" w:rsidRDefault="00CF747B" w:rsidP="00D4304B">
            <w:pPr>
              <w:widowControl w:val="0"/>
            </w:pPr>
            <w:r w:rsidRPr="00C83045">
              <w:t>Tel. +385 1 6274 220</w:t>
            </w:r>
          </w:p>
          <w:p w14:paraId="32368CBF" w14:textId="77777777" w:rsidR="00CF747B" w:rsidRPr="00C83045" w:rsidRDefault="00CF747B" w:rsidP="00D4304B">
            <w:pPr>
              <w:widowControl w:val="0"/>
              <w:rPr>
                <w:b/>
                <w:color w:val="000000"/>
                <w:szCs w:val="22"/>
                <w:lang w:val="fr-FR"/>
              </w:rPr>
            </w:pPr>
          </w:p>
        </w:tc>
        <w:tc>
          <w:tcPr>
            <w:tcW w:w="4650" w:type="dxa"/>
          </w:tcPr>
          <w:p w14:paraId="32368CC0" w14:textId="77777777" w:rsidR="00CF747B" w:rsidRPr="00C83045" w:rsidRDefault="00CF747B" w:rsidP="00D4304B">
            <w:pPr>
              <w:widowControl w:val="0"/>
              <w:rPr>
                <w:b/>
                <w:noProof/>
                <w:color w:val="000000"/>
                <w:szCs w:val="22"/>
                <w:lang w:val="it-IT"/>
              </w:rPr>
            </w:pPr>
            <w:r w:rsidRPr="00C83045">
              <w:rPr>
                <w:b/>
                <w:noProof/>
                <w:color w:val="000000"/>
                <w:szCs w:val="22"/>
                <w:lang w:val="it-IT"/>
              </w:rPr>
              <w:t>România</w:t>
            </w:r>
          </w:p>
          <w:p w14:paraId="32368CC1" w14:textId="77777777" w:rsidR="00CF747B" w:rsidRPr="00C83045" w:rsidRDefault="00CF747B" w:rsidP="00D4304B">
            <w:pPr>
              <w:widowControl w:val="0"/>
              <w:rPr>
                <w:noProof/>
                <w:color w:val="000000"/>
                <w:szCs w:val="22"/>
                <w:lang w:val="it-IT"/>
              </w:rPr>
            </w:pPr>
            <w:r w:rsidRPr="00C83045">
              <w:rPr>
                <w:noProof/>
                <w:color w:val="000000"/>
                <w:szCs w:val="22"/>
                <w:lang w:val="it-IT"/>
              </w:rPr>
              <w:t xml:space="preserve">Novartis Pharma Services </w:t>
            </w:r>
            <w:r w:rsidRPr="00C83045">
              <w:rPr>
                <w:color w:val="2F2F2F"/>
                <w:szCs w:val="22"/>
              </w:rPr>
              <w:t>Romania SRL</w:t>
            </w:r>
          </w:p>
          <w:p w14:paraId="32368CC2" w14:textId="77777777" w:rsidR="00CF747B" w:rsidRPr="00C83045" w:rsidRDefault="00CF747B" w:rsidP="00D4304B">
            <w:pPr>
              <w:widowControl w:val="0"/>
              <w:rPr>
                <w:color w:val="000000"/>
                <w:szCs w:val="22"/>
              </w:rPr>
            </w:pPr>
            <w:r w:rsidRPr="00C83045">
              <w:rPr>
                <w:noProof/>
                <w:color w:val="000000"/>
                <w:szCs w:val="22"/>
                <w:lang w:val="it-IT"/>
              </w:rPr>
              <w:t>Tel: +40 21 31299 01</w:t>
            </w:r>
          </w:p>
        </w:tc>
      </w:tr>
      <w:tr w:rsidR="00CF747B" w:rsidRPr="00C83045" w14:paraId="32368CCB" w14:textId="77777777" w:rsidTr="00500409">
        <w:trPr>
          <w:cantSplit/>
        </w:trPr>
        <w:tc>
          <w:tcPr>
            <w:tcW w:w="4650" w:type="dxa"/>
          </w:tcPr>
          <w:p w14:paraId="32368CC4" w14:textId="77777777" w:rsidR="00CF747B" w:rsidRPr="00C83045" w:rsidRDefault="00CF747B" w:rsidP="00D4304B">
            <w:pPr>
              <w:widowControl w:val="0"/>
              <w:rPr>
                <w:b/>
                <w:color w:val="000000"/>
                <w:szCs w:val="22"/>
              </w:rPr>
            </w:pPr>
            <w:smartTag w:uri="urn:schemas-microsoft-com:office:smarttags" w:element="country-region">
              <w:smartTag w:uri="urn:schemas-microsoft-com:office:smarttags" w:element="place">
                <w:r w:rsidRPr="00C83045">
                  <w:rPr>
                    <w:b/>
                    <w:color w:val="000000"/>
                    <w:szCs w:val="22"/>
                  </w:rPr>
                  <w:t>Ireland</w:t>
                </w:r>
              </w:smartTag>
            </w:smartTag>
          </w:p>
          <w:p w14:paraId="32368CC5" w14:textId="77777777" w:rsidR="00CF747B" w:rsidRPr="00C83045" w:rsidRDefault="00CF747B" w:rsidP="00D4304B">
            <w:pPr>
              <w:widowControl w:val="0"/>
              <w:rPr>
                <w:color w:val="000000"/>
                <w:szCs w:val="22"/>
              </w:rPr>
            </w:pPr>
            <w:r w:rsidRPr="00C83045">
              <w:rPr>
                <w:color w:val="000000"/>
                <w:szCs w:val="22"/>
              </w:rPr>
              <w:t>Novartis Ireland Limited</w:t>
            </w:r>
          </w:p>
          <w:p w14:paraId="32368CC6" w14:textId="77777777" w:rsidR="00CF747B" w:rsidRPr="00C83045" w:rsidRDefault="00CF747B" w:rsidP="00D4304B">
            <w:pPr>
              <w:widowControl w:val="0"/>
              <w:rPr>
                <w:color w:val="000000"/>
                <w:szCs w:val="22"/>
              </w:rPr>
            </w:pPr>
            <w:r w:rsidRPr="00C83045">
              <w:rPr>
                <w:color w:val="000000"/>
                <w:szCs w:val="22"/>
              </w:rPr>
              <w:t>Tel: +353 1 260 12 55</w:t>
            </w:r>
          </w:p>
          <w:p w14:paraId="32368CC7" w14:textId="77777777" w:rsidR="00CF747B" w:rsidRPr="00C83045" w:rsidRDefault="00CF747B" w:rsidP="00D4304B">
            <w:pPr>
              <w:widowControl w:val="0"/>
              <w:rPr>
                <w:b/>
                <w:color w:val="000000"/>
                <w:szCs w:val="22"/>
              </w:rPr>
            </w:pPr>
          </w:p>
        </w:tc>
        <w:tc>
          <w:tcPr>
            <w:tcW w:w="4650" w:type="dxa"/>
          </w:tcPr>
          <w:p w14:paraId="32368CC8" w14:textId="77777777" w:rsidR="00CF747B" w:rsidRPr="00C83045" w:rsidRDefault="00CF747B" w:rsidP="00D4304B">
            <w:pPr>
              <w:widowControl w:val="0"/>
              <w:rPr>
                <w:b/>
                <w:color w:val="000000"/>
                <w:szCs w:val="22"/>
                <w:lang w:val="fr-FR"/>
              </w:rPr>
            </w:pPr>
            <w:r w:rsidRPr="00C83045">
              <w:rPr>
                <w:b/>
                <w:color w:val="000000"/>
                <w:szCs w:val="22"/>
                <w:lang w:val="fr-FR"/>
              </w:rPr>
              <w:t>Slovenija</w:t>
            </w:r>
          </w:p>
          <w:p w14:paraId="32368CC9" w14:textId="77777777" w:rsidR="00CF747B" w:rsidRPr="00C83045" w:rsidRDefault="00CF747B" w:rsidP="00D4304B">
            <w:pPr>
              <w:widowControl w:val="0"/>
              <w:rPr>
                <w:color w:val="000000"/>
                <w:szCs w:val="22"/>
                <w:lang w:val="fr-FR"/>
              </w:rPr>
            </w:pPr>
            <w:r w:rsidRPr="00C83045">
              <w:rPr>
                <w:color w:val="000000"/>
                <w:szCs w:val="22"/>
                <w:lang w:val="fr-FR"/>
              </w:rPr>
              <w:t>Novartis Pharma Services Inc.</w:t>
            </w:r>
          </w:p>
          <w:p w14:paraId="32368CCA" w14:textId="77777777" w:rsidR="00CF747B" w:rsidRPr="00C83045" w:rsidRDefault="00CF747B" w:rsidP="00D4304B">
            <w:pPr>
              <w:widowControl w:val="0"/>
              <w:rPr>
                <w:color w:val="000000"/>
                <w:szCs w:val="22"/>
                <w:lang w:val="fr-FR"/>
              </w:rPr>
            </w:pPr>
            <w:r w:rsidRPr="00C83045">
              <w:rPr>
                <w:color w:val="000000"/>
                <w:szCs w:val="22"/>
                <w:lang w:val="fr-FR"/>
              </w:rPr>
              <w:t>Tel: +386 1 300 75 50</w:t>
            </w:r>
          </w:p>
        </w:tc>
      </w:tr>
      <w:tr w:rsidR="00CF747B" w:rsidRPr="00C83045" w14:paraId="32368CD4" w14:textId="77777777" w:rsidTr="00500409">
        <w:trPr>
          <w:cantSplit/>
        </w:trPr>
        <w:tc>
          <w:tcPr>
            <w:tcW w:w="4650" w:type="dxa"/>
          </w:tcPr>
          <w:p w14:paraId="32368CCC" w14:textId="77777777" w:rsidR="00CF747B" w:rsidRPr="00C83045" w:rsidRDefault="00CF747B" w:rsidP="00D4304B">
            <w:pPr>
              <w:widowControl w:val="0"/>
              <w:rPr>
                <w:b/>
                <w:color w:val="000000"/>
                <w:szCs w:val="22"/>
              </w:rPr>
            </w:pPr>
            <w:r w:rsidRPr="00C83045">
              <w:rPr>
                <w:b/>
                <w:color w:val="000000"/>
                <w:szCs w:val="22"/>
              </w:rPr>
              <w:t>Ísland</w:t>
            </w:r>
          </w:p>
          <w:p w14:paraId="32368CCD" w14:textId="77777777" w:rsidR="00CF747B" w:rsidRPr="00C83045" w:rsidRDefault="00CF747B" w:rsidP="00D4304B">
            <w:pPr>
              <w:widowControl w:val="0"/>
              <w:rPr>
                <w:color w:val="000000"/>
                <w:szCs w:val="22"/>
              </w:rPr>
            </w:pPr>
            <w:r w:rsidRPr="00C83045">
              <w:rPr>
                <w:color w:val="000000"/>
                <w:szCs w:val="22"/>
              </w:rPr>
              <w:t>Vistor hf.</w:t>
            </w:r>
          </w:p>
          <w:p w14:paraId="32368CCE" w14:textId="77777777" w:rsidR="00CF747B" w:rsidRPr="00C83045" w:rsidRDefault="00CF747B" w:rsidP="00D4304B">
            <w:pPr>
              <w:widowControl w:val="0"/>
              <w:rPr>
                <w:color w:val="000000"/>
                <w:szCs w:val="22"/>
              </w:rPr>
            </w:pPr>
            <w:r w:rsidRPr="00C83045">
              <w:rPr>
                <w:noProof/>
                <w:color w:val="000000"/>
                <w:lang w:val="it-IT"/>
              </w:rPr>
              <w:t>S</w:t>
            </w:r>
            <w:r w:rsidRPr="00C83045">
              <w:rPr>
                <w:noProof/>
                <w:color w:val="000000"/>
                <w:lang w:val="cs-CZ"/>
              </w:rPr>
              <w:t>í</w:t>
            </w:r>
            <w:r w:rsidRPr="00C83045">
              <w:rPr>
                <w:noProof/>
                <w:color w:val="000000"/>
                <w:lang w:val="it-IT"/>
              </w:rPr>
              <w:t>mi</w:t>
            </w:r>
            <w:r w:rsidRPr="00C83045">
              <w:rPr>
                <w:color w:val="000000"/>
                <w:szCs w:val="22"/>
              </w:rPr>
              <w:t>: +354 535 7000</w:t>
            </w:r>
          </w:p>
          <w:p w14:paraId="32368CCF" w14:textId="77777777" w:rsidR="00CF747B" w:rsidRPr="00C83045" w:rsidRDefault="00CF747B" w:rsidP="00D4304B">
            <w:pPr>
              <w:widowControl w:val="0"/>
              <w:rPr>
                <w:b/>
                <w:color w:val="000000"/>
                <w:szCs w:val="22"/>
              </w:rPr>
            </w:pPr>
          </w:p>
        </w:tc>
        <w:tc>
          <w:tcPr>
            <w:tcW w:w="4650" w:type="dxa"/>
          </w:tcPr>
          <w:p w14:paraId="32368CD0" w14:textId="77777777" w:rsidR="00CF747B" w:rsidRPr="00C83045" w:rsidRDefault="00CF747B" w:rsidP="00D4304B">
            <w:pPr>
              <w:widowControl w:val="0"/>
              <w:rPr>
                <w:b/>
                <w:color w:val="000000"/>
                <w:szCs w:val="22"/>
                <w:lang w:val="pt-BR"/>
              </w:rPr>
            </w:pPr>
            <w:r w:rsidRPr="00C83045">
              <w:rPr>
                <w:b/>
                <w:color w:val="000000"/>
                <w:szCs w:val="22"/>
                <w:lang w:val="pt-BR"/>
              </w:rPr>
              <w:t>Slovenská republika</w:t>
            </w:r>
          </w:p>
          <w:p w14:paraId="32368CD1" w14:textId="77777777" w:rsidR="00CF747B" w:rsidRPr="00C83045" w:rsidRDefault="00CF747B" w:rsidP="00D4304B">
            <w:pPr>
              <w:widowControl w:val="0"/>
              <w:rPr>
                <w:color w:val="000000"/>
                <w:szCs w:val="22"/>
                <w:lang w:val="pt-BR"/>
              </w:rPr>
            </w:pPr>
            <w:r w:rsidRPr="00C83045">
              <w:rPr>
                <w:color w:val="000000"/>
                <w:szCs w:val="22"/>
                <w:lang w:val="pt-BR"/>
              </w:rPr>
              <w:t>Novartis Slovakia s.r.o.</w:t>
            </w:r>
          </w:p>
          <w:p w14:paraId="32368CD2" w14:textId="77777777" w:rsidR="00CF747B" w:rsidRPr="00C83045" w:rsidRDefault="00CF747B" w:rsidP="00D4304B">
            <w:pPr>
              <w:widowControl w:val="0"/>
              <w:rPr>
                <w:color w:val="000000"/>
                <w:szCs w:val="22"/>
              </w:rPr>
            </w:pPr>
            <w:r w:rsidRPr="00C83045">
              <w:rPr>
                <w:color w:val="000000"/>
                <w:szCs w:val="22"/>
              </w:rPr>
              <w:t>Tel: +421 2 5542 5439</w:t>
            </w:r>
          </w:p>
          <w:p w14:paraId="32368CD3" w14:textId="77777777" w:rsidR="00CF747B" w:rsidRPr="00C83045" w:rsidRDefault="00CF747B" w:rsidP="00D4304B">
            <w:pPr>
              <w:widowControl w:val="0"/>
              <w:rPr>
                <w:color w:val="000000"/>
                <w:szCs w:val="22"/>
              </w:rPr>
            </w:pPr>
          </w:p>
        </w:tc>
      </w:tr>
      <w:tr w:rsidR="00CF747B" w:rsidRPr="00C83045" w14:paraId="32368CDC" w14:textId="77777777" w:rsidTr="00500409">
        <w:trPr>
          <w:cantSplit/>
        </w:trPr>
        <w:tc>
          <w:tcPr>
            <w:tcW w:w="4650" w:type="dxa"/>
          </w:tcPr>
          <w:p w14:paraId="32368CD5" w14:textId="77777777" w:rsidR="00CF747B" w:rsidRPr="00C83045" w:rsidRDefault="00CF747B" w:rsidP="00D4304B">
            <w:pPr>
              <w:widowControl w:val="0"/>
              <w:rPr>
                <w:b/>
                <w:color w:val="000000"/>
                <w:szCs w:val="22"/>
                <w:lang w:val="pt-BR"/>
              </w:rPr>
            </w:pPr>
            <w:r w:rsidRPr="00C83045">
              <w:rPr>
                <w:b/>
                <w:color w:val="000000"/>
                <w:szCs w:val="22"/>
                <w:lang w:val="pt-BR"/>
              </w:rPr>
              <w:t>Italia</w:t>
            </w:r>
          </w:p>
          <w:p w14:paraId="32368CD6" w14:textId="77777777" w:rsidR="00CF747B" w:rsidRPr="00C83045" w:rsidRDefault="00CF747B" w:rsidP="00D4304B">
            <w:pPr>
              <w:widowControl w:val="0"/>
              <w:rPr>
                <w:color w:val="000000"/>
                <w:szCs w:val="22"/>
                <w:lang w:val="pt-BR"/>
              </w:rPr>
            </w:pPr>
            <w:r w:rsidRPr="00C83045">
              <w:rPr>
                <w:color w:val="000000"/>
                <w:szCs w:val="22"/>
                <w:lang w:val="pt-BR"/>
              </w:rPr>
              <w:t>Novartis Farma S.p.A.</w:t>
            </w:r>
          </w:p>
          <w:p w14:paraId="32368CD7" w14:textId="77777777" w:rsidR="00CF747B" w:rsidRPr="00C83045" w:rsidRDefault="00CF747B" w:rsidP="00D4304B">
            <w:pPr>
              <w:widowControl w:val="0"/>
              <w:rPr>
                <w:b/>
                <w:color w:val="000000"/>
                <w:szCs w:val="22"/>
              </w:rPr>
            </w:pPr>
            <w:r w:rsidRPr="00C83045">
              <w:rPr>
                <w:color w:val="000000"/>
                <w:szCs w:val="22"/>
              </w:rPr>
              <w:t>Tel: +39 02 96 54 1</w:t>
            </w:r>
          </w:p>
        </w:tc>
        <w:tc>
          <w:tcPr>
            <w:tcW w:w="4650" w:type="dxa"/>
          </w:tcPr>
          <w:p w14:paraId="32368CD8" w14:textId="77777777" w:rsidR="00CF747B" w:rsidRPr="00C83045" w:rsidRDefault="00CF747B" w:rsidP="00D4304B">
            <w:pPr>
              <w:widowControl w:val="0"/>
              <w:rPr>
                <w:b/>
                <w:color w:val="000000"/>
                <w:szCs w:val="22"/>
                <w:lang w:val="fr-FR"/>
              </w:rPr>
            </w:pPr>
            <w:r w:rsidRPr="00C83045">
              <w:rPr>
                <w:b/>
                <w:color w:val="000000"/>
                <w:szCs w:val="22"/>
                <w:lang w:val="fr-FR"/>
              </w:rPr>
              <w:t>Suomi/Finland</w:t>
            </w:r>
          </w:p>
          <w:p w14:paraId="32368CD9" w14:textId="77777777" w:rsidR="00CF747B" w:rsidRPr="00C83045" w:rsidRDefault="00CF747B" w:rsidP="00D4304B">
            <w:pPr>
              <w:widowControl w:val="0"/>
              <w:rPr>
                <w:color w:val="000000"/>
                <w:szCs w:val="22"/>
                <w:lang w:val="fr-FR"/>
              </w:rPr>
            </w:pPr>
            <w:r w:rsidRPr="00C83045">
              <w:rPr>
                <w:color w:val="000000"/>
                <w:szCs w:val="22"/>
                <w:lang w:val="fr-FR"/>
              </w:rPr>
              <w:t>Novartis Finland Oy</w:t>
            </w:r>
          </w:p>
          <w:p w14:paraId="32368CDA" w14:textId="77777777" w:rsidR="00CF747B" w:rsidRPr="00C83045" w:rsidRDefault="00CF747B" w:rsidP="00D4304B">
            <w:pPr>
              <w:widowControl w:val="0"/>
              <w:rPr>
                <w:color w:val="000000"/>
                <w:szCs w:val="22"/>
                <w:lang w:val="fr-FR"/>
              </w:rPr>
            </w:pPr>
            <w:r w:rsidRPr="00C83045">
              <w:rPr>
                <w:color w:val="000000"/>
                <w:szCs w:val="22"/>
                <w:lang w:val="fr-FR"/>
              </w:rPr>
              <w:t xml:space="preserve">Puh/Tel: </w:t>
            </w:r>
            <w:r w:rsidRPr="00C83045">
              <w:rPr>
                <w:color w:val="000000"/>
                <w:szCs w:val="22"/>
                <w:lang w:val="de-CH" w:bidi="he-IL"/>
              </w:rPr>
              <w:t>+358 (0)10 6133 200</w:t>
            </w:r>
          </w:p>
          <w:p w14:paraId="32368CDB" w14:textId="77777777" w:rsidR="00CF747B" w:rsidRPr="00C83045" w:rsidRDefault="00CF747B" w:rsidP="00D4304B">
            <w:pPr>
              <w:widowControl w:val="0"/>
              <w:rPr>
                <w:color w:val="000000"/>
                <w:szCs w:val="22"/>
                <w:lang w:val="fr-FR"/>
              </w:rPr>
            </w:pPr>
          </w:p>
        </w:tc>
      </w:tr>
      <w:tr w:rsidR="00CF747B" w:rsidRPr="00C83045" w14:paraId="32368CE5" w14:textId="77777777" w:rsidTr="00500409">
        <w:trPr>
          <w:cantSplit/>
        </w:trPr>
        <w:tc>
          <w:tcPr>
            <w:tcW w:w="4650" w:type="dxa"/>
          </w:tcPr>
          <w:p w14:paraId="32368CDD" w14:textId="77777777" w:rsidR="00CF747B" w:rsidRPr="00C83045" w:rsidRDefault="00CF747B" w:rsidP="00D4304B">
            <w:pPr>
              <w:widowControl w:val="0"/>
              <w:rPr>
                <w:b/>
                <w:color w:val="000000"/>
                <w:szCs w:val="22"/>
                <w:lang w:val="fr-FR"/>
              </w:rPr>
            </w:pPr>
            <w:r w:rsidRPr="00C83045">
              <w:rPr>
                <w:b/>
                <w:color w:val="000000"/>
                <w:szCs w:val="22"/>
              </w:rPr>
              <w:t>Κύπρος</w:t>
            </w:r>
          </w:p>
          <w:p w14:paraId="32368CDE" w14:textId="77777777" w:rsidR="00CF747B" w:rsidRPr="00C83045" w:rsidRDefault="00CF747B" w:rsidP="00D4304B">
            <w:pPr>
              <w:widowControl w:val="0"/>
              <w:rPr>
                <w:color w:val="000000"/>
                <w:szCs w:val="22"/>
                <w:lang w:val="fr-FR"/>
              </w:rPr>
            </w:pPr>
            <w:r w:rsidRPr="00C83045">
              <w:rPr>
                <w:color w:val="000000"/>
                <w:szCs w:val="22"/>
                <w:lang w:val="fr-FR" w:bidi="he-IL"/>
              </w:rPr>
              <w:t>Novartis Pharma Services Inc.</w:t>
            </w:r>
          </w:p>
          <w:p w14:paraId="32368CDF" w14:textId="77777777" w:rsidR="00CF747B" w:rsidRPr="00C83045" w:rsidRDefault="00CF747B" w:rsidP="00D4304B">
            <w:pPr>
              <w:widowControl w:val="0"/>
              <w:rPr>
                <w:color w:val="000000"/>
                <w:szCs w:val="22"/>
                <w:lang w:val="fr-FR"/>
              </w:rPr>
            </w:pPr>
            <w:r w:rsidRPr="00C83045">
              <w:rPr>
                <w:color w:val="000000"/>
                <w:szCs w:val="22"/>
              </w:rPr>
              <w:t>Τηλ</w:t>
            </w:r>
            <w:r w:rsidRPr="00C83045">
              <w:rPr>
                <w:color w:val="000000"/>
                <w:szCs w:val="22"/>
                <w:lang w:val="fr-FR"/>
              </w:rPr>
              <w:t>: +357 22 690 690</w:t>
            </w:r>
          </w:p>
          <w:p w14:paraId="32368CE0" w14:textId="77777777" w:rsidR="00CF747B" w:rsidRPr="00C83045" w:rsidRDefault="00CF747B" w:rsidP="00D4304B">
            <w:pPr>
              <w:widowControl w:val="0"/>
              <w:rPr>
                <w:b/>
                <w:color w:val="000000"/>
                <w:szCs w:val="22"/>
                <w:lang w:val="fr-FR"/>
              </w:rPr>
            </w:pPr>
          </w:p>
        </w:tc>
        <w:tc>
          <w:tcPr>
            <w:tcW w:w="4650" w:type="dxa"/>
          </w:tcPr>
          <w:p w14:paraId="32368CE1" w14:textId="77777777" w:rsidR="00CF747B" w:rsidRPr="00C83045" w:rsidRDefault="00CF747B" w:rsidP="00D4304B">
            <w:pPr>
              <w:widowControl w:val="0"/>
              <w:rPr>
                <w:b/>
                <w:color w:val="000000"/>
                <w:szCs w:val="22"/>
                <w:lang w:val="de-CH"/>
              </w:rPr>
            </w:pPr>
            <w:r w:rsidRPr="00C83045">
              <w:rPr>
                <w:b/>
                <w:color w:val="000000"/>
                <w:szCs w:val="22"/>
                <w:lang w:val="de-CH"/>
              </w:rPr>
              <w:t>Sverige</w:t>
            </w:r>
          </w:p>
          <w:p w14:paraId="32368CE2" w14:textId="77777777" w:rsidR="00CF747B" w:rsidRPr="00C83045" w:rsidRDefault="00CF747B" w:rsidP="00D4304B">
            <w:pPr>
              <w:widowControl w:val="0"/>
              <w:rPr>
                <w:color w:val="000000"/>
                <w:szCs w:val="22"/>
                <w:lang w:val="de-CH"/>
              </w:rPr>
            </w:pPr>
            <w:r w:rsidRPr="00C83045">
              <w:rPr>
                <w:color w:val="000000"/>
                <w:szCs w:val="22"/>
                <w:lang w:val="de-CH"/>
              </w:rPr>
              <w:t>Novartis Sverige AB</w:t>
            </w:r>
          </w:p>
          <w:p w14:paraId="32368CE3" w14:textId="77777777" w:rsidR="00CF747B" w:rsidRPr="00C83045" w:rsidRDefault="00CF747B" w:rsidP="00D4304B">
            <w:pPr>
              <w:widowControl w:val="0"/>
              <w:rPr>
                <w:color w:val="000000"/>
                <w:szCs w:val="22"/>
                <w:lang w:val="de-CH"/>
              </w:rPr>
            </w:pPr>
            <w:r w:rsidRPr="00C83045">
              <w:rPr>
                <w:color w:val="000000"/>
                <w:szCs w:val="22"/>
                <w:lang w:val="de-CH"/>
              </w:rPr>
              <w:t>Tel: +46 8 732 32 00</w:t>
            </w:r>
          </w:p>
          <w:p w14:paraId="32368CE4" w14:textId="77777777" w:rsidR="00CF747B" w:rsidRPr="00C83045" w:rsidRDefault="00CF747B" w:rsidP="00D4304B">
            <w:pPr>
              <w:widowControl w:val="0"/>
              <w:rPr>
                <w:color w:val="000000"/>
                <w:szCs w:val="22"/>
                <w:lang w:val="de-CH"/>
              </w:rPr>
            </w:pPr>
          </w:p>
        </w:tc>
      </w:tr>
      <w:tr w:rsidR="00CF747B" w:rsidRPr="00C83045" w14:paraId="32368CEE" w14:textId="77777777" w:rsidTr="00500409">
        <w:trPr>
          <w:cantSplit/>
        </w:trPr>
        <w:tc>
          <w:tcPr>
            <w:tcW w:w="4650" w:type="dxa"/>
          </w:tcPr>
          <w:p w14:paraId="32368CE6" w14:textId="77777777" w:rsidR="00CF747B" w:rsidRPr="00514B7B" w:rsidRDefault="00CF747B" w:rsidP="00D4304B">
            <w:pPr>
              <w:widowControl w:val="0"/>
              <w:rPr>
                <w:b/>
                <w:color w:val="000000"/>
                <w:szCs w:val="22"/>
                <w:lang w:val="it-IT"/>
              </w:rPr>
            </w:pPr>
            <w:r w:rsidRPr="00514B7B">
              <w:rPr>
                <w:b/>
                <w:color w:val="000000"/>
                <w:szCs w:val="22"/>
                <w:lang w:val="it-IT"/>
              </w:rPr>
              <w:t>Latvija</w:t>
            </w:r>
          </w:p>
          <w:p w14:paraId="32368CE7" w14:textId="37ECBFFC" w:rsidR="00CF747B" w:rsidRPr="00514B7B" w:rsidRDefault="009F23CA" w:rsidP="00D4304B">
            <w:pPr>
              <w:widowControl w:val="0"/>
              <w:rPr>
                <w:color w:val="000000"/>
                <w:szCs w:val="22"/>
                <w:lang w:val="it-IT"/>
              </w:rPr>
            </w:pPr>
            <w:r w:rsidRPr="0051657E">
              <w:rPr>
                <w:szCs w:val="22"/>
                <w:lang w:val="it-IT"/>
              </w:rPr>
              <w:t>SIA Novartis Baltics</w:t>
            </w:r>
          </w:p>
          <w:p w14:paraId="32368CE8" w14:textId="77777777" w:rsidR="00CF747B" w:rsidRPr="00C83045" w:rsidRDefault="00CF747B" w:rsidP="00D4304B">
            <w:pPr>
              <w:widowControl w:val="0"/>
              <w:rPr>
                <w:color w:val="000000"/>
                <w:szCs w:val="22"/>
              </w:rPr>
            </w:pPr>
            <w:r w:rsidRPr="00C83045">
              <w:rPr>
                <w:color w:val="000000"/>
                <w:szCs w:val="22"/>
              </w:rPr>
              <w:t>Tel: +371 67 887 070</w:t>
            </w:r>
          </w:p>
          <w:p w14:paraId="32368CE9" w14:textId="77777777" w:rsidR="00CF747B" w:rsidRPr="00C83045" w:rsidRDefault="00CF747B" w:rsidP="00D4304B">
            <w:pPr>
              <w:widowControl w:val="0"/>
              <w:rPr>
                <w:b/>
                <w:color w:val="000000"/>
                <w:szCs w:val="22"/>
              </w:rPr>
            </w:pPr>
          </w:p>
        </w:tc>
        <w:tc>
          <w:tcPr>
            <w:tcW w:w="4650" w:type="dxa"/>
          </w:tcPr>
          <w:p w14:paraId="32368CEA" w14:textId="77777777" w:rsidR="00CF747B" w:rsidRPr="00C83045" w:rsidRDefault="00CF747B" w:rsidP="00D4304B">
            <w:pPr>
              <w:widowControl w:val="0"/>
              <w:rPr>
                <w:b/>
                <w:color w:val="000000"/>
                <w:szCs w:val="22"/>
              </w:rPr>
            </w:pPr>
            <w:smartTag w:uri="urn:schemas-microsoft-com:office:smarttags" w:element="country-region">
              <w:smartTag w:uri="urn:schemas-microsoft-com:office:smarttags" w:element="place">
                <w:r w:rsidRPr="00C83045">
                  <w:rPr>
                    <w:b/>
                    <w:color w:val="000000"/>
                    <w:szCs w:val="22"/>
                  </w:rPr>
                  <w:t>United Kingdom</w:t>
                </w:r>
              </w:smartTag>
            </w:smartTag>
          </w:p>
          <w:p w14:paraId="32368CEB" w14:textId="77777777" w:rsidR="00CF747B" w:rsidRPr="00C83045" w:rsidRDefault="00CF747B" w:rsidP="00D4304B">
            <w:pPr>
              <w:widowControl w:val="0"/>
              <w:rPr>
                <w:color w:val="000000"/>
                <w:szCs w:val="22"/>
              </w:rPr>
            </w:pPr>
            <w:r w:rsidRPr="00C83045">
              <w:rPr>
                <w:color w:val="000000"/>
                <w:szCs w:val="22"/>
              </w:rPr>
              <w:t>Novartis Pharmaceuticals UK Ltd.</w:t>
            </w:r>
          </w:p>
          <w:p w14:paraId="32368CEC" w14:textId="77777777" w:rsidR="00CF747B" w:rsidRPr="00C83045" w:rsidRDefault="00CF747B" w:rsidP="00D4304B">
            <w:pPr>
              <w:widowControl w:val="0"/>
              <w:rPr>
                <w:color w:val="000000"/>
                <w:szCs w:val="22"/>
              </w:rPr>
            </w:pPr>
            <w:r w:rsidRPr="00C83045">
              <w:rPr>
                <w:color w:val="000000"/>
                <w:szCs w:val="22"/>
              </w:rPr>
              <w:t>Tel: +44 1276 698370</w:t>
            </w:r>
          </w:p>
          <w:p w14:paraId="32368CED" w14:textId="77777777" w:rsidR="00CF747B" w:rsidRPr="00C83045" w:rsidRDefault="00CF747B" w:rsidP="00D4304B">
            <w:pPr>
              <w:widowControl w:val="0"/>
              <w:rPr>
                <w:color w:val="000000"/>
                <w:szCs w:val="22"/>
              </w:rPr>
            </w:pPr>
          </w:p>
        </w:tc>
      </w:tr>
    </w:tbl>
    <w:p w14:paraId="32368CEF" w14:textId="77777777" w:rsidR="00CF747B" w:rsidRPr="00C83045" w:rsidRDefault="00CF747B" w:rsidP="00D4304B">
      <w:pPr>
        <w:widowControl w:val="0"/>
        <w:ind w:right="-449"/>
        <w:rPr>
          <w:color w:val="000000"/>
          <w:szCs w:val="22"/>
        </w:rPr>
      </w:pPr>
    </w:p>
    <w:p w14:paraId="32368CF0" w14:textId="77777777" w:rsidR="00F72C2E" w:rsidRPr="00C83045" w:rsidRDefault="00F72C2E" w:rsidP="00D4304B">
      <w:pPr>
        <w:widowControl w:val="0"/>
        <w:numPr>
          <w:ilvl w:val="12"/>
          <w:numId w:val="0"/>
        </w:numPr>
        <w:outlineLvl w:val="0"/>
        <w:rPr>
          <w:b/>
          <w:color w:val="000000"/>
          <w:szCs w:val="22"/>
        </w:rPr>
      </w:pPr>
      <w:r w:rsidRPr="00C83045">
        <w:rPr>
          <w:b/>
          <w:color w:val="000000"/>
          <w:szCs w:val="22"/>
        </w:rPr>
        <w:t xml:space="preserve">Táto písomná informácia bola </w:t>
      </w:r>
      <w:r w:rsidR="00F32D05" w:rsidRPr="00C83045">
        <w:rPr>
          <w:b/>
          <w:noProof/>
        </w:rPr>
        <w:t>aktualizovaná</w:t>
      </w:r>
      <w:r w:rsidRPr="00C83045">
        <w:rPr>
          <w:b/>
          <w:color w:val="000000"/>
          <w:szCs w:val="22"/>
        </w:rPr>
        <w:t xml:space="preserve"> v</w:t>
      </w:r>
    </w:p>
    <w:p w14:paraId="32368CF1" w14:textId="77777777" w:rsidR="00F72C2E" w:rsidRPr="00C83045" w:rsidRDefault="00F72C2E" w:rsidP="00D4304B">
      <w:pPr>
        <w:widowControl w:val="0"/>
        <w:numPr>
          <w:ilvl w:val="12"/>
          <w:numId w:val="0"/>
        </w:numPr>
        <w:outlineLvl w:val="0"/>
        <w:rPr>
          <w:color w:val="000000"/>
          <w:szCs w:val="22"/>
        </w:rPr>
      </w:pPr>
    </w:p>
    <w:p w14:paraId="32368CF2" w14:textId="77777777" w:rsidR="00F32D05" w:rsidRPr="00C83045" w:rsidRDefault="00F32D05" w:rsidP="00D4304B">
      <w:pPr>
        <w:keepNext/>
        <w:widowControl w:val="0"/>
        <w:rPr>
          <w:noProof/>
          <w:color w:val="000000"/>
          <w:szCs w:val="22"/>
        </w:rPr>
      </w:pPr>
      <w:r w:rsidRPr="00C83045">
        <w:rPr>
          <w:b/>
          <w:noProof/>
        </w:rPr>
        <w:t>Ďalšie zdroje informácií</w:t>
      </w:r>
    </w:p>
    <w:p w14:paraId="32368CF3" w14:textId="77777777" w:rsidR="00F72C2E" w:rsidRPr="00C83045" w:rsidRDefault="00F72C2E" w:rsidP="00D4304B">
      <w:pPr>
        <w:widowControl w:val="0"/>
        <w:ind w:left="0" w:firstLine="0"/>
        <w:rPr>
          <w:noProof/>
          <w:color w:val="000000"/>
          <w:szCs w:val="22"/>
        </w:rPr>
      </w:pPr>
      <w:r w:rsidRPr="00C83045">
        <w:rPr>
          <w:noProof/>
          <w:color w:val="000000"/>
          <w:szCs w:val="22"/>
        </w:rPr>
        <w:t xml:space="preserve">Podrobné informácie o tomto lieku sú dostupné na internetovej stránke Európskej agentúry </w:t>
      </w:r>
      <w:r w:rsidR="00F32D05" w:rsidRPr="00C83045">
        <w:rPr>
          <w:noProof/>
          <w:color w:val="000000"/>
          <w:szCs w:val="22"/>
        </w:rPr>
        <w:t xml:space="preserve">pre lieky </w:t>
      </w:r>
      <w:r w:rsidRPr="00C83045">
        <w:rPr>
          <w:noProof/>
          <w:color w:val="000000"/>
          <w:szCs w:val="22"/>
        </w:rPr>
        <w:t>http://www.ema.europa.eu</w:t>
      </w:r>
    </w:p>
    <w:p w14:paraId="32368CF4" w14:textId="77777777" w:rsidR="00F72C2E" w:rsidRPr="00C83045" w:rsidRDefault="00F72C2E" w:rsidP="00D4304B">
      <w:pPr>
        <w:widowControl w:val="0"/>
        <w:ind w:left="0" w:firstLine="0"/>
        <w:jc w:val="center"/>
        <w:rPr>
          <w:b/>
          <w:color w:val="000000"/>
          <w:szCs w:val="22"/>
        </w:rPr>
      </w:pPr>
      <w:r w:rsidRPr="00C83045">
        <w:rPr>
          <w:color w:val="000000"/>
          <w:szCs w:val="22"/>
          <w:lang w:eastAsia="en-US"/>
        </w:rPr>
        <w:br w:type="page"/>
      </w:r>
      <w:r w:rsidR="003A2F14" w:rsidRPr="00C83045">
        <w:rPr>
          <w:b/>
          <w:noProof/>
        </w:rPr>
        <w:lastRenderedPageBreak/>
        <w:t>Písomná informácia pre používate</w:t>
      </w:r>
      <w:r w:rsidR="000F7F9B" w:rsidRPr="00C83045">
        <w:rPr>
          <w:b/>
          <w:noProof/>
        </w:rPr>
        <w:t>ľa</w:t>
      </w:r>
    </w:p>
    <w:p w14:paraId="32368CF5" w14:textId="77777777" w:rsidR="00F72C2E" w:rsidRPr="00C83045" w:rsidRDefault="00F72C2E" w:rsidP="00D4304B">
      <w:pPr>
        <w:widowControl w:val="0"/>
        <w:ind w:left="0" w:firstLine="0"/>
        <w:jc w:val="center"/>
        <w:rPr>
          <w:color w:val="000000"/>
          <w:szCs w:val="22"/>
        </w:rPr>
      </w:pPr>
    </w:p>
    <w:p w14:paraId="32368CF6" w14:textId="74327F2F" w:rsidR="00F72C2E" w:rsidRDefault="00F72C2E" w:rsidP="00D4304B">
      <w:pPr>
        <w:widowControl w:val="0"/>
        <w:jc w:val="center"/>
        <w:rPr>
          <w:b/>
          <w:color w:val="000000"/>
          <w:szCs w:val="22"/>
        </w:rPr>
      </w:pPr>
      <w:r w:rsidRPr="00C83045">
        <w:rPr>
          <w:b/>
          <w:color w:val="000000"/>
          <w:szCs w:val="22"/>
        </w:rPr>
        <w:t>Glivec 100 mg filmom obalené tablety</w:t>
      </w:r>
    </w:p>
    <w:p w14:paraId="50461ADF" w14:textId="1969C718" w:rsidR="00670E2E" w:rsidRPr="00C83045" w:rsidRDefault="00670E2E" w:rsidP="00D4304B">
      <w:pPr>
        <w:widowControl w:val="0"/>
        <w:jc w:val="center"/>
        <w:rPr>
          <w:color w:val="000000"/>
          <w:szCs w:val="22"/>
        </w:rPr>
      </w:pPr>
      <w:r>
        <w:rPr>
          <w:b/>
          <w:color w:val="000000"/>
          <w:szCs w:val="22"/>
        </w:rPr>
        <w:t>Glivec 4</w:t>
      </w:r>
      <w:r w:rsidRPr="00C83045">
        <w:rPr>
          <w:b/>
          <w:color w:val="000000"/>
          <w:szCs w:val="22"/>
        </w:rPr>
        <w:t>00 mg filmom obalené tablety</w:t>
      </w:r>
    </w:p>
    <w:p w14:paraId="32368CF7" w14:textId="77777777" w:rsidR="00F72C2E" w:rsidRPr="00C83045" w:rsidRDefault="00E61D15" w:rsidP="00D4304B">
      <w:pPr>
        <w:widowControl w:val="0"/>
        <w:jc w:val="center"/>
        <w:rPr>
          <w:color w:val="000000"/>
          <w:szCs w:val="22"/>
        </w:rPr>
      </w:pPr>
      <w:r>
        <w:rPr>
          <w:color w:val="000000"/>
          <w:szCs w:val="22"/>
        </w:rPr>
        <w:t>i</w:t>
      </w:r>
      <w:r w:rsidR="00F72C2E" w:rsidRPr="00C83045">
        <w:rPr>
          <w:color w:val="000000"/>
          <w:szCs w:val="22"/>
        </w:rPr>
        <w:t>matinib</w:t>
      </w:r>
    </w:p>
    <w:p w14:paraId="32368CF8" w14:textId="77777777" w:rsidR="00F72C2E" w:rsidRPr="00C83045" w:rsidRDefault="00F72C2E" w:rsidP="00D4304B">
      <w:pPr>
        <w:widowControl w:val="0"/>
        <w:ind w:left="0" w:firstLine="0"/>
        <w:rPr>
          <w:color w:val="000000"/>
          <w:szCs w:val="22"/>
        </w:rPr>
      </w:pPr>
    </w:p>
    <w:p w14:paraId="32368CF9" w14:textId="77777777" w:rsidR="00C861AD" w:rsidRPr="00C83045" w:rsidRDefault="00DF0316" w:rsidP="00D4304B">
      <w:pPr>
        <w:widowControl w:val="0"/>
        <w:tabs>
          <w:tab w:val="left" w:pos="720"/>
        </w:tabs>
        <w:ind w:left="0" w:firstLine="0"/>
        <w:rPr>
          <w:snapToGrid w:val="0"/>
          <w:szCs w:val="22"/>
          <w:lang w:eastAsia="en-US"/>
        </w:rPr>
      </w:pPr>
      <w:r w:rsidRPr="00C83045">
        <w:rPr>
          <w:noProof/>
          <w:snapToGrid w:val="0"/>
          <w:szCs w:val="20"/>
          <w:lang w:val="en-US" w:eastAsia="en-US"/>
        </w:rPr>
        <w:drawing>
          <wp:inline distT="0" distB="0" distL="0" distR="0" wp14:anchorId="32369044" wp14:editId="32369045">
            <wp:extent cx="201295" cy="173990"/>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295" cy="173990"/>
                    </a:xfrm>
                    <a:prstGeom prst="rect">
                      <a:avLst/>
                    </a:prstGeom>
                    <a:noFill/>
                    <a:ln>
                      <a:noFill/>
                    </a:ln>
                  </pic:spPr>
                </pic:pic>
              </a:graphicData>
            </a:graphic>
          </wp:inline>
        </w:drawing>
      </w:r>
      <w:r w:rsidR="00C861AD" w:rsidRPr="00C83045">
        <w:rPr>
          <w:noProof/>
          <w:snapToGrid w:val="0"/>
          <w:szCs w:val="22"/>
          <w:lang w:eastAsia="en-US"/>
        </w:rPr>
        <w:t>Tento liek je predmetom ďalšieho monitorovania.</w:t>
      </w:r>
      <w:r w:rsidR="00C861AD" w:rsidRPr="00C83045">
        <w:rPr>
          <w:snapToGrid w:val="0"/>
          <w:szCs w:val="22"/>
          <w:lang w:eastAsia="en-US"/>
        </w:rPr>
        <w:t xml:space="preserve"> </w:t>
      </w:r>
      <w:r w:rsidR="00C861AD" w:rsidRPr="00C83045">
        <w:rPr>
          <w:noProof/>
          <w:snapToGrid w:val="0"/>
          <w:szCs w:val="22"/>
          <w:lang w:eastAsia="en-US"/>
        </w:rPr>
        <w:t>To umožní rýchle získanie nových informácií o bezpečnosti.</w:t>
      </w:r>
      <w:r w:rsidR="00C861AD" w:rsidRPr="00C83045">
        <w:rPr>
          <w:snapToGrid w:val="0"/>
          <w:szCs w:val="22"/>
          <w:lang w:eastAsia="en-US"/>
        </w:rPr>
        <w:t xml:space="preserve"> </w:t>
      </w:r>
      <w:r w:rsidR="00C861AD" w:rsidRPr="00C83045">
        <w:rPr>
          <w:noProof/>
          <w:snapToGrid w:val="0"/>
          <w:szCs w:val="22"/>
          <w:lang w:eastAsia="en-US"/>
        </w:rPr>
        <w:t>Môžete prispieť tým, že nahlásite akékoľvek vedľajšie účinky, ak sa u vás vyskytnú.</w:t>
      </w:r>
      <w:r w:rsidR="00C861AD" w:rsidRPr="00C83045">
        <w:rPr>
          <w:snapToGrid w:val="0"/>
          <w:szCs w:val="22"/>
          <w:lang w:eastAsia="en-US"/>
        </w:rPr>
        <w:t xml:space="preserve"> </w:t>
      </w:r>
      <w:r w:rsidR="00C861AD" w:rsidRPr="00C83045">
        <w:rPr>
          <w:noProof/>
          <w:snapToGrid w:val="0"/>
          <w:szCs w:val="22"/>
          <w:lang w:eastAsia="en-US"/>
        </w:rPr>
        <w:t>Informácie o</w:t>
      </w:r>
      <w:r w:rsidR="00E61D15">
        <w:rPr>
          <w:noProof/>
          <w:snapToGrid w:val="0"/>
          <w:szCs w:val="22"/>
          <w:lang w:eastAsia="en-US"/>
        </w:rPr>
        <w:t> </w:t>
      </w:r>
      <w:r w:rsidR="00C861AD" w:rsidRPr="00C83045">
        <w:rPr>
          <w:noProof/>
          <w:snapToGrid w:val="0"/>
          <w:szCs w:val="22"/>
          <w:lang w:eastAsia="en-US"/>
        </w:rPr>
        <w:t>tom</w:t>
      </w:r>
      <w:r w:rsidR="00E61D15">
        <w:rPr>
          <w:noProof/>
          <w:snapToGrid w:val="0"/>
          <w:szCs w:val="22"/>
          <w:lang w:eastAsia="en-US"/>
        </w:rPr>
        <w:t>,</w:t>
      </w:r>
      <w:r w:rsidR="00C861AD" w:rsidRPr="00C83045">
        <w:rPr>
          <w:noProof/>
          <w:snapToGrid w:val="0"/>
          <w:szCs w:val="22"/>
          <w:lang w:eastAsia="en-US"/>
        </w:rPr>
        <w:t xml:space="preserve"> ako hlásiť vedľajšie účinky, nájdete na konci časti 4.</w:t>
      </w:r>
    </w:p>
    <w:p w14:paraId="32368CFA" w14:textId="77777777" w:rsidR="00F72C2E" w:rsidRPr="00C83045" w:rsidRDefault="00F72C2E" w:rsidP="00D4304B">
      <w:pPr>
        <w:widowControl w:val="0"/>
        <w:ind w:left="0" w:firstLine="0"/>
        <w:rPr>
          <w:color w:val="000000"/>
          <w:szCs w:val="22"/>
        </w:rPr>
      </w:pPr>
    </w:p>
    <w:p w14:paraId="32368CFB" w14:textId="77777777" w:rsidR="00F80E99" w:rsidRPr="00C83045" w:rsidRDefault="00F80E99" w:rsidP="00D4304B">
      <w:pPr>
        <w:widowControl w:val="0"/>
        <w:ind w:left="0" w:firstLine="0"/>
        <w:rPr>
          <w:color w:val="000000"/>
          <w:szCs w:val="22"/>
        </w:rPr>
      </w:pPr>
      <w:r w:rsidRPr="00C83045">
        <w:rPr>
          <w:b/>
          <w:color w:val="000000"/>
          <w:szCs w:val="22"/>
        </w:rPr>
        <w:t xml:space="preserve">Pozorne si prečítajte celú písomnú informáciu </w:t>
      </w:r>
      <w:r w:rsidRPr="00C83045">
        <w:rPr>
          <w:b/>
          <w:noProof/>
        </w:rPr>
        <w:t xml:space="preserve">predtým, </w:t>
      </w:r>
      <w:r w:rsidR="005A09EB">
        <w:rPr>
          <w:b/>
          <w:noProof/>
        </w:rPr>
        <w:t>ako</w:t>
      </w:r>
      <w:r w:rsidRPr="00C83045" w:rsidDel="00670EDB">
        <w:rPr>
          <w:b/>
          <w:color w:val="000000"/>
          <w:szCs w:val="22"/>
        </w:rPr>
        <w:t xml:space="preserve"> </w:t>
      </w:r>
      <w:r w:rsidRPr="00C83045">
        <w:rPr>
          <w:b/>
          <w:color w:val="000000"/>
          <w:szCs w:val="22"/>
        </w:rPr>
        <w:t xml:space="preserve">začnete užívať </w:t>
      </w:r>
      <w:r w:rsidRPr="00C83045">
        <w:rPr>
          <w:b/>
          <w:noProof/>
        </w:rPr>
        <w:t>tento liek, pretože obsahuje pre vás dôležité informácie</w:t>
      </w:r>
      <w:r w:rsidRPr="00C83045">
        <w:rPr>
          <w:b/>
          <w:color w:val="000000"/>
          <w:szCs w:val="22"/>
        </w:rPr>
        <w:t>.</w:t>
      </w:r>
    </w:p>
    <w:p w14:paraId="32368CFC" w14:textId="77777777" w:rsidR="00F80E99" w:rsidRPr="00C83045" w:rsidRDefault="00F80E99" w:rsidP="00D4304B">
      <w:pPr>
        <w:widowControl w:val="0"/>
        <w:numPr>
          <w:ilvl w:val="0"/>
          <w:numId w:val="8"/>
        </w:numPr>
        <w:ind w:left="567" w:right="-2" w:hanging="567"/>
        <w:rPr>
          <w:color w:val="000000"/>
          <w:szCs w:val="22"/>
        </w:rPr>
      </w:pPr>
      <w:r w:rsidRPr="00C83045">
        <w:rPr>
          <w:color w:val="000000"/>
          <w:szCs w:val="22"/>
        </w:rPr>
        <w:t>Túto písomnú informáciu si uschovajte. Možno bude potrebné, aby ste si ju znovu prečítali.</w:t>
      </w:r>
    </w:p>
    <w:p w14:paraId="32368CFD" w14:textId="77777777" w:rsidR="00F80E99" w:rsidRPr="00C83045" w:rsidRDefault="00F80E99" w:rsidP="00D4304B">
      <w:pPr>
        <w:widowControl w:val="0"/>
        <w:numPr>
          <w:ilvl w:val="0"/>
          <w:numId w:val="8"/>
        </w:numPr>
        <w:ind w:left="567" w:right="-2" w:hanging="567"/>
        <w:rPr>
          <w:color w:val="000000"/>
          <w:szCs w:val="22"/>
        </w:rPr>
      </w:pPr>
      <w:r w:rsidRPr="00C83045">
        <w:rPr>
          <w:color w:val="000000"/>
          <w:szCs w:val="22"/>
        </w:rPr>
        <w:t>Ak máte akékoľvek ďalšie otázky, obráťte sa na svojho lekára, lekárnika alebo zdravotnú sestru.</w:t>
      </w:r>
    </w:p>
    <w:p w14:paraId="32368CFE" w14:textId="77777777" w:rsidR="00F80E99" w:rsidRPr="00C83045" w:rsidRDefault="00F80E99" w:rsidP="00D4304B">
      <w:pPr>
        <w:widowControl w:val="0"/>
        <w:numPr>
          <w:ilvl w:val="0"/>
          <w:numId w:val="8"/>
        </w:numPr>
        <w:ind w:left="567" w:right="-2" w:hanging="567"/>
        <w:rPr>
          <w:color w:val="000000"/>
          <w:szCs w:val="22"/>
        </w:rPr>
      </w:pPr>
      <w:r w:rsidRPr="00C83045">
        <w:rPr>
          <w:color w:val="000000"/>
          <w:szCs w:val="22"/>
        </w:rPr>
        <w:t>Tento liek bol predpísaný iba vám. Nedávajte ho nikomu inému. Môže mu uškodiť, dokonca aj vtedy, ak má rovnaké pr</w:t>
      </w:r>
      <w:r w:rsidR="00E61D15">
        <w:rPr>
          <w:color w:val="000000"/>
          <w:szCs w:val="22"/>
        </w:rPr>
        <w:t>ejav</w:t>
      </w:r>
      <w:r w:rsidRPr="00C83045">
        <w:rPr>
          <w:color w:val="000000"/>
          <w:szCs w:val="22"/>
        </w:rPr>
        <w:t xml:space="preserve">y </w:t>
      </w:r>
      <w:r w:rsidRPr="00C83045">
        <w:rPr>
          <w:noProof/>
        </w:rPr>
        <w:t>ochorenia</w:t>
      </w:r>
      <w:r w:rsidRPr="00C83045">
        <w:rPr>
          <w:color w:val="000000"/>
          <w:szCs w:val="22"/>
        </w:rPr>
        <w:t xml:space="preserve"> ako vy.</w:t>
      </w:r>
    </w:p>
    <w:p w14:paraId="32368CFF" w14:textId="77777777" w:rsidR="00F80E99" w:rsidRPr="00C83045" w:rsidRDefault="00F80E99" w:rsidP="00D4304B">
      <w:pPr>
        <w:widowControl w:val="0"/>
        <w:tabs>
          <w:tab w:val="left" w:pos="567"/>
        </w:tabs>
        <w:rPr>
          <w:color w:val="000000"/>
          <w:szCs w:val="22"/>
        </w:rPr>
      </w:pPr>
      <w:r w:rsidRPr="00C83045">
        <w:rPr>
          <w:color w:val="000000"/>
          <w:szCs w:val="22"/>
        </w:rPr>
        <w:t>-</w:t>
      </w:r>
      <w:r w:rsidRPr="00C83045">
        <w:rPr>
          <w:color w:val="000000"/>
          <w:szCs w:val="22"/>
        </w:rPr>
        <w:tab/>
        <w:t xml:space="preserve">Ak </w:t>
      </w:r>
      <w:r w:rsidRPr="00C83045">
        <w:rPr>
          <w:noProof/>
        </w:rPr>
        <w:t xml:space="preserve">sa u vás vyskytne </w:t>
      </w:r>
      <w:r w:rsidRPr="00C83045">
        <w:rPr>
          <w:color w:val="000000"/>
          <w:szCs w:val="22"/>
        </w:rPr>
        <w:t xml:space="preserve">akýkoľvek vedľajší účinok, </w:t>
      </w:r>
      <w:r w:rsidRPr="00C83045">
        <w:rPr>
          <w:noProof/>
        </w:rPr>
        <w:t>obráťte sa na svojho lekára, lekárnika alebo zdravotnú sestru.</w:t>
      </w:r>
      <w:r w:rsidRPr="00C83045">
        <w:rPr>
          <w:color w:val="000000"/>
          <w:szCs w:val="22"/>
        </w:rPr>
        <w:t xml:space="preserve"> </w:t>
      </w:r>
      <w:r w:rsidRPr="00C83045">
        <w:rPr>
          <w:noProof/>
        </w:rPr>
        <w:t xml:space="preserve">To sa týka aj akýchkoľvek vedľajších účinkov, </w:t>
      </w:r>
      <w:r w:rsidRPr="00C83045">
        <w:rPr>
          <w:color w:val="000000"/>
          <w:szCs w:val="22"/>
        </w:rPr>
        <w:t>ktoré nie sú uvedené v tejto písomnej informácii.</w:t>
      </w:r>
      <w:r w:rsidR="00FC49D9" w:rsidRPr="00C83045">
        <w:rPr>
          <w:color w:val="000000"/>
          <w:szCs w:val="22"/>
        </w:rPr>
        <w:t xml:space="preserve"> Pozri časť 4.</w:t>
      </w:r>
    </w:p>
    <w:p w14:paraId="32368D00" w14:textId="77777777" w:rsidR="00F80E99" w:rsidRPr="00C83045" w:rsidRDefault="00F80E99" w:rsidP="00D4304B">
      <w:pPr>
        <w:widowControl w:val="0"/>
        <w:numPr>
          <w:ilvl w:val="12"/>
          <w:numId w:val="0"/>
        </w:numPr>
        <w:rPr>
          <w:color w:val="000000"/>
          <w:szCs w:val="22"/>
        </w:rPr>
      </w:pPr>
    </w:p>
    <w:p w14:paraId="32368D01" w14:textId="77777777" w:rsidR="00F80E99" w:rsidRPr="00C83045" w:rsidRDefault="00F80E99" w:rsidP="00D4304B">
      <w:pPr>
        <w:widowControl w:val="0"/>
        <w:numPr>
          <w:ilvl w:val="12"/>
          <w:numId w:val="0"/>
        </w:numPr>
        <w:rPr>
          <w:color w:val="000000"/>
          <w:szCs w:val="22"/>
        </w:rPr>
      </w:pPr>
    </w:p>
    <w:p w14:paraId="32368D02" w14:textId="77777777" w:rsidR="00F80E99" w:rsidRPr="00C83045" w:rsidRDefault="00F80E99" w:rsidP="003E286B">
      <w:pPr>
        <w:keepNext/>
        <w:widowControl w:val="0"/>
        <w:numPr>
          <w:ilvl w:val="12"/>
          <w:numId w:val="0"/>
        </w:numPr>
        <w:outlineLvl w:val="0"/>
        <w:rPr>
          <w:color w:val="000000"/>
          <w:szCs w:val="22"/>
        </w:rPr>
      </w:pPr>
      <w:r w:rsidRPr="00C83045">
        <w:rPr>
          <w:b/>
          <w:color w:val="000000"/>
          <w:szCs w:val="22"/>
        </w:rPr>
        <w:t xml:space="preserve">V tejto písomnej informácii </w:t>
      </w:r>
      <w:r w:rsidRPr="00C83045">
        <w:rPr>
          <w:b/>
          <w:noProof/>
          <w:color w:val="000000"/>
          <w:szCs w:val="22"/>
        </w:rPr>
        <w:t>sa dozviete</w:t>
      </w:r>
      <w:r w:rsidR="005A09EB">
        <w:rPr>
          <w:b/>
          <w:noProof/>
          <w:color w:val="000000"/>
          <w:szCs w:val="22"/>
        </w:rPr>
        <w:t>:</w:t>
      </w:r>
    </w:p>
    <w:p w14:paraId="32368D03" w14:textId="77777777" w:rsidR="00F80E99" w:rsidRPr="00C83045" w:rsidRDefault="00F80E99" w:rsidP="003E286B">
      <w:pPr>
        <w:keepNext/>
        <w:widowControl w:val="0"/>
        <w:rPr>
          <w:color w:val="000000"/>
          <w:szCs w:val="22"/>
        </w:rPr>
      </w:pPr>
      <w:r w:rsidRPr="00C83045">
        <w:rPr>
          <w:color w:val="000000"/>
          <w:szCs w:val="22"/>
        </w:rPr>
        <w:t>1.</w:t>
      </w:r>
      <w:r w:rsidRPr="00C83045">
        <w:rPr>
          <w:color w:val="000000"/>
          <w:szCs w:val="22"/>
        </w:rPr>
        <w:tab/>
        <w:t>Čo je Glivec a na čo sa používa</w:t>
      </w:r>
    </w:p>
    <w:p w14:paraId="32368D04" w14:textId="77777777" w:rsidR="00FC49D9" w:rsidRPr="00C83045" w:rsidRDefault="00FC49D9" w:rsidP="003E286B">
      <w:pPr>
        <w:keepNext/>
        <w:widowControl w:val="0"/>
        <w:rPr>
          <w:color w:val="000000"/>
          <w:szCs w:val="22"/>
        </w:rPr>
      </w:pPr>
      <w:r w:rsidRPr="00C83045">
        <w:rPr>
          <w:color w:val="000000"/>
          <w:szCs w:val="22"/>
        </w:rPr>
        <w:t>2.</w:t>
      </w:r>
      <w:r w:rsidRPr="00C83045">
        <w:rPr>
          <w:color w:val="000000"/>
          <w:szCs w:val="22"/>
        </w:rPr>
        <w:tab/>
      </w:r>
      <w:r w:rsidRPr="00C83045">
        <w:rPr>
          <w:noProof/>
        </w:rPr>
        <w:t xml:space="preserve">Čo potrebujete vedieť predtým, </w:t>
      </w:r>
      <w:r w:rsidRPr="00C83045">
        <w:rPr>
          <w:color w:val="000000"/>
          <w:szCs w:val="22"/>
        </w:rPr>
        <w:t>ako užijete Glivec</w:t>
      </w:r>
    </w:p>
    <w:p w14:paraId="32368D05" w14:textId="77777777" w:rsidR="00F80E99" w:rsidRPr="00C83045" w:rsidRDefault="00F80E99" w:rsidP="003E286B">
      <w:pPr>
        <w:keepNext/>
        <w:widowControl w:val="0"/>
        <w:rPr>
          <w:color w:val="000000"/>
          <w:szCs w:val="22"/>
        </w:rPr>
      </w:pPr>
      <w:r w:rsidRPr="00C83045">
        <w:rPr>
          <w:color w:val="000000"/>
          <w:szCs w:val="22"/>
        </w:rPr>
        <w:t>3.</w:t>
      </w:r>
      <w:r w:rsidRPr="00C83045">
        <w:rPr>
          <w:color w:val="000000"/>
          <w:szCs w:val="22"/>
        </w:rPr>
        <w:tab/>
        <w:t>Ako užívať Glivec</w:t>
      </w:r>
    </w:p>
    <w:p w14:paraId="32368D06" w14:textId="77777777" w:rsidR="00F80E99" w:rsidRPr="00C83045" w:rsidRDefault="00F80E99" w:rsidP="003E286B">
      <w:pPr>
        <w:keepNext/>
        <w:widowControl w:val="0"/>
        <w:rPr>
          <w:color w:val="000000"/>
          <w:szCs w:val="22"/>
        </w:rPr>
      </w:pPr>
      <w:r w:rsidRPr="00C83045">
        <w:rPr>
          <w:color w:val="000000"/>
          <w:szCs w:val="22"/>
        </w:rPr>
        <w:t>4.</w:t>
      </w:r>
      <w:r w:rsidRPr="00C83045">
        <w:rPr>
          <w:color w:val="000000"/>
          <w:szCs w:val="22"/>
        </w:rPr>
        <w:tab/>
        <w:t>Možné vedľajšie účinky</w:t>
      </w:r>
    </w:p>
    <w:p w14:paraId="32368D07" w14:textId="77777777" w:rsidR="00F80E99" w:rsidRPr="00C83045" w:rsidRDefault="00F80E99" w:rsidP="003E286B">
      <w:pPr>
        <w:keepNext/>
        <w:widowControl w:val="0"/>
        <w:rPr>
          <w:color w:val="000000"/>
          <w:szCs w:val="22"/>
        </w:rPr>
      </w:pPr>
      <w:r w:rsidRPr="00C83045">
        <w:rPr>
          <w:color w:val="000000"/>
          <w:szCs w:val="22"/>
        </w:rPr>
        <w:t>5.</w:t>
      </w:r>
      <w:r w:rsidRPr="00C83045">
        <w:rPr>
          <w:color w:val="000000"/>
          <w:szCs w:val="22"/>
        </w:rPr>
        <w:tab/>
        <w:t>Ako uchovávať Glivec</w:t>
      </w:r>
    </w:p>
    <w:p w14:paraId="32368D08" w14:textId="77777777" w:rsidR="00F80E99" w:rsidRPr="00C83045" w:rsidRDefault="00F80E99" w:rsidP="00D4304B">
      <w:pPr>
        <w:widowControl w:val="0"/>
        <w:rPr>
          <w:color w:val="000000"/>
          <w:szCs w:val="22"/>
        </w:rPr>
      </w:pPr>
      <w:r w:rsidRPr="00C83045">
        <w:rPr>
          <w:color w:val="000000"/>
          <w:szCs w:val="22"/>
        </w:rPr>
        <w:t>6.</w:t>
      </w:r>
      <w:r w:rsidRPr="00C83045">
        <w:rPr>
          <w:color w:val="000000"/>
          <w:szCs w:val="22"/>
        </w:rPr>
        <w:tab/>
      </w:r>
      <w:r w:rsidRPr="00C83045">
        <w:rPr>
          <w:noProof/>
        </w:rPr>
        <w:t xml:space="preserve">Obsah balenia a ďalšie </w:t>
      </w:r>
      <w:r w:rsidRPr="00C83045">
        <w:rPr>
          <w:color w:val="000000"/>
          <w:szCs w:val="22"/>
        </w:rPr>
        <w:t>informácie</w:t>
      </w:r>
    </w:p>
    <w:p w14:paraId="32368D09" w14:textId="77777777" w:rsidR="00F80E99" w:rsidRPr="00C83045" w:rsidRDefault="00F80E99" w:rsidP="00D4304B">
      <w:pPr>
        <w:widowControl w:val="0"/>
        <w:numPr>
          <w:ilvl w:val="12"/>
          <w:numId w:val="0"/>
        </w:numPr>
        <w:rPr>
          <w:color w:val="000000"/>
          <w:szCs w:val="22"/>
        </w:rPr>
      </w:pPr>
    </w:p>
    <w:p w14:paraId="32368D0A" w14:textId="77777777" w:rsidR="00F80E99" w:rsidRPr="00C83045" w:rsidRDefault="00F80E99" w:rsidP="00D4304B">
      <w:pPr>
        <w:widowControl w:val="0"/>
        <w:numPr>
          <w:ilvl w:val="12"/>
          <w:numId w:val="0"/>
        </w:numPr>
        <w:rPr>
          <w:color w:val="000000"/>
          <w:szCs w:val="22"/>
        </w:rPr>
      </w:pPr>
    </w:p>
    <w:p w14:paraId="32368D0B" w14:textId="77777777" w:rsidR="00F80E99" w:rsidRPr="00C83045" w:rsidRDefault="00F80E99" w:rsidP="00D4304B">
      <w:pPr>
        <w:keepNext/>
        <w:widowControl w:val="0"/>
        <w:numPr>
          <w:ilvl w:val="12"/>
          <w:numId w:val="0"/>
        </w:numPr>
        <w:ind w:left="567" w:hanging="567"/>
        <w:rPr>
          <w:b/>
          <w:color w:val="000000"/>
          <w:szCs w:val="22"/>
        </w:rPr>
      </w:pPr>
      <w:r w:rsidRPr="00C83045">
        <w:rPr>
          <w:b/>
          <w:color w:val="000000"/>
          <w:szCs w:val="22"/>
        </w:rPr>
        <w:t>1.</w:t>
      </w:r>
      <w:r w:rsidRPr="00C83045">
        <w:rPr>
          <w:b/>
          <w:color w:val="000000"/>
          <w:szCs w:val="22"/>
        </w:rPr>
        <w:tab/>
      </w:r>
      <w:r w:rsidRPr="00C83045">
        <w:rPr>
          <w:b/>
          <w:noProof/>
          <w:lang w:val="fr-FR"/>
        </w:rPr>
        <w:t xml:space="preserve">Čo je </w:t>
      </w:r>
      <w:r w:rsidRPr="00C83045">
        <w:rPr>
          <w:b/>
          <w:color w:val="000000"/>
          <w:szCs w:val="22"/>
        </w:rPr>
        <w:t>Glivec</w:t>
      </w:r>
      <w:r w:rsidRPr="00C83045">
        <w:rPr>
          <w:b/>
          <w:noProof/>
          <w:lang w:val="fr-FR"/>
        </w:rPr>
        <w:t xml:space="preserve"> a na čo sa používa</w:t>
      </w:r>
    </w:p>
    <w:p w14:paraId="32368D0C" w14:textId="77777777" w:rsidR="00F80E99" w:rsidRPr="00C83045" w:rsidRDefault="00F80E99" w:rsidP="00D4304B">
      <w:pPr>
        <w:keepNext/>
        <w:widowControl w:val="0"/>
        <w:numPr>
          <w:ilvl w:val="12"/>
          <w:numId w:val="0"/>
        </w:numPr>
        <w:rPr>
          <w:color w:val="000000"/>
          <w:szCs w:val="22"/>
        </w:rPr>
      </w:pPr>
    </w:p>
    <w:p w14:paraId="32368D0D" w14:textId="77777777" w:rsidR="00F80E99" w:rsidRPr="00C83045" w:rsidRDefault="00F80E99" w:rsidP="00D4304B">
      <w:pPr>
        <w:widowControl w:val="0"/>
        <w:numPr>
          <w:ilvl w:val="12"/>
          <w:numId w:val="0"/>
        </w:numPr>
        <w:rPr>
          <w:color w:val="000000"/>
          <w:szCs w:val="22"/>
        </w:rPr>
      </w:pPr>
      <w:r w:rsidRPr="00C83045">
        <w:rPr>
          <w:color w:val="000000"/>
          <w:szCs w:val="22"/>
        </w:rPr>
        <w:t>Glivec je liek, ktorý obsahuje liečivo nazývané imatinib. Tento liek účinkuje tak, že bráni množeniu abnormálnych buniek pri ochoreniach uvedených nižšie. Patria k nim niektoré druhy rakoviny.</w:t>
      </w:r>
    </w:p>
    <w:p w14:paraId="32368D0E" w14:textId="77777777" w:rsidR="00F80E99" w:rsidRPr="00C83045" w:rsidRDefault="00F80E99" w:rsidP="00D4304B">
      <w:pPr>
        <w:widowControl w:val="0"/>
        <w:numPr>
          <w:ilvl w:val="12"/>
          <w:numId w:val="0"/>
        </w:numPr>
        <w:rPr>
          <w:color w:val="000000"/>
          <w:szCs w:val="22"/>
        </w:rPr>
      </w:pPr>
    </w:p>
    <w:p w14:paraId="32368D0F" w14:textId="77777777" w:rsidR="00F80E99" w:rsidRPr="00C83045" w:rsidRDefault="00F80E99" w:rsidP="00D4304B">
      <w:pPr>
        <w:keepNext/>
        <w:widowControl w:val="0"/>
        <w:ind w:left="0" w:firstLine="0"/>
        <w:rPr>
          <w:b/>
          <w:color w:val="000000"/>
          <w:szCs w:val="22"/>
        </w:rPr>
      </w:pPr>
      <w:r w:rsidRPr="00C83045">
        <w:rPr>
          <w:b/>
          <w:color w:val="000000"/>
          <w:szCs w:val="22"/>
        </w:rPr>
        <w:t>Glivecom sa lieči u dospelých a detí:</w:t>
      </w:r>
    </w:p>
    <w:p w14:paraId="32368D10" w14:textId="77777777" w:rsidR="00F80E99" w:rsidRPr="00C83045" w:rsidRDefault="00F80E99" w:rsidP="00D4304B">
      <w:pPr>
        <w:keepNext/>
        <w:widowControl w:val="0"/>
        <w:ind w:left="0" w:firstLine="0"/>
        <w:rPr>
          <w:color w:val="000000"/>
          <w:szCs w:val="22"/>
        </w:rPr>
      </w:pPr>
    </w:p>
    <w:p w14:paraId="32368D11" w14:textId="77777777" w:rsidR="00F80E99" w:rsidRPr="00C83045" w:rsidRDefault="00F80E99" w:rsidP="00D4304B">
      <w:pPr>
        <w:widowControl w:val="0"/>
        <w:numPr>
          <w:ilvl w:val="0"/>
          <w:numId w:val="15"/>
        </w:numPr>
        <w:ind w:left="574" w:hanging="574"/>
        <w:rPr>
          <w:color w:val="000000"/>
          <w:szCs w:val="22"/>
        </w:rPr>
      </w:pPr>
      <w:r w:rsidRPr="00C83045">
        <w:rPr>
          <w:b/>
          <w:bCs/>
          <w:color w:val="000000"/>
          <w:szCs w:val="22"/>
        </w:rPr>
        <w:t>Chronic</w:t>
      </w:r>
      <w:r w:rsidRPr="00C83045">
        <w:rPr>
          <w:b/>
          <w:color w:val="000000"/>
          <w:szCs w:val="22"/>
        </w:rPr>
        <w:t>ká myelocytová leukémia (CML).</w:t>
      </w:r>
      <w:r w:rsidRPr="00C83045">
        <w:rPr>
          <w:color w:val="000000"/>
          <w:szCs w:val="22"/>
        </w:rPr>
        <w:t xml:space="preserve"> Leukémia je rakovina bielych krviniek. Tieto biele krvinky obvykle pomáhajú telu bojovať proti infekciám. Chronická myelocytová leukémia je druhom leukémie, pri ktorej niektoré abnormálne biele krvinky (nazývané myeloidné bunky) sa začnú nekontrolovane množiť.</w:t>
      </w:r>
    </w:p>
    <w:p w14:paraId="32368D12" w14:textId="77777777" w:rsidR="00C56B00" w:rsidRPr="00C83045" w:rsidRDefault="00C56B00" w:rsidP="00D4304B">
      <w:pPr>
        <w:widowControl w:val="0"/>
        <w:numPr>
          <w:ilvl w:val="0"/>
          <w:numId w:val="15"/>
        </w:numPr>
        <w:ind w:left="567" w:hanging="567"/>
        <w:rPr>
          <w:color w:val="000000"/>
          <w:szCs w:val="22"/>
        </w:rPr>
      </w:pPr>
      <w:r w:rsidRPr="00C83045">
        <w:rPr>
          <w:b/>
          <w:color w:val="000000"/>
          <w:szCs w:val="22"/>
        </w:rPr>
        <w:t xml:space="preserve">Akútna lymfoblastická leukémia s pozitívnym chromozómom Philadelphia (Ph-pozitívna </w:t>
      </w:r>
      <w:smartTag w:uri="urn:schemas-microsoft-com:office:smarttags" w:element="stockticker">
        <w:r w:rsidRPr="00C83045">
          <w:rPr>
            <w:b/>
            <w:color w:val="000000"/>
            <w:szCs w:val="22"/>
          </w:rPr>
          <w:t>ALL</w:t>
        </w:r>
      </w:smartTag>
      <w:r w:rsidRPr="00C83045">
        <w:rPr>
          <w:b/>
          <w:color w:val="000000"/>
          <w:szCs w:val="22"/>
        </w:rPr>
        <w:t>).</w:t>
      </w:r>
      <w:r w:rsidRPr="00C83045">
        <w:rPr>
          <w:color w:val="000000"/>
          <w:szCs w:val="22"/>
        </w:rPr>
        <w:t xml:space="preserve"> Leukémia je rakovina bielych krviniek. Tieto biele krvinky obvykle pomáhajú telu bojovať proti infekciám. Akútna lymfoblastická leukémia je druhom leukémie, pri ktorej určité abnormálne biele krvinky (označované ako lymfoblasty) sa začnú nekontrolovane množiť. Glivec bráni množeniu týchto buniek.</w:t>
      </w:r>
    </w:p>
    <w:p w14:paraId="32368D13" w14:textId="77777777" w:rsidR="00F80E99" w:rsidRPr="00C83045" w:rsidRDefault="00F80E99" w:rsidP="00D4304B">
      <w:pPr>
        <w:widowControl w:val="0"/>
        <w:ind w:left="0" w:firstLine="0"/>
        <w:rPr>
          <w:color w:val="000000"/>
          <w:szCs w:val="22"/>
        </w:rPr>
      </w:pPr>
    </w:p>
    <w:p w14:paraId="32368D14" w14:textId="77777777" w:rsidR="00F80E99" w:rsidRPr="00C83045" w:rsidRDefault="00F80E99" w:rsidP="00D4304B">
      <w:pPr>
        <w:keepNext/>
        <w:widowControl w:val="0"/>
        <w:ind w:left="0" w:firstLine="0"/>
        <w:rPr>
          <w:b/>
          <w:color w:val="000000"/>
          <w:szCs w:val="22"/>
        </w:rPr>
      </w:pPr>
      <w:r w:rsidRPr="00C83045">
        <w:rPr>
          <w:b/>
          <w:color w:val="000000"/>
          <w:szCs w:val="22"/>
        </w:rPr>
        <w:t>Glivecom sa tiež liečia u dospelých:</w:t>
      </w:r>
    </w:p>
    <w:p w14:paraId="32368D15" w14:textId="77777777" w:rsidR="00F80E99" w:rsidRPr="00C83045" w:rsidRDefault="00F80E99" w:rsidP="00D4304B">
      <w:pPr>
        <w:keepNext/>
        <w:widowControl w:val="0"/>
        <w:ind w:left="0" w:firstLine="0"/>
        <w:rPr>
          <w:color w:val="000000"/>
          <w:szCs w:val="22"/>
        </w:rPr>
      </w:pPr>
    </w:p>
    <w:p w14:paraId="32368D16" w14:textId="77777777" w:rsidR="00F80E99" w:rsidRPr="00C83045" w:rsidRDefault="00F80E99" w:rsidP="00D4304B">
      <w:pPr>
        <w:widowControl w:val="0"/>
        <w:numPr>
          <w:ilvl w:val="0"/>
          <w:numId w:val="15"/>
        </w:numPr>
        <w:ind w:left="567" w:hanging="567"/>
        <w:rPr>
          <w:color w:val="000000"/>
          <w:szCs w:val="22"/>
        </w:rPr>
      </w:pPr>
      <w:r w:rsidRPr="00C83045">
        <w:rPr>
          <w:b/>
          <w:color w:val="000000"/>
          <w:szCs w:val="22"/>
        </w:rPr>
        <w:t>Myelodysplastické/myeloproliferatívne ochorenia (</w:t>
      </w:r>
      <w:smartTag w:uri="urn:schemas-microsoft-com:office:smarttags" w:element="stockticker">
        <w:r w:rsidRPr="00C83045">
          <w:rPr>
            <w:b/>
            <w:color w:val="000000"/>
            <w:szCs w:val="22"/>
          </w:rPr>
          <w:t>MDS</w:t>
        </w:r>
      </w:smartTag>
      <w:r w:rsidRPr="00C83045">
        <w:rPr>
          <w:b/>
          <w:color w:val="000000"/>
          <w:szCs w:val="22"/>
        </w:rPr>
        <w:t>/MPD).</w:t>
      </w:r>
      <w:r w:rsidRPr="00C83045">
        <w:rPr>
          <w:color w:val="000000"/>
          <w:szCs w:val="22"/>
        </w:rPr>
        <w:t xml:space="preserve"> Je to skupina ochorení krvi, pri ktorých sa niektoré krvinky začnú nekontrolovane množiť. Glivec bráni množeniu týchto krviniek pri určitom podtype týchto ochorení.</w:t>
      </w:r>
    </w:p>
    <w:p w14:paraId="32368D17" w14:textId="77777777" w:rsidR="00F80E99" w:rsidRPr="00C83045" w:rsidRDefault="00F80E99" w:rsidP="00D4304B">
      <w:pPr>
        <w:widowControl w:val="0"/>
        <w:numPr>
          <w:ilvl w:val="0"/>
          <w:numId w:val="15"/>
        </w:numPr>
        <w:ind w:left="567" w:hanging="567"/>
        <w:rPr>
          <w:color w:val="000000"/>
          <w:szCs w:val="22"/>
        </w:rPr>
      </w:pPr>
      <w:r w:rsidRPr="00C83045">
        <w:rPr>
          <w:b/>
          <w:color w:val="000000"/>
          <w:szCs w:val="22"/>
        </w:rPr>
        <w:t>Hypereozinofilný syndróm (HES) a/alebo chronická eozinofilová leukémia (</w:t>
      </w:r>
      <w:smartTag w:uri="urn:schemas-microsoft-com:office:smarttags" w:element="stockticker">
        <w:r w:rsidRPr="00C83045">
          <w:rPr>
            <w:b/>
            <w:color w:val="000000"/>
            <w:szCs w:val="22"/>
          </w:rPr>
          <w:t>CEL</w:t>
        </w:r>
      </w:smartTag>
      <w:r w:rsidRPr="00C83045">
        <w:rPr>
          <w:b/>
          <w:color w:val="000000"/>
          <w:szCs w:val="22"/>
        </w:rPr>
        <w:t>).</w:t>
      </w:r>
      <w:r w:rsidRPr="00C83045">
        <w:rPr>
          <w:color w:val="000000"/>
          <w:szCs w:val="22"/>
        </w:rPr>
        <w:t xml:space="preserve"> Sú to ochorenia krvi, pri ktorých sa niektoré krvinky (nazývané eozinofily) začnú nekontrolovane množiť. Glivec bráni množeniu týchto krviniek pri určitom podtype týchto ochorení.</w:t>
      </w:r>
    </w:p>
    <w:p w14:paraId="32368D18" w14:textId="77777777" w:rsidR="00F80E99" w:rsidRPr="00C83045" w:rsidRDefault="00F80E99" w:rsidP="00D4304B">
      <w:pPr>
        <w:widowControl w:val="0"/>
        <w:numPr>
          <w:ilvl w:val="0"/>
          <w:numId w:val="15"/>
        </w:numPr>
        <w:ind w:left="567" w:hanging="567"/>
        <w:rPr>
          <w:color w:val="000000"/>
          <w:szCs w:val="22"/>
        </w:rPr>
      </w:pPr>
      <w:r w:rsidRPr="00C83045">
        <w:rPr>
          <w:b/>
          <w:color w:val="000000"/>
          <w:szCs w:val="22"/>
        </w:rPr>
        <w:t xml:space="preserve">Gastrointestinálne strómové nádory (GIST). </w:t>
      </w:r>
      <w:r w:rsidRPr="00C83045">
        <w:rPr>
          <w:color w:val="000000"/>
          <w:szCs w:val="22"/>
        </w:rPr>
        <w:t>GIST je rakovina žalúdka a čriev. Vzniká z nekontrolovaného množenia buniek podporných tkanív týchto orgánov.</w:t>
      </w:r>
    </w:p>
    <w:p w14:paraId="32368D19" w14:textId="77777777" w:rsidR="00F80E99" w:rsidRPr="00C83045" w:rsidRDefault="00F80E99" w:rsidP="00D4304B">
      <w:pPr>
        <w:widowControl w:val="0"/>
        <w:numPr>
          <w:ilvl w:val="0"/>
          <w:numId w:val="15"/>
        </w:numPr>
        <w:ind w:left="567" w:hanging="567"/>
        <w:rPr>
          <w:color w:val="000000"/>
          <w:szCs w:val="22"/>
        </w:rPr>
      </w:pPr>
      <w:r w:rsidRPr="00C83045">
        <w:rPr>
          <w:b/>
          <w:color w:val="000000"/>
          <w:szCs w:val="22"/>
        </w:rPr>
        <w:lastRenderedPageBreak/>
        <w:t>Dermatofibrosarcoma protuberans (DFSP).</w:t>
      </w:r>
      <w:r w:rsidRPr="00C83045">
        <w:rPr>
          <w:color w:val="000000"/>
          <w:szCs w:val="22"/>
        </w:rPr>
        <w:t xml:space="preserve"> DFSP je rakovina tkaniva pod kožou, v ktorom sa niektoré bunky začnú nekontrolovane množiť. Glivec bráni množeniu týchto buniek.</w:t>
      </w:r>
    </w:p>
    <w:p w14:paraId="32368D1A" w14:textId="77777777" w:rsidR="00F80E99" w:rsidRPr="00C83045" w:rsidRDefault="00F80E99" w:rsidP="00D4304B">
      <w:pPr>
        <w:widowControl w:val="0"/>
        <w:ind w:left="0" w:firstLine="0"/>
        <w:rPr>
          <w:color w:val="000000"/>
          <w:szCs w:val="22"/>
        </w:rPr>
      </w:pPr>
      <w:r w:rsidRPr="00C83045">
        <w:rPr>
          <w:color w:val="000000"/>
          <w:szCs w:val="22"/>
        </w:rPr>
        <w:t>V ďalších častiach tejto písomnej informácie budeme používať skratky, keď sa bude hovoriť o týchto ochoreniach.</w:t>
      </w:r>
    </w:p>
    <w:p w14:paraId="32368D1B" w14:textId="77777777" w:rsidR="00F80E99" w:rsidRPr="00C83045" w:rsidRDefault="00F80E99" w:rsidP="00D4304B">
      <w:pPr>
        <w:widowControl w:val="0"/>
        <w:ind w:left="0" w:firstLine="0"/>
        <w:rPr>
          <w:color w:val="000000"/>
          <w:szCs w:val="22"/>
        </w:rPr>
      </w:pPr>
    </w:p>
    <w:p w14:paraId="32368D1C" w14:textId="77777777" w:rsidR="00F80E99" w:rsidRPr="00C83045" w:rsidRDefault="00F80E99" w:rsidP="00D4304B">
      <w:pPr>
        <w:widowControl w:val="0"/>
        <w:ind w:left="0" w:firstLine="0"/>
        <w:rPr>
          <w:color w:val="000000"/>
          <w:szCs w:val="22"/>
        </w:rPr>
      </w:pPr>
      <w:r w:rsidRPr="00C83045">
        <w:rPr>
          <w:color w:val="000000"/>
          <w:szCs w:val="22"/>
        </w:rPr>
        <w:t>Ak sa chcete dozvedieť, ako Glivec účinkuje alebo prečo vám predpísali tento liek, obráťte sa na svojho lekára.</w:t>
      </w:r>
    </w:p>
    <w:p w14:paraId="32368D1D" w14:textId="77777777" w:rsidR="00F80E99" w:rsidRPr="00C83045" w:rsidRDefault="00F80E99" w:rsidP="00D4304B">
      <w:pPr>
        <w:widowControl w:val="0"/>
        <w:ind w:left="0" w:firstLine="0"/>
        <w:rPr>
          <w:color w:val="000000"/>
          <w:szCs w:val="22"/>
        </w:rPr>
      </w:pPr>
    </w:p>
    <w:p w14:paraId="32368D1E" w14:textId="77777777" w:rsidR="00F80E99" w:rsidRPr="00C83045" w:rsidRDefault="00F80E99" w:rsidP="00D4304B">
      <w:pPr>
        <w:widowControl w:val="0"/>
        <w:ind w:left="0" w:firstLine="0"/>
        <w:rPr>
          <w:color w:val="000000"/>
          <w:szCs w:val="22"/>
        </w:rPr>
      </w:pPr>
    </w:p>
    <w:p w14:paraId="32368D1F" w14:textId="77777777" w:rsidR="00FC49D9" w:rsidRPr="00C83045" w:rsidRDefault="00FC49D9" w:rsidP="00D4304B">
      <w:pPr>
        <w:keepNext/>
        <w:widowControl w:val="0"/>
        <w:numPr>
          <w:ilvl w:val="12"/>
          <w:numId w:val="0"/>
        </w:numPr>
        <w:ind w:left="567" w:hanging="567"/>
        <w:rPr>
          <w:color w:val="000000"/>
          <w:szCs w:val="22"/>
        </w:rPr>
      </w:pPr>
      <w:r w:rsidRPr="00C83045">
        <w:rPr>
          <w:b/>
          <w:color w:val="000000"/>
          <w:szCs w:val="22"/>
        </w:rPr>
        <w:t>2.</w:t>
      </w:r>
      <w:r w:rsidRPr="00C83045">
        <w:rPr>
          <w:b/>
          <w:color w:val="000000"/>
          <w:szCs w:val="22"/>
        </w:rPr>
        <w:tab/>
      </w:r>
      <w:r w:rsidRPr="00C83045">
        <w:rPr>
          <w:b/>
          <w:noProof/>
        </w:rPr>
        <w:t>Čo potrebujete vedieť predtým, ako užijete Glivec</w:t>
      </w:r>
    </w:p>
    <w:p w14:paraId="32368D20" w14:textId="77777777" w:rsidR="00F80E99" w:rsidRPr="00C83045" w:rsidRDefault="00F80E99" w:rsidP="00D4304B">
      <w:pPr>
        <w:keepNext/>
        <w:widowControl w:val="0"/>
        <w:numPr>
          <w:ilvl w:val="12"/>
          <w:numId w:val="0"/>
        </w:numPr>
        <w:rPr>
          <w:color w:val="000000"/>
          <w:szCs w:val="22"/>
        </w:rPr>
      </w:pPr>
    </w:p>
    <w:p w14:paraId="32368D21" w14:textId="77777777" w:rsidR="00F80E99" w:rsidRPr="00C83045" w:rsidRDefault="00F80E99" w:rsidP="00D4304B">
      <w:pPr>
        <w:widowControl w:val="0"/>
        <w:ind w:left="0" w:firstLine="0"/>
        <w:rPr>
          <w:color w:val="000000"/>
          <w:szCs w:val="22"/>
        </w:rPr>
      </w:pPr>
      <w:r w:rsidRPr="00C83045">
        <w:rPr>
          <w:color w:val="000000"/>
          <w:szCs w:val="22"/>
        </w:rPr>
        <w:t>Glivec vám predpíše len lekár, ktorý má skúsenosti s liekmi používanými na liečbu rakoviny krvi alebo solídnych nádorov.</w:t>
      </w:r>
    </w:p>
    <w:p w14:paraId="32368D22" w14:textId="77777777" w:rsidR="00F80E99" w:rsidRPr="00C83045" w:rsidRDefault="00F80E99" w:rsidP="00D4304B">
      <w:pPr>
        <w:widowControl w:val="0"/>
        <w:ind w:left="0" w:firstLine="0"/>
        <w:rPr>
          <w:color w:val="000000"/>
          <w:szCs w:val="22"/>
        </w:rPr>
      </w:pPr>
    </w:p>
    <w:p w14:paraId="32368D23" w14:textId="77777777" w:rsidR="00F80E99" w:rsidRPr="00C83045" w:rsidRDefault="00F80E99" w:rsidP="00D4304B">
      <w:pPr>
        <w:widowControl w:val="0"/>
        <w:ind w:left="0" w:firstLine="0"/>
        <w:rPr>
          <w:color w:val="000000"/>
          <w:szCs w:val="22"/>
        </w:rPr>
      </w:pPr>
      <w:r w:rsidRPr="00C83045">
        <w:rPr>
          <w:color w:val="000000"/>
          <w:szCs w:val="22"/>
        </w:rPr>
        <w:t>Dôsledne dodržujte všetky pokyny svojho lekára, aj keď sa budú líšiť od všeobecných údajov v tejto písomnej informácii.</w:t>
      </w:r>
    </w:p>
    <w:p w14:paraId="32368D24" w14:textId="77777777" w:rsidR="00F80E99" w:rsidRPr="00C83045" w:rsidRDefault="00F80E99" w:rsidP="00D4304B">
      <w:pPr>
        <w:widowControl w:val="0"/>
        <w:rPr>
          <w:color w:val="000000"/>
          <w:szCs w:val="22"/>
        </w:rPr>
      </w:pPr>
    </w:p>
    <w:p w14:paraId="32368D25" w14:textId="77777777" w:rsidR="00F80E99" w:rsidRPr="00C83045" w:rsidRDefault="00F80E99" w:rsidP="00D4304B">
      <w:pPr>
        <w:keepNext/>
        <w:widowControl w:val="0"/>
        <w:rPr>
          <w:b/>
          <w:color w:val="000000"/>
          <w:szCs w:val="22"/>
        </w:rPr>
      </w:pPr>
      <w:r w:rsidRPr="00C83045">
        <w:rPr>
          <w:b/>
          <w:color w:val="000000"/>
          <w:szCs w:val="22"/>
        </w:rPr>
        <w:t>Neužívajte Glivec:</w:t>
      </w:r>
    </w:p>
    <w:p w14:paraId="32368D26" w14:textId="77777777" w:rsidR="00F80E99" w:rsidRPr="00C83045" w:rsidRDefault="00F80E99" w:rsidP="00D4304B">
      <w:pPr>
        <w:widowControl w:val="0"/>
        <w:numPr>
          <w:ilvl w:val="0"/>
          <w:numId w:val="2"/>
        </w:numPr>
        <w:rPr>
          <w:color w:val="000000"/>
          <w:szCs w:val="22"/>
        </w:rPr>
      </w:pPr>
      <w:r w:rsidRPr="00C83045">
        <w:rPr>
          <w:color w:val="000000"/>
          <w:szCs w:val="22"/>
        </w:rPr>
        <w:t xml:space="preserve">ak ste alergický na imatinib alebo na </w:t>
      </w:r>
      <w:r w:rsidRPr="00C83045">
        <w:rPr>
          <w:noProof/>
          <w:color w:val="000000"/>
          <w:szCs w:val="22"/>
        </w:rPr>
        <w:t>ktorúkoľvek</w:t>
      </w:r>
      <w:r w:rsidRPr="00C83045">
        <w:rPr>
          <w:color w:val="000000"/>
          <w:szCs w:val="22"/>
        </w:rPr>
        <w:t xml:space="preserve"> z ďalších zložiek </w:t>
      </w:r>
      <w:r w:rsidRPr="00C83045">
        <w:rPr>
          <w:noProof/>
        </w:rPr>
        <w:t>tohto lieku (uvedených</w:t>
      </w:r>
      <w:r w:rsidRPr="00C83045">
        <w:rPr>
          <w:color w:val="000000"/>
          <w:szCs w:val="22"/>
        </w:rPr>
        <w:t xml:space="preserve"> v časti 6).</w:t>
      </w:r>
    </w:p>
    <w:p w14:paraId="32368D27" w14:textId="77777777" w:rsidR="00F80E99" w:rsidRPr="00C83045" w:rsidRDefault="00F80E99" w:rsidP="00D4304B">
      <w:pPr>
        <w:widowControl w:val="0"/>
        <w:ind w:left="0" w:firstLine="0"/>
        <w:rPr>
          <w:color w:val="000000"/>
          <w:szCs w:val="22"/>
        </w:rPr>
      </w:pPr>
      <w:r w:rsidRPr="00C83045">
        <w:rPr>
          <w:color w:val="000000"/>
          <w:szCs w:val="22"/>
        </w:rPr>
        <w:t xml:space="preserve">Ak sa vás to týka, </w:t>
      </w:r>
      <w:r w:rsidRPr="00C83045">
        <w:rPr>
          <w:b/>
          <w:color w:val="000000"/>
          <w:szCs w:val="22"/>
        </w:rPr>
        <w:t>povedzte o tom svojmu lekárovi a neužite Glivec.</w:t>
      </w:r>
    </w:p>
    <w:p w14:paraId="32368D28" w14:textId="77777777" w:rsidR="00F80E99" w:rsidRPr="00C83045" w:rsidRDefault="00F80E99" w:rsidP="00D4304B">
      <w:pPr>
        <w:widowControl w:val="0"/>
        <w:ind w:left="0" w:firstLine="0"/>
        <w:rPr>
          <w:color w:val="000000"/>
          <w:szCs w:val="22"/>
        </w:rPr>
      </w:pPr>
    </w:p>
    <w:p w14:paraId="32368D29" w14:textId="77777777" w:rsidR="00F80E99" w:rsidRPr="00C83045" w:rsidRDefault="00F80E99" w:rsidP="00D4304B">
      <w:pPr>
        <w:widowControl w:val="0"/>
        <w:ind w:left="0" w:firstLine="0"/>
        <w:rPr>
          <w:color w:val="000000"/>
          <w:szCs w:val="22"/>
        </w:rPr>
      </w:pPr>
      <w:r w:rsidRPr="00C83045">
        <w:rPr>
          <w:color w:val="000000"/>
          <w:szCs w:val="22"/>
        </w:rPr>
        <w:t>Ak si myslíte, že by ste mohli byť alergický, ale nie ste si istý, poraďte sa s lekárom.</w:t>
      </w:r>
    </w:p>
    <w:p w14:paraId="32368D2A" w14:textId="77777777" w:rsidR="00F80E99" w:rsidRPr="00C83045" w:rsidRDefault="00F80E99" w:rsidP="00D4304B">
      <w:pPr>
        <w:pStyle w:val="BodyText"/>
        <w:widowControl w:val="0"/>
        <w:rPr>
          <w:color w:val="000000"/>
          <w:sz w:val="22"/>
          <w:szCs w:val="22"/>
        </w:rPr>
      </w:pPr>
    </w:p>
    <w:p w14:paraId="32368D2B" w14:textId="77777777" w:rsidR="00F80E99" w:rsidRPr="00C83045" w:rsidRDefault="00F80E99" w:rsidP="00D4304B">
      <w:pPr>
        <w:keepNext/>
        <w:widowControl w:val="0"/>
        <w:numPr>
          <w:ilvl w:val="12"/>
          <w:numId w:val="0"/>
        </w:numPr>
        <w:ind w:right="-2"/>
        <w:outlineLvl w:val="0"/>
        <w:rPr>
          <w:noProof/>
        </w:rPr>
      </w:pPr>
      <w:r w:rsidRPr="00C83045">
        <w:rPr>
          <w:b/>
          <w:noProof/>
        </w:rPr>
        <w:t>Upozornenia a opatrenia</w:t>
      </w:r>
    </w:p>
    <w:p w14:paraId="32368D2C" w14:textId="77777777" w:rsidR="00FC49D9" w:rsidRPr="00C83045" w:rsidRDefault="00FC49D9" w:rsidP="00D4304B">
      <w:pPr>
        <w:keepNext/>
        <w:widowControl w:val="0"/>
        <w:rPr>
          <w:b/>
          <w:color w:val="000000"/>
          <w:szCs w:val="22"/>
        </w:rPr>
      </w:pPr>
      <w:r w:rsidRPr="00C83045">
        <w:rPr>
          <w:noProof/>
        </w:rPr>
        <w:t xml:space="preserve">Predtým, ako začnete užívať </w:t>
      </w:r>
      <w:r w:rsidRPr="00C83045">
        <w:rPr>
          <w:color w:val="000000"/>
          <w:szCs w:val="22"/>
        </w:rPr>
        <w:t>Glivec,</w:t>
      </w:r>
      <w:r w:rsidRPr="00C83045">
        <w:rPr>
          <w:noProof/>
        </w:rPr>
        <w:t xml:space="preserve"> obráťte sa na svojho lekára</w:t>
      </w:r>
      <w:r w:rsidRPr="00C83045">
        <w:rPr>
          <w:color w:val="000000"/>
          <w:szCs w:val="22"/>
        </w:rPr>
        <w:t>:</w:t>
      </w:r>
    </w:p>
    <w:p w14:paraId="32368D2D" w14:textId="77777777" w:rsidR="00F80E99" w:rsidRPr="00C83045" w:rsidRDefault="00F80E99" w:rsidP="00D4304B">
      <w:pPr>
        <w:widowControl w:val="0"/>
        <w:numPr>
          <w:ilvl w:val="0"/>
          <w:numId w:val="3"/>
        </w:numPr>
        <w:tabs>
          <w:tab w:val="left" w:pos="9072"/>
        </w:tabs>
        <w:rPr>
          <w:color w:val="000000"/>
          <w:szCs w:val="22"/>
        </w:rPr>
      </w:pPr>
      <w:r w:rsidRPr="00C83045">
        <w:rPr>
          <w:color w:val="000000"/>
          <w:szCs w:val="22"/>
        </w:rPr>
        <w:t>ak máte alebo ste niekedy mali ťažkosti s pečeňou, obličkami alebo srdcom.</w:t>
      </w:r>
    </w:p>
    <w:p w14:paraId="32368D2E" w14:textId="77777777" w:rsidR="006523DA" w:rsidRDefault="00F80E99" w:rsidP="00D4304B">
      <w:pPr>
        <w:widowControl w:val="0"/>
        <w:numPr>
          <w:ilvl w:val="0"/>
          <w:numId w:val="3"/>
        </w:numPr>
        <w:tabs>
          <w:tab w:val="left" w:pos="9072"/>
        </w:tabs>
        <w:rPr>
          <w:color w:val="000000"/>
          <w:szCs w:val="22"/>
        </w:rPr>
      </w:pPr>
      <w:r w:rsidRPr="00C83045">
        <w:rPr>
          <w:color w:val="000000"/>
          <w:szCs w:val="22"/>
        </w:rPr>
        <w:t>ak užívate liek levotyroxín, pretože vám odstránili štítnu žľazu.</w:t>
      </w:r>
    </w:p>
    <w:p w14:paraId="32368D2F" w14:textId="77777777" w:rsidR="00F80E99" w:rsidRPr="00A56CD1" w:rsidRDefault="006523DA" w:rsidP="00D4304B">
      <w:pPr>
        <w:widowControl w:val="0"/>
        <w:numPr>
          <w:ilvl w:val="0"/>
          <w:numId w:val="3"/>
        </w:numPr>
        <w:tabs>
          <w:tab w:val="left" w:pos="9072"/>
        </w:tabs>
        <w:rPr>
          <w:color w:val="000000"/>
          <w:szCs w:val="22"/>
        </w:rPr>
      </w:pPr>
      <w:r>
        <w:rPr>
          <w:color w:val="000000"/>
        </w:rPr>
        <w:t>ak ste niekedy mali alebo v súčasnosti by ste mohli mať infekciu zapríčinenú vírusom hepatitídy B. Dôvodom je, že Glivec by m</w:t>
      </w:r>
      <w:r w:rsidR="00F1077D">
        <w:rPr>
          <w:color w:val="000000"/>
        </w:rPr>
        <w:t>ohol spôsobiť, že sa hepatitída </w:t>
      </w:r>
      <w:r>
        <w:rPr>
          <w:color w:val="000000"/>
        </w:rPr>
        <w:t>B opäť aktivuje, čo môže byť v niektorých prípadoch smrteľné. Lekár bude pred začatím liečby pacientov pozorne sledovať na prejavy tejto infekcie.</w:t>
      </w:r>
    </w:p>
    <w:p w14:paraId="32368D30" w14:textId="77777777" w:rsidR="00A56CD1" w:rsidRPr="00514B7B" w:rsidRDefault="00A56CD1" w:rsidP="00D4304B">
      <w:pPr>
        <w:widowControl w:val="0"/>
        <w:numPr>
          <w:ilvl w:val="0"/>
          <w:numId w:val="3"/>
        </w:numPr>
        <w:tabs>
          <w:tab w:val="left" w:pos="9072"/>
        </w:tabs>
        <w:rPr>
          <w:color w:val="000000"/>
          <w:szCs w:val="22"/>
        </w:rPr>
      </w:pPr>
      <w:r w:rsidRPr="00A56CD1">
        <w:rPr>
          <w:color w:val="000000"/>
          <w:szCs w:val="22"/>
        </w:rPr>
        <w:t>ak sa pri užívaní lieku Glivec vyskytnú modriny, krvácanie, horúčka, únava a zmätenosť, kontaktujte svojho lekára. Môžu to byť prejavy poškodenia krvných ciev známe ako trombotická mikroangiopatia (TMA).</w:t>
      </w:r>
    </w:p>
    <w:p w14:paraId="32368D31" w14:textId="77777777" w:rsidR="00F80E99" w:rsidRPr="00C83045" w:rsidRDefault="00F80E99" w:rsidP="00D4304B">
      <w:pPr>
        <w:widowControl w:val="0"/>
        <w:tabs>
          <w:tab w:val="left" w:pos="9072"/>
        </w:tabs>
        <w:ind w:left="0" w:firstLine="0"/>
        <w:rPr>
          <w:b/>
          <w:color w:val="000000"/>
          <w:szCs w:val="22"/>
        </w:rPr>
      </w:pPr>
      <w:r w:rsidRPr="00C83045">
        <w:rPr>
          <w:color w:val="000000"/>
          <w:szCs w:val="22"/>
        </w:rPr>
        <w:t xml:space="preserve">Ak sa vás niečo z uvedeného týka, </w:t>
      </w:r>
      <w:r w:rsidRPr="00C83045">
        <w:rPr>
          <w:b/>
          <w:color w:val="000000"/>
          <w:szCs w:val="22"/>
        </w:rPr>
        <w:t>povedzte o tom svojmu lekárovi skôr, ako užijete Glivec.</w:t>
      </w:r>
    </w:p>
    <w:p w14:paraId="32368D32" w14:textId="77777777" w:rsidR="00F80E99" w:rsidRPr="006A4594" w:rsidRDefault="00F80E99" w:rsidP="00D4304B">
      <w:pPr>
        <w:widowControl w:val="0"/>
        <w:tabs>
          <w:tab w:val="left" w:pos="9072"/>
        </w:tabs>
        <w:ind w:left="0" w:firstLine="0"/>
        <w:rPr>
          <w:color w:val="000000"/>
          <w:szCs w:val="22"/>
        </w:rPr>
      </w:pPr>
    </w:p>
    <w:p w14:paraId="32368D33" w14:textId="77777777" w:rsidR="00EE456A" w:rsidRPr="006A4594" w:rsidRDefault="00EE456A" w:rsidP="00D4304B">
      <w:pPr>
        <w:widowControl w:val="0"/>
        <w:tabs>
          <w:tab w:val="left" w:pos="9072"/>
        </w:tabs>
        <w:ind w:left="0" w:firstLine="0"/>
        <w:rPr>
          <w:color w:val="000000"/>
          <w:szCs w:val="22"/>
        </w:rPr>
      </w:pPr>
      <w:r w:rsidRPr="006A4594">
        <w:rPr>
          <w:color w:val="000000"/>
          <w:szCs w:val="22"/>
        </w:rPr>
        <w:t>Počas užívania Glivecu možete byť citlivejší na slnko. Je dôležité pokryť časti pokožky vystavené slnku a používať opaľovací krém s vysokým ochranným faktorom pred slnečným žiarením (SPF, sun protection factor). Tieto bezpečnostné opatrenia sa vzťahujú aj na deti.</w:t>
      </w:r>
    </w:p>
    <w:p w14:paraId="32368D34" w14:textId="77777777" w:rsidR="00EE456A" w:rsidRPr="006A4594" w:rsidRDefault="00EE456A" w:rsidP="00D4304B">
      <w:pPr>
        <w:widowControl w:val="0"/>
        <w:tabs>
          <w:tab w:val="left" w:pos="9072"/>
        </w:tabs>
        <w:ind w:left="0" w:firstLine="0"/>
        <w:rPr>
          <w:color w:val="000000"/>
          <w:szCs w:val="22"/>
        </w:rPr>
      </w:pPr>
    </w:p>
    <w:p w14:paraId="32368D35" w14:textId="77777777" w:rsidR="00F80E99" w:rsidRPr="00C83045" w:rsidRDefault="00F80E99" w:rsidP="00D4304B">
      <w:pPr>
        <w:widowControl w:val="0"/>
        <w:tabs>
          <w:tab w:val="left" w:pos="9072"/>
        </w:tabs>
        <w:ind w:left="0" w:firstLine="0"/>
        <w:rPr>
          <w:color w:val="000000"/>
          <w:szCs w:val="22"/>
        </w:rPr>
      </w:pPr>
      <w:r w:rsidRPr="00C83045">
        <w:rPr>
          <w:b/>
          <w:color w:val="000000"/>
          <w:szCs w:val="22"/>
        </w:rPr>
        <w:t xml:space="preserve">Ihneď povedzte svojmu lekárovi, </w:t>
      </w:r>
      <w:r w:rsidRPr="00C83045">
        <w:rPr>
          <w:color w:val="000000"/>
          <w:szCs w:val="22"/>
        </w:rPr>
        <w:t>ak sa vám</w:t>
      </w:r>
      <w:r w:rsidRPr="00C83045">
        <w:rPr>
          <w:b/>
          <w:color w:val="000000"/>
          <w:szCs w:val="22"/>
        </w:rPr>
        <w:t xml:space="preserve"> počas liečby Glivecom </w:t>
      </w:r>
      <w:r w:rsidRPr="00C83045">
        <w:rPr>
          <w:color w:val="000000"/>
          <w:szCs w:val="22"/>
        </w:rPr>
        <w:t>veľmi rýchlo zvýši telesná hmotnosť. Glivec môže spôsobiť, že telo zadržiava vodu (závažné zadržiavanie tekutiny).</w:t>
      </w:r>
    </w:p>
    <w:p w14:paraId="32368D36" w14:textId="77777777" w:rsidR="00F80E99" w:rsidRPr="00C83045" w:rsidRDefault="00F80E99" w:rsidP="00D4304B">
      <w:pPr>
        <w:widowControl w:val="0"/>
        <w:tabs>
          <w:tab w:val="left" w:pos="9072"/>
        </w:tabs>
        <w:rPr>
          <w:color w:val="000000"/>
          <w:szCs w:val="22"/>
        </w:rPr>
      </w:pPr>
    </w:p>
    <w:p w14:paraId="32368D37" w14:textId="77777777" w:rsidR="00F80E99" w:rsidRPr="00C83045" w:rsidRDefault="00F80E99" w:rsidP="00D4304B">
      <w:pPr>
        <w:widowControl w:val="0"/>
        <w:tabs>
          <w:tab w:val="left" w:pos="9072"/>
        </w:tabs>
        <w:ind w:left="0" w:firstLine="0"/>
        <w:rPr>
          <w:color w:val="000000"/>
          <w:szCs w:val="22"/>
        </w:rPr>
      </w:pPr>
      <w:r w:rsidRPr="00C83045">
        <w:rPr>
          <w:color w:val="000000"/>
          <w:szCs w:val="22"/>
        </w:rPr>
        <w:t>Počas užívania Glivecu si lekár bude pravidelne overovať, či liek účinkuje. Pravidelne vám budú kontrolovať aj krv a telesnú hmotnosť.</w:t>
      </w:r>
    </w:p>
    <w:p w14:paraId="32368D38" w14:textId="77777777" w:rsidR="00F80E99" w:rsidRPr="00C83045" w:rsidRDefault="00F80E99" w:rsidP="00D4304B">
      <w:pPr>
        <w:widowControl w:val="0"/>
        <w:tabs>
          <w:tab w:val="left" w:pos="9072"/>
        </w:tabs>
        <w:ind w:left="0" w:firstLine="0"/>
        <w:rPr>
          <w:color w:val="000000"/>
          <w:szCs w:val="22"/>
        </w:rPr>
      </w:pPr>
    </w:p>
    <w:p w14:paraId="32368D39" w14:textId="77777777" w:rsidR="00F80E99" w:rsidRPr="00C83045" w:rsidRDefault="00F80E99" w:rsidP="00D4304B">
      <w:pPr>
        <w:keepNext/>
        <w:widowControl w:val="0"/>
        <w:ind w:left="0" w:firstLine="0"/>
        <w:rPr>
          <w:color w:val="000000"/>
          <w:szCs w:val="22"/>
        </w:rPr>
      </w:pPr>
      <w:r w:rsidRPr="00C83045">
        <w:rPr>
          <w:b/>
          <w:noProof/>
        </w:rPr>
        <w:t>Deti a dospievajúci</w:t>
      </w:r>
    </w:p>
    <w:p w14:paraId="32368D3A" w14:textId="77777777" w:rsidR="00471032" w:rsidRPr="00C83045" w:rsidRDefault="00471032" w:rsidP="00D4304B">
      <w:pPr>
        <w:widowControl w:val="0"/>
        <w:ind w:left="0" w:firstLine="0"/>
        <w:rPr>
          <w:color w:val="000000"/>
          <w:szCs w:val="22"/>
        </w:rPr>
      </w:pPr>
      <w:r w:rsidRPr="00C83045">
        <w:rPr>
          <w:color w:val="000000"/>
          <w:szCs w:val="22"/>
        </w:rPr>
        <w:t xml:space="preserve">Glivecom sa lieči aj CML u detí. </w:t>
      </w:r>
      <w:r w:rsidRPr="00C83045">
        <w:rPr>
          <w:noProof/>
          <w:color w:val="000000"/>
          <w:szCs w:val="22"/>
        </w:rPr>
        <w:t xml:space="preserve">Nie sú žiadne skúsenosti s použitím u detí s CML mladších ako 2-ročných. </w:t>
      </w:r>
      <w:r w:rsidRPr="00C83045">
        <w:rPr>
          <w:color w:val="000000"/>
          <w:szCs w:val="22"/>
        </w:rPr>
        <w:t>Skúsenosti s použitím u detí s Ph-pozitívnou </w:t>
      </w:r>
      <w:smartTag w:uri="urn:schemas-microsoft-com:office:smarttags" w:element="stockticker">
        <w:r w:rsidRPr="00C83045">
          <w:rPr>
            <w:color w:val="000000"/>
            <w:szCs w:val="22"/>
          </w:rPr>
          <w:t>ALL</w:t>
        </w:r>
      </w:smartTag>
      <w:r w:rsidRPr="00C83045">
        <w:rPr>
          <w:color w:val="000000"/>
          <w:szCs w:val="22"/>
        </w:rPr>
        <w:t xml:space="preserve"> sú obmedzené a skúsenosti s použitím u detí s </w:t>
      </w:r>
      <w:smartTag w:uri="urn:schemas-microsoft-com:office:smarttags" w:element="stockticker">
        <w:r w:rsidRPr="00C83045">
          <w:rPr>
            <w:color w:val="000000"/>
            <w:szCs w:val="22"/>
          </w:rPr>
          <w:t>MDS</w:t>
        </w:r>
      </w:smartTag>
      <w:r w:rsidRPr="00C83045">
        <w:rPr>
          <w:color w:val="000000"/>
          <w:szCs w:val="22"/>
        </w:rPr>
        <w:t>/MPD, DFSP, GIST a H</w:t>
      </w:r>
      <w:smartTag w:uri="urn:schemas-microsoft-com:office:smarttags" w:element="PersonName">
        <w:r w:rsidRPr="00C83045">
          <w:rPr>
            <w:color w:val="000000"/>
            <w:szCs w:val="22"/>
          </w:rPr>
          <w:t>ES</w:t>
        </w:r>
      </w:smartTag>
      <w:r w:rsidRPr="00C83045">
        <w:rPr>
          <w:color w:val="000000"/>
          <w:szCs w:val="22"/>
        </w:rPr>
        <w:t>/CEL sú veľmi obmedzené.</w:t>
      </w:r>
    </w:p>
    <w:p w14:paraId="32368D3B" w14:textId="77777777" w:rsidR="00F80E99" w:rsidRPr="00C83045" w:rsidRDefault="00F80E99" w:rsidP="00D4304B">
      <w:pPr>
        <w:widowControl w:val="0"/>
        <w:ind w:left="0" w:firstLine="0"/>
        <w:rPr>
          <w:color w:val="000000"/>
          <w:szCs w:val="22"/>
        </w:rPr>
      </w:pPr>
    </w:p>
    <w:p w14:paraId="32368D3C" w14:textId="77777777" w:rsidR="00F80E99" w:rsidRPr="00C83045" w:rsidRDefault="00F80E99" w:rsidP="00D4304B">
      <w:pPr>
        <w:widowControl w:val="0"/>
        <w:ind w:left="0" w:firstLine="0"/>
        <w:rPr>
          <w:noProof/>
          <w:color w:val="000000"/>
          <w:szCs w:val="22"/>
        </w:rPr>
      </w:pPr>
      <w:r w:rsidRPr="00C83045">
        <w:rPr>
          <w:color w:val="000000"/>
          <w:szCs w:val="22"/>
        </w:rPr>
        <w:t>Niektoré deti a dospievajúci užívajúci Glivec môžu rásť pomalšie, ako je normálne. Lekár bude kontrolovať ich rast počas pravidelných návštev.</w:t>
      </w:r>
    </w:p>
    <w:p w14:paraId="32368D3D" w14:textId="77777777" w:rsidR="00F80E99" w:rsidRPr="00C83045" w:rsidRDefault="00F80E99" w:rsidP="00D4304B">
      <w:pPr>
        <w:widowControl w:val="0"/>
        <w:tabs>
          <w:tab w:val="left" w:pos="9072"/>
        </w:tabs>
        <w:ind w:left="0" w:firstLine="0"/>
        <w:rPr>
          <w:color w:val="000000"/>
          <w:szCs w:val="22"/>
        </w:rPr>
      </w:pPr>
    </w:p>
    <w:p w14:paraId="32368D3E" w14:textId="77777777" w:rsidR="00F80E99" w:rsidRPr="00C83045" w:rsidRDefault="00F80E99" w:rsidP="00D4304B">
      <w:pPr>
        <w:keepNext/>
        <w:widowControl w:val="0"/>
        <w:numPr>
          <w:ilvl w:val="12"/>
          <w:numId w:val="0"/>
        </w:numPr>
        <w:ind w:right="-2"/>
        <w:rPr>
          <w:b/>
          <w:noProof/>
        </w:rPr>
      </w:pPr>
      <w:r w:rsidRPr="00C83045">
        <w:rPr>
          <w:b/>
          <w:noProof/>
        </w:rPr>
        <w:t>Iné lieky a Glivec</w:t>
      </w:r>
    </w:p>
    <w:p w14:paraId="32368D3F" w14:textId="77777777" w:rsidR="00F80E99" w:rsidRPr="00C83045" w:rsidRDefault="00FC49D9" w:rsidP="00D4304B">
      <w:pPr>
        <w:widowControl w:val="0"/>
        <w:numPr>
          <w:ilvl w:val="12"/>
          <w:numId w:val="0"/>
        </w:numPr>
        <w:ind w:right="-2"/>
        <w:rPr>
          <w:color w:val="000000"/>
          <w:szCs w:val="22"/>
        </w:rPr>
      </w:pPr>
      <w:r w:rsidRPr="00C83045">
        <w:rPr>
          <w:color w:val="000000"/>
          <w:szCs w:val="22"/>
        </w:rPr>
        <w:t xml:space="preserve">Ak teraz užívate, alebo ste v poslednom čase užívali, </w:t>
      </w:r>
      <w:r w:rsidRPr="00C83045">
        <w:rPr>
          <w:noProof/>
        </w:rPr>
        <w:t>či práve budete užívať</w:t>
      </w:r>
      <w:r w:rsidRPr="00C83045">
        <w:rPr>
          <w:b/>
          <w:i/>
          <w:noProof/>
        </w:rPr>
        <w:t xml:space="preserve"> </w:t>
      </w:r>
      <w:r w:rsidRPr="00C83045">
        <w:rPr>
          <w:noProof/>
        </w:rPr>
        <w:t>ďalšie lieky</w:t>
      </w:r>
      <w:r w:rsidR="00F80E99" w:rsidRPr="00C83045">
        <w:rPr>
          <w:noProof/>
        </w:rPr>
        <w:t>,</w:t>
      </w:r>
      <w:r w:rsidR="00F80E99" w:rsidRPr="00C83045">
        <w:rPr>
          <w:color w:val="000000"/>
          <w:szCs w:val="22"/>
        </w:rPr>
        <w:t xml:space="preserve"> vrátane </w:t>
      </w:r>
      <w:r w:rsidR="00F80E99" w:rsidRPr="00C83045">
        <w:rPr>
          <w:color w:val="000000"/>
          <w:szCs w:val="22"/>
        </w:rPr>
        <w:lastRenderedPageBreak/>
        <w:t xml:space="preserve">liekov, ktorých výdaj nie je viazaný na lekársky predpis (napr. paracetamol) a liekov z liečivých rastlín (napr. ľubovník bodkovaný), </w:t>
      </w:r>
      <w:r w:rsidR="00F80E99" w:rsidRPr="00C83045">
        <w:rPr>
          <w:noProof/>
        </w:rPr>
        <w:t>povedzte to</w:t>
      </w:r>
      <w:r w:rsidR="00F80E99" w:rsidRPr="00C83045">
        <w:rPr>
          <w:color w:val="000000"/>
          <w:szCs w:val="22"/>
        </w:rPr>
        <w:t xml:space="preserve"> svojmu lekárovi alebo lekárnikovi. Určité lieky môžu ovplyvniť účinok Glivecu, keď sa užívajú súčasne. Môžu zvýšiť alebo znížiť účinok Glivecu, čo má za následok buď zvýšenie vedľajších účinkov, alebo zníženie účinnosti Glivecu. Glivec môže rovnako ovplyvniť niektoré iné lieky.</w:t>
      </w:r>
    </w:p>
    <w:p w14:paraId="32368D40" w14:textId="77777777" w:rsidR="00A368A1" w:rsidRPr="00C83045" w:rsidRDefault="00A368A1" w:rsidP="00D4304B">
      <w:pPr>
        <w:widowControl w:val="0"/>
        <w:numPr>
          <w:ilvl w:val="12"/>
          <w:numId w:val="0"/>
        </w:numPr>
        <w:ind w:right="-2"/>
        <w:rPr>
          <w:color w:val="000000"/>
          <w:szCs w:val="22"/>
        </w:rPr>
      </w:pPr>
    </w:p>
    <w:p w14:paraId="32368D41" w14:textId="77777777" w:rsidR="00A368A1" w:rsidRPr="00C83045" w:rsidRDefault="00A368A1" w:rsidP="00D4304B">
      <w:pPr>
        <w:widowControl w:val="0"/>
        <w:numPr>
          <w:ilvl w:val="12"/>
          <w:numId w:val="0"/>
        </w:numPr>
        <w:ind w:right="-2"/>
        <w:rPr>
          <w:color w:val="000000"/>
          <w:szCs w:val="22"/>
        </w:rPr>
      </w:pPr>
      <w:r w:rsidRPr="00C83045">
        <w:rPr>
          <w:color w:val="000000"/>
          <w:szCs w:val="22"/>
        </w:rPr>
        <w:t>Ak užívate lieky, ktoré bránia vzniku krvných zrazenín, povedzte o tom svojmu lekárovi.</w:t>
      </w:r>
    </w:p>
    <w:p w14:paraId="32368D42" w14:textId="77777777" w:rsidR="00F80E99" w:rsidRPr="00C83045" w:rsidRDefault="00F80E99" w:rsidP="00D4304B">
      <w:pPr>
        <w:widowControl w:val="0"/>
        <w:tabs>
          <w:tab w:val="left" w:pos="9072"/>
        </w:tabs>
        <w:ind w:left="0" w:firstLine="0"/>
        <w:rPr>
          <w:color w:val="000000"/>
          <w:szCs w:val="22"/>
        </w:rPr>
      </w:pPr>
    </w:p>
    <w:p w14:paraId="32368D43" w14:textId="77777777" w:rsidR="00F80E99" w:rsidRPr="00C83045" w:rsidRDefault="00F80E99" w:rsidP="00D4304B">
      <w:pPr>
        <w:keepNext/>
        <w:widowControl w:val="0"/>
        <w:numPr>
          <w:ilvl w:val="12"/>
          <w:numId w:val="0"/>
        </w:numPr>
        <w:ind w:right="-2"/>
        <w:outlineLvl w:val="0"/>
        <w:rPr>
          <w:b/>
          <w:color w:val="000000"/>
          <w:szCs w:val="22"/>
        </w:rPr>
      </w:pPr>
      <w:r w:rsidRPr="00C83045">
        <w:rPr>
          <w:b/>
          <w:color w:val="000000"/>
          <w:szCs w:val="22"/>
        </w:rPr>
        <w:t>Tehotenstvo, dojčenie a plodnosť</w:t>
      </w:r>
    </w:p>
    <w:p w14:paraId="32368D44" w14:textId="77777777" w:rsidR="00F80E99" w:rsidRPr="00C83045" w:rsidRDefault="00F80E99" w:rsidP="00D4304B">
      <w:pPr>
        <w:widowControl w:val="0"/>
        <w:numPr>
          <w:ilvl w:val="0"/>
          <w:numId w:val="16"/>
        </w:numPr>
        <w:tabs>
          <w:tab w:val="left" w:pos="9072"/>
        </w:tabs>
        <w:rPr>
          <w:color w:val="000000"/>
          <w:szCs w:val="22"/>
        </w:rPr>
      </w:pPr>
      <w:r w:rsidRPr="00C83045">
        <w:rPr>
          <w:noProof/>
        </w:rPr>
        <w:t xml:space="preserve">Ak ste tehotná alebo dojčíte, ak si myslíte, že ste tehotná alebo ak plánujete otehotnieť, poraďte sa so svojím lekárom predtým, </w:t>
      </w:r>
      <w:r w:rsidR="005A09EB">
        <w:rPr>
          <w:noProof/>
        </w:rPr>
        <w:t>ako</w:t>
      </w:r>
      <w:r w:rsidRPr="00C83045">
        <w:rPr>
          <w:noProof/>
        </w:rPr>
        <w:t xml:space="preserve"> začnete užívať tento liek.</w:t>
      </w:r>
    </w:p>
    <w:p w14:paraId="32368D45" w14:textId="77777777" w:rsidR="00F80E99" w:rsidRPr="00C83045" w:rsidRDefault="00F80E99" w:rsidP="00D4304B">
      <w:pPr>
        <w:widowControl w:val="0"/>
        <w:numPr>
          <w:ilvl w:val="0"/>
          <w:numId w:val="16"/>
        </w:numPr>
        <w:tabs>
          <w:tab w:val="left" w:pos="9072"/>
        </w:tabs>
        <w:rPr>
          <w:color w:val="000000"/>
          <w:szCs w:val="22"/>
        </w:rPr>
      </w:pPr>
      <w:r w:rsidRPr="00C83045">
        <w:rPr>
          <w:color w:val="000000"/>
          <w:szCs w:val="22"/>
        </w:rPr>
        <w:t>Glivec sa neodporúča užívať počas tehotenstva, ak to nie jednoznačne potrebné, pretože to môže poškodiť vaše dieťa. Lekár sa s vami porozpráva o možných rizikách užívania Glivecu v tehotenstve.</w:t>
      </w:r>
    </w:p>
    <w:p w14:paraId="32368D46" w14:textId="77777777" w:rsidR="00F80E99" w:rsidRPr="00C83045" w:rsidRDefault="00F80E99" w:rsidP="00D4304B">
      <w:pPr>
        <w:widowControl w:val="0"/>
        <w:numPr>
          <w:ilvl w:val="0"/>
          <w:numId w:val="17"/>
        </w:numPr>
        <w:tabs>
          <w:tab w:val="left" w:pos="9072"/>
        </w:tabs>
        <w:rPr>
          <w:color w:val="000000"/>
          <w:szCs w:val="22"/>
        </w:rPr>
      </w:pPr>
      <w:r w:rsidRPr="00C83045">
        <w:rPr>
          <w:color w:val="000000"/>
          <w:szCs w:val="22"/>
        </w:rPr>
        <w:t xml:space="preserve">Ženy, ktoré môžu otehotnieť, majú počas liečby </w:t>
      </w:r>
      <w:r w:rsidR="00BC130B">
        <w:rPr>
          <w:color w:val="000000"/>
          <w:szCs w:val="22"/>
        </w:rPr>
        <w:t>a najmenej 15</w:t>
      </w:r>
      <w:r w:rsidR="004A2C12">
        <w:rPr>
          <w:color w:val="000000"/>
          <w:szCs w:val="22"/>
        </w:rPr>
        <w:t> </w:t>
      </w:r>
      <w:r w:rsidR="00BC130B">
        <w:rPr>
          <w:color w:val="000000"/>
          <w:szCs w:val="22"/>
        </w:rPr>
        <w:t>dní po ukončení liečby Glivecom</w:t>
      </w:r>
      <w:r w:rsidR="00BC130B" w:rsidRPr="00C83045">
        <w:rPr>
          <w:color w:val="000000"/>
          <w:szCs w:val="22"/>
        </w:rPr>
        <w:t xml:space="preserve"> </w:t>
      </w:r>
      <w:r w:rsidRPr="00C83045">
        <w:rPr>
          <w:color w:val="000000"/>
          <w:szCs w:val="22"/>
        </w:rPr>
        <w:t>používať účinnú antikoncepciu.</w:t>
      </w:r>
    </w:p>
    <w:p w14:paraId="32368D47" w14:textId="77777777" w:rsidR="00D17E7A" w:rsidRPr="00C83045" w:rsidRDefault="00F80E99" w:rsidP="00D17E7A">
      <w:pPr>
        <w:widowControl w:val="0"/>
        <w:numPr>
          <w:ilvl w:val="0"/>
          <w:numId w:val="17"/>
        </w:numPr>
        <w:tabs>
          <w:tab w:val="left" w:pos="9072"/>
        </w:tabs>
        <w:rPr>
          <w:color w:val="000000"/>
          <w:szCs w:val="22"/>
        </w:rPr>
      </w:pPr>
      <w:r w:rsidRPr="00C83045">
        <w:rPr>
          <w:color w:val="000000"/>
          <w:szCs w:val="22"/>
        </w:rPr>
        <w:t xml:space="preserve">Počas liečby Glivecom </w:t>
      </w:r>
      <w:r w:rsidR="00BC130B">
        <w:rPr>
          <w:color w:val="000000"/>
          <w:szCs w:val="22"/>
        </w:rPr>
        <w:t>a najmenej 15</w:t>
      </w:r>
      <w:r w:rsidR="004A2C12">
        <w:rPr>
          <w:color w:val="000000"/>
          <w:szCs w:val="22"/>
        </w:rPr>
        <w:t> </w:t>
      </w:r>
      <w:r w:rsidR="00D17E7A">
        <w:rPr>
          <w:color w:val="000000"/>
          <w:szCs w:val="22"/>
        </w:rPr>
        <w:t>dní po ukončení liečby</w:t>
      </w:r>
      <w:r w:rsidR="00BC130B" w:rsidRPr="00C83045">
        <w:rPr>
          <w:color w:val="000000"/>
          <w:szCs w:val="22"/>
        </w:rPr>
        <w:t xml:space="preserve"> </w:t>
      </w:r>
      <w:r w:rsidRPr="00C83045">
        <w:rPr>
          <w:color w:val="000000"/>
          <w:szCs w:val="22"/>
        </w:rPr>
        <w:t>nedojčite</w:t>
      </w:r>
      <w:r w:rsidR="00D17E7A">
        <w:rPr>
          <w:color w:val="000000"/>
          <w:szCs w:val="22"/>
        </w:rPr>
        <w:t>, pretože to môže poškodiť vaše dieťa</w:t>
      </w:r>
      <w:r w:rsidR="00D17E7A" w:rsidRPr="00C83045">
        <w:rPr>
          <w:color w:val="000000"/>
          <w:szCs w:val="22"/>
        </w:rPr>
        <w:t>.</w:t>
      </w:r>
    </w:p>
    <w:p w14:paraId="32368D49" w14:textId="77777777" w:rsidR="00F80E99" w:rsidRPr="00D17E7A" w:rsidRDefault="00F80E99" w:rsidP="00D17E7A">
      <w:pPr>
        <w:widowControl w:val="0"/>
        <w:numPr>
          <w:ilvl w:val="0"/>
          <w:numId w:val="17"/>
        </w:numPr>
        <w:tabs>
          <w:tab w:val="left" w:pos="9072"/>
        </w:tabs>
        <w:rPr>
          <w:color w:val="000000"/>
          <w:szCs w:val="22"/>
        </w:rPr>
      </w:pPr>
      <w:r w:rsidRPr="00D17E7A">
        <w:rPr>
          <w:color w:val="000000"/>
          <w:szCs w:val="22"/>
        </w:rPr>
        <w:t>Pacientom, ktorých znepokojuje ich plodnosť počas užívania Glivecu, sa odporúča, aby sa poradili so svojím lekárom.</w:t>
      </w:r>
    </w:p>
    <w:p w14:paraId="32368D4A" w14:textId="77777777" w:rsidR="00F80E99" w:rsidRPr="00C83045" w:rsidRDefault="00F80E99" w:rsidP="00D4304B">
      <w:pPr>
        <w:widowControl w:val="0"/>
        <w:tabs>
          <w:tab w:val="left" w:pos="9072"/>
        </w:tabs>
        <w:ind w:left="0" w:firstLine="0"/>
        <w:rPr>
          <w:color w:val="000000"/>
          <w:szCs w:val="22"/>
        </w:rPr>
      </w:pPr>
    </w:p>
    <w:p w14:paraId="32368D4B" w14:textId="77777777" w:rsidR="00F80E99" w:rsidRPr="00C83045" w:rsidRDefault="00F80E99" w:rsidP="00D4304B">
      <w:pPr>
        <w:keepNext/>
        <w:widowControl w:val="0"/>
        <w:tabs>
          <w:tab w:val="left" w:pos="9072"/>
        </w:tabs>
        <w:ind w:left="0" w:firstLine="0"/>
        <w:rPr>
          <w:b/>
          <w:color w:val="000000"/>
          <w:szCs w:val="22"/>
        </w:rPr>
      </w:pPr>
      <w:r w:rsidRPr="00C83045">
        <w:rPr>
          <w:b/>
          <w:color w:val="000000"/>
          <w:szCs w:val="22"/>
        </w:rPr>
        <w:t>Vedenie vozidiel a obsluha strojov</w:t>
      </w:r>
    </w:p>
    <w:p w14:paraId="32368D4C" w14:textId="77777777" w:rsidR="00F80E99" w:rsidRPr="00C83045" w:rsidRDefault="00F80E99" w:rsidP="00D4304B">
      <w:pPr>
        <w:widowControl w:val="0"/>
        <w:tabs>
          <w:tab w:val="left" w:pos="9072"/>
        </w:tabs>
        <w:ind w:left="0" w:firstLine="0"/>
        <w:rPr>
          <w:color w:val="000000"/>
          <w:szCs w:val="22"/>
        </w:rPr>
      </w:pPr>
      <w:r w:rsidRPr="00C83045">
        <w:rPr>
          <w:color w:val="000000"/>
          <w:szCs w:val="22"/>
        </w:rPr>
        <w:t>Počas užívania tohto lieku môžete pocítiť závraty alebo ospalosť alebo mať neostré videnie. Ak sa to stane, neveďte vozidlo a nepoužívajte žiadne nástroje alebo neobsluhujte stroje, kým sa nebudete opäť cítiť dobre.</w:t>
      </w:r>
    </w:p>
    <w:p w14:paraId="32368D4D" w14:textId="77777777" w:rsidR="00F80E99" w:rsidRPr="00C83045" w:rsidRDefault="00F80E99" w:rsidP="00D4304B">
      <w:pPr>
        <w:widowControl w:val="0"/>
        <w:tabs>
          <w:tab w:val="left" w:pos="9072"/>
        </w:tabs>
        <w:ind w:left="0" w:firstLine="0"/>
        <w:rPr>
          <w:color w:val="000000"/>
          <w:szCs w:val="22"/>
        </w:rPr>
      </w:pPr>
    </w:p>
    <w:p w14:paraId="32368D4E" w14:textId="77777777" w:rsidR="00F80E99" w:rsidRPr="00C83045" w:rsidRDefault="00F80E99" w:rsidP="00D4304B">
      <w:pPr>
        <w:pStyle w:val="BodyText2"/>
        <w:widowControl w:val="0"/>
        <w:spacing w:after="0" w:line="240" w:lineRule="auto"/>
        <w:ind w:left="0" w:firstLine="0"/>
        <w:rPr>
          <w:color w:val="000000"/>
          <w:szCs w:val="22"/>
        </w:rPr>
      </w:pPr>
    </w:p>
    <w:p w14:paraId="32368D4F" w14:textId="77777777" w:rsidR="00F72C2E" w:rsidRPr="00C83045" w:rsidRDefault="00F72C2E" w:rsidP="00D4304B">
      <w:pPr>
        <w:keepNext/>
        <w:widowControl w:val="0"/>
        <w:rPr>
          <w:b/>
          <w:color w:val="000000"/>
          <w:szCs w:val="22"/>
        </w:rPr>
      </w:pPr>
      <w:r w:rsidRPr="00C83045">
        <w:rPr>
          <w:b/>
          <w:color w:val="000000"/>
          <w:szCs w:val="22"/>
        </w:rPr>
        <w:t>3.</w:t>
      </w:r>
      <w:r w:rsidRPr="00C83045">
        <w:rPr>
          <w:b/>
          <w:color w:val="000000"/>
          <w:szCs w:val="22"/>
        </w:rPr>
        <w:tab/>
      </w:r>
      <w:r w:rsidR="003A2F14" w:rsidRPr="00C83045">
        <w:rPr>
          <w:b/>
          <w:noProof/>
        </w:rPr>
        <w:t>Ako užívať Glivec</w:t>
      </w:r>
    </w:p>
    <w:p w14:paraId="32368D50" w14:textId="77777777" w:rsidR="00F72C2E" w:rsidRPr="00C83045" w:rsidRDefault="00F72C2E" w:rsidP="00D4304B">
      <w:pPr>
        <w:keepNext/>
        <w:widowControl w:val="0"/>
        <w:tabs>
          <w:tab w:val="left" w:pos="9072"/>
        </w:tabs>
        <w:rPr>
          <w:color w:val="000000"/>
          <w:szCs w:val="22"/>
        </w:rPr>
      </w:pPr>
    </w:p>
    <w:p w14:paraId="32368D51" w14:textId="77777777" w:rsidR="00F72C2E" w:rsidRPr="00C83045" w:rsidRDefault="00F72C2E" w:rsidP="00D4304B">
      <w:pPr>
        <w:widowControl w:val="0"/>
        <w:tabs>
          <w:tab w:val="left" w:pos="9072"/>
        </w:tabs>
        <w:ind w:left="0" w:firstLine="0"/>
        <w:rPr>
          <w:bCs/>
          <w:color w:val="000000"/>
          <w:szCs w:val="22"/>
        </w:rPr>
      </w:pPr>
      <w:r w:rsidRPr="00C83045">
        <w:rPr>
          <w:bCs/>
          <w:color w:val="000000"/>
          <w:szCs w:val="22"/>
        </w:rPr>
        <w:t xml:space="preserve">Váš lekár </w:t>
      </w:r>
      <w:r w:rsidR="003A2F14" w:rsidRPr="00C83045">
        <w:rPr>
          <w:bCs/>
          <w:color w:val="000000"/>
          <w:szCs w:val="22"/>
        </w:rPr>
        <w:t>v</w:t>
      </w:r>
      <w:r w:rsidRPr="00C83045">
        <w:rPr>
          <w:bCs/>
          <w:color w:val="000000"/>
          <w:szCs w:val="22"/>
        </w:rPr>
        <w:t xml:space="preserve">ám predpísal Glivec, pretože trpíte závažným ochorením. Glivec </w:t>
      </w:r>
      <w:r w:rsidR="003A2F14" w:rsidRPr="00C83045">
        <w:rPr>
          <w:bCs/>
          <w:color w:val="000000"/>
          <w:szCs w:val="22"/>
        </w:rPr>
        <w:t>v</w:t>
      </w:r>
      <w:r w:rsidRPr="00C83045">
        <w:rPr>
          <w:bCs/>
          <w:color w:val="000000"/>
          <w:szCs w:val="22"/>
        </w:rPr>
        <w:t>ám môže pomôcť bojovať proti tomuto ochoreniu.</w:t>
      </w:r>
    </w:p>
    <w:p w14:paraId="32368D52" w14:textId="77777777" w:rsidR="00F72C2E" w:rsidRPr="00C83045" w:rsidRDefault="00F72C2E" w:rsidP="00D4304B">
      <w:pPr>
        <w:widowControl w:val="0"/>
        <w:tabs>
          <w:tab w:val="left" w:pos="9072"/>
        </w:tabs>
        <w:ind w:left="0" w:firstLine="0"/>
        <w:rPr>
          <w:bCs/>
          <w:color w:val="000000"/>
          <w:szCs w:val="22"/>
        </w:rPr>
      </w:pPr>
    </w:p>
    <w:p w14:paraId="32368D53" w14:textId="77777777" w:rsidR="00F72C2E" w:rsidRPr="00C83045" w:rsidRDefault="00F72C2E" w:rsidP="00D4304B">
      <w:pPr>
        <w:widowControl w:val="0"/>
        <w:tabs>
          <w:tab w:val="left" w:pos="9072"/>
        </w:tabs>
        <w:ind w:left="0" w:firstLine="0"/>
        <w:rPr>
          <w:bCs/>
          <w:color w:val="000000"/>
          <w:szCs w:val="22"/>
        </w:rPr>
      </w:pPr>
      <w:r w:rsidRPr="00C83045">
        <w:rPr>
          <w:bCs/>
          <w:color w:val="000000"/>
          <w:szCs w:val="22"/>
        </w:rPr>
        <w:t xml:space="preserve">Vždy však užívajte </w:t>
      </w:r>
      <w:r w:rsidR="003A2F14" w:rsidRPr="00C83045">
        <w:rPr>
          <w:bCs/>
          <w:color w:val="000000"/>
          <w:szCs w:val="22"/>
        </w:rPr>
        <w:t>tento liek</w:t>
      </w:r>
      <w:r w:rsidRPr="00C83045">
        <w:rPr>
          <w:bCs/>
          <w:color w:val="000000"/>
          <w:szCs w:val="22"/>
        </w:rPr>
        <w:t xml:space="preserve"> presne tak, ako </w:t>
      </w:r>
      <w:r w:rsidR="003A2F14" w:rsidRPr="00C83045">
        <w:rPr>
          <w:bCs/>
          <w:color w:val="000000"/>
          <w:szCs w:val="22"/>
        </w:rPr>
        <w:t>v</w:t>
      </w:r>
      <w:r w:rsidRPr="00C83045">
        <w:rPr>
          <w:bCs/>
          <w:color w:val="000000"/>
          <w:szCs w:val="22"/>
        </w:rPr>
        <w:t xml:space="preserve">ám povedal </w:t>
      </w:r>
      <w:r w:rsidR="003A2F14" w:rsidRPr="00C83045">
        <w:rPr>
          <w:bCs/>
          <w:color w:val="000000"/>
          <w:szCs w:val="22"/>
        </w:rPr>
        <w:t>v</w:t>
      </w:r>
      <w:r w:rsidRPr="00C83045">
        <w:rPr>
          <w:bCs/>
          <w:color w:val="000000"/>
          <w:szCs w:val="22"/>
        </w:rPr>
        <w:t>áš lekár</w:t>
      </w:r>
      <w:r w:rsidR="003A2F14" w:rsidRPr="00C83045">
        <w:rPr>
          <w:noProof/>
        </w:rPr>
        <w:t xml:space="preserve"> alebo lekárnik</w:t>
      </w:r>
      <w:r w:rsidRPr="00C83045">
        <w:rPr>
          <w:bCs/>
          <w:color w:val="000000"/>
          <w:szCs w:val="22"/>
        </w:rPr>
        <w:t xml:space="preserve">. Je dôležité, aby ste to robili tak dlho, ako </w:t>
      </w:r>
      <w:r w:rsidR="003A2F14" w:rsidRPr="00C83045">
        <w:rPr>
          <w:bCs/>
          <w:color w:val="000000"/>
          <w:szCs w:val="22"/>
        </w:rPr>
        <w:t>v</w:t>
      </w:r>
      <w:r w:rsidRPr="00C83045">
        <w:rPr>
          <w:bCs/>
          <w:color w:val="000000"/>
          <w:szCs w:val="22"/>
        </w:rPr>
        <w:t>ám lekár</w:t>
      </w:r>
      <w:r w:rsidR="003A2F14" w:rsidRPr="00C83045">
        <w:rPr>
          <w:noProof/>
        </w:rPr>
        <w:t xml:space="preserve"> alebo lekárnik</w:t>
      </w:r>
      <w:r w:rsidRPr="00C83045">
        <w:rPr>
          <w:bCs/>
          <w:color w:val="000000"/>
          <w:szCs w:val="22"/>
        </w:rPr>
        <w:t xml:space="preserve"> povie. Ak si nie ste niečím istý, overte si to u svojho lekára alebo lekárnika.</w:t>
      </w:r>
    </w:p>
    <w:p w14:paraId="32368D54" w14:textId="77777777" w:rsidR="00F72C2E" w:rsidRPr="00C83045" w:rsidRDefault="00F72C2E" w:rsidP="00D4304B">
      <w:pPr>
        <w:widowControl w:val="0"/>
        <w:tabs>
          <w:tab w:val="left" w:pos="9072"/>
        </w:tabs>
        <w:ind w:left="0" w:firstLine="0"/>
        <w:rPr>
          <w:bCs/>
          <w:color w:val="000000"/>
          <w:szCs w:val="22"/>
        </w:rPr>
      </w:pPr>
    </w:p>
    <w:p w14:paraId="32368D55" w14:textId="77777777" w:rsidR="00F72C2E" w:rsidRPr="00C83045" w:rsidRDefault="00F72C2E" w:rsidP="00D4304B">
      <w:pPr>
        <w:widowControl w:val="0"/>
        <w:tabs>
          <w:tab w:val="left" w:pos="9072"/>
        </w:tabs>
        <w:ind w:left="0" w:firstLine="0"/>
        <w:rPr>
          <w:color w:val="000000"/>
          <w:szCs w:val="22"/>
        </w:rPr>
      </w:pPr>
      <w:r w:rsidRPr="00C83045">
        <w:rPr>
          <w:bCs/>
          <w:color w:val="000000"/>
          <w:szCs w:val="22"/>
        </w:rPr>
        <w:t xml:space="preserve">Neprestaňte užívať Glivec, kým </w:t>
      </w:r>
      <w:r w:rsidR="003A2F14" w:rsidRPr="00C83045">
        <w:rPr>
          <w:bCs/>
          <w:color w:val="000000"/>
          <w:szCs w:val="22"/>
        </w:rPr>
        <w:t>v</w:t>
      </w:r>
      <w:r w:rsidRPr="00C83045">
        <w:rPr>
          <w:bCs/>
          <w:color w:val="000000"/>
          <w:szCs w:val="22"/>
        </w:rPr>
        <w:t xml:space="preserve">ám to neodporučí </w:t>
      </w:r>
      <w:r w:rsidR="003A2F14" w:rsidRPr="00C83045">
        <w:rPr>
          <w:bCs/>
          <w:color w:val="000000"/>
          <w:szCs w:val="22"/>
        </w:rPr>
        <w:t>v</w:t>
      </w:r>
      <w:r w:rsidRPr="00C83045">
        <w:rPr>
          <w:bCs/>
          <w:color w:val="000000"/>
          <w:szCs w:val="22"/>
        </w:rPr>
        <w:t xml:space="preserve">áš lekár. Ak tento liek už nemôžete užívať tak, ako </w:t>
      </w:r>
      <w:r w:rsidR="003A2F14" w:rsidRPr="00C83045">
        <w:rPr>
          <w:bCs/>
          <w:color w:val="000000"/>
          <w:szCs w:val="22"/>
        </w:rPr>
        <w:t>v</w:t>
      </w:r>
      <w:r w:rsidRPr="00C83045">
        <w:rPr>
          <w:bCs/>
          <w:color w:val="000000"/>
          <w:szCs w:val="22"/>
        </w:rPr>
        <w:t>ám to predpísal lekár, alebo máte pocit, že ho už nepotrebujete, ihneď sa spojte so svojím lekárom.</w:t>
      </w:r>
    </w:p>
    <w:p w14:paraId="32368D56" w14:textId="77777777" w:rsidR="00F72C2E" w:rsidRPr="00C83045" w:rsidRDefault="00F72C2E" w:rsidP="00D4304B">
      <w:pPr>
        <w:widowControl w:val="0"/>
        <w:tabs>
          <w:tab w:val="left" w:pos="9072"/>
        </w:tabs>
        <w:rPr>
          <w:color w:val="000000"/>
          <w:szCs w:val="22"/>
        </w:rPr>
      </w:pPr>
    </w:p>
    <w:p w14:paraId="32368D57" w14:textId="77777777" w:rsidR="00F72C2E" w:rsidRPr="00C83045" w:rsidRDefault="00F72C2E" w:rsidP="00D4304B">
      <w:pPr>
        <w:keepNext/>
        <w:widowControl w:val="0"/>
        <w:tabs>
          <w:tab w:val="left" w:pos="9072"/>
        </w:tabs>
        <w:rPr>
          <w:b/>
          <w:color w:val="000000"/>
          <w:szCs w:val="22"/>
        </w:rPr>
      </w:pPr>
      <w:r w:rsidRPr="00C83045">
        <w:rPr>
          <w:b/>
          <w:color w:val="000000"/>
          <w:szCs w:val="22"/>
        </w:rPr>
        <w:t>Koľko Glivecu užiť</w:t>
      </w:r>
    </w:p>
    <w:p w14:paraId="32368D58" w14:textId="77777777" w:rsidR="00F72C2E" w:rsidRPr="00C83045" w:rsidRDefault="00F72C2E" w:rsidP="00D4304B">
      <w:pPr>
        <w:keepNext/>
        <w:widowControl w:val="0"/>
        <w:tabs>
          <w:tab w:val="left" w:pos="9072"/>
        </w:tabs>
        <w:rPr>
          <w:b/>
          <w:color w:val="000000"/>
          <w:szCs w:val="22"/>
        </w:rPr>
      </w:pPr>
    </w:p>
    <w:p w14:paraId="32368D59" w14:textId="77777777" w:rsidR="00F72C2E" w:rsidRPr="00C83045" w:rsidRDefault="00F72C2E" w:rsidP="00D4304B">
      <w:pPr>
        <w:keepNext/>
        <w:widowControl w:val="0"/>
        <w:tabs>
          <w:tab w:val="left" w:pos="9072"/>
        </w:tabs>
        <w:rPr>
          <w:b/>
          <w:color w:val="000000"/>
          <w:szCs w:val="22"/>
        </w:rPr>
      </w:pPr>
      <w:r w:rsidRPr="00C83045">
        <w:rPr>
          <w:b/>
          <w:color w:val="000000"/>
          <w:szCs w:val="22"/>
        </w:rPr>
        <w:t>Použitie u dospelých</w:t>
      </w:r>
    </w:p>
    <w:p w14:paraId="32368D5A" w14:textId="77777777" w:rsidR="00F72C2E" w:rsidRPr="00C83045" w:rsidRDefault="00F72C2E" w:rsidP="00D4304B">
      <w:pPr>
        <w:widowControl w:val="0"/>
        <w:tabs>
          <w:tab w:val="left" w:pos="9072"/>
        </w:tabs>
        <w:ind w:left="0" w:firstLine="0"/>
        <w:rPr>
          <w:color w:val="000000"/>
          <w:szCs w:val="22"/>
        </w:rPr>
      </w:pPr>
      <w:r w:rsidRPr="00C83045">
        <w:rPr>
          <w:color w:val="000000"/>
          <w:szCs w:val="22"/>
        </w:rPr>
        <w:t xml:space="preserve">Lekár </w:t>
      </w:r>
      <w:r w:rsidR="003A2F14" w:rsidRPr="00C83045">
        <w:rPr>
          <w:color w:val="000000"/>
          <w:szCs w:val="22"/>
        </w:rPr>
        <w:t>v</w:t>
      </w:r>
      <w:r w:rsidRPr="00C83045">
        <w:rPr>
          <w:color w:val="000000"/>
          <w:szCs w:val="22"/>
        </w:rPr>
        <w:t>ám presne povie, koľko tabliet Glivecu máte užiť.</w:t>
      </w:r>
    </w:p>
    <w:p w14:paraId="32368D5B" w14:textId="77777777" w:rsidR="00F72C2E" w:rsidRPr="00C83045" w:rsidRDefault="00F72C2E" w:rsidP="00D4304B">
      <w:pPr>
        <w:widowControl w:val="0"/>
        <w:tabs>
          <w:tab w:val="left" w:pos="9072"/>
        </w:tabs>
        <w:rPr>
          <w:b/>
          <w:color w:val="000000"/>
          <w:szCs w:val="22"/>
        </w:rPr>
      </w:pPr>
    </w:p>
    <w:p w14:paraId="32368D5C" w14:textId="77777777" w:rsidR="00F72C2E" w:rsidRPr="00C83045" w:rsidRDefault="00F72C2E" w:rsidP="00D4304B">
      <w:pPr>
        <w:pStyle w:val="Text"/>
        <w:keepNext/>
        <w:widowControl w:val="0"/>
        <w:numPr>
          <w:ilvl w:val="1"/>
          <w:numId w:val="18"/>
        </w:numPr>
        <w:tabs>
          <w:tab w:val="clear" w:pos="1440"/>
          <w:tab w:val="num" w:pos="567"/>
        </w:tabs>
        <w:spacing w:before="0"/>
        <w:ind w:left="567" w:hanging="567"/>
        <w:jc w:val="left"/>
        <w:rPr>
          <w:color w:val="000000"/>
          <w:sz w:val="22"/>
          <w:szCs w:val="22"/>
          <w:lang w:val="sk-SK"/>
        </w:rPr>
      </w:pPr>
      <w:r w:rsidRPr="00C83045">
        <w:rPr>
          <w:b/>
          <w:bCs/>
          <w:color w:val="000000"/>
          <w:sz w:val="22"/>
          <w:szCs w:val="22"/>
          <w:lang w:val="sk-SK"/>
        </w:rPr>
        <w:t>Pri liečbe CML:</w:t>
      </w:r>
    </w:p>
    <w:p w14:paraId="32368D5D" w14:textId="316FB61F" w:rsidR="00F72C2E" w:rsidRPr="00C83045" w:rsidRDefault="00F72C2E" w:rsidP="00D4304B">
      <w:pPr>
        <w:keepNext/>
        <w:widowControl w:val="0"/>
        <w:tabs>
          <w:tab w:val="left" w:pos="9072"/>
        </w:tabs>
        <w:ind w:firstLine="0"/>
        <w:rPr>
          <w:color w:val="000000"/>
          <w:szCs w:val="22"/>
        </w:rPr>
      </w:pPr>
      <w:r w:rsidRPr="00C83045">
        <w:rPr>
          <w:color w:val="000000"/>
          <w:szCs w:val="22"/>
        </w:rPr>
        <w:t xml:space="preserve">V závislosti od </w:t>
      </w:r>
      <w:r w:rsidR="003A2F14" w:rsidRPr="00C83045">
        <w:rPr>
          <w:color w:val="000000"/>
          <w:szCs w:val="22"/>
        </w:rPr>
        <w:t>v</w:t>
      </w:r>
      <w:r w:rsidRPr="00C83045">
        <w:rPr>
          <w:color w:val="000000"/>
          <w:szCs w:val="22"/>
        </w:rPr>
        <w:t xml:space="preserve">ášho stavu je zvyčajná začiatočná dávka buď </w:t>
      </w:r>
      <w:r w:rsidRPr="007428C9">
        <w:rPr>
          <w:b/>
          <w:color w:val="000000"/>
          <w:szCs w:val="22"/>
        </w:rPr>
        <w:t>400 mg</w:t>
      </w:r>
      <w:r w:rsidRPr="00C83045">
        <w:rPr>
          <w:color w:val="000000"/>
          <w:szCs w:val="22"/>
        </w:rPr>
        <w:t xml:space="preserve"> alebo </w:t>
      </w:r>
      <w:r w:rsidRPr="007428C9">
        <w:rPr>
          <w:b/>
          <w:color w:val="000000"/>
          <w:szCs w:val="22"/>
        </w:rPr>
        <w:t>600 mg</w:t>
      </w:r>
      <w:r w:rsidR="00670E2E">
        <w:rPr>
          <w:color w:val="000000"/>
          <w:szCs w:val="22"/>
        </w:rPr>
        <w:t xml:space="preserve"> a užíva sa raz denne</w:t>
      </w:r>
      <w:r w:rsidR="0083668F">
        <w:rPr>
          <w:color w:val="000000"/>
          <w:szCs w:val="22"/>
        </w:rPr>
        <w:t>.</w:t>
      </w:r>
    </w:p>
    <w:p w14:paraId="32368D60" w14:textId="77777777" w:rsidR="00F72C2E" w:rsidRPr="00C83045" w:rsidRDefault="00F72C2E" w:rsidP="00D4304B">
      <w:pPr>
        <w:widowControl w:val="0"/>
        <w:tabs>
          <w:tab w:val="left" w:pos="9072"/>
        </w:tabs>
        <w:ind w:left="0" w:firstLine="0"/>
        <w:rPr>
          <w:color w:val="000000"/>
          <w:szCs w:val="22"/>
        </w:rPr>
      </w:pPr>
    </w:p>
    <w:p w14:paraId="32368D61" w14:textId="77777777" w:rsidR="00F72C2E" w:rsidRPr="00C83045" w:rsidRDefault="00F72C2E" w:rsidP="00D4304B">
      <w:pPr>
        <w:pStyle w:val="Text"/>
        <w:keepNext/>
        <w:widowControl w:val="0"/>
        <w:numPr>
          <w:ilvl w:val="1"/>
          <w:numId w:val="18"/>
        </w:numPr>
        <w:tabs>
          <w:tab w:val="clear" w:pos="1440"/>
          <w:tab w:val="num" w:pos="567"/>
        </w:tabs>
        <w:spacing w:before="0"/>
        <w:ind w:left="567" w:hanging="567"/>
        <w:jc w:val="left"/>
        <w:rPr>
          <w:color w:val="000000"/>
          <w:sz w:val="22"/>
          <w:szCs w:val="22"/>
          <w:lang w:val="sk-SK"/>
        </w:rPr>
      </w:pPr>
      <w:r w:rsidRPr="00C83045">
        <w:rPr>
          <w:b/>
          <w:bCs/>
          <w:color w:val="000000"/>
          <w:sz w:val="22"/>
          <w:szCs w:val="22"/>
          <w:lang w:val="sk-SK"/>
        </w:rPr>
        <w:t>Pri liečbe GIST:</w:t>
      </w:r>
    </w:p>
    <w:p w14:paraId="32368D62" w14:textId="4A907BC1" w:rsidR="00F72C2E" w:rsidRPr="00C83045" w:rsidRDefault="00F72C2E" w:rsidP="00D4304B">
      <w:pPr>
        <w:widowControl w:val="0"/>
        <w:tabs>
          <w:tab w:val="left" w:pos="9072"/>
        </w:tabs>
        <w:ind w:firstLine="0"/>
        <w:rPr>
          <w:color w:val="000000"/>
          <w:szCs w:val="22"/>
        </w:rPr>
      </w:pPr>
      <w:r w:rsidRPr="00C83045">
        <w:rPr>
          <w:color w:val="000000"/>
          <w:szCs w:val="22"/>
        </w:rPr>
        <w:t xml:space="preserve">Začiatočná dávka je 400 mg a užíva sa </w:t>
      </w:r>
      <w:r w:rsidRPr="00C83045">
        <w:rPr>
          <w:b/>
          <w:color w:val="000000"/>
          <w:szCs w:val="22"/>
        </w:rPr>
        <w:t>raz</w:t>
      </w:r>
      <w:r w:rsidRPr="00C83045">
        <w:rPr>
          <w:color w:val="000000"/>
          <w:szCs w:val="22"/>
        </w:rPr>
        <w:t xml:space="preserve"> denne.</w:t>
      </w:r>
    </w:p>
    <w:p w14:paraId="32368D63" w14:textId="77777777" w:rsidR="00F72C2E" w:rsidRPr="00C83045" w:rsidRDefault="00F72C2E" w:rsidP="00D4304B">
      <w:pPr>
        <w:widowControl w:val="0"/>
        <w:tabs>
          <w:tab w:val="left" w:pos="9072"/>
        </w:tabs>
        <w:ind w:left="0" w:firstLine="0"/>
        <w:rPr>
          <w:color w:val="000000"/>
          <w:szCs w:val="22"/>
        </w:rPr>
      </w:pPr>
    </w:p>
    <w:p w14:paraId="32368D64" w14:textId="59D73A3F" w:rsidR="00F72C2E" w:rsidRPr="00C83045" w:rsidRDefault="00F72C2E" w:rsidP="00D4304B">
      <w:pPr>
        <w:widowControl w:val="0"/>
        <w:tabs>
          <w:tab w:val="left" w:pos="9072"/>
        </w:tabs>
        <w:ind w:left="0" w:firstLine="0"/>
        <w:rPr>
          <w:color w:val="000000"/>
          <w:szCs w:val="22"/>
        </w:rPr>
      </w:pPr>
      <w:r w:rsidRPr="00C83045">
        <w:rPr>
          <w:color w:val="000000"/>
          <w:szCs w:val="22"/>
        </w:rPr>
        <w:t xml:space="preserve">Pri CML a GIST </w:t>
      </w:r>
      <w:r w:rsidR="003A2F14" w:rsidRPr="00C83045">
        <w:rPr>
          <w:color w:val="000000"/>
          <w:szCs w:val="22"/>
        </w:rPr>
        <w:t>v</w:t>
      </w:r>
      <w:r w:rsidRPr="00C83045">
        <w:rPr>
          <w:color w:val="000000"/>
          <w:szCs w:val="22"/>
        </w:rPr>
        <w:t xml:space="preserve">ám lekár môže predpísať vyššiu alebo nižšiu dávku v závislosti od </w:t>
      </w:r>
      <w:r w:rsidR="003A2F14" w:rsidRPr="00C83045">
        <w:rPr>
          <w:color w:val="000000"/>
          <w:szCs w:val="22"/>
        </w:rPr>
        <w:t>v</w:t>
      </w:r>
      <w:r w:rsidRPr="00C83045">
        <w:rPr>
          <w:color w:val="000000"/>
          <w:szCs w:val="22"/>
        </w:rPr>
        <w:t xml:space="preserve">ašej odpovede na liečbu. Ak je </w:t>
      </w:r>
      <w:r w:rsidR="003A2F14" w:rsidRPr="00C83045">
        <w:rPr>
          <w:color w:val="000000"/>
          <w:szCs w:val="22"/>
        </w:rPr>
        <w:t>v</w:t>
      </w:r>
      <w:r w:rsidRPr="00C83045">
        <w:rPr>
          <w:color w:val="000000"/>
          <w:szCs w:val="22"/>
        </w:rPr>
        <w:t xml:space="preserve">aša denná dávka 800 mg, užívajte </w:t>
      </w:r>
      <w:r w:rsidR="00670E2E">
        <w:rPr>
          <w:color w:val="000000"/>
          <w:szCs w:val="22"/>
        </w:rPr>
        <w:t>400 mg</w:t>
      </w:r>
      <w:r w:rsidRPr="00C83045">
        <w:rPr>
          <w:color w:val="000000"/>
          <w:szCs w:val="22"/>
        </w:rPr>
        <w:t xml:space="preserve"> ráno a</w:t>
      </w:r>
      <w:r w:rsidR="00670E2E">
        <w:rPr>
          <w:color w:val="000000"/>
          <w:szCs w:val="22"/>
        </w:rPr>
        <w:t> 400 mg</w:t>
      </w:r>
      <w:r w:rsidRPr="00C83045">
        <w:rPr>
          <w:color w:val="000000"/>
          <w:szCs w:val="22"/>
        </w:rPr>
        <w:t xml:space="preserve"> večer.</w:t>
      </w:r>
    </w:p>
    <w:p w14:paraId="32368D65" w14:textId="77777777" w:rsidR="00F72C2E" w:rsidRPr="00C83045" w:rsidRDefault="00F72C2E" w:rsidP="00D4304B">
      <w:pPr>
        <w:widowControl w:val="0"/>
        <w:tabs>
          <w:tab w:val="left" w:pos="9072"/>
        </w:tabs>
        <w:ind w:left="0" w:firstLine="0"/>
        <w:rPr>
          <w:color w:val="000000"/>
          <w:szCs w:val="22"/>
        </w:rPr>
      </w:pPr>
    </w:p>
    <w:p w14:paraId="32368D66" w14:textId="77777777" w:rsidR="00F72C2E" w:rsidRPr="00C83045" w:rsidRDefault="00F72C2E" w:rsidP="00D4304B">
      <w:pPr>
        <w:pStyle w:val="Text"/>
        <w:keepNext/>
        <w:widowControl w:val="0"/>
        <w:numPr>
          <w:ilvl w:val="1"/>
          <w:numId w:val="18"/>
        </w:numPr>
        <w:tabs>
          <w:tab w:val="clear" w:pos="1440"/>
          <w:tab w:val="num" w:pos="567"/>
        </w:tabs>
        <w:spacing w:before="0"/>
        <w:ind w:left="567" w:hanging="567"/>
        <w:jc w:val="left"/>
        <w:rPr>
          <w:b/>
          <w:color w:val="000000"/>
          <w:sz w:val="22"/>
          <w:szCs w:val="22"/>
          <w:lang w:val="sk-SK"/>
        </w:rPr>
      </w:pPr>
      <w:r w:rsidRPr="00C83045">
        <w:rPr>
          <w:b/>
          <w:bCs/>
          <w:color w:val="000000"/>
          <w:sz w:val="22"/>
          <w:szCs w:val="22"/>
          <w:lang w:val="sk-SK"/>
        </w:rPr>
        <w:t xml:space="preserve">Pri liečbe </w:t>
      </w:r>
      <w:r w:rsidRPr="00C83045">
        <w:rPr>
          <w:b/>
          <w:color w:val="000000"/>
          <w:sz w:val="22"/>
          <w:szCs w:val="22"/>
          <w:lang w:val="sk-SK"/>
        </w:rPr>
        <w:t xml:space="preserve">Ph-pozitívnej </w:t>
      </w:r>
      <w:smartTag w:uri="urn:schemas-microsoft-com:office:smarttags" w:element="stockticker">
        <w:r w:rsidRPr="00C83045">
          <w:rPr>
            <w:b/>
            <w:color w:val="000000"/>
            <w:sz w:val="22"/>
            <w:szCs w:val="22"/>
            <w:lang w:val="sk-SK"/>
          </w:rPr>
          <w:t>ALL</w:t>
        </w:r>
      </w:smartTag>
      <w:r w:rsidRPr="00C83045">
        <w:rPr>
          <w:b/>
          <w:bCs/>
          <w:color w:val="000000"/>
          <w:sz w:val="22"/>
          <w:szCs w:val="22"/>
          <w:lang w:val="sk-SK"/>
        </w:rPr>
        <w:t>:</w:t>
      </w:r>
    </w:p>
    <w:p w14:paraId="32368D67" w14:textId="30E25B9A" w:rsidR="00F72C2E" w:rsidRPr="00C83045" w:rsidRDefault="00F72C2E" w:rsidP="00D4304B">
      <w:pPr>
        <w:widowControl w:val="0"/>
        <w:tabs>
          <w:tab w:val="left" w:pos="9072"/>
        </w:tabs>
        <w:ind w:firstLine="0"/>
        <w:rPr>
          <w:color w:val="000000"/>
          <w:szCs w:val="22"/>
        </w:rPr>
      </w:pPr>
      <w:r w:rsidRPr="00C83045">
        <w:rPr>
          <w:color w:val="000000"/>
          <w:szCs w:val="22"/>
        </w:rPr>
        <w:t xml:space="preserve">Začiatočná dávka je 600 mg a užíva sa </w:t>
      </w:r>
      <w:r w:rsidRPr="00C83045">
        <w:rPr>
          <w:b/>
          <w:color w:val="000000"/>
          <w:szCs w:val="22"/>
        </w:rPr>
        <w:t>raz</w:t>
      </w:r>
      <w:r w:rsidRPr="00C83045">
        <w:rPr>
          <w:color w:val="000000"/>
          <w:szCs w:val="22"/>
        </w:rPr>
        <w:t xml:space="preserve"> denne.</w:t>
      </w:r>
    </w:p>
    <w:p w14:paraId="32368D68" w14:textId="77777777" w:rsidR="00F72C2E" w:rsidRPr="00C83045" w:rsidRDefault="00F72C2E" w:rsidP="00D4304B">
      <w:pPr>
        <w:widowControl w:val="0"/>
        <w:tabs>
          <w:tab w:val="left" w:pos="9072"/>
        </w:tabs>
        <w:ind w:left="0" w:firstLine="0"/>
        <w:rPr>
          <w:color w:val="000000"/>
          <w:szCs w:val="22"/>
        </w:rPr>
      </w:pPr>
    </w:p>
    <w:p w14:paraId="32368D69" w14:textId="77777777" w:rsidR="00F72C2E" w:rsidRPr="00C83045" w:rsidRDefault="00F72C2E" w:rsidP="00D4304B">
      <w:pPr>
        <w:pStyle w:val="Text"/>
        <w:keepNext/>
        <w:widowControl w:val="0"/>
        <w:numPr>
          <w:ilvl w:val="1"/>
          <w:numId w:val="18"/>
        </w:numPr>
        <w:tabs>
          <w:tab w:val="clear" w:pos="1440"/>
          <w:tab w:val="num" w:pos="567"/>
        </w:tabs>
        <w:spacing w:before="0"/>
        <w:ind w:left="567" w:hanging="567"/>
        <w:jc w:val="left"/>
        <w:rPr>
          <w:b/>
          <w:color w:val="000000"/>
          <w:sz w:val="22"/>
          <w:szCs w:val="22"/>
          <w:lang w:val="sk-SK"/>
        </w:rPr>
      </w:pPr>
      <w:r w:rsidRPr="00C83045">
        <w:rPr>
          <w:b/>
          <w:bCs/>
          <w:color w:val="000000"/>
          <w:sz w:val="22"/>
          <w:szCs w:val="22"/>
          <w:lang w:val="sk-SK"/>
        </w:rPr>
        <w:t xml:space="preserve">Pri liečbe </w:t>
      </w:r>
      <w:smartTag w:uri="urn:schemas-microsoft-com:office:smarttags" w:element="stockticker">
        <w:r w:rsidRPr="00C83045">
          <w:rPr>
            <w:b/>
            <w:color w:val="000000"/>
            <w:sz w:val="22"/>
            <w:szCs w:val="22"/>
            <w:lang w:val="sk-SK"/>
          </w:rPr>
          <w:t>MDS</w:t>
        </w:r>
      </w:smartTag>
      <w:r w:rsidRPr="00C83045">
        <w:rPr>
          <w:b/>
          <w:color w:val="000000"/>
          <w:sz w:val="22"/>
          <w:szCs w:val="22"/>
          <w:lang w:val="sk-SK"/>
        </w:rPr>
        <w:t>/MPD</w:t>
      </w:r>
      <w:r w:rsidRPr="00C83045">
        <w:rPr>
          <w:b/>
          <w:bCs/>
          <w:color w:val="000000"/>
          <w:sz w:val="22"/>
          <w:szCs w:val="22"/>
          <w:lang w:val="sk-SK"/>
        </w:rPr>
        <w:t>:</w:t>
      </w:r>
    </w:p>
    <w:p w14:paraId="32368D6A" w14:textId="76E0FF2E" w:rsidR="00F72C2E" w:rsidRPr="00C83045" w:rsidRDefault="00F72C2E" w:rsidP="00D4304B">
      <w:pPr>
        <w:widowControl w:val="0"/>
        <w:tabs>
          <w:tab w:val="left" w:pos="9072"/>
        </w:tabs>
        <w:ind w:firstLine="0"/>
        <w:rPr>
          <w:color w:val="000000"/>
          <w:szCs w:val="22"/>
        </w:rPr>
      </w:pPr>
      <w:r w:rsidRPr="00C83045">
        <w:rPr>
          <w:color w:val="000000"/>
          <w:szCs w:val="22"/>
        </w:rPr>
        <w:t xml:space="preserve">Začiatočná dávka je 400 mg a užíva sa </w:t>
      </w:r>
      <w:r w:rsidRPr="00C83045">
        <w:rPr>
          <w:b/>
          <w:color w:val="000000"/>
          <w:szCs w:val="22"/>
        </w:rPr>
        <w:t>raz</w:t>
      </w:r>
      <w:r w:rsidRPr="00C83045">
        <w:rPr>
          <w:color w:val="000000"/>
          <w:szCs w:val="22"/>
        </w:rPr>
        <w:t xml:space="preserve"> denne.</w:t>
      </w:r>
    </w:p>
    <w:p w14:paraId="32368D6B" w14:textId="77777777" w:rsidR="00F72C2E" w:rsidRPr="00C83045" w:rsidRDefault="00F72C2E" w:rsidP="00D4304B">
      <w:pPr>
        <w:widowControl w:val="0"/>
        <w:tabs>
          <w:tab w:val="left" w:pos="9072"/>
        </w:tabs>
        <w:ind w:left="0" w:firstLine="0"/>
        <w:rPr>
          <w:color w:val="000000"/>
          <w:szCs w:val="22"/>
        </w:rPr>
      </w:pPr>
    </w:p>
    <w:p w14:paraId="32368D6C" w14:textId="77777777" w:rsidR="00F72C2E" w:rsidRPr="00C83045" w:rsidRDefault="00F72C2E" w:rsidP="00D4304B">
      <w:pPr>
        <w:pStyle w:val="Text"/>
        <w:keepNext/>
        <w:widowControl w:val="0"/>
        <w:numPr>
          <w:ilvl w:val="1"/>
          <w:numId w:val="18"/>
        </w:numPr>
        <w:tabs>
          <w:tab w:val="clear" w:pos="1440"/>
          <w:tab w:val="num" w:pos="567"/>
        </w:tabs>
        <w:spacing w:before="0"/>
        <w:ind w:left="567" w:hanging="567"/>
        <w:jc w:val="left"/>
        <w:rPr>
          <w:b/>
          <w:color w:val="000000"/>
          <w:sz w:val="22"/>
          <w:szCs w:val="22"/>
          <w:lang w:val="sk-SK"/>
        </w:rPr>
      </w:pPr>
      <w:r w:rsidRPr="00C83045">
        <w:rPr>
          <w:b/>
          <w:bCs/>
          <w:color w:val="000000"/>
          <w:sz w:val="22"/>
          <w:szCs w:val="22"/>
          <w:lang w:val="sk-SK"/>
        </w:rPr>
        <w:t xml:space="preserve">Pri liečbe </w:t>
      </w:r>
      <w:r w:rsidRPr="00C83045">
        <w:rPr>
          <w:b/>
          <w:color w:val="000000"/>
          <w:sz w:val="22"/>
          <w:szCs w:val="22"/>
          <w:lang w:val="sk-SK"/>
        </w:rPr>
        <w:t>HES/</w:t>
      </w:r>
      <w:smartTag w:uri="urn:schemas-microsoft-com:office:smarttags" w:element="stockticker">
        <w:r w:rsidRPr="00C83045">
          <w:rPr>
            <w:b/>
            <w:color w:val="000000"/>
            <w:sz w:val="22"/>
            <w:szCs w:val="22"/>
            <w:lang w:val="sk-SK"/>
          </w:rPr>
          <w:t>CEL</w:t>
        </w:r>
      </w:smartTag>
      <w:r w:rsidRPr="00C83045">
        <w:rPr>
          <w:b/>
          <w:bCs/>
          <w:color w:val="000000"/>
          <w:sz w:val="22"/>
          <w:szCs w:val="22"/>
          <w:lang w:val="sk-SK"/>
        </w:rPr>
        <w:t>:</w:t>
      </w:r>
    </w:p>
    <w:p w14:paraId="32368D6D" w14:textId="16DFA858" w:rsidR="00F72C2E" w:rsidRPr="00C83045" w:rsidRDefault="00F72C2E" w:rsidP="00D4304B">
      <w:pPr>
        <w:widowControl w:val="0"/>
        <w:tabs>
          <w:tab w:val="left" w:pos="9072"/>
        </w:tabs>
        <w:ind w:firstLine="0"/>
        <w:rPr>
          <w:color w:val="000000"/>
          <w:szCs w:val="22"/>
        </w:rPr>
      </w:pPr>
      <w:r w:rsidRPr="00C83045">
        <w:rPr>
          <w:color w:val="000000"/>
          <w:szCs w:val="22"/>
        </w:rPr>
        <w:t xml:space="preserve">Začiatočná dávka je 100 mg a užíva sa ako </w:t>
      </w:r>
      <w:r w:rsidRPr="00C83045">
        <w:rPr>
          <w:b/>
          <w:color w:val="000000"/>
          <w:szCs w:val="22"/>
        </w:rPr>
        <w:t>raz</w:t>
      </w:r>
      <w:r w:rsidRPr="00C83045">
        <w:rPr>
          <w:color w:val="000000"/>
          <w:szCs w:val="22"/>
        </w:rPr>
        <w:t xml:space="preserve"> denne. Váš lekár môže rozhodnúť o zvýšení dávky na 400 mg</w:t>
      </w:r>
      <w:r w:rsidR="00433002">
        <w:rPr>
          <w:color w:val="000000"/>
          <w:szCs w:val="22"/>
        </w:rPr>
        <w:t xml:space="preserve"> užitej </w:t>
      </w:r>
      <w:r w:rsidRPr="00C83045">
        <w:rPr>
          <w:b/>
          <w:color w:val="000000"/>
          <w:szCs w:val="22"/>
        </w:rPr>
        <w:t>raz</w:t>
      </w:r>
      <w:r w:rsidRPr="00C83045">
        <w:rPr>
          <w:color w:val="000000"/>
          <w:szCs w:val="22"/>
        </w:rPr>
        <w:t xml:space="preserve"> denne, v závislosti od </w:t>
      </w:r>
      <w:r w:rsidR="003A2F14" w:rsidRPr="00C83045">
        <w:rPr>
          <w:color w:val="000000"/>
          <w:szCs w:val="22"/>
        </w:rPr>
        <w:t>v</w:t>
      </w:r>
      <w:r w:rsidRPr="00C83045">
        <w:rPr>
          <w:color w:val="000000"/>
          <w:szCs w:val="22"/>
        </w:rPr>
        <w:t>ašej odpovede na liečbu.</w:t>
      </w:r>
    </w:p>
    <w:p w14:paraId="32368D6E" w14:textId="77777777" w:rsidR="00F72C2E" w:rsidRPr="00C83045" w:rsidRDefault="00F72C2E" w:rsidP="00D4304B">
      <w:pPr>
        <w:widowControl w:val="0"/>
        <w:tabs>
          <w:tab w:val="left" w:pos="9072"/>
        </w:tabs>
        <w:ind w:left="0" w:firstLine="0"/>
        <w:rPr>
          <w:color w:val="000000"/>
          <w:szCs w:val="22"/>
        </w:rPr>
      </w:pPr>
    </w:p>
    <w:p w14:paraId="32368D6F" w14:textId="77777777" w:rsidR="00F72C2E" w:rsidRPr="00C83045" w:rsidRDefault="00F72C2E" w:rsidP="00D4304B">
      <w:pPr>
        <w:pStyle w:val="Text"/>
        <w:keepNext/>
        <w:widowControl w:val="0"/>
        <w:numPr>
          <w:ilvl w:val="1"/>
          <w:numId w:val="18"/>
        </w:numPr>
        <w:tabs>
          <w:tab w:val="clear" w:pos="1440"/>
          <w:tab w:val="num" w:pos="567"/>
        </w:tabs>
        <w:spacing w:before="0"/>
        <w:ind w:left="567" w:hanging="567"/>
        <w:jc w:val="left"/>
        <w:rPr>
          <w:b/>
          <w:color w:val="000000"/>
          <w:sz w:val="22"/>
          <w:szCs w:val="22"/>
          <w:lang w:val="sk-SK"/>
        </w:rPr>
      </w:pPr>
      <w:r w:rsidRPr="00C83045">
        <w:rPr>
          <w:b/>
          <w:bCs/>
          <w:color w:val="000000"/>
          <w:sz w:val="22"/>
          <w:szCs w:val="22"/>
          <w:lang w:val="sk-SK"/>
        </w:rPr>
        <w:t xml:space="preserve">Pri liečbe </w:t>
      </w:r>
      <w:r w:rsidRPr="00C83045">
        <w:rPr>
          <w:b/>
          <w:color w:val="000000"/>
          <w:sz w:val="22"/>
          <w:szCs w:val="22"/>
          <w:lang w:val="sk-SK"/>
        </w:rPr>
        <w:t>DFSP</w:t>
      </w:r>
      <w:r w:rsidRPr="00C83045">
        <w:rPr>
          <w:b/>
          <w:bCs/>
          <w:color w:val="000000"/>
          <w:sz w:val="22"/>
          <w:szCs w:val="22"/>
          <w:lang w:val="sk-SK"/>
        </w:rPr>
        <w:t>:</w:t>
      </w:r>
    </w:p>
    <w:p w14:paraId="32368D70" w14:textId="12489480" w:rsidR="00F72C2E" w:rsidRDefault="00F72C2E" w:rsidP="00D4304B">
      <w:pPr>
        <w:widowControl w:val="0"/>
        <w:tabs>
          <w:tab w:val="left" w:pos="9072"/>
        </w:tabs>
        <w:ind w:firstLine="0"/>
        <w:rPr>
          <w:color w:val="000000"/>
          <w:szCs w:val="22"/>
        </w:rPr>
      </w:pPr>
      <w:r w:rsidRPr="00C83045">
        <w:rPr>
          <w:color w:val="000000"/>
          <w:szCs w:val="22"/>
        </w:rPr>
        <w:t>Dávka je 800 mg denne, ktoré sa užívajú ako 4</w:t>
      </w:r>
      <w:r w:rsidR="007C58B4">
        <w:rPr>
          <w:color w:val="000000"/>
          <w:szCs w:val="22"/>
        </w:rPr>
        <w:t>00</w:t>
      </w:r>
      <w:r w:rsidRPr="00C83045">
        <w:rPr>
          <w:color w:val="000000"/>
          <w:szCs w:val="22"/>
        </w:rPr>
        <w:t> </w:t>
      </w:r>
      <w:r w:rsidR="007C58B4">
        <w:rPr>
          <w:color w:val="000000"/>
          <w:szCs w:val="22"/>
        </w:rPr>
        <w:t xml:space="preserve">mg </w:t>
      </w:r>
      <w:r w:rsidRPr="00C83045">
        <w:rPr>
          <w:color w:val="000000"/>
          <w:szCs w:val="22"/>
        </w:rPr>
        <w:t>ráno a 4</w:t>
      </w:r>
      <w:r w:rsidR="007C58B4">
        <w:rPr>
          <w:color w:val="000000"/>
          <w:szCs w:val="22"/>
        </w:rPr>
        <w:t>00</w:t>
      </w:r>
      <w:r w:rsidRPr="00C83045">
        <w:rPr>
          <w:color w:val="000000"/>
          <w:szCs w:val="22"/>
        </w:rPr>
        <w:t> </w:t>
      </w:r>
      <w:r w:rsidR="007C58B4">
        <w:rPr>
          <w:color w:val="000000"/>
          <w:szCs w:val="22"/>
        </w:rPr>
        <w:t xml:space="preserve">mg </w:t>
      </w:r>
      <w:r w:rsidRPr="00C83045">
        <w:rPr>
          <w:color w:val="000000"/>
          <w:szCs w:val="22"/>
        </w:rPr>
        <w:t>večer.</w:t>
      </w:r>
    </w:p>
    <w:p w14:paraId="216B225F" w14:textId="4765FB16" w:rsidR="007C58B4" w:rsidRDefault="007C58B4" w:rsidP="00D4304B">
      <w:pPr>
        <w:widowControl w:val="0"/>
        <w:tabs>
          <w:tab w:val="left" w:pos="9072"/>
        </w:tabs>
        <w:ind w:firstLine="0"/>
        <w:rPr>
          <w:color w:val="000000"/>
          <w:szCs w:val="22"/>
        </w:rPr>
      </w:pPr>
    </w:p>
    <w:p w14:paraId="2E5E688A" w14:textId="194E4EC1" w:rsidR="007C58B4" w:rsidRPr="00C83045" w:rsidRDefault="007C58B4" w:rsidP="007C58B4">
      <w:pPr>
        <w:widowControl w:val="0"/>
        <w:tabs>
          <w:tab w:val="left" w:pos="9072"/>
        </w:tabs>
        <w:ind w:left="0" w:firstLine="0"/>
        <w:rPr>
          <w:color w:val="000000"/>
          <w:szCs w:val="22"/>
        </w:rPr>
      </w:pPr>
      <w:r>
        <w:rPr>
          <w:color w:val="000000"/>
          <w:szCs w:val="22"/>
        </w:rPr>
        <w:t>Dávka 400 mg sa môže užívať ako jedna tableta 400 mg alebo ako 4 tablety 100 mg.</w:t>
      </w:r>
    </w:p>
    <w:p w14:paraId="054737C1" w14:textId="1EB63AA6" w:rsidR="007C58B4" w:rsidRPr="00C83045" w:rsidRDefault="007C58B4" w:rsidP="007C58B4">
      <w:pPr>
        <w:widowControl w:val="0"/>
        <w:tabs>
          <w:tab w:val="left" w:pos="9072"/>
        </w:tabs>
        <w:ind w:left="0" w:firstLine="0"/>
        <w:rPr>
          <w:color w:val="000000"/>
          <w:szCs w:val="22"/>
        </w:rPr>
      </w:pPr>
      <w:r>
        <w:rPr>
          <w:color w:val="000000"/>
          <w:szCs w:val="22"/>
        </w:rPr>
        <w:t>Dávka 600 mg sa môže užívať ako jedna tableta 400 mg plus 2</w:t>
      </w:r>
      <w:r w:rsidR="004550EF">
        <w:rPr>
          <w:color w:val="000000"/>
          <w:szCs w:val="22"/>
        </w:rPr>
        <w:t> </w:t>
      </w:r>
      <w:r>
        <w:rPr>
          <w:color w:val="000000"/>
          <w:szCs w:val="22"/>
        </w:rPr>
        <w:t>tablety 100 mg.</w:t>
      </w:r>
    </w:p>
    <w:p w14:paraId="511A254E" w14:textId="77777777" w:rsidR="007C58B4" w:rsidRPr="00C83045" w:rsidRDefault="007C58B4" w:rsidP="00D4304B">
      <w:pPr>
        <w:widowControl w:val="0"/>
        <w:tabs>
          <w:tab w:val="left" w:pos="9072"/>
        </w:tabs>
        <w:ind w:left="0" w:firstLine="0"/>
        <w:rPr>
          <w:color w:val="000000"/>
          <w:szCs w:val="22"/>
        </w:rPr>
      </w:pPr>
    </w:p>
    <w:p w14:paraId="32368D72" w14:textId="77777777" w:rsidR="00F72C2E" w:rsidRPr="00C83045" w:rsidRDefault="00F72C2E" w:rsidP="00D4304B">
      <w:pPr>
        <w:keepNext/>
        <w:widowControl w:val="0"/>
        <w:tabs>
          <w:tab w:val="left" w:pos="9072"/>
        </w:tabs>
        <w:ind w:left="0" w:firstLine="0"/>
        <w:rPr>
          <w:b/>
          <w:color w:val="000000"/>
          <w:szCs w:val="22"/>
        </w:rPr>
      </w:pPr>
      <w:r w:rsidRPr="00C83045">
        <w:rPr>
          <w:b/>
          <w:color w:val="000000"/>
          <w:szCs w:val="22"/>
        </w:rPr>
        <w:t>Použitie u detí</w:t>
      </w:r>
      <w:r w:rsidR="003A2F14" w:rsidRPr="00C83045">
        <w:rPr>
          <w:b/>
          <w:color w:val="000000"/>
          <w:szCs w:val="22"/>
        </w:rPr>
        <w:t xml:space="preserve"> a dospievajúcich</w:t>
      </w:r>
    </w:p>
    <w:p w14:paraId="32368D73" w14:textId="77777777" w:rsidR="00F72C2E" w:rsidRPr="00C83045" w:rsidRDefault="00F72C2E" w:rsidP="00D4304B">
      <w:pPr>
        <w:widowControl w:val="0"/>
        <w:tabs>
          <w:tab w:val="left" w:pos="9072"/>
        </w:tabs>
        <w:ind w:left="0" w:firstLine="0"/>
        <w:rPr>
          <w:color w:val="000000"/>
          <w:szCs w:val="22"/>
        </w:rPr>
      </w:pPr>
      <w:r w:rsidRPr="00C83045">
        <w:rPr>
          <w:color w:val="000000"/>
          <w:szCs w:val="22"/>
        </w:rPr>
        <w:t xml:space="preserve">Lekár </w:t>
      </w:r>
      <w:r w:rsidR="003A2F14" w:rsidRPr="00C83045">
        <w:rPr>
          <w:color w:val="000000"/>
          <w:szCs w:val="22"/>
        </w:rPr>
        <w:t>v</w:t>
      </w:r>
      <w:r w:rsidRPr="00C83045">
        <w:rPr>
          <w:color w:val="000000"/>
          <w:szCs w:val="22"/>
        </w:rPr>
        <w:t xml:space="preserve">ám povie, koľko tabliet Glivecu máte podať </w:t>
      </w:r>
      <w:r w:rsidR="003A2F14" w:rsidRPr="00C83045">
        <w:rPr>
          <w:color w:val="000000"/>
          <w:szCs w:val="22"/>
        </w:rPr>
        <w:t>v</w:t>
      </w:r>
      <w:r w:rsidRPr="00C83045">
        <w:rPr>
          <w:color w:val="000000"/>
          <w:szCs w:val="22"/>
        </w:rPr>
        <w:t xml:space="preserve">ášmu dieťaťu. Množstvo podávaného Glivecu závisí od ochorenia </w:t>
      </w:r>
      <w:r w:rsidR="003A2F14" w:rsidRPr="00C83045">
        <w:rPr>
          <w:color w:val="000000"/>
          <w:szCs w:val="22"/>
        </w:rPr>
        <w:t>v</w:t>
      </w:r>
      <w:r w:rsidRPr="00C83045">
        <w:rPr>
          <w:color w:val="000000"/>
          <w:szCs w:val="22"/>
        </w:rPr>
        <w:t>ášho dieťaťa, jeho telesnej hmotnosti a výšky. Celková denná dávka u detí nesmie prekročiť 800 mg</w:t>
      </w:r>
      <w:r w:rsidR="00EE6397" w:rsidRPr="00C83045">
        <w:rPr>
          <w:color w:val="000000"/>
          <w:szCs w:val="22"/>
        </w:rPr>
        <w:t xml:space="preserve"> pri CML a 600 mg pri Ph-pozitívnej ALL</w:t>
      </w:r>
      <w:r w:rsidRPr="00C83045">
        <w:rPr>
          <w:color w:val="000000"/>
          <w:szCs w:val="22"/>
        </w:rPr>
        <w:t xml:space="preserve">. Liek možno podávať </w:t>
      </w:r>
      <w:r w:rsidR="003A2F14" w:rsidRPr="00C83045">
        <w:rPr>
          <w:color w:val="000000"/>
          <w:szCs w:val="22"/>
        </w:rPr>
        <w:t>v</w:t>
      </w:r>
      <w:r w:rsidRPr="00C83045">
        <w:rPr>
          <w:color w:val="000000"/>
          <w:szCs w:val="22"/>
        </w:rPr>
        <w:t>ášmu dieťaťu denne buď v jednej dávke, alebo dennú dávku možno rozdeliť na dve podania (polovica ráno a polovica večer).</w:t>
      </w:r>
    </w:p>
    <w:p w14:paraId="32368D74" w14:textId="77777777" w:rsidR="00F72C2E" w:rsidRPr="00C83045" w:rsidRDefault="00F72C2E" w:rsidP="00D4304B">
      <w:pPr>
        <w:widowControl w:val="0"/>
        <w:tabs>
          <w:tab w:val="left" w:pos="9072"/>
        </w:tabs>
        <w:ind w:left="0" w:firstLine="0"/>
        <w:rPr>
          <w:color w:val="000000"/>
          <w:szCs w:val="22"/>
        </w:rPr>
      </w:pPr>
    </w:p>
    <w:p w14:paraId="32368D75" w14:textId="77777777" w:rsidR="00F72C2E" w:rsidRPr="00C83045" w:rsidRDefault="00F72C2E" w:rsidP="00D4304B">
      <w:pPr>
        <w:keepNext/>
        <w:widowControl w:val="0"/>
        <w:tabs>
          <w:tab w:val="left" w:pos="9072"/>
        </w:tabs>
        <w:ind w:left="0" w:firstLine="0"/>
        <w:rPr>
          <w:b/>
          <w:color w:val="000000"/>
          <w:szCs w:val="22"/>
        </w:rPr>
      </w:pPr>
      <w:r w:rsidRPr="00C83045">
        <w:rPr>
          <w:b/>
          <w:color w:val="000000"/>
          <w:szCs w:val="22"/>
        </w:rPr>
        <w:t>Kedy a ako užívať Glivec</w:t>
      </w:r>
    </w:p>
    <w:p w14:paraId="32368D76" w14:textId="77777777" w:rsidR="00F72C2E" w:rsidRPr="00C83045" w:rsidRDefault="00F72C2E" w:rsidP="00D4304B">
      <w:pPr>
        <w:widowControl w:val="0"/>
        <w:numPr>
          <w:ilvl w:val="0"/>
          <w:numId w:val="26"/>
        </w:numPr>
        <w:tabs>
          <w:tab w:val="left" w:pos="9072"/>
        </w:tabs>
        <w:rPr>
          <w:b/>
          <w:color w:val="000000"/>
          <w:szCs w:val="22"/>
        </w:rPr>
      </w:pPr>
      <w:r w:rsidRPr="00C83045">
        <w:rPr>
          <w:b/>
          <w:color w:val="000000"/>
          <w:szCs w:val="22"/>
        </w:rPr>
        <w:t xml:space="preserve">Glivec užívajte pri jedle. </w:t>
      </w:r>
      <w:r w:rsidRPr="00C83045">
        <w:rPr>
          <w:color w:val="000000"/>
          <w:szCs w:val="22"/>
        </w:rPr>
        <w:t xml:space="preserve">Pomôže </w:t>
      </w:r>
      <w:r w:rsidR="003A2F14" w:rsidRPr="00C83045">
        <w:rPr>
          <w:color w:val="000000"/>
          <w:szCs w:val="22"/>
        </w:rPr>
        <w:t>v</w:t>
      </w:r>
      <w:r w:rsidRPr="00C83045">
        <w:rPr>
          <w:color w:val="000000"/>
          <w:szCs w:val="22"/>
        </w:rPr>
        <w:t>ás to ochrániť pred žalúdočnými ťažkosťami počas užívania Glivecu.</w:t>
      </w:r>
    </w:p>
    <w:p w14:paraId="32368D77" w14:textId="77777777" w:rsidR="00F72C2E" w:rsidRPr="00C83045" w:rsidRDefault="00F72C2E" w:rsidP="00D4304B">
      <w:pPr>
        <w:widowControl w:val="0"/>
        <w:numPr>
          <w:ilvl w:val="0"/>
          <w:numId w:val="26"/>
        </w:numPr>
        <w:tabs>
          <w:tab w:val="left" w:pos="9072"/>
        </w:tabs>
        <w:rPr>
          <w:color w:val="000000"/>
          <w:szCs w:val="22"/>
        </w:rPr>
      </w:pPr>
      <w:r w:rsidRPr="00C83045">
        <w:rPr>
          <w:b/>
          <w:color w:val="000000"/>
          <w:szCs w:val="22"/>
        </w:rPr>
        <w:t>Tablety prehĺtajte celé a zapíjajte ich veľkým pohárom vody.</w:t>
      </w:r>
    </w:p>
    <w:p w14:paraId="32368D78" w14:textId="77777777" w:rsidR="00F72C2E" w:rsidRPr="00C83045" w:rsidRDefault="00F72C2E" w:rsidP="00D4304B">
      <w:pPr>
        <w:widowControl w:val="0"/>
        <w:tabs>
          <w:tab w:val="left" w:pos="9072"/>
        </w:tabs>
        <w:ind w:left="0" w:firstLine="0"/>
        <w:rPr>
          <w:color w:val="000000"/>
          <w:szCs w:val="22"/>
        </w:rPr>
      </w:pPr>
    </w:p>
    <w:p w14:paraId="32368D79" w14:textId="77777777" w:rsidR="00F72C2E" w:rsidRPr="00C83045" w:rsidRDefault="00F72C2E" w:rsidP="00D4304B">
      <w:pPr>
        <w:keepNext/>
        <w:widowControl w:val="0"/>
        <w:tabs>
          <w:tab w:val="left" w:pos="9072"/>
        </w:tabs>
        <w:ind w:left="0" w:firstLine="0"/>
        <w:rPr>
          <w:color w:val="000000"/>
          <w:szCs w:val="22"/>
        </w:rPr>
      </w:pPr>
      <w:r w:rsidRPr="00C83045">
        <w:rPr>
          <w:color w:val="000000"/>
          <w:szCs w:val="22"/>
        </w:rPr>
        <w:t>Ak tablety nemôžete prehĺtať, môžete ich rozpustiť v pohári obyčajnej vody alebo jablkovej šťavy:</w:t>
      </w:r>
    </w:p>
    <w:p w14:paraId="32368D7A" w14:textId="0575BB8F" w:rsidR="00F72C2E" w:rsidRPr="00C83045" w:rsidRDefault="00F72C2E" w:rsidP="00D4304B">
      <w:pPr>
        <w:widowControl w:val="0"/>
        <w:numPr>
          <w:ilvl w:val="0"/>
          <w:numId w:val="5"/>
        </w:numPr>
        <w:tabs>
          <w:tab w:val="left" w:pos="9072"/>
        </w:tabs>
        <w:rPr>
          <w:color w:val="000000"/>
          <w:szCs w:val="22"/>
        </w:rPr>
      </w:pPr>
      <w:r w:rsidRPr="00C83045">
        <w:rPr>
          <w:color w:val="000000"/>
          <w:szCs w:val="22"/>
        </w:rPr>
        <w:t>Použite približne 50 ml na každú 100 mg tabletu</w:t>
      </w:r>
      <w:r w:rsidR="007C58B4">
        <w:rPr>
          <w:color w:val="000000"/>
          <w:szCs w:val="22"/>
        </w:rPr>
        <w:t xml:space="preserve"> alebo 200</w:t>
      </w:r>
      <w:r w:rsidR="0083668F">
        <w:rPr>
          <w:color w:val="000000"/>
          <w:szCs w:val="22"/>
        </w:rPr>
        <w:t> </w:t>
      </w:r>
      <w:r w:rsidR="007C58B4">
        <w:rPr>
          <w:color w:val="000000"/>
          <w:szCs w:val="22"/>
        </w:rPr>
        <w:t>ml na každú 400 mg tabletu</w:t>
      </w:r>
      <w:r w:rsidRPr="00C83045">
        <w:rPr>
          <w:color w:val="000000"/>
          <w:szCs w:val="22"/>
        </w:rPr>
        <w:t>.</w:t>
      </w:r>
    </w:p>
    <w:p w14:paraId="32368D7B" w14:textId="77777777" w:rsidR="00F72C2E" w:rsidRPr="00C83045" w:rsidRDefault="00F72C2E" w:rsidP="00D4304B">
      <w:pPr>
        <w:widowControl w:val="0"/>
        <w:numPr>
          <w:ilvl w:val="0"/>
          <w:numId w:val="5"/>
        </w:numPr>
        <w:tabs>
          <w:tab w:val="left" w:pos="9072"/>
        </w:tabs>
        <w:rPr>
          <w:color w:val="000000"/>
          <w:szCs w:val="22"/>
        </w:rPr>
      </w:pPr>
      <w:r w:rsidRPr="00C83045">
        <w:rPr>
          <w:color w:val="000000"/>
          <w:szCs w:val="22"/>
        </w:rPr>
        <w:t>Miešajte tekutinu lyžičkou až do úplného rozpustenia tabliet.</w:t>
      </w:r>
    </w:p>
    <w:p w14:paraId="32368D7C" w14:textId="77777777" w:rsidR="00F72C2E" w:rsidRPr="00C83045" w:rsidRDefault="00F72C2E" w:rsidP="00D4304B">
      <w:pPr>
        <w:widowControl w:val="0"/>
        <w:numPr>
          <w:ilvl w:val="0"/>
          <w:numId w:val="5"/>
        </w:numPr>
        <w:tabs>
          <w:tab w:val="left" w:pos="9072"/>
        </w:tabs>
        <w:rPr>
          <w:color w:val="000000"/>
          <w:szCs w:val="22"/>
        </w:rPr>
      </w:pPr>
      <w:r w:rsidRPr="00C83045">
        <w:rPr>
          <w:color w:val="000000"/>
          <w:szCs w:val="22"/>
        </w:rPr>
        <w:t>Keď sa tableta rozpustí, ihneď vypite všetko, čo je v pohári. Stopy rozpustených tabliet môžu ostať v pohári.</w:t>
      </w:r>
    </w:p>
    <w:p w14:paraId="32368D7D" w14:textId="77777777" w:rsidR="00F72C2E" w:rsidRPr="00C83045" w:rsidRDefault="00F72C2E" w:rsidP="00D4304B">
      <w:pPr>
        <w:widowControl w:val="0"/>
        <w:tabs>
          <w:tab w:val="left" w:pos="9072"/>
        </w:tabs>
        <w:ind w:left="0" w:firstLine="0"/>
        <w:rPr>
          <w:color w:val="000000"/>
          <w:szCs w:val="22"/>
        </w:rPr>
      </w:pPr>
    </w:p>
    <w:p w14:paraId="32368D7E" w14:textId="77777777" w:rsidR="00F72C2E" w:rsidRPr="00C83045" w:rsidRDefault="00F72C2E" w:rsidP="00D4304B">
      <w:pPr>
        <w:keepNext/>
        <w:widowControl w:val="0"/>
        <w:tabs>
          <w:tab w:val="left" w:pos="9072"/>
        </w:tabs>
        <w:ind w:left="0" w:firstLine="0"/>
        <w:rPr>
          <w:b/>
          <w:color w:val="000000"/>
          <w:szCs w:val="22"/>
        </w:rPr>
      </w:pPr>
      <w:r w:rsidRPr="00C83045">
        <w:rPr>
          <w:b/>
          <w:color w:val="000000"/>
          <w:szCs w:val="22"/>
        </w:rPr>
        <w:t>Ako dlho užívať Glivec</w:t>
      </w:r>
    </w:p>
    <w:p w14:paraId="32368D7F" w14:textId="77777777" w:rsidR="00F72C2E" w:rsidRPr="00C83045" w:rsidRDefault="00F72C2E" w:rsidP="00D4304B">
      <w:pPr>
        <w:widowControl w:val="0"/>
        <w:tabs>
          <w:tab w:val="left" w:pos="9072"/>
        </w:tabs>
        <w:ind w:left="0" w:firstLine="0"/>
        <w:rPr>
          <w:color w:val="000000"/>
          <w:szCs w:val="22"/>
        </w:rPr>
      </w:pPr>
      <w:r w:rsidRPr="00C83045">
        <w:rPr>
          <w:color w:val="000000"/>
          <w:szCs w:val="22"/>
        </w:rPr>
        <w:t xml:space="preserve">Pokračujte v užívaní Glivecu každý deň tak dlho, ako </w:t>
      </w:r>
      <w:r w:rsidR="003A2F14" w:rsidRPr="00C83045">
        <w:rPr>
          <w:color w:val="000000"/>
          <w:szCs w:val="22"/>
        </w:rPr>
        <w:t>v</w:t>
      </w:r>
      <w:r w:rsidRPr="00C83045">
        <w:rPr>
          <w:color w:val="000000"/>
          <w:szCs w:val="22"/>
        </w:rPr>
        <w:t xml:space="preserve">ám to povie </w:t>
      </w:r>
      <w:r w:rsidR="003A2F14" w:rsidRPr="00C83045">
        <w:rPr>
          <w:color w:val="000000"/>
          <w:szCs w:val="22"/>
        </w:rPr>
        <w:t>v</w:t>
      </w:r>
      <w:r w:rsidRPr="00C83045">
        <w:rPr>
          <w:color w:val="000000"/>
          <w:szCs w:val="22"/>
        </w:rPr>
        <w:t>áš lekár.</w:t>
      </w:r>
    </w:p>
    <w:p w14:paraId="32368D80" w14:textId="77777777" w:rsidR="00F72C2E" w:rsidRPr="00C83045" w:rsidRDefault="00F72C2E" w:rsidP="00D4304B">
      <w:pPr>
        <w:widowControl w:val="0"/>
        <w:tabs>
          <w:tab w:val="left" w:pos="9072"/>
        </w:tabs>
        <w:ind w:left="0" w:firstLine="0"/>
        <w:rPr>
          <w:color w:val="000000"/>
          <w:szCs w:val="22"/>
        </w:rPr>
      </w:pPr>
    </w:p>
    <w:p w14:paraId="32368D81" w14:textId="77777777" w:rsidR="00F72C2E" w:rsidRPr="00C83045" w:rsidRDefault="00F72C2E" w:rsidP="00D4304B">
      <w:pPr>
        <w:keepNext/>
        <w:widowControl w:val="0"/>
        <w:tabs>
          <w:tab w:val="left" w:pos="9072"/>
        </w:tabs>
        <w:ind w:left="0" w:firstLine="0"/>
        <w:rPr>
          <w:b/>
          <w:color w:val="000000"/>
          <w:szCs w:val="22"/>
        </w:rPr>
      </w:pPr>
      <w:r w:rsidRPr="00C83045">
        <w:rPr>
          <w:b/>
          <w:color w:val="000000"/>
          <w:szCs w:val="22"/>
        </w:rPr>
        <w:t>Ak užijete viac Glivecu, ako máte</w:t>
      </w:r>
    </w:p>
    <w:p w14:paraId="32368D82" w14:textId="77777777" w:rsidR="00F72C2E" w:rsidRPr="00C83045" w:rsidRDefault="00F72C2E" w:rsidP="00D4304B">
      <w:pPr>
        <w:widowControl w:val="0"/>
        <w:tabs>
          <w:tab w:val="left" w:pos="9072"/>
        </w:tabs>
        <w:ind w:left="0" w:firstLine="0"/>
        <w:rPr>
          <w:color w:val="000000"/>
          <w:szCs w:val="22"/>
        </w:rPr>
      </w:pPr>
      <w:r w:rsidRPr="00C83045">
        <w:rPr>
          <w:color w:val="000000"/>
          <w:szCs w:val="22"/>
        </w:rPr>
        <w:t xml:space="preserve">Ak ste omylom užili príliš veľa tabliet, </w:t>
      </w:r>
      <w:r w:rsidRPr="00C83045">
        <w:rPr>
          <w:b/>
          <w:color w:val="000000"/>
          <w:szCs w:val="22"/>
        </w:rPr>
        <w:t>okamžite</w:t>
      </w:r>
      <w:r w:rsidRPr="00C83045">
        <w:rPr>
          <w:color w:val="000000"/>
          <w:szCs w:val="22"/>
        </w:rPr>
        <w:t xml:space="preserve"> o tom povedzte lekárovi. Možno budete potrebovať lekárske ošetrenie. Vezmite si so sebou balenie lieku.</w:t>
      </w:r>
    </w:p>
    <w:p w14:paraId="32368D83" w14:textId="77777777" w:rsidR="00F72C2E" w:rsidRPr="00C83045" w:rsidRDefault="00F72C2E" w:rsidP="00D4304B">
      <w:pPr>
        <w:widowControl w:val="0"/>
        <w:numPr>
          <w:ilvl w:val="12"/>
          <w:numId w:val="0"/>
        </w:numPr>
        <w:rPr>
          <w:color w:val="000000"/>
          <w:szCs w:val="22"/>
        </w:rPr>
      </w:pPr>
    </w:p>
    <w:p w14:paraId="32368D84" w14:textId="77777777" w:rsidR="00F72C2E" w:rsidRPr="00C83045" w:rsidRDefault="00F72C2E" w:rsidP="00D4304B">
      <w:pPr>
        <w:keepNext/>
        <w:widowControl w:val="0"/>
        <w:numPr>
          <w:ilvl w:val="12"/>
          <w:numId w:val="0"/>
        </w:numPr>
        <w:ind w:right="-2"/>
        <w:outlineLvl w:val="0"/>
        <w:rPr>
          <w:color w:val="000000"/>
          <w:szCs w:val="22"/>
        </w:rPr>
      </w:pPr>
      <w:r w:rsidRPr="00C83045">
        <w:rPr>
          <w:b/>
          <w:color w:val="000000"/>
          <w:szCs w:val="22"/>
        </w:rPr>
        <w:t>Ak zabudnete užiť Glivec</w:t>
      </w:r>
    </w:p>
    <w:p w14:paraId="32368D85" w14:textId="77777777" w:rsidR="00F72C2E" w:rsidRPr="00C83045" w:rsidRDefault="00F72C2E" w:rsidP="00D4304B">
      <w:pPr>
        <w:widowControl w:val="0"/>
        <w:numPr>
          <w:ilvl w:val="0"/>
          <w:numId w:val="20"/>
        </w:numPr>
        <w:rPr>
          <w:color w:val="000000"/>
          <w:szCs w:val="22"/>
        </w:rPr>
      </w:pPr>
      <w:r w:rsidRPr="00C83045">
        <w:rPr>
          <w:color w:val="000000"/>
          <w:szCs w:val="22"/>
        </w:rPr>
        <w:t>Ak zabudnete užiť dávku, užite ju hneď, keď si spomeniete. Ak je ale už takmer čas na ďalšiu dávku, vynechajte dávku, na ktorú ste zabudli.</w:t>
      </w:r>
    </w:p>
    <w:p w14:paraId="32368D86" w14:textId="77777777" w:rsidR="00F72C2E" w:rsidRPr="00C83045" w:rsidRDefault="00F72C2E" w:rsidP="00D4304B">
      <w:pPr>
        <w:widowControl w:val="0"/>
        <w:numPr>
          <w:ilvl w:val="0"/>
          <w:numId w:val="20"/>
        </w:numPr>
        <w:rPr>
          <w:color w:val="000000"/>
          <w:szCs w:val="22"/>
        </w:rPr>
      </w:pPr>
      <w:r w:rsidRPr="00C83045">
        <w:rPr>
          <w:color w:val="000000"/>
          <w:szCs w:val="22"/>
        </w:rPr>
        <w:t>Potom pokračujte vo svojom normálnom rozvrhu užívania.</w:t>
      </w:r>
    </w:p>
    <w:p w14:paraId="32368D87" w14:textId="77777777" w:rsidR="00F72C2E" w:rsidRPr="00C83045" w:rsidRDefault="00F72C2E" w:rsidP="00D4304B">
      <w:pPr>
        <w:widowControl w:val="0"/>
        <w:numPr>
          <w:ilvl w:val="0"/>
          <w:numId w:val="20"/>
        </w:numPr>
        <w:rPr>
          <w:color w:val="000000"/>
          <w:szCs w:val="22"/>
        </w:rPr>
      </w:pPr>
      <w:r w:rsidRPr="00C83045">
        <w:rPr>
          <w:color w:val="000000"/>
          <w:szCs w:val="22"/>
        </w:rPr>
        <w:t>Neužívajte dvojnásobnú dávku, aby ste nahradili vynechanú dávku.</w:t>
      </w:r>
    </w:p>
    <w:p w14:paraId="32368D88" w14:textId="77777777" w:rsidR="00F72C2E" w:rsidRPr="00C83045" w:rsidRDefault="00F72C2E" w:rsidP="00D4304B">
      <w:pPr>
        <w:widowControl w:val="0"/>
        <w:numPr>
          <w:ilvl w:val="12"/>
          <w:numId w:val="0"/>
        </w:numPr>
        <w:rPr>
          <w:color w:val="000000"/>
          <w:szCs w:val="22"/>
        </w:rPr>
      </w:pPr>
    </w:p>
    <w:p w14:paraId="32368D89" w14:textId="77777777" w:rsidR="00FC49D9" w:rsidRPr="00C83045" w:rsidRDefault="00FC49D9" w:rsidP="00D4304B">
      <w:pPr>
        <w:widowControl w:val="0"/>
        <w:numPr>
          <w:ilvl w:val="12"/>
          <w:numId w:val="0"/>
        </w:numPr>
        <w:rPr>
          <w:color w:val="000000"/>
          <w:szCs w:val="22"/>
        </w:rPr>
      </w:pPr>
      <w:r w:rsidRPr="00C83045">
        <w:rPr>
          <w:color w:val="000000"/>
          <w:szCs w:val="22"/>
        </w:rPr>
        <w:t xml:space="preserve">Ak máte </w:t>
      </w:r>
      <w:r w:rsidRPr="00C83045">
        <w:rPr>
          <w:noProof/>
          <w:szCs w:val="22"/>
        </w:rPr>
        <w:t>akékoľvek</w:t>
      </w:r>
      <w:r w:rsidRPr="00C83045">
        <w:rPr>
          <w:color w:val="000000"/>
          <w:szCs w:val="22"/>
        </w:rPr>
        <w:t xml:space="preserve"> </w:t>
      </w:r>
      <w:r w:rsidR="00E61D15" w:rsidRPr="00A72672">
        <w:t>ďalšie</w:t>
      </w:r>
      <w:r w:rsidR="00E61D15" w:rsidRPr="00C83045">
        <w:rPr>
          <w:color w:val="000000"/>
          <w:szCs w:val="22"/>
        </w:rPr>
        <w:t xml:space="preserve"> </w:t>
      </w:r>
      <w:r w:rsidRPr="00C83045">
        <w:rPr>
          <w:color w:val="000000"/>
          <w:szCs w:val="22"/>
        </w:rPr>
        <w:t xml:space="preserve">otázky týkajúce sa použitia tohto lieku, </w:t>
      </w:r>
      <w:r w:rsidRPr="00C83045">
        <w:rPr>
          <w:noProof/>
          <w:color w:val="000000"/>
          <w:szCs w:val="22"/>
        </w:rPr>
        <w:t xml:space="preserve">opýtajte sa </w:t>
      </w:r>
      <w:r w:rsidRPr="00C83045">
        <w:rPr>
          <w:color w:val="000000"/>
          <w:szCs w:val="22"/>
        </w:rPr>
        <w:t xml:space="preserve">svojho lekára, lekárnika alebo </w:t>
      </w:r>
      <w:r w:rsidRPr="00C83045">
        <w:rPr>
          <w:noProof/>
        </w:rPr>
        <w:t>zdravotnej sestry</w:t>
      </w:r>
      <w:r w:rsidRPr="00C83045">
        <w:rPr>
          <w:color w:val="000000"/>
          <w:szCs w:val="22"/>
        </w:rPr>
        <w:t>.</w:t>
      </w:r>
    </w:p>
    <w:p w14:paraId="32368D8A" w14:textId="77777777" w:rsidR="00F72C2E" w:rsidRPr="00C83045" w:rsidRDefault="00F72C2E" w:rsidP="00D4304B">
      <w:pPr>
        <w:widowControl w:val="0"/>
        <w:numPr>
          <w:ilvl w:val="12"/>
          <w:numId w:val="0"/>
        </w:numPr>
        <w:rPr>
          <w:color w:val="000000"/>
          <w:szCs w:val="22"/>
        </w:rPr>
      </w:pPr>
    </w:p>
    <w:p w14:paraId="32368D8B" w14:textId="77777777" w:rsidR="00F72C2E" w:rsidRPr="00C83045" w:rsidRDefault="00F72C2E" w:rsidP="00D4304B">
      <w:pPr>
        <w:widowControl w:val="0"/>
        <w:numPr>
          <w:ilvl w:val="12"/>
          <w:numId w:val="0"/>
        </w:numPr>
        <w:rPr>
          <w:color w:val="000000"/>
          <w:szCs w:val="22"/>
        </w:rPr>
      </w:pPr>
    </w:p>
    <w:p w14:paraId="32368D8C" w14:textId="77777777" w:rsidR="00591A69" w:rsidRPr="00C83045" w:rsidRDefault="00591A69" w:rsidP="00D4304B">
      <w:pPr>
        <w:keepNext/>
        <w:widowControl w:val="0"/>
        <w:ind w:left="600" w:hanging="600"/>
        <w:outlineLvl w:val="0"/>
        <w:rPr>
          <w:b/>
          <w:color w:val="000000"/>
          <w:szCs w:val="22"/>
        </w:rPr>
      </w:pPr>
      <w:r w:rsidRPr="00C83045">
        <w:rPr>
          <w:b/>
          <w:color w:val="000000"/>
          <w:szCs w:val="22"/>
        </w:rPr>
        <w:t>4.</w:t>
      </w:r>
      <w:r w:rsidRPr="00C83045">
        <w:rPr>
          <w:b/>
          <w:color w:val="000000"/>
          <w:szCs w:val="22"/>
        </w:rPr>
        <w:tab/>
      </w:r>
      <w:r w:rsidRPr="00C83045">
        <w:rPr>
          <w:b/>
          <w:noProof/>
        </w:rPr>
        <w:t>Možné vedľajšie účinky</w:t>
      </w:r>
    </w:p>
    <w:p w14:paraId="32368D8D" w14:textId="77777777" w:rsidR="00591A69" w:rsidRPr="00C83045" w:rsidRDefault="00591A69" w:rsidP="00D4304B">
      <w:pPr>
        <w:keepNext/>
        <w:widowControl w:val="0"/>
        <w:ind w:left="0" w:firstLine="0"/>
        <w:outlineLvl w:val="0"/>
        <w:rPr>
          <w:color w:val="000000"/>
          <w:szCs w:val="22"/>
        </w:rPr>
      </w:pPr>
    </w:p>
    <w:p w14:paraId="32368D8E" w14:textId="77777777" w:rsidR="00591A69" w:rsidRPr="00C83045" w:rsidRDefault="00591A69" w:rsidP="00D4304B">
      <w:pPr>
        <w:widowControl w:val="0"/>
        <w:tabs>
          <w:tab w:val="left" w:pos="9072"/>
        </w:tabs>
        <w:ind w:left="0" w:firstLine="0"/>
        <w:rPr>
          <w:color w:val="000000"/>
          <w:szCs w:val="22"/>
        </w:rPr>
      </w:pPr>
      <w:r w:rsidRPr="00C83045">
        <w:rPr>
          <w:color w:val="000000"/>
          <w:szCs w:val="22"/>
        </w:rPr>
        <w:t xml:space="preserve">Tak ako všetky lieky, aj </w:t>
      </w:r>
      <w:r w:rsidRPr="00C83045">
        <w:rPr>
          <w:noProof/>
        </w:rPr>
        <w:t>tento liek</w:t>
      </w:r>
      <w:r w:rsidRPr="00C83045">
        <w:rPr>
          <w:color w:val="000000"/>
          <w:szCs w:val="22"/>
        </w:rPr>
        <w:t xml:space="preserve"> môže spôsobovať vedľajšie účinky, hoci sa neprejavia u každého. Zvyčajne bývajú slabé až stredne silné.</w:t>
      </w:r>
    </w:p>
    <w:p w14:paraId="32368D8F" w14:textId="77777777" w:rsidR="00591A69" w:rsidRPr="00C83045" w:rsidRDefault="00591A69" w:rsidP="00D4304B">
      <w:pPr>
        <w:widowControl w:val="0"/>
        <w:tabs>
          <w:tab w:val="left" w:pos="9072"/>
        </w:tabs>
        <w:ind w:left="0" w:firstLine="0"/>
        <w:rPr>
          <w:color w:val="000000"/>
          <w:szCs w:val="22"/>
        </w:rPr>
      </w:pPr>
    </w:p>
    <w:p w14:paraId="32368D90" w14:textId="77777777" w:rsidR="00591A69" w:rsidRPr="00C83045" w:rsidRDefault="00591A69" w:rsidP="003E286B">
      <w:pPr>
        <w:keepNext/>
        <w:widowControl w:val="0"/>
        <w:tabs>
          <w:tab w:val="left" w:pos="9072"/>
        </w:tabs>
        <w:ind w:left="0" w:firstLine="0"/>
        <w:rPr>
          <w:b/>
          <w:color w:val="000000"/>
          <w:szCs w:val="22"/>
        </w:rPr>
      </w:pPr>
      <w:r w:rsidRPr="00C83045">
        <w:rPr>
          <w:b/>
          <w:color w:val="000000"/>
          <w:szCs w:val="22"/>
        </w:rPr>
        <w:t xml:space="preserve">Niektoré vedľajšie účinky môžu byť závažné. Ak sa u vás vyskytne niektorý z nasledujúcich </w:t>
      </w:r>
      <w:r w:rsidRPr="00C83045">
        <w:rPr>
          <w:b/>
          <w:color w:val="000000"/>
          <w:szCs w:val="22"/>
        </w:rPr>
        <w:lastRenderedPageBreak/>
        <w:t>účinkov, okamžite o tom povedzte svojmu lekárovi:</w:t>
      </w:r>
    </w:p>
    <w:p w14:paraId="32368D91" w14:textId="77777777" w:rsidR="00591A69" w:rsidRPr="00C83045" w:rsidRDefault="00591A69" w:rsidP="003E286B">
      <w:pPr>
        <w:keepNext/>
        <w:widowControl w:val="0"/>
        <w:tabs>
          <w:tab w:val="left" w:pos="9072"/>
        </w:tabs>
        <w:ind w:left="0" w:firstLine="0"/>
        <w:rPr>
          <w:color w:val="000000"/>
          <w:szCs w:val="22"/>
        </w:rPr>
      </w:pPr>
    </w:p>
    <w:p w14:paraId="32368D92" w14:textId="77777777" w:rsidR="00591A69" w:rsidRPr="00C83045" w:rsidRDefault="00591A69" w:rsidP="00D4304B">
      <w:pPr>
        <w:keepNext/>
        <w:widowControl w:val="0"/>
        <w:tabs>
          <w:tab w:val="left" w:pos="9072"/>
        </w:tabs>
        <w:ind w:left="0" w:firstLine="0"/>
        <w:rPr>
          <w:color w:val="000000"/>
          <w:szCs w:val="22"/>
        </w:rPr>
      </w:pPr>
      <w:r w:rsidRPr="00C83045">
        <w:rPr>
          <w:b/>
          <w:color w:val="000000"/>
          <w:szCs w:val="22"/>
        </w:rPr>
        <w:t>Veľmi časté</w:t>
      </w:r>
      <w:r w:rsidRPr="00C83045">
        <w:rPr>
          <w:color w:val="000000"/>
          <w:szCs w:val="22"/>
        </w:rPr>
        <w:t xml:space="preserve"> (</w:t>
      </w:r>
      <w:r w:rsidRPr="00C83045">
        <w:rPr>
          <w:rFonts w:eastAsia="SimSun"/>
          <w:color w:val="000000"/>
          <w:szCs w:val="22"/>
          <w:lang w:eastAsia="zh-CN"/>
        </w:rPr>
        <w:t>môžu postihnúť viac ako 1 z 10 ľudí</w:t>
      </w:r>
      <w:r w:rsidRPr="00C83045">
        <w:rPr>
          <w:color w:val="000000"/>
          <w:szCs w:val="22"/>
        </w:rPr>
        <w:t xml:space="preserve">) </w:t>
      </w:r>
      <w:r w:rsidRPr="00C83045">
        <w:rPr>
          <w:b/>
          <w:color w:val="000000"/>
          <w:szCs w:val="22"/>
        </w:rPr>
        <w:t>alebo časté</w:t>
      </w:r>
      <w:r w:rsidRPr="00C83045">
        <w:rPr>
          <w:color w:val="000000"/>
          <w:szCs w:val="22"/>
        </w:rPr>
        <w:t xml:space="preserve"> (</w:t>
      </w:r>
      <w:r w:rsidRPr="00C83045">
        <w:rPr>
          <w:rFonts w:eastAsia="SimSun"/>
          <w:color w:val="000000"/>
          <w:szCs w:val="22"/>
          <w:lang w:eastAsia="zh-CN"/>
        </w:rPr>
        <w:t>môžu postihnúť až 1 z 10 ľudí):</w:t>
      </w:r>
    </w:p>
    <w:p w14:paraId="32368D93"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Náhle zvýšenie telesnej hmotnosti. Glivec môže spôsobiť, že vaše telo zadržiava vodu (závažné zadržiavanie tekutiny).</w:t>
      </w:r>
    </w:p>
    <w:p w14:paraId="32368D94"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Príznaky infekcie, ako je horúčka, zimnica, bolesť hrdla alebo vredy v ústach. Glivec môže znížiť počet bielych krviniek, takže infekcie môžete dostávať ľahšie.</w:t>
      </w:r>
    </w:p>
    <w:p w14:paraId="32368D95"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Neočakávané krvácanie alebo vznik krvných podliatin (bez toho, aby ste sa zranili).</w:t>
      </w:r>
    </w:p>
    <w:p w14:paraId="32368D96" w14:textId="77777777" w:rsidR="00591A69" w:rsidRPr="00C83045" w:rsidRDefault="00591A69" w:rsidP="00D4304B">
      <w:pPr>
        <w:widowControl w:val="0"/>
        <w:tabs>
          <w:tab w:val="left" w:pos="9072"/>
        </w:tabs>
        <w:ind w:left="0" w:firstLine="0"/>
        <w:rPr>
          <w:color w:val="000000"/>
          <w:szCs w:val="22"/>
        </w:rPr>
      </w:pPr>
    </w:p>
    <w:p w14:paraId="32368D97" w14:textId="77777777" w:rsidR="00591A69" w:rsidRPr="00C83045" w:rsidRDefault="00591A69" w:rsidP="00D4304B">
      <w:pPr>
        <w:keepNext/>
        <w:widowControl w:val="0"/>
        <w:tabs>
          <w:tab w:val="left" w:pos="9072"/>
        </w:tabs>
        <w:ind w:left="0" w:firstLine="0"/>
        <w:rPr>
          <w:color w:val="000000"/>
          <w:szCs w:val="22"/>
        </w:rPr>
      </w:pPr>
      <w:r w:rsidRPr="00C83045">
        <w:rPr>
          <w:b/>
          <w:color w:val="000000"/>
          <w:szCs w:val="22"/>
        </w:rPr>
        <w:t>Menej časté</w:t>
      </w:r>
      <w:r w:rsidRPr="00C83045">
        <w:rPr>
          <w:color w:val="000000"/>
          <w:szCs w:val="22"/>
        </w:rPr>
        <w:t xml:space="preserve"> (</w:t>
      </w:r>
      <w:r w:rsidRPr="00C83045">
        <w:rPr>
          <w:rFonts w:eastAsia="SimSun"/>
          <w:color w:val="000000"/>
          <w:szCs w:val="22"/>
          <w:lang w:eastAsia="zh-CN"/>
        </w:rPr>
        <w:t>môžu postihnúť až 1 zo 100 ľudí)</w:t>
      </w:r>
      <w:r w:rsidRPr="00C83045">
        <w:rPr>
          <w:color w:val="000000"/>
          <w:szCs w:val="22"/>
        </w:rPr>
        <w:t xml:space="preserve"> </w:t>
      </w:r>
      <w:r w:rsidRPr="00C83045">
        <w:rPr>
          <w:b/>
          <w:color w:val="000000"/>
          <w:szCs w:val="22"/>
        </w:rPr>
        <w:t>alebo zriedkavé</w:t>
      </w:r>
      <w:r w:rsidRPr="00C83045">
        <w:rPr>
          <w:color w:val="000000"/>
          <w:szCs w:val="22"/>
        </w:rPr>
        <w:t xml:space="preserve"> (</w:t>
      </w:r>
      <w:r w:rsidRPr="00C83045">
        <w:rPr>
          <w:rFonts w:eastAsia="SimSun"/>
          <w:color w:val="000000"/>
          <w:szCs w:val="22"/>
          <w:lang w:eastAsia="zh-CN"/>
        </w:rPr>
        <w:t>môžu postihnúť až 1 z 1 000 ľudí):</w:t>
      </w:r>
    </w:p>
    <w:p w14:paraId="32368D98"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Bolesť na hrudi, nepravidelný srdcový rytmus (prejavy problémov so srdcom).</w:t>
      </w:r>
    </w:p>
    <w:p w14:paraId="32368D99"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Kašeľ, ťažkosti s dýchaním alebo bolestivé dýchanie (prejavy problémov s pľúcami).</w:t>
      </w:r>
    </w:p>
    <w:p w14:paraId="32368D9A"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Závraty alebo mdloby (prejavy nízkeho tlaku krvi).</w:t>
      </w:r>
    </w:p>
    <w:p w14:paraId="32368D9B"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Nutkanie na vracanie (nauzea) so stratou chuti do jedenia, tmavý moč, zožltnutie kože alebo očí (prejavy problémov s pečeňou).</w:t>
      </w:r>
    </w:p>
    <w:p w14:paraId="32368D9C"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Vyrážky, sčervenenie kože s pľuzgiermi na perách, očiach, koži alebo v ústach, šúpanie kože, horúčka, vypuklé červené alebo purpurové miesta na koži, svrbenie, pocit pálenia, pľuzgierovité vyrážky (prejavy problémov s kožou).</w:t>
      </w:r>
    </w:p>
    <w:p w14:paraId="32368D9D"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Silná bolesť brucha, krv pri vracaní, v stolici alebo v moči, čierna stolica (prejavy problémov s tráviacou sústavou).</w:t>
      </w:r>
    </w:p>
    <w:p w14:paraId="32368D9E"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Závažné zníženie tvorby moču, pocit smädu (prejavy problémov s obličkami).</w:t>
      </w:r>
    </w:p>
    <w:p w14:paraId="32368D9F"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Nutkanie na vracanie s hnačkou a vracaním, bolesť brucha alebo horúčka (prejavy problémov s črevami).</w:t>
      </w:r>
    </w:p>
    <w:p w14:paraId="32368DA0"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Silná bolesť hlavy, slabosť alebo ochrnutie končatín alebo tváre, ťažkosti pri hovorení, náhla strata vedomia (prejavy problémov s nervovou sústavou, napr. krvácania alebo opuchu v lebke/mozgu).</w:t>
      </w:r>
    </w:p>
    <w:p w14:paraId="32368DA1"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Bledosť kože, pocit únavy a dýchavičnosť a tmavý moč (prejavy nízkeho počtu červených krviniek).</w:t>
      </w:r>
    </w:p>
    <w:p w14:paraId="32368DA2"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Bolesť očí alebo zhoršenie zraku, krvácanie v očiach.</w:t>
      </w:r>
    </w:p>
    <w:p w14:paraId="32368DA3"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Bolesť bedrových kĺbov alebo ťažkosti pri chodení.</w:t>
      </w:r>
    </w:p>
    <w:p w14:paraId="32368DA4"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Necitlivé alebo studené prsty na nohách a rukách (prejavy Raynaudovho syndrómu).</w:t>
      </w:r>
    </w:p>
    <w:p w14:paraId="32368DA5"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Náhly opuch a sčervenenie kože (prejavy infekcie kože nazývanej celulitída).</w:t>
      </w:r>
    </w:p>
    <w:p w14:paraId="32368DA6"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Nedoslýchavosť.</w:t>
      </w:r>
    </w:p>
    <w:p w14:paraId="32368DA7"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Svalová slabosť a svalové kŕče s poruchou srdcového rytmu (prejavy zmien množstva draslíka v krvi).</w:t>
      </w:r>
    </w:p>
    <w:p w14:paraId="32368DA8"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Podliatiny.</w:t>
      </w:r>
    </w:p>
    <w:p w14:paraId="32368DA9"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Bolesť žalúdka s nutkaním na vracanie (nauzea).</w:t>
      </w:r>
    </w:p>
    <w:p w14:paraId="32368DAA"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Svalové kŕče s horúčkou, červenohnedý moč, svalová bolesť alebo slabosť (prejav problémov so svalmi).</w:t>
      </w:r>
    </w:p>
    <w:p w14:paraId="32368DAB" w14:textId="77777777" w:rsidR="00591A69" w:rsidRPr="00C83045" w:rsidRDefault="00591A69" w:rsidP="00D4304B">
      <w:pPr>
        <w:widowControl w:val="0"/>
        <w:numPr>
          <w:ilvl w:val="0"/>
          <w:numId w:val="7"/>
        </w:numPr>
        <w:tabs>
          <w:tab w:val="left" w:pos="9072"/>
        </w:tabs>
        <w:rPr>
          <w:color w:val="000000"/>
          <w:szCs w:val="22"/>
        </w:rPr>
      </w:pPr>
      <w:r w:rsidRPr="00C83045">
        <w:rPr>
          <w:color w:val="000000"/>
          <w:szCs w:val="22"/>
        </w:rPr>
        <w:t>Bolesť v panve, niekedy s nutkaním na vracanie a vracaním, s neočakávaným krvácaním z pošvy, závraty alebo mdloby následkom nízkeho krvného tlaku (prejavy problémov s vaječníkmi alebo maternicou).</w:t>
      </w:r>
    </w:p>
    <w:p w14:paraId="32368DAC" w14:textId="77777777" w:rsidR="003D616C" w:rsidRDefault="00591A69" w:rsidP="00D4304B">
      <w:pPr>
        <w:widowControl w:val="0"/>
        <w:numPr>
          <w:ilvl w:val="0"/>
          <w:numId w:val="7"/>
        </w:numPr>
        <w:tabs>
          <w:tab w:val="left" w:pos="9072"/>
        </w:tabs>
        <w:rPr>
          <w:color w:val="000000"/>
          <w:szCs w:val="22"/>
        </w:rPr>
      </w:pPr>
      <w:r w:rsidRPr="00C83045">
        <w:rPr>
          <w:color w:val="000000"/>
          <w:szCs w:val="22"/>
        </w:rPr>
        <w:t>Nutkanie na vracanie, dýchavičnosť, nepravidelný tep srdca, zakalený moč, únava a/alebo nepríjemné pocity v kĺboch spojené s abnormálnymi výsledkami laboratórnych testov (napr. vysoká hladina draslíka, kyseliny močovej a </w:t>
      </w:r>
      <w:r w:rsidR="00476E55" w:rsidRPr="00C83045">
        <w:rPr>
          <w:color w:val="000000"/>
          <w:szCs w:val="22"/>
        </w:rPr>
        <w:t>vápnika</w:t>
      </w:r>
      <w:r w:rsidRPr="00C83045">
        <w:rPr>
          <w:color w:val="000000"/>
          <w:szCs w:val="22"/>
        </w:rPr>
        <w:t xml:space="preserve"> a nízka hladina </w:t>
      </w:r>
      <w:r w:rsidR="00476E55" w:rsidRPr="00C83045">
        <w:rPr>
          <w:color w:val="000000"/>
          <w:szCs w:val="22"/>
        </w:rPr>
        <w:t xml:space="preserve">fosforu </w:t>
      </w:r>
      <w:r w:rsidRPr="00C83045">
        <w:rPr>
          <w:color w:val="000000"/>
          <w:szCs w:val="22"/>
        </w:rPr>
        <w:t>v krvi).</w:t>
      </w:r>
      <w:r w:rsidR="003D616C" w:rsidRPr="003D616C">
        <w:rPr>
          <w:color w:val="000000"/>
          <w:szCs w:val="22"/>
        </w:rPr>
        <w:t xml:space="preserve"> </w:t>
      </w:r>
    </w:p>
    <w:p w14:paraId="32368DAD" w14:textId="77777777" w:rsidR="003D616C" w:rsidRPr="003D616C" w:rsidRDefault="003D616C" w:rsidP="00D4304B">
      <w:pPr>
        <w:widowControl w:val="0"/>
        <w:numPr>
          <w:ilvl w:val="0"/>
          <w:numId w:val="7"/>
        </w:numPr>
        <w:tabs>
          <w:tab w:val="left" w:pos="9072"/>
        </w:tabs>
        <w:rPr>
          <w:color w:val="000000"/>
          <w:szCs w:val="22"/>
        </w:rPr>
      </w:pPr>
      <w:r>
        <w:rPr>
          <w:color w:val="000000"/>
          <w:szCs w:val="22"/>
        </w:rPr>
        <w:t>Krvné zrazeniny v malých krvných cievach (trombotická mikroangiopatia).</w:t>
      </w:r>
    </w:p>
    <w:p w14:paraId="32368DAE" w14:textId="77777777" w:rsidR="004532C2" w:rsidRPr="00C83045" w:rsidRDefault="004532C2" w:rsidP="00D4304B">
      <w:pPr>
        <w:pStyle w:val="Text"/>
        <w:widowControl w:val="0"/>
        <w:spacing w:before="0"/>
        <w:jc w:val="left"/>
        <w:rPr>
          <w:color w:val="000000"/>
          <w:sz w:val="22"/>
          <w:szCs w:val="22"/>
          <w:lang w:val="sk-SK"/>
        </w:rPr>
      </w:pPr>
    </w:p>
    <w:p w14:paraId="32368DAF" w14:textId="77777777" w:rsidR="004532C2" w:rsidRPr="000F36E0" w:rsidRDefault="004532C2" w:rsidP="00D4304B">
      <w:pPr>
        <w:pStyle w:val="Text"/>
        <w:keepNext/>
        <w:widowControl w:val="0"/>
        <w:spacing w:before="0"/>
        <w:jc w:val="left"/>
        <w:rPr>
          <w:color w:val="000000"/>
          <w:sz w:val="22"/>
          <w:szCs w:val="22"/>
          <w:lang w:val="sk-SK"/>
        </w:rPr>
      </w:pPr>
      <w:r w:rsidRPr="000F36E0">
        <w:rPr>
          <w:b/>
          <w:color w:val="000000"/>
          <w:sz w:val="22"/>
          <w:szCs w:val="22"/>
          <w:lang w:val="sk-SK"/>
        </w:rPr>
        <w:t>Neznáme</w:t>
      </w:r>
      <w:r w:rsidR="00476E55" w:rsidRPr="000F36E0">
        <w:rPr>
          <w:b/>
          <w:color w:val="000000"/>
          <w:sz w:val="22"/>
          <w:szCs w:val="22"/>
          <w:lang w:val="sk-SK"/>
        </w:rPr>
        <w:t xml:space="preserve"> </w:t>
      </w:r>
      <w:r w:rsidR="00476E55" w:rsidRPr="000F36E0">
        <w:rPr>
          <w:color w:val="000000"/>
          <w:sz w:val="22"/>
          <w:szCs w:val="22"/>
          <w:lang w:val="sk-SK"/>
        </w:rPr>
        <w:t>(</w:t>
      </w:r>
      <w:r w:rsidR="00476E55" w:rsidRPr="000F36E0">
        <w:rPr>
          <w:rFonts w:eastAsia="SimSun"/>
          <w:color w:val="000000"/>
          <w:sz w:val="22"/>
          <w:szCs w:val="22"/>
          <w:lang w:val="sk-SK" w:eastAsia="zh-CN"/>
        </w:rPr>
        <w:t>z dostupných údajov sa častosť nedá odhadnúť):</w:t>
      </w:r>
    </w:p>
    <w:p w14:paraId="32368DB0" w14:textId="77777777" w:rsidR="004532C2" w:rsidRDefault="004532C2" w:rsidP="00D4304B">
      <w:pPr>
        <w:pStyle w:val="Text"/>
        <w:widowControl w:val="0"/>
        <w:numPr>
          <w:ilvl w:val="0"/>
          <w:numId w:val="30"/>
        </w:numPr>
        <w:tabs>
          <w:tab w:val="clear" w:pos="357"/>
        </w:tabs>
        <w:spacing w:before="0"/>
        <w:ind w:left="567" w:hanging="567"/>
        <w:jc w:val="left"/>
        <w:rPr>
          <w:sz w:val="22"/>
          <w:szCs w:val="22"/>
        </w:rPr>
      </w:pPr>
      <w:r w:rsidRPr="000F36E0">
        <w:rPr>
          <w:sz w:val="22"/>
          <w:szCs w:val="22"/>
          <w:lang w:val="sk-SK"/>
        </w:rPr>
        <w:t xml:space="preserve">Rozsiahly a vážny výsev,  pocit nevoľnosti, horúčka, vysoká hladina určitého typu bielych krviniek alebo zožltnutie kože a očných bielok (príznaky žltačky) spojený s s dýchavičnosťou, bolesťou/ťaživým pocitom na hrudi, výrazný pokles tvroby moču a pocit smädu atď. </w:t>
      </w:r>
      <w:r w:rsidRPr="00C83045">
        <w:rPr>
          <w:sz w:val="22"/>
          <w:szCs w:val="22"/>
        </w:rPr>
        <w:t>(príznaky alergickej reakce spojenej s liečbou).</w:t>
      </w:r>
    </w:p>
    <w:p w14:paraId="32368DB1" w14:textId="77777777" w:rsidR="006523DA" w:rsidRPr="00451AC2" w:rsidRDefault="00EB72C1" w:rsidP="00D4304B">
      <w:pPr>
        <w:widowControl w:val="0"/>
        <w:numPr>
          <w:ilvl w:val="0"/>
          <w:numId w:val="25"/>
        </w:numPr>
        <w:tabs>
          <w:tab w:val="left" w:pos="9072"/>
        </w:tabs>
        <w:rPr>
          <w:color w:val="000000"/>
          <w:szCs w:val="22"/>
        </w:rPr>
      </w:pPr>
      <w:r>
        <w:rPr>
          <w:szCs w:val="22"/>
        </w:rPr>
        <w:t>Chronické zlyhávanie obličiek.</w:t>
      </w:r>
    </w:p>
    <w:p w14:paraId="32368DB2" w14:textId="77777777" w:rsidR="00EB72C1" w:rsidRPr="006523DA" w:rsidRDefault="006523DA" w:rsidP="00D4304B">
      <w:pPr>
        <w:pStyle w:val="Text"/>
        <w:widowControl w:val="0"/>
        <w:numPr>
          <w:ilvl w:val="0"/>
          <w:numId w:val="30"/>
        </w:numPr>
        <w:tabs>
          <w:tab w:val="clear" w:pos="357"/>
        </w:tabs>
        <w:spacing w:before="0"/>
        <w:ind w:left="567" w:hanging="567"/>
        <w:jc w:val="left"/>
        <w:rPr>
          <w:sz w:val="22"/>
          <w:szCs w:val="22"/>
          <w:lang w:val="sk-SK"/>
        </w:rPr>
      </w:pPr>
      <w:r w:rsidRPr="00451AC2">
        <w:rPr>
          <w:color w:val="000000"/>
          <w:sz w:val="22"/>
          <w:szCs w:val="22"/>
          <w:lang w:val="sk-SK"/>
        </w:rPr>
        <w:t>Rekurencia (opätovný výskyt, reaktivácia - opätovná aktivácia) infekcie zapríčinenej vírusom hepatitídy</w:t>
      </w:r>
      <w:r w:rsidR="00F1077D">
        <w:rPr>
          <w:color w:val="000000"/>
          <w:sz w:val="22"/>
          <w:szCs w:val="22"/>
          <w:lang w:val="sk-SK"/>
        </w:rPr>
        <w:t> </w:t>
      </w:r>
      <w:r w:rsidRPr="00451AC2">
        <w:rPr>
          <w:color w:val="000000"/>
          <w:sz w:val="22"/>
          <w:szCs w:val="22"/>
          <w:lang w:val="sk-SK"/>
        </w:rPr>
        <w:t>B, keď ste mali hepatitídu</w:t>
      </w:r>
      <w:r w:rsidR="00F1077D">
        <w:rPr>
          <w:color w:val="000000"/>
          <w:sz w:val="22"/>
          <w:szCs w:val="22"/>
          <w:lang w:val="sk-SK"/>
        </w:rPr>
        <w:t> </w:t>
      </w:r>
      <w:r w:rsidRPr="00451AC2">
        <w:rPr>
          <w:color w:val="000000"/>
          <w:sz w:val="22"/>
          <w:szCs w:val="22"/>
          <w:lang w:val="sk-SK"/>
        </w:rPr>
        <w:t>B v minulosti (infekciu pečene).</w:t>
      </w:r>
    </w:p>
    <w:p w14:paraId="32368DB3" w14:textId="77777777" w:rsidR="004532C2" w:rsidRPr="006523DA" w:rsidRDefault="004532C2" w:rsidP="00D4304B">
      <w:pPr>
        <w:pStyle w:val="Text"/>
        <w:widowControl w:val="0"/>
        <w:spacing w:before="0"/>
        <w:jc w:val="left"/>
        <w:rPr>
          <w:color w:val="000000"/>
          <w:sz w:val="22"/>
          <w:szCs w:val="22"/>
          <w:lang w:val="sk-SK"/>
        </w:rPr>
      </w:pPr>
    </w:p>
    <w:p w14:paraId="32368DB4" w14:textId="77777777" w:rsidR="00591A69" w:rsidRPr="00C83045" w:rsidRDefault="00591A69" w:rsidP="00D4304B">
      <w:pPr>
        <w:widowControl w:val="0"/>
        <w:tabs>
          <w:tab w:val="left" w:pos="9072"/>
        </w:tabs>
        <w:rPr>
          <w:color w:val="000000"/>
          <w:szCs w:val="22"/>
        </w:rPr>
      </w:pPr>
      <w:r w:rsidRPr="00C83045">
        <w:rPr>
          <w:color w:val="000000"/>
          <w:szCs w:val="22"/>
        </w:rPr>
        <w:t xml:space="preserve">Ak sa u vás vyskytne niektorý z týchto účinkov, </w:t>
      </w:r>
      <w:r w:rsidRPr="00C83045">
        <w:rPr>
          <w:b/>
          <w:color w:val="000000"/>
          <w:szCs w:val="22"/>
        </w:rPr>
        <w:t>ihneď o tom povedzte svojmu lekárovi.</w:t>
      </w:r>
    </w:p>
    <w:p w14:paraId="32368DB5" w14:textId="77777777" w:rsidR="00591A69" w:rsidRPr="00C83045" w:rsidRDefault="00591A69" w:rsidP="00D4304B">
      <w:pPr>
        <w:widowControl w:val="0"/>
        <w:tabs>
          <w:tab w:val="left" w:pos="9072"/>
        </w:tabs>
        <w:rPr>
          <w:color w:val="000000"/>
          <w:szCs w:val="22"/>
        </w:rPr>
      </w:pPr>
    </w:p>
    <w:p w14:paraId="32368DB6" w14:textId="77777777" w:rsidR="00591A69" w:rsidRPr="00C83045" w:rsidRDefault="00591A69" w:rsidP="00D4304B">
      <w:pPr>
        <w:keepNext/>
        <w:widowControl w:val="0"/>
        <w:tabs>
          <w:tab w:val="left" w:pos="9072"/>
        </w:tabs>
        <w:rPr>
          <w:b/>
          <w:color w:val="000000"/>
          <w:szCs w:val="22"/>
        </w:rPr>
      </w:pPr>
      <w:r w:rsidRPr="00C83045">
        <w:rPr>
          <w:b/>
          <w:color w:val="000000"/>
          <w:szCs w:val="22"/>
        </w:rPr>
        <w:t>K ďalším vedľajším účinkom môžu patriť:</w:t>
      </w:r>
    </w:p>
    <w:p w14:paraId="32368DB7" w14:textId="77777777" w:rsidR="00591A69" w:rsidRPr="00C83045" w:rsidRDefault="00591A69" w:rsidP="00D4304B">
      <w:pPr>
        <w:keepNext/>
        <w:widowControl w:val="0"/>
        <w:tabs>
          <w:tab w:val="left" w:pos="9072"/>
        </w:tabs>
        <w:rPr>
          <w:i/>
          <w:color w:val="000000"/>
          <w:szCs w:val="22"/>
        </w:rPr>
      </w:pPr>
    </w:p>
    <w:p w14:paraId="32368DB8" w14:textId="77777777" w:rsidR="00591A69" w:rsidRPr="00C83045" w:rsidRDefault="00591A69" w:rsidP="00D4304B">
      <w:pPr>
        <w:keepNext/>
        <w:widowControl w:val="0"/>
        <w:tabs>
          <w:tab w:val="left" w:pos="9072"/>
        </w:tabs>
        <w:rPr>
          <w:color w:val="000000"/>
          <w:szCs w:val="22"/>
        </w:rPr>
      </w:pPr>
      <w:r w:rsidRPr="00C83045">
        <w:rPr>
          <w:b/>
          <w:color w:val="000000"/>
          <w:szCs w:val="22"/>
        </w:rPr>
        <w:t>Veľmi časté</w:t>
      </w:r>
      <w:r w:rsidRPr="00C83045">
        <w:rPr>
          <w:color w:val="000000"/>
          <w:szCs w:val="22"/>
        </w:rPr>
        <w:t xml:space="preserve"> (</w:t>
      </w:r>
      <w:r w:rsidRPr="00C83045">
        <w:rPr>
          <w:rFonts w:eastAsia="SimSun"/>
          <w:color w:val="000000"/>
          <w:szCs w:val="22"/>
          <w:lang w:eastAsia="zh-CN"/>
        </w:rPr>
        <w:t>môžu postihnúť viac ako 1 z 10 ľudí</w:t>
      </w:r>
      <w:r w:rsidRPr="00C83045">
        <w:rPr>
          <w:color w:val="000000"/>
          <w:szCs w:val="22"/>
        </w:rPr>
        <w:t>):</w:t>
      </w:r>
    </w:p>
    <w:p w14:paraId="32368DB9" w14:textId="77777777" w:rsidR="00591A69" w:rsidRPr="00C83045" w:rsidRDefault="00591A69" w:rsidP="00D4304B">
      <w:pPr>
        <w:widowControl w:val="0"/>
        <w:numPr>
          <w:ilvl w:val="0"/>
          <w:numId w:val="23"/>
        </w:numPr>
        <w:tabs>
          <w:tab w:val="left" w:pos="5160"/>
          <w:tab w:val="left" w:pos="9072"/>
        </w:tabs>
        <w:rPr>
          <w:color w:val="000000"/>
          <w:szCs w:val="22"/>
        </w:rPr>
      </w:pPr>
      <w:r w:rsidRPr="00C83045">
        <w:rPr>
          <w:color w:val="000000"/>
          <w:szCs w:val="22"/>
        </w:rPr>
        <w:t>Bolesť hlavy alebo pocit únavy.</w:t>
      </w:r>
    </w:p>
    <w:p w14:paraId="32368DBA" w14:textId="77777777" w:rsidR="00591A69" w:rsidRPr="00C83045" w:rsidRDefault="00591A69" w:rsidP="00D4304B">
      <w:pPr>
        <w:widowControl w:val="0"/>
        <w:numPr>
          <w:ilvl w:val="0"/>
          <w:numId w:val="23"/>
        </w:numPr>
        <w:tabs>
          <w:tab w:val="left" w:pos="5160"/>
          <w:tab w:val="left" w:pos="9072"/>
        </w:tabs>
        <w:rPr>
          <w:color w:val="000000"/>
          <w:szCs w:val="22"/>
        </w:rPr>
      </w:pPr>
      <w:r w:rsidRPr="00C83045">
        <w:rPr>
          <w:color w:val="000000"/>
          <w:szCs w:val="22"/>
        </w:rPr>
        <w:t>Nutkanie na vracanie (nauzea), vracanie, hnačka alebo tráviace ťažkosti.</w:t>
      </w:r>
    </w:p>
    <w:p w14:paraId="32368DBB" w14:textId="77777777" w:rsidR="00591A69" w:rsidRPr="00C83045" w:rsidRDefault="00591A69" w:rsidP="00D4304B">
      <w:pPr>
        <w:widowControl w:val="0"/>
        <w:numPr>
          <w:ilvl w:val="0"/>
          <w:numId w:val="23"/>
        </w:numPr>
        <w:tabs>
          <w:tab w:val="left" w:pos="5160"/>
          <w:tab w:val="left" w:pos="9072"/>
        </w:tabs>
        <w:rPr>
          <w:color w:val="000000"/>
          <w:szCs w:val="22"/>
        </w:rPr>
      </w:pPr>
      <w:r w:rsidRPr="00C83045">
        <w:rPr>
          <w:color w:val="000000"/>
          <w:szCs w:val="22"/>
        </w:rPr>
        <w:t>Kožné vyrážky.</w:t>
      </w:r>
    </w:p>
    <w:p w14:paraId="32368DBC" w14:textId="77777777" w:rsidR="00591A69" w:rsidRPr="003219F2" w:rsidRDefault="00591A69" w:rsidP="00D4304B">
      <w:pPr>
        <w:widowControl w:val="0"/>
        <w:numPr>
          <w:ilvl w:val="0"/>
          <w:numId w:val="23"/>
        </w:numPr>
        <w:tabs>
          <w:tab w:val="left" w:pos="5160"/>
          <w:tab w:val="left" w:pos="9072"/>
        </w:tabs>
        <w:rPr>
          <w:color w:val="000000"/>
          <w:szCs w:val="22"/>
        </w:rPr>
      </w:pPr>
      <w:r w:rsidRPr="005B1E87">
        <w:rPr>
          <w:color w:val="000000"/>
          <w:szCs w:val="22"/>
        </w:rPr>
        <w:t>Svalové kŕče alebo bolesť kĺbov, svalov alebo kostí</w:t>
      </w:r>
      <w:r w:rsidR="005B1E87" w:rsidRPr="005B1E87">
        <w:rPr>
          <w:color w:val="000000"/>
          <w:szCs w:val="22"/>
        </w:rPr>
        <w:t xml:space="preserve"> počas liečby </w:t>
      </w:r>
      <w:r w:rsidR="005B1E87" w:rsidRPr="00AB37AD">
        <w:rPr>
          <w:color w:val="000000"/>
          <w:szCs w:val="22"/>
        </w:rPr>
        <w:t xml:space="preserve">Glivecom alebo po </w:t>
      </w:r>
      <w:r w:rsidR="005B1E87" w:rsidRPr="00AA24F2">
        <w:rPr>
          <w:color w:val="000000"/>
          <w:szCs w:val="22"/>
        </w:rPr>
        <w:t>ukončení užívania Glivecu</w:t>
      </w:r>
      <w:r w:rsidRPr="003219F2">
        <w:rPr>
          <w:color w:val="000000"/>
          <w:szCs w:val="22"/>
        </w:rPr>
        <w:t>.</w:t>
      </w:r>
    </w:p>
    <w:p w14:paraId="32368DBD" w14:textId="77777777" w:rsidR="00591A69" w:rsidRPr="00C83045" w:rsidRDefault="00591A69" w:rsidP="00D4304B">
      <w:pPr>
        <w:widowControl w:val="0"/>
        <w:numPr>
          <w:ilvl w:val="0"/>
          <w:numId w:val="23"/>
        </w:numPr>
        <w:tabs>
          <w:tab w:val="left" w:pos="5160"/>
          <w:tab w:val="left" w:pos="9072"/>
        </w:tabs>
        <w:rPr>
          <w:color w:val="000000"/>
          <w:szCs w:val="22"/>
        </w:rPr>
      </w:pPr>
      <w:r w:rsidRPr="00C83045">
        <w:rPr>
          <w:color w:val="000000"/>
          <w:szCs w:val="22"/>
        </w:rPr>
        <w:t>Opuchy, napr. okolo členkov, alebo opuchnuté oči.</w:t>
      </w:r>
    </w:p>
    <w:p w14:paraId="32368DBE" w14:textId="77777777" w:rsidR="00591A69" w:rsidRPr="00C83045" w:rsidRDefault="00591A69" w:rsidP="00D4304B">
      <w:pPr>
        <w:widowControl w:val="0"/>
        <w:numPr>
          <w:ilvl w:val="0"/>
          <w:numId w:val="23"/>
        </w:numPr>
        <w:tabs>
          <w:tab w:val="left" w:pos="5160"/>
          <w:tab w:val="left" w:pos="9072"/>
        </w:tabs>
        <w:rPr>
          <w:color w:val="000000"/>
          <w:szCs w:val="22"/>
        </w:rPr>
      </w:pPr>
      <w:r w:rsidRPr="00C83045">
        <w:rPr>
          <w:color w:val="000000"/>
          <w:szCs w:val="22"/>
        </w:rPr>
        <w:t>Zvýšenie telesnej hmotnosti.</w:t>
      </w:r>
    </w:p>
    <w:p w14:paraId="32368DBF" w14:textId="77777777" w:rsidR="00591A69" w:rsidRPr="00C83045" w:rsidRDefault="00591A69" w:rsidP="00D4304B">
      <w:pPr>
        <w:widowControl w:val="0"/>
        <w:tabs>
          <w:tab w:val="left" w:pos="9072"/>
        </w:tabs>
        <w:ind w:left="0" w:firstLine="0"/>
        <w:rPr>
          <w:b/>
          <w:color w:val="000000"/>
          <w:szCs w:val="22"/>
        </w:rPr>
      </w:pPr>
      <w:r w:rsidRPr="00C83045">
        <w:rPr>
          <w:color w:val="000000"/>
          <w:szCs w:val="22"/>
        </w:rPr>
        <w:t xml:space="preserve">Ak vám niektorý z týchto účinkov spôsobuje závažné ťažkosti, </w:t>
      </w:r>
      <w:r w:rsidRPr="00C83045">
        <w:rPr>
          <w:b/>
          <w:color w:val="000000"/>
          <w:szCs w:val="22"/>
        </w:rPr>
        <w:t>povedzte o tom svojmu lekárovi.</w:t>
      </w:r>
    </w:p>
    <w:p w14:paraId="32368DC0" w14:textId="77777777" w:rsidR="00591A69" w:rsidRPr="00C83045" w:rsidRDefault="00591A69" w:rsidP="00D4304B">
      <w:pPr>
        <w:widowControl w:val="0"/>
        <w:tabs>
          <w:tab w:val="left" w:pos="9072"/>
        </w:tabs>
        <w:ind w:left="0" w:firstLine="0"/>
        <w:rPr>
          <w:color w:val="000000"/>
          <w:szCs w:val="22"/>
        </w:rPr>
      </w:pPr>
    </w:p>
    <w:p w14:paraId="32368DC1" w14:textId="77777777" w:rsidR="00591A69" w:rsidRPr="00C83045" w:rsidRDefault="00591A69" w:rsidP="00D4304B">
      <w:pPr>
        <w:keepNext/>
        <w:widowControl w:val="0"/>
        <w:tabs>
          <w:tab w:val="left" w:pos="9072"/>
        </w:tabs>
        <w:ind w:left="0" w:firstLine="0"/>
        <w:rPr>
          <w:color w:val="000000"/>
          <w:szCs w:val="22"/>
        </w:rPr>
      </w:pPr>
      <w:r w:rsidRPr="00C83045">
        <w:rPr>
          <w:b/>
          <w:color w:val="000000"/>
          <w:szCs w:val="22"/>
        </w:rPr>
        <w:t>Časté</w:t>
      </w:r>
      <w:r w:rsidRPr="00C83045">
        <w:rPr>
          <w:color w:val="000000"/>
          <w:szCs w:val="22"/>
        </w:rPr>
        <w:t xml:space="preserve"> (</w:t>
      </w:r>
      <w:r w:rsidRPr="00C83045">
        <w:rPr>
          <w:rFonts w:eastAsia="SimSun"/>
          <w:color w:val="000000"/>
          <w:szCs w:val="22"/>
          <w:lang w:eastAsia="zh-CN"/>
        </w:rPr>
        <w:t>môžu postihnúť až 1 z 10 ľudí):</w:t>
      </w:r>
    </w:p>
    <w:p w14:paraId="32368DC2"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Strata chuti do jedenia, zníženie telesnej hmotnosti alebo porucha vnímania chuti.</w:t>
      </w:r>
    </w:p>
    <w:p w14:paraId="32368DC3"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Závraty alebo pocit slabosti.</w:t>
      </w:r>
    </w:p>
    <w:p w14:paraId="32368DC4"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Nespavosť.</w:t>
      </w:r>
    </w:p>
    <w:p w14:paraId="32368DC5"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Výtok z oka so svrbením, sčervenením a opuchom (zápal očných spojoviek), slzenie alebo neostré videnie.</w:t>
      </w:r>
    </w:p>
    <w:p w14:paraId="32368DC6"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Krvácanie z nosa.</w:t>
      </w:r>
    </w:p>
    <w:p w14:paraId="32368DC7"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Bolesť alebo nadúvanie brucha, plynatosť, pálenie záhy alebo zápcha.</w:t>
      </w:r>
    </w:p>
    <w:p w14:paraId="32368DC8"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Svrbenie.</w:t>
      </w:r>
    </w:p>
    <w:p w14:paraId="32368DC9"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Neobvyklé vypadávanie alebo rednutie vlasov.</w:t>
      </w:r>
    </w:p>
    <w:p w14:paraId="32368DCA"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Znížená citlivosť na rukách alebo nohách.</w:t>
      </w:r>
    </w:p>
    <w:p w14:paraId="32368DCB"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Vredy v ústach.</w:t>
      </w:r>
    </w:p>
    <w:p w14:paraId="32368DCC"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Bolesť a opuch kĺbov.</w:t>
      </w:r>
    </w:p>
    <w:p w14:paraId="32368DCD"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Suchosť v ústach, suchosť kože alebo suchosť očí.</w:t>
      </w:r>
    </w:p>
    <w:p w14:paraId="32368DCE"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Znížená alebo zvýšená citlivosť kože.</w:t>
      </w:r>
    </w:p>
    <w:p w14:paraId="32368DCF" w14:textId="77777777" w:rsidR="00591A69" w:rsidRPr="00C83045" w:rsidRDefault="00591A69" w:rsidP="00D4304B">
      <w:pPr>
        <w:widowControl w:val="0"/>
        <w:numPr>
          <w:ilvl w:val="0"/>
          <w:numId w:val="24"/>
        </w:numPr>
        <w:tabs>
          <w:tab w:val="left" w:pos="9072"/>
        </w:tabs>
        <w:rPr>
          <w:color w:val="000000"/>
          <w:szCs w:val="22"/>
        </w:rPr>
      </w:pPr>
      <w:r w:rsidRPr="00C83045">
        <w:rPr>
          <w:color w:val="000000"/>
          <w:szCs w:val="22"/>
        </w:rPr>
        <w:t>Návaly tepla, zimnica alebo nočné potenie.</w:t>
      </w:r>
    </w:p>
    <w:p w14:paraId="32368DD0" w14:textId="77777777" w:rsidR="00591A69" w:rsidRPr="00C83045" w:rsidRDefault="00591A69" w:rsidP="00D4304B">
      <w:pPr>
        <w:widowControl w:val="0"/>
        <w:tabs>
          <w:tab w:val="left" w:pos="9072"/>
        </w:tabs>
        <w:ind w:left="0" w:firstLine="0"/>
        <w:rPr>
          <w:b/>
          <w:color w:val="000000"/>
          <w:szCs w:val="22"/>
        </w:rPr>
      </w:pPr>
      <w:r w:rsidRPr="00C83045">
        <w:rPr>
          <w:color w:val="000000"/>
          <w:szCs w:val="22"/>
        </w:rPr>
        <w:t xml:space="preserve">Ak vám niektorý z týchto účinkov spôsobuje závažné ťažkosti, </w:t>
      </w:r>
      <w:r w:rsidRPr="00C83045">
        <w:rPr>
          <w:b/>
          <w:color w:val="000000"/>
          <w:szCs w:val="22"/>
        </w:rPr>
        <w:t>povedzte o tom svojmu lekárovi.</w:t>
      </w:r>
    </w:p>
    <w:p w14:paraId="32368DD1" w14:textId="77777777" w:rsidR="00591A69" w:rsidRPr="00C83045" w:rsidRDefault="00591A69" w:rsidP="00D4304B">
      <w:pPr>
        <w:widowControl w:val="0"/>
        <w:tabs>
          <w:tab w:val="left" w:pos="9072"/>
        </w:tabs>
        <w:ind w:left="0" w:firstLine="0"/>
        <w:rPr>
          <w:color w:val="000000"/>
          <w:szCs w:val="22"/>
        </w:rPr>
      </w:pPr>
    </w:p>
    <w:p w14:paraId="32368DD2" w14:textId="77777777" w:rsidR="00591A69" w:rsidRPr="00C83045" w:rsidRDefault="00591A69" w:rsidP="00D4304B">
      <w:pPr>
        <w:keepNext/>
        <w:widowControl w:val="0"/>
        <w:tabs>
          <w:tab w:val="left" w:pos="9072"/>
        </w:tabs>
        <w:ind w:left="0" w:firstLine="0"/>
        <w:rPr>
          <w:color w:val="000000"/>
          <w:szCs w:val="22"/>
        </w:rPr>
      </w:pPr>
      <w:r w:rsidRPr="00C83045">
        <w:rPr>
          <w:b/>
          <w:color w:val="000000"/>
          <w:szCs w:val="22"/>
        </w:rPr>
        <w:t>Neznáme</w:t>
      </w:r>
      <w:r w:rsidRPr="00C83045">
        <w:rPr>
          <w:color w:val="000000"/>
          <w:szCs w:val="22"/>
        </w:rPr>
        <w:t xml:space="preserve"> (</w:t>
      </w:r>
      <w:r w:rsidRPr="00C83045">
        <w:rPr>
          <w:rFonts w:eastAsia="SimSun"/>
          <w:color w:val="000000"/>
          <w:szCs w:val="22"/>
          <w:lang w:eastAsia="zh-CN"/>
        </w:rPr>
        <w:t>z dostupných údajov sa častosť nedá odhadnúť):</w:t>
      </w:r>
    </w:p>
    <w:p w14:paraId="32368DD3" w14:textId="77777777" w:rsidR="009F23CA" w:rsidRPr="009F23CA" w:rsidRDefault="00591A69" w:rsidP="00D4304B">
      <w:pPr>
        <w:pStyle w:val="Text"/>
        <w:widowControl w:val="0"/>
        <w:numPr>
          <w:ilvl w:val="0"/>
          <w:numId w:val="30"/>
        </w:numPr>
        <w:tabs>
          <w:tab w:val="clear" w:pos="357"/>
          <w:tab w:val="num" w:pos="567"/>
        </w:tabs>
        <w:spacing w:before="0"/>
        <w:ind w:left="567" w:hanging="567"/>
        <w:jc w:val="left"/>
        <w:rPr>
          <w:color w:val="000000"/>
          <w:sz w:val="22"/>
          <w:szCs w:val="22"/>
          <w:lang w:val="sk-SK"/>
        </w:rPr>
      </w:pPr>
      <w:r w:rsidRPr="009F23CA">
        <w:rPr>
          <w:color w:val="000000"/>
          <w:sz w:val="22"/>
          <w:szCs w:val="22"/>
          <w:lang w:val="sk-SK"/>
        </w:rPr>
        <w:t>Sčervenenie a/alebo opuch dlaní a chodidiel, ktoré môže sprevádzať mravčenie a pálčivá bolesť.</w:t>
      </w:r>
    </w:p>
    <w:p w14:paraId="32368DD4" w14:textId="77777777" w:rsidR="00591A69" w:rsidRPr="00C83045" w:rsidRDefault="009F23CA" w:rsidP="00D4304B">
      <w:pPr>
        <w:widowControl w:val="0"/>
        <w:numPr>
          <w:ilvl w:val="0"/>
          <w:numId w:val="25"/>
        </w:numPr>
        <w:tabs>
          <w:tab w:val="left" w:pos="9072"/>
        </w:tabs>
        <w:rPr>
          <w:color w:val="000000"/>
          <w:szCs w:val="22"/>
        </w:rPr>
      </w:pPr>
      <w:r>
        <w:rPr>
          <w:color w:val="000000"/>
          <w:szCs w:val="22"/>
        </w:rPr>
        <w:t>Bolestivé a/alebo pľuzgierovité rany na koži.</w:t>
      </w:r>
    </w:p>
    <w:p w14:paraId="32368DD5" w14:textId="77777777" w:rsidR="00591A69" w:rsidRPr="00C83045" w:rsidRDefault="00591A69" w:rsidP="00D4304B">
      <w:pPr>
        <w:widowControl w:val="0"/>
        <w:numPr>
          <w:ilvl w:val="0"/>
          <w:numId w:val="25"/>
        </w:numPr>
        <w:tabs>
          <w:tab w:val="left" w:pos="9072"/>
        </w:tabs>
        <w:rPr>
          <w:color w:val="000000"/>
          <w:szCs w:val="22"/>
        </w:rPr>
      </w:pPr>
      <w:r w:rsidRPr="00C83045">
        <w:rPr>
          <w:color w:val="000000"/>
          <w:szCs w:val="22"/>
        </w:rPr>
        <w:t>Spomalenie rastu u detí a dospievajúcich.</w:t>
      </w:r>
    </w:p>
    <w:p w14:paraId="32368DD6" w14:textId="77777777" w:rsidR="00591A69" w:rsidRPr="00C83045" w:rsidRDefault="00591A69" w:rsidP="00D4304B">
      <w:pPr>
        <w:widowControl w:val="0"/>
        <w:tabs>
          <w:tab w:val="left" w:pos="9072"/>
        </w:tabs>
        <w:ind w:left="0" w:firstLine="0"/>
        <w:rPr>
          <w:b/>
          <w:color w:val="000000"/>
          <w:szCs w:val="22"/>
        </w:rPr>
      </w:pPr>
      <w:r w:rsidRPr="00C83045">
        <w:rPr>
          <w:color w:val="000000"/>
          <w:szCs w:val="22"/>
        </w:rPr>
        <w:t xml:space="preserve">Ak vám niektorý z týchto účinkov spôsobuje závažné ťažkosti, </w:t>
      </w:r>
      <w:r w:rsidRPr="00C83045">
        <w:rPr>
          <w:b/>
          <w:color w:val="000000"/>
          <w:szCs w:val="22"/>
        </w:rPr>
        <w:t>povedzte o tom svojmu lekárovi.</w:t>
      </w:r>
    </w:p>
    <w:p w14:paraId="32368DD7" w14:textId="77777777" w:rsidR="00591A69" w:rsidRPr="00C83045" w:rsidRDefault="00591A69" w:rsidP="00D4304B">
      <w:pPr>
        <w:widowControl w:val="0"/>
        <w:tabs>
          <w:tab w:val="left" w:pos="9072"/>
        </w:tabs>
        <w:ind w:left="0" w:firstLine="0"/>
        <w:rPr>
          <w:color w:val="000000"/>
          <w:szCs w:val="22"/>
        </w:rPr>
      </w:pPr>
    </w:p>
    <w:p w14:paraId="32368DD8" w14:textId="77777777" w:rsidR="00591A69" w:rsidRPr="00C83045" w:rsidRDefault="00591A69" w:rsidP="00D4304B">
      <w:pPr>
        <w:keepNext/>
        <w:widowControl w:val="0"/>
        <w:numPr>
          <w:ilvl w:val="12"/>
          <w:numId w:val="0"/>
        </w:numPr>
        <w:tabs>
          <w:tab w:val="left" w:pos="720"/>
        </w:tabs>
        <w:rPr>
          <w:b/>
          <w:szCs w:val="22"/>
        </w:rPr>
      </w:pPr>
      <w:r w:rsidRPr="00C83045">
        <w:rPr>
          <w:b/>
          <w:noProof/>
          <w:szCs w:val="22"/>
        </w:rPr>
        <w:t>Hlásenie vedľajších účinkov</w:t>
      </w:r>
    </w:p>
    <w:p w14:paraId="32368DD9" w14:textId="77777777" w:rsidR="00591A69" w:rsidRPr="00C83045" w:rsidRDefault="00591A69" w:rsidP="00D4304B">
      <w:pPr>
        <w:widowControl w:val="0"/>
        <w:numPr>
          <w:ilvl w:val="12"/>
          <w:numId w:val="0"/>
        </w:numPr>
        <w:tabs>
          <w:tab w:val="left" w:pos="720"/>
        </w:tabs>
        <w:ind w:right="-2"/>
        <w:rPr>
          <w:noProof/>
          <w:szCs w:val="22"/>
        </w:rPr>
      </w:pPr>
      <w:r w:rsidRPr="00C83045">
        <w:rPr>
          <w:noProof/>
          <w:szCs w:val="22"/>
        </w:rPr>
        <w:t>Ak sa u vás vyskytne akýkoľvek vedľajší účinok, obráťte sa na svojho lekára, lekárnika alebo zdravotnú sestru.</w:t>
      </w:r>
      <w:r w:rsidRPr="00C83045">
        <w:t xml:space="preserve"> </w:t>
      </w:r>
      <w:r w:rsidRPr="00C83045">
        <w:rPr>
          <w:noProof/>
          <w:szCs w:val="22"/>
        </w:rPr>
        <w:t>To sa týka aj akýchkoľvek vedľajších účinkov, ktoré nie sú uvedené v tejto písomnej informácii.</w:t>
      </w:r>
      <w:r w:rsidRPr="00C83045">
        <w:rPr>
          <w:szCs w:val="22"/>
        </w:rPr>
        <w:t xml:space="preserve"> </w:t>
      </w:r>
      <w:r w:rsidRPr="00C83045">
        <w:rPr>
          <w:noProof/>
          <w:szCs w:val="22"/>
        </w:rPr>
        <w:t xml:space="preserve">Vedľajšie účinky môžete hlásiť aj priamo </w:t>
      </w:r>
      <w:r w:rsidR="00E61D15">
        <w:rPr>
          <w:noProof/>
          <w:szCs w:val="22"/>
        </w:rPr>
        <w:t>na</w:t>
      </w:r>
      <w:r w:rsidR="00E61D15" w:rsidRPr="00C83045">
        <w:rPr>
          <w:noProof/>
          <w:szCs w:val="22"/>
        </w:rPr>
        <w:t xml:space="preserve"> </w:t>
      </w:r>
      <w:r w:rsidRPr="00C83045">
        <w:rPr>
          <w:noProof/>
          <w:szCs w:val="22"/>
          <w:shd w:val="clear" w:color="auto" w:fill="D9D9D9"/>
        </w:rPr>
        <w:t xml:space="preserve">národné </w:t>
      </w:r>
      <w:r w:rsidR="00E61D15">
        <w:rPr>
          <w:noProof/>
          <w:szCs w:val="22"/>
          <w:shd w:val="clear" w:color="auto" w:fill="D9D9D9"/>
        </w:rPr>
        <w:t>centrum</w:t>
      </w:r>
      <w:r w:rsidRPr="00C83045">
        <w:rPr>
          <w:noProof/>
          <w:szCs w:val="22"/>
          <w:shd w:val="clear" w:color="auto" w:fill="D9D9D9"/>
        </w:rPr>
        <w:t xml:space="preserve"> hlásenia uvedené v</w:t>
      </w:r>
      <w:r w:rsidR="00E355EE">
        <w:rPr>
          <w:noProof/>
          <w:szCs w:val="22"/>
          <w:shd w:val="clear" w:color="auto" w:fill="D9D9D9"/>
        </w:rPr>
        <w:t> </w:t>
      </w:r>
      <w:hyperlink r:id="rId17" w:history="1">
        <w:r w:rsidRPr="00C83045">
          <w:rPr>
            <w:rStyle w:val="Hyperlink"/>
            <w:noProof/>
            <w:szCs w:val="22"/>
            <w:shd w:val="clear" w:color="auto" w:fill="D9D9D9"/>
          </w:rPr>
          <w:t>P</w:t>
        </w:r>
        <w:r w:rsidRPr="00C83045">
          <w:rPr>
            <w:rStyle w:val="Hyperlink"/>
            <w:shd w:val="clear" w:color="auto" w:fill="D9D9D9"/>
          </w:rPr>
          <w:t>rílohe</w:t>
        </w:r>
        <w:r w:rsidR="00E355EE">
          <w:rPr>
            <w:rStyle w:val="Hyperlink"/>
            <w:shd w:val="clear" w:color="auto" w:fill="D9D9D9"/>
          </w:rPr>
          <w:t> </w:t>
        </w:r>
        <w:r w:rsidRPr="00C83045">
          <w:rPr>
            <w:rStyle w:val="Hyperlink"/>
            <w:shd w:val="clear" w:color="auto" w:fill="D9D9D9"/>
          </w:rPr>
          <w:t>V</w:t>
        </w:r>
      </w:hyperlink>
      <w:r w:rsidRPr="00C83045">
        <w:rPr>
          <w:noProof/>
          <w:szCs w:val="22"/>
        </w:rPr>
        <w:t>.</w:t>
      </w:r>
      <w:r w:rsidRPr="00C83045">
        <w:rPr>
          <w:szCs w:val="22"/>
        </w:rPr>
        <w:t xml:space="preserve"> </w:t>
      </w:r>
      <w:r w:rsidRPr="00C83045">
        <w:rPr>
          <w:noProof/>
          <w:szCs w:val="22"/>
        </w:rPr>
        <w:t>Hlásením vedľajších účinkov môžete prispieť k získaniu ďalších informácií o bezpečnosti tohto lieku.</w:t>
      </w:r>
    </w:p>
    <w:p w14:paraId="32368DDA" w14:textId="77777777" w:rsidR="00591A69" w:rsidRPr="00C83045" w:rsidRDefault="00591A69" w:rsidP="00D4304B">
      <w:pPr>
        <w:widowControl w:val="0"/>
        <w:numPr>
          <w:ilvl w:val="12"/>
          <w:numId w:val="0"/>
        </w:numPr>
        <w:rPr>
          <w:color w:val="000000"/>
          <w:szCs w:val="22"/>
        </w:rPr>
      </w:pPr>
    </w:p>
    <w:p w14:paraId="32368DDB" w14:textId="77777777" w:rsidR="00591A69" w:rsidRPr="00C83045" w:rsidRDefault="00591A69" w:rsidP="00D4304B">
      <w:pPr>
        <w:widowControl w:val="0"/>
        <w:numPr>
          <w:ilvl w:val="12"/>
          <w:numId w:val="0"/>
        </w:numPr>
        <w:rPr>
          <w:color w:val="000000"/>
          <w:szCs w:val="22"/>
        </w:rPr>
      </w:pPr>
    </w:p>
    <w:p w14:paraId="32368DDC" w14:textId="77777777" w:rsidR="00F80E99" w:rsidRPr="00C83045" w:rsidRDefault="00F80E99" w:rsidP="00D4304B">
      <w:pPr>
        <w:keepNext/>
        <w:widowControl w:val="0"/>
        <w:numPr>
          <w:ilvl w:val="12"/>
          <w:numId w:val="0"/>
        </w:numPr>
        <w:ind w:left="567" w:hanging="567"/>
        <w:outlineLvl w:val="0"/>
        <w:rPr>
          <w:color w:val="000000"/>
          <w:szCs w:val="22"/>
        </w:rPr>
      </w:pPr>
      <w:r w:rsidRPr="00C83045">
        <w:rPr>
          <w:b/>
          <w:color w:val="000000"/>
          <w:szCs w:val="22"/>
        </w:rPr>
        <w:t>5.</w:t>
      </w:r>
      <w:r w:rsidRPr="00C83045">
        <w:rPr>
          <w:b/>
          <w:color w:val="000000"/>
          <w:szCs w:val="22"/>
        </w:rPr>
        <w:tab/>
      </w:r>
      <w:r w:rsidRPr="00C83045">
        <w:rPr>
          <w:b/>
          <w:noProof/>
        </w:rPr>
        <w:t>Ako uchovávať Glivec</w:t>
      </w:r>
    </w:p>
    <w:p w14:paraId="32368DDD" w14:textId="77777777" w:rsidR="00F80E99" w:rsidRPr="00C83045" w:rsidRDefault="00F80E99" w:rsidP="00D4304B">
      <w:pPr>
        <w:keepNext/>
        <w:widowControl w:val="0"/>
        <w:ind w:left="0" w:firstLine="0"/>
        <w:rPr>
          <w:color w:val="000000"/>
          <w:szCs w:val="22"/>
        </w:rPr>
      </w:pPr>
    </w:p>
    <w:p w14:paraId="32368DDE" w14:textId="77777777" w:rsidR="00F80E99" w:rsidRPr="00C83045" w:rsidRDefault="00F80E99" w:rsidP="00D4304B">
      <w:pPr>
        <w:widowControl w:val="0"/>
        <w:numPr>
          <w:ilvl w:val="0"/>
          <w:numId w:val="4"/>
        </w:numPr>
        <w:tabs>
          <w:tab w:val="clear" w:pos="720"/>
        </w:tabs>
        <w:ind w:hanging="567"/>
        <w:rPr>
          <w:color w:val="000000"/>
          <w:szCs w:val="22"/>
        </w:rPr>
      </w:pPr>
      <w:r w:rsidRPr="00C83045">
        <w:rPr>
          <w:noProof/>
        </w:rPr>
        <w:t xml:space="preserve">Tento liek </w:t>
      </w:r>
      <w:r w:rsidRPr="00C83045">
        <w:rPr>
          <w:color w:val="000000"/>
          <w:szCs w:val="22"/>
        </w:rPr>
        <w:t>uchovávajte mimo dohľadu a dosahu detí.</w:t>
      </w:r>
    </w:p>
    <w:p w14:paraId="32368DDF" w14:textId="77777777" w:rsidR="00F80E99" w:rsidRPr="00C83045" w:rsidRDefault="00F80E99" w:rsidP="00D4304B">
      <w:pPr>
        <w:widowControl w:val="0"/>
        <w:numPr>
          <w:ilvl w:val="0"/>
          <w:numId w:val="4"/>
        </w:numPr>
        <w:tabs>
          <w:tab w:val="clear" w:pos="720"/>
        </w:tabs>
        <w:ind w:hanging="567"/>
        <w:rPr>
          <w:color w:val="000000"/>
          <w:szCs w:val="22"/>
        </w:rPr>
      </w:pPr>
      <w:r w:rsidRPr="00C83045">
        <w:rPr>
          <w:color w:val="000000"/>
          <w:szCs w:val="22"/>
        </w:rPr>
        <w:t xml:space="preserve">Nepoužívajte </w:t>
      </w:r>
      <w:r w:rsidRPr="00C83045">
        <w:rPr>
          <w:noProof/>
        </w:rPr>
        <w:t xml:space="preserve">tento liek </w:t>
      </w:r>
      <w:r w:rsidRPr="00C83045">
        <w:rPr>
          <w:color w:val="000000"/>
          <w:szCs w:val="22"/>
        </w:rPr>
        <w:t>po dátume exspirácie, ktorý je uvedený na škatuli</w:t>
      </w:r>
      <w:r w:rsidR="009F23CA">
        <w:rPr>
          <w:color w:val="000000"/>
          <w:szCs w:val="22"/>
        </w:rPr>
        <w:t xml:space="preserve"> po EXP</w:t>
      </w:r>
      <w:r w:rsidRPr="00C83045">
        <w:rPr>
          <w:color w:val="000000"/>
          <w:szCs w:val="22"/>
        </w:rPr>
        <w:t>.</w:t>
      </w:r>
    </w:p>
    <w:p w14:paraId="32368DE0" w14:textId="77777777" w:rsidR="00F80E99" w:rsidRPr="00C83045" w:rsidRDefault="00F80E99" w:rsidP="00D4304B">
      <w:pPr>
        <w:widowControl w:val="0"/>
        <w:numPr>
          <w:ilvl w:val="0"/>
          <w:numId w:val="4"/>
        </w:numPr>
        <w:tabs>
          <w:tab w:val="clear" w:pos="720"/>
        </w:tabs>
        <w:ind w:hanging="567"/>
        <w:rPr>
          <w:color w:val="000000"/>
          <w:szCs w:val="22"/>
        </w:rPr>
      </w:pPr>
      <w:r w:rsidRPr="00C83045">
        <w:rPr>
          <w:color w:val="000000"/>
          <w:szCs w:val="22"/>
        </w:rPr>
        <w:t>Uchovávajte pri teplote neprevyšujúcej 30°C.</w:t>
      </w:r>
    </w:p>
    <w:p w14:paraId="32368DE1" w14:textId="77777777" w:rsidR="00F80E99" w:rsidRPr="00C83045" w:rsidRDefault="00F80E99" w:rsidP="00D4304B">
      <w:pPr>
        <w:widowControl w:val="0"/>
        <w:numPr>
          <w:ilvl w:val="0"/>
          <w:numId w:val="4"/>
        </w:numPr>
        <w:tabs>
          <w:tab w:val="clear" w:pos="720"/>
        </w:tabs>
        <w:ind w:hanging="567"/>
        <w:rPr>
          <w:color w:val="000000"/>
          <w:szCs w:val="22"/>
        </w:rPr>
      </w:pPr>
      <w:r w:rsidRPr="00C83045">
        <w:rPr>
          <w:color w:val="000000"/>
          <w:szCs w:val="22"/>
        </w:rPr>
        <w:t>Uchovávajte v pôvodnom obale na ochranu pred vlhkosťou.</w:t>
      </w:r>
    </w:p>
    <w:p w14:paraId="32368DE2" w14:textId="77777777" w:rsidR="00D97CB5" w:rsidRPr="00C83045" w:rsidRDefault="00F80E99" w:rsidP="00D4304B">
      <w:pPr>
        <w:widowControl w:val="0"/>
        <w:numPr>
          <w:ilvl w:val="0"/>
          <w:numId w:val="4"/>
        </w:numPr>
        <w:tabs>
          <w:tab w:val="clear" w:pos="720"/>
        </w:tabs>
        <w:ind w:hanging="567"/>
        <w:rPr>
          <w:color w:val="000000"/>
          <w:szCs w:val="22"/>
        </w:rPr>
      </w:pPr>
      <w:r w:rsidRPr="00C83045">
        <w:rPr>
          <w:color w:val="000000"/>
          <w:szCs w:val="22"/>
        </w:rPr>
        <w:t>Nepoužite balenie, ktoré je poškodené alebo nesie stopy nedovoleného zaobchádzania.</w:t>
      </w:r>
    </w:p>
    <w:p w14:paraId="32368DE3" w14:textId="77777777" w:rsidR="00FC49D9" w:rsidRPr="00C83045" w:rsidRDefault="00FC49D9" w:rsidP="00D4304B">
      <w:pPr>
        <w:widowControl w:val="0"/>
        <w:numPr>
          <w:ilvl w:val="0"/>
          <w:numId w:val="4"/>
        </w:numPr>
        <w:tabs>
          <w:tab w:val="clear" w:pos="720"/>
        </w:tabs>
        <w:ind w:hanging="567"/>
        <w:rPr>
          <w:color w:val="000000"/>
          <w:szCs w:val="22"/>
        </w:rPr>
      </w:pPr>
      <w:r w:rsidRPr="00C83045">
        <w:rPr>
          <w:noProof/>
          <w:szCs w:val="22"/>
        </w:rPr>
        <w:t>Nelikvidujte</w:t>
      </w:r>
      <w:r w:rsidRPr="00C83045" w:rsidDel="004B2B65">
        <w:t xml:space="preserve"> </w:t>
      </w:r>
      <w:r w:rsidRPr="00C83045">
        <w:t>lieky odpadovou vodou alebo domovým odpadom.</w:t>
      </w:r>
      <w:r w:rsidRPr="00C83045">
        <w:rPr>
          <w:noProof/>
        </w:rPr>
        <w:t xml:space="preserve"> </w:t>
      </w:r>
      <w:r w:rsidRPr="00C83045">
        <w:t xml:space="preserve">Nepoužitý liek vráťte do </w:t>
      </w:r>
      <w:r w:rsidRPr="00C83045">
        <w:lastRenderedPageBreak/>
        <w:t>lekárne.</w:t>
      </w:r>
      <w:r w:rsidRPr="00C83045">
        <w:rPr>
          <w:noProof/>
        </w:rPr>
        <w:t xml:space="preserve"> </w:t>
      </w:r>
      <w:r w:rsidRPr="00C83045">
        <w:t>Tieto opatrenia pomôžu chrániť životné prostredie.</w:t>
      </w:r>
    </w:p>
    <w:p w14:paraId="32368DE4" w14:textId="77777777" w:rsidR="00F80E99" w:rsidRPr="00C83045" w:rsidRDefault="00F80E99" w:rsidP="00D4304B">
      <w:pPr>
        <w:widowControl w:val="0"/>
        <w:rPr>
          <w:color w:val="000000"/>
          <w:szCs w:val="22"/>
        </w:rPr>
      </w:pPr>
    </w:p>
    <w:p w14:paraId="32368DE5" w14:textId="77777777" w:rsidR="00F80E99" w:rsidRPr="00C83045" w:rsidRDefault="00F80E99" w:rsidP="00D4304B">
      <w:pPr>
        <w:widowControl w:val="0"/>
        <w:rPr>
          <w:color w:val="000000"/>
          <w:szCs w:val="22"/>
        </w:rPr>
      </w:pPr>
    </w:p>
    <w:p w14:paraId="32368DE6" w14:textId="77777777" w:rsidR="00F72C2E" w:rsidRPr="00C83045" w:rsidRDefault="00F72C2E" w:rsidP="00D4304B">
      <w:pPr>
        <w:keepNext/>
        <w:widowControl w:val="0"/>
        <w:rPr>
          <w:b/>
          <w:color w:val="000000"/>
          <w:szCs w:val="22"/>
        </w:rPr>
      </w:pPr>
      <w:r w:rsidRPr="00C83045">
        <w:rPr>
          <w:b/>
          <w:color w:val="000000"/>
          <w:szCs w:val="22"/>
        </w:rPr>
        <w:t>6.</w:t>
      </w:r>
      <w:r w:rsidRPr="00C83045">
        <w:rPr>
          <w:b/>
          <w:color w:val="000000"/>
          <w:szCs w:val="22"/>
        </w:rPr>
        <w:tab/>
      </w:r>
      <w:r w:rsidR="00F92AEB" w:rsidRPr="00C83045">
        <w:rPr>
          <w:b/>
          <w:noProof/>
        </w:rPr>
        <w:t>Obsah balenia a ďalšie informácie</w:t>
      </w:r>
    </w:p>
    <w:p w14:paraId="32368DE7" w14:textId="77777777" w:rsidR="00F72C2E" w:rsidRPr="00C83045" w:rsidRDefault="00F72C2E" w:rsidP="00D4304B">
      <w:pPr>
        <w:keepNext/>
        <w:widowControl w:val="0"/>
        <w:numPr>
          <w:ilvl w:val="12"/>
          <w:numId w:val="0"/>
        </w:numPr>
        <w:rPr>
          <w:color w:val="000000"/>
          <w:szCs w:val="22"/>
        </w:rPr>
      </w:pPr>
    </w:p>
    <w:p w14:paraId="32368DE8" w14:textId="77777777" w:rsidR="00F72C2E" w:rsidRPr="00C83045" w:rsidRDefault="00F72C2E" w:rsidP="00D4304B">
      <w:pPr>
        <w:keepNext/>
        <w:widowControl w:val="0"/>
        <w:ind w:left="0" w:firstLine="0"/>
        <w:rPr>
          <w:b/>
          <w:color w:val="000000"/>
          <w:szCs w:val="22"/>
        </w:rPr>
      </w:pPr>
      <w:r w:rsidRPr="00C83045">
        <w:rPr>
          <w:b/>
          <w:color w:val="000000"/>
          <w:szCs w:val="22"/>
        </w:rPr>
        <w:t>Čo Glivec obsahuje</w:t>
      </w:r>
    </w:p>
    <w:p w14:paraId="2F24D043" w14:textId="10A91440" w:rsidR="007C58B4" w:rsidRDefault="00F72C2E" w:rsidP="00D4304B">
      <w:pPr>
        <w:widowControl w:val="0"/>
        <w:numPr>
          <w:ilvl w:val="0"/>
          <w:numId w:val="6"/>
        </w:numPr>
        <w:rPr>
          <w:color w:val="000000"/>
          <w:szCs w:val="22"/>
        </w:rPr>
      </w:pPr>
      <w:r w:rsidRPr="00C83045">
        <w:rPr>
          <w:color w:val="000000"/>
          <w:szCs w:val="22"/>
        </w:rPr>
        <w:t>Liečivo je imatinibiummesilát.</w:t>
      </w:r>
    </w:p>
    <w:p w14:paraId="32368DE9" w14:textId="376A7970" w:rsidR="00F72C2E" w:rsidRDefault="00F72C2E" w:rsidP="0083668F">
      <w:pPr>
        <w:widowControl w:val="0"/>
        <w:numPr>
          <w:ilvl w:val="0"/>
          <w:numId w:val="6"/>
        </w:numPr>
        <w:ind w:left="1134"/>
        <w:rPr>
          <w:color w:val="000000"/>
          <w:szCs w:val="22"/>
        </w:rPr>
      </w:pPr>
      <w:r w:rsidRPr="00C83045">
        <w:rPr>
          <w:color w:val="000000"/>
          <w:szCs w:val="22"/>
        </w:rPr>
        <w:t xml:space="preserve">Každá </w:t>
      </w:r>
      <w:r w:rsidR="007C58B4">
        <w:rPr>
          <w:color w:val="000000"/>
          <w:szCs w:val="22"/>
        </w:rPr>
        <w:t xml:space="preserve">100 mg </w:t>
      </w:r>
      <w:r w:rsidRPr="00C83045">
        <w:rPr>
          <w:color w:val="000000"/>
          <w:szCs w:val="22"/>
        </w:rPr>
        <w:t>tableta Glivecu obsahuje 100 mg imatinibu</w:t>
      </w:r>
      <w:r w:rsidR="00F92AEB" w:rsidRPr="00C83045">
        <w:rPr>
          <w:color w:val="000000"/>
          <w:szCs w:val="22"/>
        </w:rPr>
        <w:t xml:space="preserve"> (ako </w:t>
      </w:r>
      <w:r w:rsidRPr="00C83045">
        <w:rPr>
          <w:color w:val="000000"/>
          <w:szCs w:val="22"/>
        </w:rPr>
        <w:t>mesilátu</w:t>
      </w:r>
      <w:r w:rsidR="00F92AEB" w:rsidRPr="00C83045">
        <w:rPr>
          <w:color w:val="000000"/>
          <w:szCs w:val="22"/>
        </w:rPr>
        <w:t>)</w:t>
      </w:r>
      <w:r w:rsidRPr="00C83045">
        <w:rPr>
          <w:color w:val="000000"/>
          <w:szCs w:val="22"/>
        </w:rPr>
        <w:t>.</w:t>
      </w:r>
    </w:p>
    <w:p w14:paraId="48EE59EC" w14:textId="7119CC64" w:rsidR="007C58B4" w:rsidRPr="007C58B4" w:rsidRDefault="007C58B4" w:rsidP="007428C9">
      <w:pPr>
        <w:widowControl w:val="0"/>
        <w:numPr>
          <w:ilvl w:val="0"/>
          <w:numId w:val="6"/>
        </w:numPr>
        <w:ind w:left="1134"/>
        <w:rPr>
          <w:color w:val="000000"/>
          <w:szCs w:val="22"/>
        </w:rPr>
      </w:pPr>
      <w:r w:rsidRPr="007C58B4">
        <w:rPr>
          <w:color w:val="000000"/>
          <w:szCs w:val="22"/>
        </w:rPr>
        <w:t xml:space="preserve">Každá </w:t>
      </w:r>
      <w:r>
        <w:rPr>
          <w:color w:val="000000"/>
          <w:szCs w:val="22"/>
        </w:rPr>
        <w:t>4</w:t>
      </w:r>
      <w:r w:rsidRPr="007C58B4">
        <w:rPr>
          <w:color w:val="000000"/>
          <w:szCs w:val="22"/>
        </w:rPr>
        <w:t xml:space="preserve">00 mg </w:t>
      </w:r>
      <w:r>
        <w:rPr>
          <w:color w:val="000000"/>
          <w:szCs w:val="22"/>
        </w:rPr>
        <w:t>tableta Glivecu obsahuje 4</w:t>
      </w:r>
      <w:r w:rsidRPr="007C58B4">
        <w:rPr>
          <w:color w:val="000000"/>
          <w:szCs w:val="22"/>
        </w:rPr>
        <w:t>00 mg imatinibu (ako mesilátu).</w:t>
      </w:r>
    </w:p>
    <w:p w14:paraId="32368DEA" w14:textId="77777777" w:rsidR="00F72C2E" w:rsidRPr="00C83045" w:rsidRDefault="00F72C2E" w:rsidP="00D4304B">
      <w:pPr>
        <w:widowControl w:val="0"/>
        <w:numPr>
          <w:ilvl w:val="0"/>
          <w:numId w:val="6"/>
        </w:numPr>
        <w:rPr>
          <w:color w:val="000000"/>
          <w:szCs w:val="22"/>
        </w:rPr>
      </w:pPr>
      <w:r w:rsidRPr="00C83045">
        <w:rPr>
          <w:color w:val="000000"/>
          <w:szCs w:val="22"/>
        </w:rPr>
        <w:t>Ďalšie zložky sú mikrokryštalická celulóza, krospovidón, hypromelóza, magnéziumstearát a koloidný oxid kremičitý bezvodý.</w:t>
      </w:r>
    </w:p>
    <w:p w14:paraId="32368DEB" w14:textId="77777777" w:rsidR="00F72C2E" w:rsidRPr="00C83045" w:rsidRDefault="00F72C2E" w:rsidP="00D4304B">
      <w:pPr>
        <w:widowControl w:val="0"/>
        <w:numPr>
          <w:ilvl w:val="0"/>
          <w:numId w:val="6"/>
        </w:numPr>
        <w:rPr>
          <w:color w:val="000000"/>
          <w:szCs w:val="22"/>
        </w:rPr>
      </w:pPr>
      <w:r w:rsidRPr="00C83045">
        <w:rPr>
          <w:color w:val="000000"/>
          <w:szCs w:val="22"/>
        </w:rPr>
        <w:t>Obalovú vrstvu tablety tvorí červený oxid železitý (E172), žltý oxid železitý (E172), makrogoly, mastenec a hypromelóza.</w:t>
      </w:r>
    </w:p>
    <w:p w14:paraId="32368DEC" w14:textId="77777777" w:rsidR="00F72C2E" w:rsidRPr="00C83045" w:rsidRDefault="00F72C2E" w:rsidP="00D4304B">
      <w:pPr>
        <w:widowControl w:val="0"/>
        <w:numPr>
          <w:ilvl w:val="12"/>
          <w:numId w:val="0"/>
        </w:numPr>
        <w:rPr>
          <w:color w:val="000000"/>
          <w:szCs w:val="22"/>
        </w:rPr>
      </w:pPr>
    </w:p>
    <w:p w14:paraId="32368DED" w14:textId="77777777" w:rsidR="00F72C2E" w:rsidRPr="00C83045" w:rsidRDefault="00F72C2E" w:rsidP="00D4304B">
      <w:pPr>
        <w:keepNext/>
        <w:widowControl w:val="0"/>
        <w:numPr>
          <w:ilvl w:val="12"/>
          <w:numId w:val="0"/>
        </w:numPr>
        <w:ind w:right="-2"/>
        <w:rPr>
          <w:b/>
          <w:color w:val="000000"/>
          <w:szCs w:val="22"/>
        </w:rPr>
      </w:pPr>
      <w:r w:rsidRPr="00C83045">
        <w:rPr>
          <w:b/>
          <w:color w:val="000000"/>
          <w:szCs w:val="22"/>
        </w:rPr>
        <w:t>Ako vyzerá Glivec a obsah balenia</w:t>
      </w:r>
    </w:p>
    <w:p w14:paraId="32368DEE" w14:textId="0AE122C5" w:rsidR="00F72C2E" w:rsidRDefault="00F72C2E" w:rsidP="00D4304B">
      <w:pPr>
        <w:widowControl w:val="0"/>
        <w:ind w:left="0" w:firstLine="0"/>
        <w:rPr>
          <w:color w:val="000000"/>
          <w:szCs w:val="22"/>
        </w:rPr>
      </w:pPr>
      <w:r w:rsidRPr="00C83045">
        <w:rPr>
          <w:color w:val="000000"/>
          <w:szCs w:val="22"/>
        </w:rPr>
        <w:t>Glivec 100 mg filmom obalené tablety sú tmavožlté až hnedooranžové okrúhle tablety. Majú označenie „</w:t>
      </w:r>
      <w:smartTag w:uri="urn:schemas-microsoft-com:office:smarttags" w:element="stockticker">
        <w:r w:rsidRPr="00C83045">
          <w:rPr>
            <w:color w:val="000000"/>
            <w:szCs w:val="22"/>
          </w:rPr>
          <w:t>NVR</w:t>
        </w:r>
      </w:smartTag>
      <w:r w:rsidRPr="00C83045">
        <w:rPr>
          <w:color w:val="000000"/>
          <w:szCs w:val="22"/>
        </w:rPr>
        <w:t>“ na jednej a označenie „SA“ a poliacu ryhu na druhej strane.</w:t>
      </w:r>
    </w:p>
    <w:p w14:paraId="28FD6458" w14:textId="569E57D9" w:rsidR="007C58B4" w:rsidRPr="00C83045" w:rsidRDefault="007C58B4" w:rsidP="007C58B4">
      <w:pPr>
        <w:widowControl w:val="0"/>
        <w:ind w:left="0" w:firstLine="0"/>
        <w:rPr>
          <w:color w:val="000000"/>
          <w:szCs w:val="22"/>
        </w:rPr>
      </w:pPr>
      <w:r>
        <w:rPr>
          <w:color w:val="000000"/>
          <w:szCs w:val="22"/>
        </w:rPr>
        <w:t>Glivec 4</w:t>
      </w:r>
      <w:r w:rsidRPr="00C83045">
        <w:rPr>
          <w:color w:val="000000"/>
          <w:szCs w:val="22"/>
        </w:rPr>
        <w:t>00 mg filmom obalené tablety sú t</w:t>
      </w:r>
      <w:r>
        <w:rPr>
          <w:color w:val="000000"/>
          <w:szCs w:val="22"/>
        </w:rPr>
        <w:t>mavožlté až hnedooranžové ováln</w:t>
      </w:r>
      <w:r w:rsidRPr="00C83045">
        <w:rPr>
          <w:color w:val="000000"/>
          <w:szCs w:val="22"/>
        </w:rPr>
        <w:t>e tablety. Majú označenie „</w:t>
      </w:r>
      <w:r>
        <w:rPr>
          <w:color w:val="000000"/>
          <w:szCs w:val="22"/>
        </w:rPr>
        <w:t>glivec“ na jednej strane.</w:t>
      </w:r>
    </w:p>
    <w:p w14:paraId="32368DEF" w14:textId="77777777" w:rsidR="00F72C2E" w:rsidRPr="00C83045" w:rsidRDefault="00F72C2E" w:rsidP="00D4304B">
      <w:pPr>
        <w:widowControl w:val="0"/>
        <w:numPr>
          <w:ilvl w:val="12"/>
          <w:numId w:val="0"/>
        </w:numPr>
        <w:rPr>
          <w:color w:val="000000"/>
          <w:szCs w:val="22"/>
        </w:rPr>
      </w:pPr>
    </w:p>
    <w:p w14:paraId="7A60A8D5" w14:textId="160D03E2" w:rsidR="00AF7051" w:rsidRDefault="007C58B4" w:rsidP="00D4304B">
      <w:pPr>
        <w:widowControl w:val="0"/>
        <w:numPr>
          <w:ilvl w:val="12"/>
          <w:numId w:val="0"/>
        </w:numPr>
        <w:rPr>
          <w:color w:val="000000"/>
          <w:szCs w:val="22"/>
        </w:rPr>
      </w:pPr>
      <w:r>
        <w:rPr>
          <w:color w:val="000000"/>
          <w:szCs w:val="22"/>
        </w:rPr>
        <w:t>Glivec 1</w:t>
      </w:r>
      <w:r w:rsidRPr="00C83045">
        <w:rPr>
          <w:color w:val="000000"/>
          <w:szCs w:val="22"/>
        </w:rPr>
        <w:t xml:space="preserve">00 mg filmom obalené tablety </w:t>
      </w:r>
      <w:r>
        <w:rPr>
          <w:color w:val="000000"/>
          <w:szCs w:val="22"/>
        </w:rPr>
        <w:t>sa d</w:t>
      </w:r>
      <w:r w:rsidR="00F72C2E" w:rsidRPr="00C83045">
        <w:rPr>
          <w:color w:val="000000"/>
          <w:szCs w:val="22"/>
        </w:rPr>
        <w:t>odávajú v baleniach obsahujúcich 20, 60, 120 alebo 180 tabliet</w:t>
      </w:r>
      <w:r w:rsidR="00AF7051">
        <w:rPr>
          <w:color w:val="000000"/>
          <w:szCs w:val="22"/>
        </w:rPr>
        <w:t>.</w:t>
      </w:r>
    </w:p>
    <w:p w14:paraId="2E9B4EDB" w14:textId="7BD31196" w:rsidR="00AF7051" w:rsidRDefault="00AF7051" w:rsidP="00D4304B">
      <w:pPr>
        <w:widowControl w:val="0"/>
        <w:numPr>
          <w:ilvl w:val="12"/>
          <w:numId w:val="0"/>
        </w:numPr>
        <w:rPr>
          <w:color w:val="000000"/>
          <w:szCs w:val="22"/>
        </w:rPr>
      </w:pPr>
      <w:r>
        <w:rPr>
          <w:color w:val="000000"/>
          <w:szCs w:val="22"/>
        </w:rPr>
        <w:t>Glivec 4</w:t>
      </w:r>
      <w:r w:rsidRPr="00C83045">
        <w:rPr>
          <w:color w:val="000000"/>
          <w:szCs w:val="22"/>
        </w:rPr>
        <w:t xml:space="preserve">00 mg filmom obalené tablety </w:t>
      </w:r>
      <w:r>
        <w:rPr>
          <w:color w:val="000000"/>
          <w:szCs w:val="22"/>
        </w:rPr>
        <w:t>sa d</w:t>
      </w:r>
      <w:r w:rsidRPr="00C83045">
        <w:rPr>
          <w:color w:val="000000"/>
          <w:szCs w:val="22"/>
        </w:rPr>
        <w:t>odáva</w:t>
      </w:r>
      <w:r w:rsidR="00C05F3B">
        <w:rPr>
          <w:color w:val="000000"/>
          <w:szCs w:val="22"/>
        </w:rPr>
        <w:t xml:space="preserve">jú </w:t>
      </w:r>
      <w:r>
        <w:rPr>
          <w:color w:val="000000"/>
          <w:szCs w:val="22"/>
        </w:rPr>
        <w:t>v baleniach obsahujúcich 10, 3</w:t>
      </w:r>
      <w:r w:rsidRPr="00C83045">
        <w:rPr>
          <w:color w:val="000000"/>
          <w:szCs w:val="22"/>
        </w:rPr>
        <w:t>0</w:t>
      </w:r>
      <w:r>
        <w:rPr>
          <w:color w:val="000000"/>
          <w:szCs w:val="22"/>
        </w:rPr>
        <w:t xml:space="preserve"> alebo 9</w:t>
      </w:r>
      <w:r w:rsidRPr="00C83045">
        <w:rPr>
          <w:color w:val="000000"/>
          <w:szCs w:val="22"/>
        </w:rPr>
        <w:t>0 tabliet</w:t>
      </w:r>
      <w:r>
        <w:rPr>
          <w:color w:val="000000"/>
          <w:szCs w:val="22"/>
        </w:rPr>
        <w:t>.</w:t>
      </w:r>
    </w:p>
    <w:p w14:paraId="32368DF0" w14:textId="0C5AB013" w:rsidR="00F72C2E" w:rsidRPr="00C83045" w:rsidRDefault="00AF7051" w:rsidP="00D4304B">
      <w:pPr>
        <w:widowControl w:val="0"/>
        <w:numPr>
          <w:ilvl w:val="12"/>
          <w:numId w:val="0"/>
        </w:numPr>
        <w:rPr>
          <w:color w:val="000000"/>
          <w:szCs w:val="22"/>
        </w:rPr>
      </w:pPr>
      <w:r>
        <w:rPr>
          <w:color w:val="000000"/>
          <w:szCs w:val="22"/>
        </w:rPr>
        <w:t>V</w:t>
      </w:r>
      <w:r w:rsidR="00F72C2E" w:rsidRPr="00C83045">
        <w:rPr>
          <w:color w:val="000000"/>
          <w:szCs w:val="22"/>
        </w:rPr>
        <w:t>šetky balenia nemusia byť dostupné vo</w:t>
      </w:r>
      <w:r w:rsidR="00133258" w:rsidRPr="00C83045">
        <w:rPr>
          <w:color w:val="000000"/>
          <w:szCs w:val="22"/>
        </w:rPr>
        <w:t xml:space="preserve"> v</w:t>
      </w:r>
      <w:r w:rsidR="00F72C2E" w:rsidRPr="00C83045">
        <w:rPr>
          <w:color w:val="000000"/>
          <w:szCs w:val="22"/>
        </w:rPr>
        <w:t>ašej krajine.</w:t>
      </w:r>
    </w:p>
    <w:p w14:paraId="32368DF1" w14:textId="77777777" w:rsidR="00F72C2E" w:rsidRPr="00C83045" w:rsidRDefault="00F72C2E" w:rsidP="00D4304B">
      <w:pPr>
        <w:widowControl w:val="0"/>
        <w:numPr>
          <w:ilvl w:val="12"/>
          <w:numId w:val="0"/>
        </w:numPr>
        <w:rPr>
          <w:color w:val="000000"/>
          <w:szCs w:val="22"/>
        </w:rPr>
      </w:pPr>
    </w:p>
    <w:p w14:paraId="32368DF2" w14:textId="77777777" w:rsidR="00F72C2E" w:rsidRPr="00C83045" w:rsidRDefault="00F72C2E" w:rsidP="00D4304B">
      <w:pPr>
        <w:keepNext/>
        <w:widowControl w:val="0"/>
        <w:numPr>
          <w:ilvl w:val="12"/>
          <w:numId w:val="0"/>
        </w:numPr>
        <w:rPr>
          <w:b/>
          <w:color w:val="000000"/>
          <w:szCs w:val="22"/>
        </w:rPr>
      </w:pPr>
      <w:r w:rsidRPr="00C83045">
        <w:rPr>
          <w:b/>
          <w:color w:val="000000"/>
          <w:szCs w:val="22"/>
        </w:rPr>
        <w:t>Držiteľ rozhodnutia o registrácii</w:t>
      </w:r>
    </w:p>
    <w:p w14:paraId="32368DF3" w14:textId="77777777" w:rsidR="00F72C2E" w:rsidRPr="00C83045" w:rsidRDefault="00F72C2E" w:rsidP="00D4304B">
      <w:pPr>
        <w:keepNext/>
        <w:widowControl w:val="0"/>
        <w:ind w:left="0" w:firstLine="0"/>
        <w:rPr>
          <w:bCs/>
          <w:color w:val="000000"/>
          <w:szCs w:val="22"/>
        </w:rPr>
      </w:pPr>
      <w:r w:rsidRPr="00C83045">
        <w:rPr>
          <w:bCs/>
          <w:color w:val="000000"/>
          <w:szCs w:val="22"/>
        </w:rPr>
        <w:t>Novartis Europharm Limited</w:t>
      </w:r>
    </w:p>
    <w:p w14:paraId="32368DF4" w14:textId="77777777" w:rsidR="006E79DA" w:rsidRPr="00EB33FE" w:rsidRDefault="006E79DA" w:rsidP="00D4304B">
      <w:pPr>
        <w:keepNext/>
        <w:widowControl w:val="0"/>
        <w:rPr>
          <w:color w:val="000000"/>
        </w:rPr>
      </w:pPr>
      <w:r w:rsidRPr="00EB33FE">
        <w:rPr>
          <w:color w:val="000000"/>
        </w:rPr>
        <w:t>Vista Building</w:t>
      </w:r>
    </w:p>
    <w:p w14:paraId="32368DF5" w14:textId="77777777" w:rsidR="006E79DA" w:rsidRPr="00EB33FE" w:rsidRDefault="006E79DA" w:rsidP="00D4304B">
      <w:pPr>
        <w:keepNext/>
        <w:widowControl w:val="0"/>
        <w:rPr>
          <w:color w:val="000000"/>
        </w:rPr>
      </w:pPr>
      <w:r w:rsidRPr="00EB33FE">
        <w:rPr>
          <w:color w:val="000000"/>
        </w:rPr>
        <w:t>Elm Park, Merrion Road</w:t>
      </w:r>
    </w:p>
    <w:p w14:paraId="32368DF6" w14:textId="77777777" w:rsidR="006E79DA" w:rsidRPr="00EB33FE" w:rsidRDefault="006E79DA" w:rsidP="00D4304B">
      <w:pPr>
        <w:keepNext/>
        <w:widowControl w:val="0"/>
        <w:rPr>
          <w:color w:val="000000"/>
        </w:rPr>
      </w:pPr>
      <w:r w:rsidRPr="00EB33FE">
        <w:rPr>
          <w:color w:val="000000"/>
        </w:rPr>
        <w:t>Dublin 4</w:t>
      </w:r>
    </w:p>
    <w:p w14:paraId="32368DF7" w14:textId="77777777" w:rsidR="006E79DA" w:rsidRDefault="006E79DA" w:rsidP="00D4304B">
      <w:pPr>
        <w:widowControl w:val="0"/>
        <w:rPr>
          <w:color w:val="000000"/>
        </w:rPr>
      </w:pPr>
      <w:r w:rsidRPr="00EB33FE">
        <w:rPr>
          <w:color w:val="000000"/>
        </w:rPr>
        <w:t>Írsko</w:t>
      </w:r>
    </w:p>
    <w:p w14:paraId="32368DF8" w14:textId="77777777" w:rsidR="00F72C2E" w:rsidRPr="00C83045" w:rsidRDefault="00F72C2E" w:rsidP="00D4304B">
      <w:pPr>
        <w:widowControl w:val="0"/>
        <w:numPr>
          <w:ilvl w:val="12"/>
          <w:numId w:val="0"/>
        </w:numPr>
        <w:rPr>
          <w:color w:val="000000"/>
          <w:szCs w:val="22"/>
        </w:rPr>
      </w:pPr>
    </w:p>
    <w:p w14:paraId="32368DF9" w14:textId="77777777" w:rsidR="00F72C2E" w:rsidRPr="00C83045" w:rsidRDefault="00F72C2E" w:rsidP="00D4304B">
      <w:pPr>
        <w:keepNext/>
        <w:widowControl w:val="0"/>
        <w:numPr>
          <w:ilvl w:val="12"/>
          <w:numId w:val="0"/>
        </w:numPr>
        <w:rPr>
          <w:b/>
          <w:color w:val="000000"/>
          <w:szCs w:val="22"/>
        </w:rPr>
      </w:pPr>
      <w:r w:rsidRPr="00C83045">
        <w:rPr>
          <w:b/>
          <w:color w:val="000000"/>
          <w:szCs w:val="22"/>
        </w:rPr>
        <w:t>Výrobca</w:t>
      </w:r>
    </w:p>
    <w:p w14:paraId="32368DFA" w14:textId="77777777" w:rsidR="00493039" w:rsidRPr="00CD056A" w:rsidRDefault="00493039" w:rsidP="00D4304B">
      <w:pPr>
        <w:keepNext/>
        <w:widowControl w:val="0"/>
        <w:tabs>
          <w:tab w:val="left" w:pos="7513"/>
        </w:tabs>
        <w:ind w:left="562" w:hanging="562"/>
        <w:rPr>
          <w:szCs w:val="22"/>
        </w:rPr>
      </w:pPr>
      <w:r w:rsidRPr="00CD056A">
        <w:rPr>
          <w:szCs w:val="22"/>
        </w:rPr>
        <w:t>Lek d.d, PE PROIZVODNJA LENDAVA</w:t>
      </w:r>
    </w:p>
    <w:p w14:paraId="32368DFB" w14:textId="77777777" w:rsidR="00493039" w:rsidRPr="001968F8" w:rsidRDefault="00493039" w:rsidP="00D4304B">
      <w:pPr>
        <w:keepNext/>
        <w:widowControl w:val="0"/>
        <w:tabs>
          <w:tab w:val="left" w:pos="7513"/>
        </w:tabs>
        <w:ind w:left="562" w:hanging="562"/>
        <w:rPr>
          <w:szCs w:val="22"/>
          <w:lang w:val="fr-CH"/>
        </w:rPr>
      </w:pPr>
      <w:r w:rsidRPr="001968F8">
        <w:rPr>
          <w:szCs w:val="22"/>
          <w:lang w:val="fr-CH"/>
        </w:rPr>
        <w:t>Trimlini 2D</w:t>
      </w:r>
    </w:p>
    <w:p w14:paraId="32368DFC" w14:textId="77777777" w:rsidR="00493039" w:rsidRPr="001968F8" w:rsidRDefault="00493039" w:rsidP="00D4304B">
      <w:pPr>
        <w:keepNext/>
        <w:widowControl w:val="0"/>
        <w:tabs>
          <w:tab w:val="left" w:pos="7513"/>
        </w:tabs>
        <w:ind w:left="562" w:hanging="562"/>
        <w:rPr>
          <w:szCs w:val="22"/>
          <w:lang w:val="fr-CH"/>
        </w:rPr>
      </w:pPr>
      <w:r w:rsidRPr="001968F8">
        <w:rPr>
          <w:szCs w:val="22"/>
          <w:lang w:val="fr-CH"/>
        </w:rPr>
        <w:t>Lendava, 9220</w:t>
      </w:r>
    </w:p>
    <w:p w14:paraId="32368DFD" w14:textId="77777777" w:rsidR="00493039" w:rsidRPr="00D82B20" w:rsidRDefault="00493039" w:rsidP="00D4304B">
      <w:pPr>
        <w:widowControl w:val="0"/>
        <w:tabs>
          <w:tab w:val="left" w:pos="7513"/>
        </w:tabs>
        <w:rPr>
          <w:szCs w:val="22"/>
          <w:lang w:val="fr-CH"/>
        </w:rPr>
      </w:pPr>
      <w:r w:rsidRPr="00D82B20">
        <w:rPr>
          <w:szCs w:val="22"/>
          <w:lang w:val="fr-CH"/>
        </w:rPr>
        <w:t>Slovinsko</w:t>
      </w:r>
    </w:p>
    <w:p w14:paraId="32368DFE" w14:textId="77777777" w:rsidR="00493039" w:rsidRPr="00D82B20" w:rsidRDefault="00493039" w:rsidP="00D4304B">
      <w:pPr>
        <w:widowControl w:val="0"/>
        <w:tabs>
          <w:tab w:val="left" w:pos="7513"/>
        </w:tabs>
        <w:rPr>
          <w:szCs w:val="22"/>
          <w:lang w:val="fr-CH"/>
        </w:rPr>
      </w:pPr>
    </w:p>
    <w:p w14:paraId="32368DFF" w14:textId="77777777" w:rsidR="00F72C2E" w:rsidRPr="00D82B20" w:rsidRDefault="00F72C2E" w:rsidP="00D4304B">
      <w:pPr>
        <w:keepNext/>
        <w:widowControl w:val="0"/>
        <w:numPr>
          <w:ilvl w:val="12"/>
          <w:numId w:val="0"/>
        </w:numPr>
        <w:rPr>
          <w:color w:val="000000"/>
          <w:szCs w:val="22"/>
          <w:shd w:val="pct15" w:color="auto" w:fill="auto"/>
        </w:rPr>
      </w:pPr>
      <w:r w:rsidRPr="00D82B20">
        <w:rPr>
          <w:color w:val="000000"/>
          <w:szCs w:val="22"/>
          <w:shd w:val="pct15" w:color="auto" w:fill="auto"/>
        </w:rPr>
        <w:t>Novartis Pharma GmbH</w:t>
      </w:r>
    </w:p>
    <w:p w14:paraId="32368E00" w14:textId="77777777" w:rsidR="00F72C2E" w:rsidRPr="00D82B20" w:rsidRDefault="00F72C2E" w:rsidP="00D4304B">
      <w:pPr>
        <w:keepNext/>
        <w:widowControl w:val="0"/>
        <w:numPr>
          <w:ilvl w:val="12"/>
          <w:numId w:val="0"/>
        </w:numPr>
        <w:rPr>
          <w:color w:val="000000"/>
          <w:szCs w:val="22"/>
          <w:shd w:val="pct15" w:color="auto" w:fill="auto"/>
        </w:rPr>
      </w:pPr>
      <w:r w:rsidRPr="00D82B20">
        <w:rPr>
          <w:color w:val="000000"/>
          <w:szCs w:val="22"/>
          <w:shd w:val="pct15" w:color="auto" w:fill="auto"/>
        </w:rPr>
        <w:t>Roonstrasse 25</w:t>
      </w:r>
    </w:p>
    <w:p w14:paraId="32368E01" w14:textId="77777777" w:rsidR="00F72C2E" w:rsidRPr="00D82B20" w:rsidRDefault="00F72C2E" w:rsidP="00D4304B">
      <w:pPr>
        <w:keepNext/>
        <w:widowControl w:val="0"/>
        <w:numPr>
          <w:ilvl w:val="12"/>
          <w:numId w:val="0"/>
        </w:numPr>
        <w:rPr>
          <w:color w:val="000000"/>
          <w:szCs w:val="22"/>
          <w:shd w:val="pct15" w:color="auto" w:fill="auto"/>
        </w:rPr>
      </w:pPr>
      <w:r w:rsidRPr="00D82B20">
        <w:rPr>
          <w:color w:val="000000"/>
          <w:szCs w:val="22"/>
          <w:shd w:val="pct15" w:color="auto" w:fill="auto"/>
        </w:rPr>
        <w:t>D-90429 Norimberg</w:t>
      </w:r>
    </w:p>
    <w:p w14:paraId="32368E02" w14:textId="77777777" w:rsidR="00F72C2E" w:rsidRPr="00D82B20" w:rsidRDefault="00F72C2E" w:rsidP="00D4304B">
      <w:pPr>
        <w:widowControl w:val="0"/>
        <w:numPr>
          <w:ilvl w:val="12"/>
          <w:numId w:val="0"/>
        </w:numPr>
        <w:rPr>
          <w:color w:val="000000"/>
          <w:szCs w:val="22"/>
          <w:shd w:val="pct15" w:color="auto" w:fill="auto"/>
        </w:rPr>
      </w:pPr>
      <w:r w:rsidRPr="00D82B20">
        <w:rPr>
          <w:color w:val="000000"/>
          <w:szCs w:val="22"/>
          <w:shd w:val="pct15" w:color="auto" w:fill="auto"/>
        </w:rPr>
        <w:t>Nemecko</w:t>
      </w:r>
    </w:p>
    <w:p w14:paraId="32368E03" w14:textId="77777777" w:rsidR="00F72C2E" w:rsidRPr="00C83045" w:rsidRDefault="00F72C2E" w:rsidP="00D4304B">
      <w:pPr>
        <w:widowControl w:val="0"/>
        <w:numPr>
          <w:ilvl w:val="12"/>
          <w:numId w:val="0"/>
        </w:numPr>
        <w:rPr>
          <w:color w:val="000000"/>
          <w:szCs w:val="22"/>
        </w:rPr>
      </w:pPr>
    </w:p>
    <w:p w14:paraId="32368E04" w14:textId="77777777" w:rsidR="00F72C2E" w:rsidRPr="00C83045" w:rsidRDefault="00F72C2E" w:rsidP="00D4304B">
      <w:pPr>
        <w:keepNext/>
        <w:widowControl w:val="0"/>
        <w:numPr>
          <w:ilvl w:val="12"/>
          <w:numId w:val="0"/>
        </w:numPr>
        <w:rPr>
          <w:color w:val="000000"/>
          <w:szCs w:val="22"/>
        </w:rPr>
      </w:pPr>
      <w:r w:rsidRPr="00C83045">
        <w:rPr>
          <w:color w:val="000000"/>
          <w:szCs w:val="22"/>
        </w:rPr>
        <w:t>Ak potrebujete akúkoľvek informáciu o tomto lieku, kontaktujte miestneho zástupcu držiteľa rozhodnutia o registrácii:</w:t>
      </w:r>
    </w:p>
    <w:p w14:paraId="32368E05" w14:textId="77777777" w:rsidR="00CF747B" w:rsidRPr="00C83045" w:rsidRDefault="00CF747B" w:rsidP="00D4304B">
      <w:pPr>
        <w:keepNext/>
        <w:widowControl w:val="0"/>
        <w:ind w:right="-449"/>
        <w:rPr>
          <w:color w:val="000000"/>
          <w:szCs w:val="22"/>
        </w:rPr>
      </w:pPr>
    </w:p>
    <w:tbl>
      <w:tblPr>
        <w:tblW w:w="9300" w:type="dxa"/>
        <w:tblLayout w:type="fixed"/>
        <w:tblLook w:val="0000" w:firstRow="0" w:lastRow="0" w:firstColumn="0" w:lastColumn="0" w:noHBand="0" w:noVBand="0"/>
      </w:tblPr>
      <w:tblGrid>
        <w:gridCol w:w="4650"/>
        <w:gridCol w:w="4650"/>
      </w:tblGrid>
      <w:tr w:rsidR="00CF747B" w:rsidRPr="006E79DA" w14:paraId="32368E0E" w14:textId="77777777" w:rsidTr="00500409">
        <w:trPr>
          <w:cantSplit/>
        </w:trPr>
        <w:tc>
          <w:tcPr>
            <w:tcW w:w="4650" w:type="dxa"/>
          </w:tcPr>
          <w:p w14:paraId="32368E06" w14:textId="77777777" w:rsidR="00CF747B" w:rsidRPr="00C83045" w:rsidRDefault="00CF747B" w:rsidP="00D4304B">
            <w:pPr>
              <w:widowControl w:val="0"/>
              <w:rPr>
                <w:b/>
                <w:color w:val="000000"/>
                <w:szCs w:val="22"/>
                <w:lang w:val="fr-FR"/>
              </w:rPr>
            </w:pPr>
            <w:r w:rsidRPr="00C83045">
              <w:rPr>
                <w:b/>
                <w:color w:val="000000"/>
                <w:szCs w:val="22"/>
                <w:lang w:val="fr-FR"/>
              </w:rPr>
              <w:t>België/Belgique/Belgien</w:t>
            </w:r>
          </w:p>
          <w:p w14:paraId="32368E07" w14:textId="77777777" w:rsidR="00CF747B" w:rsidRPr="00C83045" w:rsidRDefault="00CF747B" w:rsidP="00D4304B">
            <w:pPr>
              <w:widowControl w:val="0"/>
              <w:rPr>
                <w:color w:val="000000"/>
                <w:szCs w:val="22"/>
                <w:lang w:val="fr-FR"/>
              </w:rPr>
            </w:pPr>
            <w:r w:rsidRPr="00C83045">
              <w:rPr>
                <w:color w:val="000000"/>
                <w:szCs w:val="22"/>
                <w:lang w:val="fr-FR"/>
              </w:rPr>
              <w:t>Novartis Pharma N.V.</w:t>
            </w:r>
          </w:p>
          <w:p w14:paraId="32368E08" w14:textId="77777777" w:rsidR="00CF747B" w:rsidRPr="00C83045" w:rsidRDefault="00CF747B" w:rsidP="00D4304B">
            <w:pPr>
              <w:widowControl w:val="0"/>
              <w:rPr>
                <w:color w:val="000000"/>
                <w:szCs w:val="22"/>
              </w:rPr>
            </w:pPr>
            <w:r w:rsidRPr="00C83045">
              <w:rPr>
                <w:color w:val="000000"/>
                <w:szCs w:val="22"/>
              </w:rPr>
              <w:t>Tél/Tel: +32 2 246 16 11</w:t>
            </w:r>
          </w:p>
          <w:p w14:paraId="32368E09" w14:textId="77777777" w:rsidR="00CF747B" w:rsidRPr="00C83045" w:rsidRDefault="00CF747B" w:rsidP="00D4304B">
            <w:pPr>
              <w:widowControl w:val="0"/>
              <w:rPr>
                <w:b/>
                <w:color w:val="000000"/>
                <w:szCs w:val="22"/>
              </w:rPr>
            </w:pPr>
          </w:p>
        </w:tc>
        <w:tc>
          <w:tcPr>
            <w:tcW w:w="4650" w:type="dxa"/>
          </w:tcPr>
          <w:p w14:paraId="32368E0A" w14:textId="77777777" w:rsidR="00CF747B" w:rsidRPr="006E79DA" w:rsidRDefault="00CF747B" w:rsidP="00D4304B">
            <w:pPr>
              <w:widowControl w:val="0"/>
              <w:rPr>
                <w:b/>
                <w:color w:val="000000"/>
                <w:szCs w:val="22"/>
                <w:lang w:val="es-ES"/>
              </w:rPr>
            </w:pPr>
            <w:r w:rsidRPr="006E79DA">
              <w:rPr>
                <w:b/>
                <w:color w:val="000000"/>
                <w:szCs w:val="22"/>
                <w:lang w:val="es-ES"/>
              </w:rPr>
              <w:t>Lietuva</w:t>
            </w:r>
          </w:p>
          <w:p w14:paraId="32368E0B" w14:textId="35658A25" w:rsidR="007F105B" w:rsidRPr="007F105B" w:rsidRDefault="007F105B" w:rsidP="00D4304B">
            <w:pPr>
              <w:widowControl w:val="0"/>
              <w:rPr>
                <w:color w:val="000000"/>
                <w:szCs w:val="22"/>
                <w:lang w:val="es-ES"/>
              </w:rPr>
            </w:pPr>
            <w:r w:rsidRPr="007F105B">
              <w:rPr>
                <w:color w:val="000000"/>
                <w:szCs w:val="22"/>
                <w:lang w:val="es-ES"/>
              </w:rPr>
              <w:t>SIA Novartis Baltics Lietuvos filialas</w:t>
            </w:r>
          </w:p>
          <w:p w14:paraId="32368E0C" w14:textId="77777777" w:rsidR="00CF747B" w:rsidRPr="00C83045" w:rsidRDefault="00CF747B" w:rsidP="00D4304B">
            <w:pPr>
              <w:widowControl w:val="0"/>
              <w:rPr>
                <w:color w:val="000000"/>
                <w:szCs w:val="22"/>
              </w:rPr>
            </w:pPr>
            <w:r w:rsidRPr="00C83045">
              <w:rPr>
                <w:color w:val="000000"/>
                <w:szCs w:val="22"/>
              </w:rPr>
              <w:t>Tel: +370 5 269 16 50</w:t>
            </w:r>
          </w:p>
          <w:p w14:paraId="32368E0D" w14:textId="77777777" w:rsidR="00CF747B" w:rsidRPr="006E79DA" w:rsidRDefault="00CF747B" w:rsidP="00D4304B">
            <w:pPr>
              <w:widowControl w:val="0"/>
              <w:rPr>
                <w:color w:val="000000"/>
                <w:szCs w:val="22"/>
                <w:lang w:val="es-ES"/>
              </w:rPr>
            </w:pPr>
          </w:p>
        </w:tc>
      </w:tr>
      <w:tr w:rsidR="00CF747B" w:rsidRPr="00C83045" w14:paraId="32368E17" w14:textId="77777777" w:rsidTr="00500409">
        <w:trPr>
          <w:cantSplit/>
        </w:trPr>
        <w:tc>
          <w:tcPr>
            <w:tcW w:w="4650" w:type="dxa"/>
          </w:tcPr>
          <w:p w14:paraId="32368E0F" w14:textId="77777777" w:rsidR="00CF747B" w:rsidRPr="00CD056A" w:rsidRDefault="00CF747B" w:rsidP="00D4304B">
            <w:pPr>
              <w:widowControl w:val="0"/>
              <w:rPr>
                <w:b/>
                <w:noProof/>
                <w:color w:val="000000"/>
                <w:szCs w:val="22"/>
                <w:lang w:val="es-ES"/>
              </w:rPr>
            </w:pPr>
            <w:r w:rsidRPr="00C83045">
              <w:rPr>
                <w:b/>
                <w:noProof/>
                <w:color w:val="000000"/>
                <w:szCs w:val="22"/>
              </w:rPr>
              <w:t>България</w:t>
            </w:r>
          </w:p>
          <w:p w14:paraId="32368E10" w14:textId="77777777" w:rsidR="00CF747B" w:rsidRPr="00CD056A" w:rsidRDefault="009F23CA" w:rsidP="00D4304B">
            <w:pPr>
              <w:widowControl w:val="0"/>
              <w:rPr>
                <w:noProof/>
                <w:color w:val="000000"/>
                <w:szCs w:val="22"/>
                <w:lang w:val="es-ES"/>
              </w:rPr>
            </w:pPr>
            <w:r w:rsidRPr="00CD056A">
              <w:rPr>
                <w:szCs w:val="22"/>
                <w:lang w:val="es-ES"/>
              </w:rPr>
              <w:t>Novartis Bulgaria EOOD</w:t>
            </w:r>
          </w:p>
          <w:p w14:paraId="32368E11" w14:textId="77777777" w:rsidR="00CF747B" w:rsidRPr="00C83045" w:rsidRDefault="00CF747B" w:rsidP="00D4304B">
            <w:pPr>
              <w:widowControl w:val="0"/>
              <w:rPr>
                <w:noProof/>
                <w:color w:val="000000"/>
                <w:szCs w:val="22"/>
              </w:rPr>
            </w:pPr>
            <w:r w:rsidRPr="00C83045">
              <w:rPr>
                <w:noProof/>
                <w:color w:val="000000"/>
                <w:szCs w:val="22"/>
              </w:rPr>
              <w:t>Тел.: +359 2 489 98 28</w:t>
            </w:r>
          </w:p>
          <w:p w14:paraId="32368E12" w14:textId="77777777" w:rsidR="00CF747B" w:rsidRPr="00C83045" w:rsidRDefault="00CF747B" w:rsidP="00D4304B">
            <w:pPr>
              <w:widowControl w:val="0"/>
              <w:rPr>
                <w:b/>
                <w:color w:val="000000"/>
                <w:szCs w:val="22"/>
                <w:lang w:val="pt-BR"/>
              </w:rPr>
            </w:pPr>
          </w:p>
        </w:tc>
        <w:tc>
          <w:tcPr>
            <w:tcW w:w="4650" w:type="dxa"/>
          </w:tcPr>
          <w:p w14:paraId="32368E13" w14:textId="77777777" w:rsidR="00CF747B" w:rsidRPr="00C83045" w:rsidRDefault="00CF747B" w:rsidP="00D4304B">
            <w:pPr>
              <w:widowControl w:val="0"/>
              <w:rPr>
                <w:b/>
                <w:color w:val="000000"/>
                <w:szCs w:val="22"/>
                <w:lang w:val="de-CH"/>
              </w:rPr>
            </w:pPr>
            <w:r w:rsidRPr="00C83045">
              <w:rPr>
                <w:b/>
                <w:color w:val="000000"/>
                <w:szCs w:val="22"/>
                <w:lang w:val="de-CH"/>
              </w:rPr>
              <w:t>Luxembourg/Luxemburg</w:t>
            </w:r>
          </w:p>
          <w:p w14:paraId="32368E14" w14:textId="77777777" w:rsidR="00CF747B" w:rsidRPr="00C83045" w:rsidRDefault="00CF747B" w:rsidP="00D4304B">
            <w:pPr>
              <w:widowControl w:val="0"/>
              <w:rPr>
                <w:color w:val="000000"/>
                <w:szCs w:val="22"/>
                <w:lang w:val="de-CH"/>
              </w:rPr>
            </w:pPr>
            <w:r w:rsidRPr="00C83045">
              <w:rPr>
                <w:color w:val="000000"/>
                <w:szCs w:val="22"/>
                <w:lang w:val="de-CH"/>
              </w:rPr>
              <w:t>Novartis Pharma N.V.</w:t>
            </w:r>
          </w:p>
          <w:p w14:paraId="32368E15" w14:textId="77777777" w:rsidR="00CF747B" w:rsidRPr="00C83045" w:rsidRDefault="00CF747B" w:rsidP="00D4304B">
            <w:pPr>
              <w:widowControl w:val="0"/>
              <w:rPr>
                <w:color w:val="000000"/>
                <w:szCs w:val="22"/>
                <w:lang w:val="de-CH"/>
              </w:rPr>
            </w:pPr>
            <w:r w:rsidRPr="00C83045">
              <w:rPr>
                <w:color w:val="000000"/>
                <w:szCs w:val="22"/>
                <w:lang w:val="de-CH"/>
              </w:rPr>
              <w:t>Tél/Tel: +32 2 246 16 11</w:t>
            </w:r>
          </w:p>
          <w:p w14:paraId="32368E16" w14:textId="77777777" w:rsidR="00CF747B" w:rsidRPr="00C83045" w:rsidRDefault="00CF747B" w:rsidP="00D4304B">
            <w:pPr>
              <w:widowControl w:val="0"/>
              <w:rPr>
                <w:color w:val="000000"/>
                <w:szCs w:val="22"/>
                <w:lang w:val="de-CH"/>
              </w:rPr>
            </w:pPr>
          </w:p>
        </w:tc>
      </w:tr>
      <w:tr w:rsidR="00CF747B" w:rsidRPr="00C83045" w14:paraId="32368E1F" w14:textId="77777777" w:rsidTr="00500409">
        <w:trPr>
          <w:cantSplit/>
        </w:trPr>
        <w:tc>
          <w:tcPr>
            <w:tcW w:w="4650" w:type="dxa"/>
          </w:tcPr>
          <w:p w14:paraId="32368E18" w14:textId="77777777" w:rsidR="00CF747B" w:rsidRPr="00C83045" w:rsidRDefault="00CF747B" w:rsidP="00D4304B">
            <w:pPr>
              <w:widowControl w:val="0"/>
              <w:rPr>
                <w:b/>
                <w:color w:val="000000"/>
                <w:szCs w:val="22"/>
                <w:lang w:val="pt-BR"/>
              </w:rPr>
            </w:pPr>
            <w:r w:rsidRPr="00C83045">
              <w:rPr>
                <w:b/>
                <w:color w:val="000000"/>
                <w:szCs w:val="22"/>
                <w:lang w:val="pt-BR"/>
              </w:rPr>
              <w:lastRenderedPageBreak/>
              <w:t>Česká republika</w:t>
            </w:r>
          </w:p>
          <w:p w14:paraId="32368E19" w14:textId="77777777" w:rsidR="00CF747B" w:rsidRPr="00C83045" w:rsidRDefault="00CF747B" w:rsidP="00D4304B">
            <w:pPr>
              <w:widowControl w:val="0"/>
              <w:rPr>
                <w:color w:val="000000"/>
                <w:szCs w:val="22"/>
                <w:lang w:val="pt-BR"/>
              </w:rPr>
            </w:pPr>
            <w:r w:rsidRPr="00C83045">
              <w:rPr>
                <w:color w:val="000000"/>
                <w:szCs w:val="22"/>
                <w:lang w:val="pt-BR"/>
              </w:rPr>
              <w:t>Novartis s.r.o.</w:t>
            </w:r>
          </w:p>
          <w:p w14:paraId="32368E1A" w14:textId="77777777" w:rsidR="00CF747B" w:rsidRPr="00C83045" w:rsidRDefault="00CF747B" w:rsidP="00D4304B">
            <w:pPr>
              <w:widowControl w:val="0"/>
              <w:rPr>
                <w:color w:val="000000"/>
                <w:szCs w:val="22"/>
              </w:rPr>
            </w:pPr>
            <w:r w:rsidRPr="00C83045">
              <w:rPr>
                <w:color w:val="000000"/>
                <w:szCs w:val="22"/>
              </w:rPr>
              <w:t>Tel: +420 225 775 111</w:t>
            </w:r>
          </w:p>
          <w:p w14:paraId="32368E1B" w14:textId="77777777" w:rsidR="00CF747B" w:rsidRPr="00C83045" w:rsidRDefault="00CF747B" w:rsidP="00D4304B">
            <w:pPr>
              <w:widowControl w:val="0"/>
              <w:rPr>
                <w:b/>
                <w:color w:val="000000"/>
                <w:szCs w:val="22"/>
              </w:rPr>
            </w:pPr>
          </w:p>
        </w:tc>
        <w:tc>
          <w:tcPr>
            <w:tcW w:w="4650" w:type="dxa"/>
          </w:tcPr>
          <w:p w14:paraId="32368E1C" w14:textId="77777777" w:rsidR="00CF747B" w:rsidRPr="00C83045" w:rsidRDefault="00CF747B" w:rsidP="00D4304B">
            <w:pPr>
              <w:widowControl w:val="0"/>
              <w:rPr>
                <w:b/>
                <w:color w:val="000000"/>
                <w:szCs w:val="22"/>
                <w:lang w:val="pt-BR"/>
              </w:rPr>
            </w:pPr>
            <w:r w:rsidRPr="00C83045">
              <w:rPr>
                <w:b/>
                <w:color w:val="000000"/>
                <w:szCs w:val="22"/>
                <w:lang w:val="pt-BR"/>
              </w:rPr>
              <w:t>Magyarország</w:t>
            </w:r>
          </w:p>
          <w:p w14:paraId="32368E1D" w14:textId="77777777" w:rsidR="00CF747B" w:rsidRPr="00C83045" w:rsidRDefault="00CF747B" w:rsidP="00D4304B">
            <w:pPr>
              <w:widowControl w:val="0"/>
              <w:rPr>
                <w:color w:val="000000"/>
                <w:szCs w:val="22"/>
                <w:lang w:val="pt-BR"/>
              </w:rPr>
            </w:pPr>
            <w:r w:rsidRPr="00C83045">
              <w:rPr>
                <w:color w:val="000000"/>
                <w:szCs w:val="22"/>
                <w:lang w:val="pt-BR"/>
              </w:rPr>
              <w:t xml:space="preserve">Novartis Hungária Kft. </w:t>
            </w:r>
          </w:p>
          <w:p w14:paraId="32368E1E" w14:textId="77777777" w:rsidR="00CF747B" w:rsidRPr="00C83045" w:rsidRDefault="00CF747B" w:rsidP="00D4304B">
            <w:pPr>
              <w:widowControl w:val="0"/>
              <w:rPr>
                <w:color w:val="000000"/>
                <w:szCs w:val="22"/>
                <w:lang w:val="pt-BR"/>
              </w:rPr>
            </w:pPr>
            <w:r w:rsidRPr="00C83045">
              <w:rPr>
                <w:color w:val="000000"/>
                <w:szCs w:val="22"/>
                <w:lang w:val="pt-BR"/>
              </w:rPr>
              <w:t>Tel.: +36 1 457 65 00</w:t>
            </w:r>
          </w:p>
        </w:tc>
      </w:tr>
      <w:tr w:rsidR="00CF747B" w:rsidRPr="00C83045" w14:paraId="32368E27" w14:textId="77777777" w:rsidTr="00500409">
        <w:trPr>
          <w:cantSplit/>
        </w:trPr>
        <w:tc>
          <w:tcPr>
            <w:tcW w:w="4650" w:type="dxa"/>
          </w:tcPr>
          <w:p w14:paraId="32368E20" w14:textId="77777777" w:rsidR="00CF747B" w:rsidRPr="00C83045" w:rsidRDefault="00CF747B" w:rsidP="00D4304B">
            <w:pPr>
              <w:widowControl w:val="0"/>
              <w:rPr>
                <w:b/>
                <w:color w:val="000000"/>
                <w:szCs w:val="22"/>
              </w:rPr>
            </w:pPr>
            <w:r w:rsidRPr="00C83045">
              <w:rPr>
                <w:b/>
                <w:color w:val="000000"/>
                <w:szCs w:val="22"/>
              </w:rPr>
              <w:t>Danmark</w:t>
            </w:r>
          </w:p>
          <w:p w14:paraId="32368E21" w14:textId="77777777" w:rsidR="00CF747B" w:rsidRPr="00C83045" w:rsidRDefault="00CF747B" w:rsidP="00D4304B">
            <w:pPr>
              <w:widowControl w:val="0"/>
              <w:rPr>
                <w:color w:val="000000"/>
                <w:szCs w:val="22"/>
              </w:rPr>
            </w:pPr>
            <w:r w:rsidRPr="00C83045">
              <w:rPr>
                <w:color w:val="000000"/>
                <w:szCs w:val="22"/>
              </w:rPr>
              <w:t>Novartis Healthcare A/S</w:t>
            </w:r>
          </w:p>
          <w:p w14:paraId="32368E22" w14:textId="77777777" w:rsidR="00CF747B" w:rsidRPr="00C83045" w:rsidRDefault="00CF747B" w:rsidP="00D4304B">
            <w:pPr>
              <w:widowControl w:val="0"/>
              <w:rPr>
                <w:color w:val="000000"/>
                <w:szCs w:val="22"/>
              </w:rPr>
            </w:pPr>
            <w:r w:rsidRPr="00C83045">
              <w:rPr>
                <w:color w:val="000000"/>
                <w:szCs w:val="22"/>
              </w:rPr>
              <w:t>Tlf: +45 39 16 84 00</w:t>
            </w:r>
          </w:p>
          <w:p w14:paraId="32368E23" w14:textId="77777777" w:rsidR="00CF747B" w:rsidRPr="00C83045" w:rsidRDefault="00CF747B" w:rsidP="00D4304B">
            <w:pPr>
              <w:widowControl w:val="0"/>
              <w:rPr>
                <w:b/>
                <w:color w:val="000000"/>
                <w:szCs w:val="22"/>
              </w:rPr>
            </w:pPr>
          </w:p>
        </w:tc>
        <w:tc>
          <w:tcPr>
            <w:tcW w:w="4650" w:type="dxa"/>
          </w:tcPr>
          <w:p w14:paraId="32368E24" w14:textId="77777777" w:rsidR="00CF747B" w:rsidRPr="00C83045" w:rsidRDefault="00CF747B" w:rsidP="00D4304B">
            <w:pPr>
              <w:widowControl w:val="0"/>
              <w:rPr>
                <w:b/>
                <w:color w:val="000000"/>
                <w:szCs w:val="22"/>
                <w:lang w:val="pt-BR"/>
              </w:rPr>
            </w:pPr>
            <w:r w:rsidRPr="00C83045">
              <w:rPr>
                <w:b/>
                <w:color w:val="000000"/>
                <w:szCs w:val="22"/>
                <w:lang w:val="pt-BR"/>
              </w:rPr>
              <w:t>Malta</w:t>
            </w:r>
          </w:p>
          <w:p w14:paraId="32368E25" w14:textId="77777777" w:rsidR="00CF747B" w:rsidRPr="00C83045" w:rsidRDefault="00CF747B" w:rsidP="00D4304B">
            <w:pPr>
              <w:widowControl w:val="0"/>
              <w:rPr>
                <w:color w:val="000000"/>
                <w:szCs w:val="22"/>
                <w:lang w:val="pt-BR"/>
              </w:rPr>
            </w:pPr>
            <w:r w:rsidRPr="00C83045">
              <w:rPr>
                <w:color w:val="000000"/>
                <w:szCs w:val="22"/>
                <w:lang w:val="pt-BR"/>
              </w:rPr>
              <w:t>Novartis Pharma Services Inc.</w:t>
            </w:r>
          </w:p>
          <w:p w14:paraId="32368E26" w14:textId="77777777" w:rsidR="00CF747B" w:rsidRPr="00C83045" w:rsidRDefault="00CF747B" w:rsidP="00D4304B">
            <w:pPr>
              <w:widowControl w:val="0"/>
              <w:rPr>
                <w:color w:val="000000"/>
                <w:szCs w:val="22"/>
              </w:rPr>
            </w:pPr>
            <w:r w:rsidRPr="00C83045">
              <w:rPr>
                <w:color w:val="000000"/>
                <w:szCs w:val="22"/>
              </w:rPr>
              <w:t xml:space="preserve">Tel: +356 </w:t>
            </w:r>
            <w:r w:rsidRPr="00C83045">
              <w:rPr>
                <w:color w:val="000000"/>
              </w:rPr>
              <w:t>2122 2872</w:t>
            </w:r>
          </w:p>
        </w:tc>
      </w:tr>
      <w:tr w:rsidR="00CF747B" w:rsidRPr="00C83045" w14:paraId="32368E2F" w14:textId="77777777" w:rsidTr="00500409">
        <w:trPr>
          <w:cantSplit/>
        </w:trPr>
        <w:tc>
          <w:tcPr>
            <w:tcW w:w="4650" w:type="dxa"/>
          </w:tcPr>
          <w:p w14:paraId="32368E28" w14:textId="77777777" w:rsidR="00CF747B" w:rsidRPr="00C83045" w:rsidRDefault="00CF747B" w:rsidP="00D4304B">
            <w:pPr>
              <w:widowControl w:val="0"/>
              <w:rPr>
                <w:b/>
                <w:color w:val="000000"/>
                <w:szCs w:val="22"/>
                <w:lang w:val="de-CH"/>
              </w:rPr>
            </w:pPr>
            <w:r w:rsidRPr="00C83045">
              <w:rPr>
                <w:b/>
                <w:color w:val="000000"/>
                <w:szCs w:val="22"/>
                <w:lang w:val="de-CH"/>
              </w:rPr>
              <w:t>Deutschland</w:t>
            </w:r>
          </w:p>
          <w:p w14:paraId="32368E29" w14:textId="77777777" w:rsidR="00CF747B" w:rsidRPr="00C83045" w:rsidRDefault="00CF747B" w:rsidP="00D4304B">
            <w:pPr>
              <w:widowControl w:val="0"/>
              <w:rPr>
                <w:color w:val="000000"/>
                <w:szCs w:val="22"/>
                <w:lang w:val="de-CH"/>
              </w:rPr>
            </w:pPr>
            <w:r w:rsidRPr="00C83045">
              <w:rPr>
                <w:color w:val="000000"/>
                <w:szCs w:val="22"/>
                <w:lang w:val="de-CH"/>
              </w:rPr>
              <w:t>Novartis Pharma GmbH</w:t>
            </w:r>
          </w:p>
          <w:p w14:paraId="32368E2A" w14:textId="77777777" w:rsidR="00CF747B" w:rsidRPr="00C83045" w:rsidRDefault="00CF747B" w:rsidP="00D4304B">
            <w:pPr>
              <w:widowControl w:val="0"/>
              <w:rPr>
                <w:color w:val="000000"/>
                <w:szCs w:val="22"/>
                <w:lang w:val="de-CH"/>
              </w:rPr>
            </w:pPr>
            <w:r w:rsidRPr="00C83045">
              <w:rPr>
                <w:color w:val="000000"/>
                <w:szCs w:val="22"/>
                <w:lang w:val="de-CH"/>
              </w:rPr>
              <w:t>Tel: +49 911 273 0</w:t>
            </w:r>
          </w:p>
          <w:p w14:paraId="32368E2B" w14:textId="77777777" w:rsidR="00CF747B" w:rsidRPr="00C83045" w:rsidRDefault="00CF747B" w:rsidP="00D4304B">
            <w:pPr>
              <w:widowControl w:val="0"/>
              <w:rPr>
                <w:b/>
                <w:color w:val="000000"/>
                <w:szCs w:val="22"/>
                <w:lang w:val="de-CH"/>
              </w:rPr>
            </w:pPr>
          </w:p>
        </w:tc>
        <w:tc>
          <w:tcPr>
            <w:tcW w:w="4650" w:type="dxa"/>
          </w:tcPr>
          <w:p w14:paraId="32368E2C" w14:textId="77777777" w:rsidR="00CF747B" w:rsidRPr="00C83045" w:rsidRDefault="00CF747B" w:rsidP="00D4304B">
            <w:pPr>
              <w:widowControl w:val="0"/>
              <w:rPr>
                <w:b/>
                <w:color w:val="000000"/>
                <w:szCs w:val="22"/>
                <w:lang w:val="de-CH"/>
              </w:rPr>
            </w:pPr>
            <w:r w:rsidRPr="00C83045">
              <w:rPr>
                <w:b/>
                <w:color w:val="000000"/>
                <w:szCs w:val="22"/>
                <w:lang w:val="de-CH"/>
              </w:rPr>
              <w:t>Nederland</w:t>
            </w:r>
          </w:p>
          <w:p w14:paraId="32368E2D" w14:textId="77777777" w:rsidR="00CF747B" w:rsidRPr="00C83045" w:rsidRDefault="00CF747B" w:rsidP="00D4304B">
            <w:pPr>
              <w:widowControl w:val="0"/>
              <w:rPr>
                <w:color w:val="000000"/>
                <w:szCs w:val="22"/>
                <w:lang w:val="de-CH"/>
              </w:rPr>
            </w:pPr>
            <w:r w:rsidRPr="00C83045">
              <w:rPr>
                <w:color w:val="000000"/>
                <w:szCs w:val="22"/>
                <w:lang w:val="de-CH"/>
              </w:rPr>
              <w:t>Novartis Pharma B.V.</w:t>
            </w:r>
          </w:p>
          <w:p w14:paraId="32368E2E" w14:textId="13717AC5" w:rsidR="00CF747B" w:rsidRPr="00C83045" w:rsidRDefault="00CF747B" w:rsidP="00AF7051">
            <w:pPr>
              <w:widowControl w:val="0"/>
              <w:rPr>
                <w:color w:val="000000"/>
                <w:szCs w:val="22"/>
              </w:rPr>
            </w:pPr>
            <w:r w:rsidRPr="00C83045">
              <w:rPr>
                <w:color w:val="000000"/>
                <w:szCs w:val="22"/>
              </w:rPr>
              <w:t xml:space="preserve">Tel: +31 </w:t>
            </w:r>
            <w:r w:rsidR="00AF7051">
              <w:rPr>
                <w:color w:val="000000"/>
                <w:szCs w:val="22"/>
              </w:rPr>
              <w:t>88 04 52</w:t>
            </w:r>
            <w:r w:rsidRPr="00C83045">
              <w:rPr>
                <w:color w:val="000000"/>
                <w:szCs w:val="22"/>
              </w:rPr>
              <w:t xml:space="preserve"> </w:t>
            </w:r>
            <w:r w:rsidR="00FC49D9" w:rsidRPr="00C83045">
              <w:rPr>
                <w:color w:val="000000"/>
                <w:szCs w:val="22"/>
              </w:rPr>
              <w:t>555</w:t>
            </w:r>
          </w:p>
        </w:tc>
      </w:tr>
      <w:tr w:rsidR="00CF747B" w:rsidRPr="00C83045" w14:paraId="32368E37" w14:textId="77777777" w:rsidTr="00500409">
        <w:trPr>
          <w:cantSplit/>
        </w:trPr>
        <w:tc>
          <w:tcPr>
            <w:tcW w:w="4650" w:type="dxa"/>
          </w:tcPr>
          <w:p w14:paraId="32368E30" w14:textId="77777777" w:rsidR="00CF747B" w:rsidRPr="004470EE" w:rsidRDefault="00CF747B" w:rsidP="00D4304B">
            <w:pPr>
              <w:widowControl w:val="0"/>
              <w:rPr>
                <w:b/>
                <w:color w:val="000000"/>
                <w:szCs w:val="22"/>
                <w:lang w:val="it-IT"/>
              </w:rPr>
            </w:pPr>
            <w:r w:rsidRPr="004470EE">
              <w:rPr>
                <w:b/>
                <w:color w:val="000000"/>
                <w:szCs w:val="22"/>
                <w:lang w:val="it-IT"/>
              </w:rPr>
              <w:t>Eesti</w:t>
            </w:r>
          </w:p>
          <w:p w14:paraId="32368E31" w14:textId="77777777" w:rsidR="007F105B" w:rsidRPr="007F105B" w:rsidRDefault="007F105B" w:rsidP="00D4304B">
            <w:pPr>
              <w:widowControl w:val="0"/>
              <w:rPr>
                <w:color w:val="000000"/>
                <w:szCs w:val="22"/>
                <w:lang w:val="it-IT"/>
              </w:rPr>
            </w:pPr>
            <w:r w:rsidRPr="007F105B">
              <w:rPr>
                <w:color w:val="000000"/>
                <w:szCs w:val="22"/>
                <w:lang w:val="it-IT"/>
              </w:rPr>
              <w:t>SIA Novartis Baltics Eesti filiaal</w:t>
            </w:r>
          </w:p>
          <w:p w14:paraId="32368E32" w14:textId="77777777" w:rsidR="00CF747B" w:rsidRPr="00C83045" w:rsidRDefault="00CF747B" w:rsidP="00D4304B">
            <w:pPr>
              <w:widowControl w:val="0"/>
              <w:rPr>
                <w:color w:val="000000"/>
                <w:szCs w:val="22"/>
              </w:rPr>
            </w:pPr>
            <w:r w:rsidRPr="00C83045">
              <w:rPr>
                <w:color w:val="000000"/>
                <w:szCs w:val="22"/>
              </w:rPr>
              <w:t>Tel: +372 66 30 810</w:t>
            </w:r>
          </w:p>
          <w:p w14:paraId="32368E33" w14:textId="77777777" w:rsidR="00CF747B" w:rsidRPr="00C83045" w:rsidRDefault="00CF747B" w:rsidP="00D4304B">
            <w:pPr>
              <w:widowControl w:val="0"/>
              <w:rPr>
                <w:b/>
                <w:color w:val="000000"/>
                <w:szCs w:val="22"/>
              </w:rPr>
            </w:pPr>
          </w:p>
        </w:tc>
        <w:tc>
          <w:tcPr>
            <w:tcW w:w="4650" w:type="dxa"/>
          </w:tcPr>
          <w:p w14:paraId="32368E34" w14:textId="77777777" w:rsidR="00CF747B" w:rsidRPr="00C83045" w:rsidRDefault="00CF747B" w:rsidP="00D4304B">
            <w:pPr>
              <w:widowControl w:val="0"/>
              <w:rPr>
                <w:b/>
                <w:color w:val="000000"/>
                <w:szCs w:val="22"/>
                <w:lang w:val="pt-BR"/>
              </w:rPr>
            </w:pPr>
            <w:r w:rsidRPr="00C83045">
              <w:rPr>
                <w:b/>
                <w:color w:val="000000"/>
                <w:szCs w:val="22"/>
                <w:lang w:val="pt-BR"/>
              </w:rPr>
              <w:t>Norge</w:t>
            </w:r>
          </w:p>
          <w:p w14:paraId="32368E35" w14:textId="77777777" w:rsidR="00CF747B" w:rsidRPr="00C83045" w:rsidRDefault="00CF747B" w:rsidP="00D4304B">
            <w:pPr>
              <w:widowControl w:val="0"/>
              <w:rPr>
                <w:color w:val="000000"/>
                <w:szCs w:val="22"/>
                <w:lang w:val="pt-BR"/>
              </w:rPr>
            </w:pPr>
            <w:r w:rsidRPr="00C83045">
              <w:rPr>
                <w:color w:val="000000"/>
                <w:szCs w:val="22"/>
                <w:lang w:val="pt-BR"/>
              </w:rPr>
              <w:t>Novartis Norge AS</w:t>
            </w:r>
          </w:p>
          <w:p w14:paraId="32368E36" w14:textId="77777777" w:rsidR="00CF747B" w:rsidRPr="00C83045" w:rsidRDefault="00CF747B" w:rsidP="00D4304B">
            <w:pPr>
              <w:widowControl w:val="0"/>
              <w:rPr>
                <w:color w:val="000000"/>
                <w:szCs w:val="22"/>
                <w:lang w:val="pt-BR"/>
              </w:rPr>
            </w:pPr>
            <w:r w:rsidRPr="00C83045">
              <w:rPr>
                <w:color w:val="000000"/>
                <w:szCs w:val="22"/>
                <w:lang w:val="pt-BR"/>
              </w:rPr>
              <w:t>Tlf: +47 23 05 20 00</w:t>
            </w:r>
          </w:p>
        </w:tc>
      </w:tr>
      <w:tr w:rsidR="00CF747B" w:rsidRPr="00C83045" w14:paraId="32368E3F" w14:textId="77777777" w:rsidTr="00500409">
        <w:trPr>
          <w:cantSplit/>
        </w:trPr>
        <w:tc>
          <w:tcPr>
            <w:tcW w:w="4650" w:type="dxa"/>
          </w:tcPr>
          <w:p w14:paraId="32368E38" w14:textId="77777777" w:rsidR="00CF747B" w:rsidRPr="00C83045" w:rsidRDefault="00CF747B" w:rsidP="00D4304B">
            <w:pPr>
              <w:widowControl w:val="0"/>
              <w:rPr>
                <w:b/>
                <w:color w:val="000000"/>
                <w:szCs w:val="22"/>
                <w:lang w:val="pt-BR"/>
              </w:rPr>
            </w:pPr>
            <w:r w:rsidRPr="00C83045">
              <w:rPr>
                <w:b/>
                <w:color w:val="000000"/>
                <w:szCs w:val="22"/>
              </w:rPr>
              <w:t>Ελλάδα</w:t>
            </w:r>
          </w:p>
          <w:p w14:paraId="32368E39" w14:textId="77777777" w:rsidR="00CF747B" w:rsidRPr="00C83045" w:rsidRDefault="00CF747B" w:rsidP="00D4304B">
            <w:pPr>
              <w:widowControl w:val="0"/>
              <w:rPr>
                <w:color w:val="000000"/>
                <w:szCs w:val="22"/>
                <w:lang w:val="pt-BR"/>
              </w:rPr>
            </w:pPr>
            <w:r w:rsidRPr="00C83045">
              <w:rPr>
                <w:color w:val="000000"/>
                <w:szCs w:val="22"/>
                <w:lang w:val="pt-BR"/>
              </w:rPr>
              <w:t>Novartis (Hellas) A.E.B.E.</w:t>
            </w:r>
          </w:p>
          <w:p w14:paraId="32368E3A" w14:textId="77777777" w:rsidR="00CF747B" w:rsidRPr="00C83045" w:rsidRDefault="00CF747B" w:rsidP="00D4304B">
            <w:pPr>
              <w:widowControl w:val="0"/>
              <w:rPr>
                <w:color w:val="000000"/>
                <w:szCs w:val="22"/>
                <w:lang w:val="pt-BR"/>
              </w:rPr>
            </w:pPr>
            <w:r w:rsidRPr="00C83045">
              <w:rPr>
                <w:color w:val="000000"/>
                <w:szCs w:val="22"/>
              </w:rPr>
              <w:t>Τηλ</w:t>
            </w:r>
            <w:r w:rsidRPr="00C83045">
              <w:rPr>
                <w:color w:val="000000"/>
                <w:szCs w:val="22"/>
                <w:lang w:val="pt-BR"/>
              </w:rPr>
              <w:t>: +30 210 281 17 12</w:t>
            </w:r>
          </w:p>
          <w:p w14:paraId="32368E3B" w14:textId="77777777" w:rsidR="00CF747B" w:rsidRPr="00C83045" w:rsidRDefault="00CF747B" w:rsidP="00D4304B">
            <w:pPr>
              <w:widowControl w:val="0"/>
              <w:rPr>
                <w:b/>
                <w:color w:val="000000"/>
                <w:szCs w:val="22"/>
                <w:lang w:val="pt-BR"/>
              </w:rPr>
            </w:pPr>
          </w:p>
        </w:tc>
        <w:tc>
          <w:tcPr>
            <w:tcW w:w="4650" w:type="dxa"/>
          </w:tcPr>
          <w:p w14:paraId="32368E3C" w14:textId="77777777" w:rsidR="00CF747B" w:rsidRPr="00C83045" w:rsidRDefault="00CF747B" w:rsidP="00D4304B">
            <w:pPr>
              <w:widowControl w:val="0"/>
              <w:rPr>
                <w:b/>
                <w:color w:val="000000"/>
                <w:szCs w:val="22"/>
                <w:lang w:val="de-CH"/>
              </w:rPr>
            </w:pPr>
            <w:r w:rsidRPr="00C83045">
              <w:rPr>
                <w:b/>
                <w:color w:val="000000"/>
                <w:szCs w:val="22"/>
                <w:lang w:val="de-CH"/>
              </w:rPr>
              <w:t>Österreich</w:t>
            </w:r>
          </w:p>
          <w:p w14:paraId="32368E3D" w14:textId="77777777" w:rsidR="00CF747B" w:rsidRPr="00C83045" w:rsidRDefault="00CF747B" w:rsidP="00D4304B">
            <w:pPr>
              <w:widowControl w:val="0"/>
              <w:rPr>
                <w:color w:val="000000"/>
                <w:szCs w:val="22"/>
                <w:lang w:val="de-CH"/>
              </w:rPr>
            </w:pPr>
            <w:r w:rsidRPr="00C83045">
              <w:rPr>
                <w:color w:val="000000"/>
                <w:szCs w:val="22"/>
                <w:lang w:val="de-CH"/>
              </w:rPr>
              <w:t>Novartis Pharma GmbH</w:t>
            </w:r>
          </w:p>
          <w:p w14:paraId="32368E3E" w14:textId="77777777" w:rsidR="00CF747B" w:rsidRPr="00C83045" w:rsidRDefault="00CF747B" w:rsidP="00D4304B">
            <w:pPr>
              <w:widowControl w:val="0"/>
              <w:rPr>
                <w:color w:val="000000"/>
                <w:szCs w:val="22"/>
                <w:lang w:val="de-CH"/>
              </w:rPr>
            </w:pPr>
            <w:r w:rsidRPr="00C83045">
              <w:rPr>
                <w:color w:val="000000"/>
                <w:szCs w:val="22"/>
                <w:lang w:val="de-CH"/>
              </w:rPr>
              <w:t>Tel: +43 1 86 6570</w:t>
            </w:r>
          </w:p>
        </w:tc>
      </w:tr>
      <w:tr w:rsidR="00CF747B" w:rsidRPr="00C83045" w14:paraId="32368E47" w14:textId="77777777" w:rsidTr="00500409">
        <w:trPr>
          <w:cantSplit/>
        </w:trPr>
        <w:tc>
          <w:tcPr>
            <w:tcW w:w="4650" w:type="dxa"/>
          </w:tcPr>
          <w:p w14:paraId="32368E40" w14:textId="77777777" w:rsidR="00CF747B" w:rsidRPr="00C83045" w:rsidRDefault="00CF747B" w:rsidP="00D4304B">
            <w:pPr>
              <w:widowControl w:val="0"/>
              <w:rPr>
                <w:b/>
                <w:color w:val="000000"/>
                <w:szCs w:val="22"/>
                <w:lang w:val="pt-BR"/>
              </w:rPr>
            </w:pPr>
            <w:r w:rsidRPr="00C83045">
              <w:rPr>
                <w:b/>
                <w:color w:val="000000"/>
                <w:szCs w:val="22"/>
                <w:lang w:val="pt-BR"/>
              </w:rPr>
              <w:t>España</w:t>
            </w:r>
          </w:p>
          <w:p w14:paraId="32368E41" w14:textId="77777777" w:rsidR="00CF747B" w:rsidRPr="00C83045" w:rsidRDefault="00CF747B" w:rsidP="00D4304B">
            <w:pPr>
              <w:widowControl w:val="0"/>
              <w:rPr>
                <w:color w:val="000000"/>
                <w:szCs w:val="22"/>
                <w:lang w:val="pt-BR"/>
              </w:rPr>
            </w:pPr>
            <w:r w:rsidRPr="00C83045">
              <w:rPr>
                <w:color w:val="000000"/>
                <w:szCs w:val="22"/>
                <w:lang w:val="pt-BR"/>
              </w:rPr>
              <w:t>Novartis Farmacéutica, S.A.</w:t>
            </w:r>
          </w:p>
          <w:p w14:paraId="32368E42" w14:textId="77777777" w:rsidR="00CF747B" w:rsidRPr="00C83045" w:rsidRDefault="00CF747B" w:rsidP="00D4304B">
            <w:pPr>
              <w:widowControl w:val="0"/>
              <w:rPr>
                <w:color w:val="000000"/>
                <w:szCs w:val="22"/>
              </w:rPr>
            </w:pPr>
            <w:r w:rsidRPr="00C83045">
              <w:rPr>
                <w:color w:val="000000"/>
                <w:szCs w:val="22"/>
              </w:rPr>
              <w:t>Tel: +34 93 306 42 00</w:t>
            </w:r>
          </w:p>
          <w:p w14:paraId="32368E43" w14:textId="77777777" w:rsidR="00CF747B" w:rsidRPr="00C83045" w:rsidRDefault="00CF747B" w:rsidP="00D4304B">
            <w:pPr>
              <w:widowControl w:val="0"/>
              <w:rPr>
                <w:b/>
                <w:color w:val="000000"/>
                <w:szCs w:val="22"/>
              </w:rPr>
            </w:pPr>
          </w:p>
        </w:tc>
        <w:tc>
          <w:tcPr>
            <w:tcW w:w="4650" w:type="dxa"/>
          </w:tcPr>
          <w:p w14:paraId="32368E44" w14:textId="77777777" w:rsidR="00CF747B" w:rsidRPr="00C83045" w:rsidRDefault="00CF747B" w:rsidP="00D4304B">
            <w:pPr>
              <w:widowControl w:val="0"/>
              <w:rPr>
                <w:b/>
                <w:color w:val="000000"/>
                <w:szCs w:val="22"/>
                <w:lang w:val="pt-BR"/>
              </w:rPr>
            </w:pPr>
            <w:r w:rsidRPr="00C83045">
              <w:rPr>
                <w:b/>
                <w:color w:val="000000"/>
                <w:szCs w:val="22"/>
                <w:lang w:val="pt-BR"/>
              </w:rPr>
              <w:t>Polska</w:t>
            </w:r>
          </w:p>
          <w:p w14:paraId="32368E45" w14:textId="77777777" w:rsidR="00CF747B" w:rsidRPr="00C83045" w:rsidRDefault="00CF747B" w:rsidP="00D4304B">
            <w:pPr>
              <w:widowControl w:val="0"/>
              <w:rPr>
                <w:color w:val="000000"/>
                <w:szCs w:val="22"/>
                <w:lang w:val="pt-BR"/>
              </w:rPr>
            </w:pPr>
            <w:r w:rsidRPr="00C83045">
              <w:rPr>
                <w:color w:val="000000"/>
                <w:szCs w:val="22"/>
                <w:lang w:val="pt-BR"/>
              </w:rPr>
              <w:t>Novartis Poland Sp. z o.o.</w:t>
            </w:r>
          </w:p>
          <w:p w14:paraId="32368E46" w14:textId="77777777" w:rsidR="00CF747B" w:rsidRPr="00C83045" w:rsidRDefault="00CF747B" w:rsidP="00D4304B">
            <w:pPr>
              <w:widowControl w:val="0"/>
              <w:rPr>
                <w:color w:val="000000"/>
                <w:szCs w:val="22"/>
                <w:lang w:val="pt-BR"/>
              </w:rPr>
            </w:pPr>
            <w:r w:rsidRPr="00C83045">
              <w:rPr>
                <w:color w:val="000000"/>
                <w:szCs w:val="22"/>
                <w:lang w:val="pt-BR"/>
              </w:rPr>
              <w:t xml:space="preserve">Tel.: +48 22 </w:t>
            </w:r>
            <w:r w:rsidRPr="00C83045">
              <w:rPr>
                <w:szCs w:val="22"/>
              </w:rPr>
              <w:t>375 4888</w:t>
            </w:r>
          </w:p>
        </w:tc>
      </w:tr>
      <w:tr w:rsidR="00CF747B" w:rsidRPr="00C83045" w14:paraId="32368E4F" w14:textId="77777777" w:rsidTr="00500409">
        <w:trPr>
          <w:cantSplit/>
        </w:trPr>
        <w:tc>
          <w:tcPr>
            <w:tcW w:w="4650" w:type="dxa"/>
          </w:tcPr>
          <w:p w14:paraId="32368E48" w14:textId="77777777" w:rsidR="00CF747B" w:rsidRPr="00C83045" w:rsidRDefault="00CF747B" w:rsidP="00D4304B">
            <w:pPr>
              <w:widowControl w:val="0"/>
              <w:rPr>
                <w:b/>
                <w:color w:val="000000"/>
                <w:szCs w:val="22"/>
                <w:lang w:val="fr-FR"/>
              </w:rPr>
            </w:pPr>
            <w:r w:rsidRPr="00C83045">
              <w:rPr>
                <w:b/>
                <w:color w:val="000000"/>
                <w:szCs w:val="22"/>
                <w:lang w:val="fr-FR"/>
              </w:rPr>
              <w:t>France</w:t>
            </w:r>
          </w:p>
          <w:p w14:paraId="32368E49" w14:textId="77777777" w:rsidR="00CF747B" w:rsidRPr="00C83045" w:rsidRDefault="00CF747B" w:rsidP="00D4304B">
            <w:pPr>
              <w:widowControl w:val="0"/>
              <w:rPr>
                <w:color w:val="000000"/>
                <w:szCs w:val="22"/>
                <w:lang w:val="fr-FR"/>
              </w:rPr>
            </w:pPr>
            <w:r w:rsidRPr="00C83045">
              <w:rPr>
                <w:color w:val="000000"/>
                <w:szCs w:val="22"/>
                <w:lang w:val="fr-FR"/>
              </w:rPr>
              <w:t>Novartis Pharma S.A.S.</w:t>
            </w:r>
          </w:p>
          <w:p w14:paraId="32368E4A" w14:textId="77777777" w:rsidR="00CF747B" w:rsidRPr="00C83045" w:rsidRDefault="00CF747B" w:rsidP="00D4304B">
            <w:pPr>
              <w:widowControl w:val="0"/>
              <w:rPr>
                <w:color w:val="000000"/>
                <w:szCs w:val="22"/>
                <w:lang w:val="fr-FR"/>
              </w:rPr>
            </w:pPr>
            <w:r w:rsidRPr="00C83045">
              <w:rPr>
                <w:color w:val="000000"/>
                <w:szCs w:val="22"/>
                <w:lang w:val="fr-FR"/>
              </w:rPr>
              <w:t>Tél: +33 1 55 47 66 00</w:t>
            </w:r>
          </w:p>
          <w:p w14:paraId="32368E4B" w14:textId="77777777" w:rsidR="00CF747B" w:rsidRPr="00C83045" w:rsidRDefault="00CF747B" w:rsidP="00D4304B">
            <w:pPr>
              <w:widowControl w:val="0"/>
              <w:rPr>
                <w:b/>
                <w:color w:val="000000"/>
                <w:szCs w:val="22"/>
                <w:lang w:val="fr-FR"/>
              </w:rPr>
            </w:pPr>
          </w:p>
        </w:tc>
        <w:tc>
          <w:tcPr>
            <w:tcW w:w="4650" w:type="dxa"/>
          </w:tcPr>
          <w:p w14:paraId="32368E4C" w14:textId="77777777" w:rsidR="00CF747B" w:rsidRPr="00C83045" w:rsidRDefault="00CF747B" w:rsidP="00D4304B">
            <w:pPr>
              <w:widowControl w:val="0"/>
              <w:rPr>
                <w:b/>
                <w:color w:val="000000"/>
                <w:szCs w:val="22"/>
                <w:lang w:val="pt-BR"/>
              </w:rPr>
            </w:pPr>
            <w:r w:rsidRPr="00C83045">
              <w:rPr>
                <w:b/>
                <w:color w:val="000000"/>
                <w:szCs w:val="22"/>
                <w:lang w:val="pt-BR"/>
              </w:rPr>
              <w:t>Portugal</w:t>
            </w:r>
          </w:p>
          <w:p w14:paraId="32368E4D" w14:textId="77777777" w:rsidR="00CF747B" w:rsidRPr="00C83045" w:rsidRDefault="00CF747B" w:rsidP="00D4304B">
            <w:pPr>
              <w:widowControl w:val="0"/>
              <w:rPr>
                <w:color w:val="000000"/>
                <w:szCs w:val="22"/>
                <w:lang w:val="pt-BR"/>
              </w:rPr>
            </w:pPr>
            <w:r w:rsidRPr="00C83045">
              <w:rPr>
                <w:color w:val="000000"/>
                <w:szCs w:val="22"/>
                <w:lang w:val="pt-BR"/>
              </w:rPr>
              <w:t>Novartis Farma - Produtos Farmacêuticos, S.A.</w:t>
            </w:r>
          </w:p>
          <w:p w14:paraId="32368E4E" w14:textId="77777777" w:rsidR="00CF747B" w:rsidRPr="00C83045" w:rsidRDefault="00CF747B" w:rsidP="00D4304B">
            <w:pPr>
              <w:widowControl w:val="0"/>
              <w:rPr>
                <w:color w:val="000000"/>
                <w:szCs w:val="22"/>
              </w:rPr>
            </w:pPr>
            <w:r w:rsidRPr="00C83045">
              <w:rPr>
                <w:color w:val="000000"/>
                <w:szCs w:val="22"/>
              </w:rPr>
              <w:t>Tel: +351 21 000 8600</w:t>
            </w:r>
          </w:p>
        </w:tc>
      </w:tr>
      <w:tr w:rsidR="00CF747B" w:rsidRPr="00C83045" w14:paraId="32368E57" w14:textId="77777777" w:rsidTr="00500409">
        <w:trPr>
          <w:cantSplit/>
        </w:trPr>
        <w:tc>
          <w:tcPr>
            <w:tcW w:w="4650" w:type="dxa"/>
          </w:tcPr>
          <w:p w14:paraId="32368E50" w14:textId="77777777" w:rsidR="00CF747B" w:rsidRPr="00C83045" w:rsidRDefault="00CF747B" w:rsidP="00D4304B">
            <w:pPr>
              <w:widowControl w:val="0"/>
              <w:rPr>
                <w:rFonts w:eastAsia="PMingLiU"/>
                <w:b/>
              </w:rPr>
            </w:pPr>
            <w:r w:rsidRPr="00C83045">
              <w:rPr>
                <w:rFonts w:eastAsia="PMingLiU"/>
                <w:b/>
              </w:rPr>
              <w:t>Hrvatska</w:t>
            </w:r>
          </w:p>
          <w:p w14:paraId="32368E51" w14:textId="77777777" w:rsidR="00CF747B" w:rsidRPr="00C83045" w:rsidRDefault="00CF747B" w:rsidP="00D4304B">
            <w:pPr>
              <w:widowControl w:val="0"/>
            </w:pPr>
            <w:r w:rsidRPr="00C83045">
              <w:t>Novartis Hrvatska d.o.o.</w:t>
            </w:r>
          </w:p>
          <w:p w14:paraId="32368E52" w14:textId="77777777" w:rsidR="00CF747B" w:rsidRPr="00C83045" w:rsidRDefault="00CF747B" w:rsidP="00D4304B">
            <w:pPr>
              <w:widowControl w:val="0"/>
            </w:pPr>
            <w:r w:rsidRPr="00C83045">
              <w:t>Tel. +385 1 6274 220</w:t>
            </w:r>
          </w:p>
          <w:p w14:paraId="32368E53" w14:textId="77777777" w:rsidR="00CF747B" w:rsidRPr="00C83045" w:rsidRDefault="00CF747B" w:rsidP="00D4304B">
            <w:pPr>
              <w:widowControl w:val="0"/>
              <w:rPr>
                <w:b/>
                <w:color w:val="000000"/>
                <w:szCs w:val="22"/>
                <w:lang w:val="fr-FR"/>
              </w:rPr>
            </w:pPr>
          </w:p>
        </w:tc>
        <w:tc>
          <w:tcPr>
            <w:tcW w:w="4650" w:type="dxa"/>
          </w:tcPr>
          <w:p w14:paraId="32368E54" w14:textId="77777777" w:rsidR="00CF747B" w:rsidRPr="00C83045" w:rsidRDefault="00CF747B" w:rsidP="00D4304B">
            <w:pPr>
              <w:widowControl w:val="0"/>
              <w:rPr>
                <w:b/>
                <w:noProof/>
                <w:color w:val="000000"/>
                <w:szCs w:val="22"/>
                <w:lang w:val="it-IT"/>
              </w:rPr>
            </w:pPr>
            <w:r w:rsidRPr="00C83045">
              <w:rPr>
                <w:b/>
                <w:noProof/>
                <w:color w:val="000000"/>
                <w:szCs w:val="22"/>
                <w:lang w:val="it-IT"/>
              </w:rPr>
              <w:t>România</w:t>
            </w:r>
          </w:p>
          <w:p w14:paraId="32368E55" w14:textId="77777777" w:rsidR="00CF747B" w:rsidRPr="00C83045" w:rsidRDefault="00CF747B" w:rsidP="00D4304B">
            <w:pPr>
              <w:widowControl w:val="0"/>
              <w:rPr>
                <w:noProof/>
                <w:color w:val="000000"/>
                <w:szCs w:val="22"/>
                <w:lang w:val="it-IT"/>
              </w:rPr>
            </w:pPr>
            <w:r w:rsidRPr="00C83045">
              <w:rPr>
                <w:noProof/>
                <w:color w:val="000000"/>
                <w:szCs w:val="22"/>
                <w:lang w:val="it-IT"/>
              </w:rPr>
              <w:t xml:space="preserve">Novartis Pharma Services </w:t>
            </w:r>
            <w:r w:rsidRPr="00C83045">
              <w:rPr>
                <w:color w:val="2F2F2F"/>
                <w:szCs w:val="22"/>
              </w:rPr>
              <w:t>Romania SRL</w:t>
            </w:r>
          </w:p>
          <w:p w14:paraId="32368E56" w14:textId="77777777" w:rsidR="00CF747B" w:rsidRPr="00C83045" w:rsidRDefault="00CF747B" w:rsidP="00D4304B">
            <w:pPr>
              <w:widowControl w:val="0"/>
              <w:rPr>
                <w:color w:val="000000"/>
                <w:szCs w:val="22"/>
              </w:rPr>
            </w:pPr>
            <w:r w:rsidRPr="00C83045">
              <w:rPr>
                <w:noProof/>
                <w:color w:val="000000"/>
                <w:szCs w:val="22"/>
                <w:lang w:val="it-IT"/>
              </w:rPr>
              <w:t>Tel: +40 21 31299 01</w:t>
            </w:r>
          </w:p>
        </w:tc>
      </w:tr>
      <w:tr w:rsidR="00CF747B" w:rsidRPr="00C83045" w14:paraId="32368E5F" w14:textId="77777777" w:rsidTr="00500409">
        <w:trPr>
          <w:cantSplit/>
        </w:trPr>
        <w:tc>
          <w:tcPr>
            <w:tcW w:w="4650" w:type="dxa"/>
          </w:tcPr>
          <w:p w14:paraId="32368E58" w14:textId="77777777" w:rsidR="00CF747B" w:rsidRPr="00C83045" w:rsidRDefault="00CF747B" w:rsidP="00D4304B">
            <w:pPr>
              <w:widowControl w:val="0"/>
              <w:rPr>
                <w:b/>
                <w:color w:val="000000"/>
                <w:szCs w:val="22"/>
              </w:rPr>
            </w:pPr>
            <w:smartTag w:uri="urn:schemas-microsoft-com:office:smarttags" w:element="country-region">
              <w:smartTag w:uri="urn:schemas-microsoft-com:office:smarttags" w:element="place">
                <w:r w:rsidRPr="00C83045">
                  <w:rPr>
                    <w:b/>
                    <w:color w:val="000000"/>
                    <w:szCs w:val="22"/>
                  </w:rPr>
                  <w:t>Ireland</w:t>
                </w:r>
              </w:smartTag>
            </w:smartTag>
          </w:p>
          <w:p w14:paraId="32368E59" w14:textId="77777777" w:rsidR="00CF747B" w:rsidRPr="00C83045" w:rsidRDefault="00CF747B" w:rsidP="00D4304B">
            <w:pPr>
              <w:widowControl w:val="0"/>
              <w:rPr>
                <w:color w:val="000000"/>
                <w:szCs w:val="22"/>
              </w:rPr>
            </w:pPr>
            <w:r w:rsidRPr="00C83045">
              <w:rPr>
                <w:color w:val="000000"/>
                <w:szCs w:val="22"/>
              </w:rPr>
              <w:t>Novartis Ireland Limited</w:t>
            </w:r>
          </w:p>
          <w:p w14:paraId="32368E5A" w14:textId="77777777" w:rsidR="00CF747B" w:rsidRPr="00C83045" w:rsidRDefault="00CF747B" w:rsidP="00D4304B">
            <w:pPr>
              <w:widowControl w:val="0"/>
              <w:rPr>
                <w:color w:val="000000"/>
                <w:szCs w:val="22"/>
              </w:rPr>
            </w:pPr>
            <w:r w:rsidRPr="00C83045">
              <w:rPr>
                <w:color w:val="000000"/>
                <w:szCs w:val="22"/>
              </w:rPr>
              <w:t>Tel: +353 1 260 12 55</w:t>
            </w:r>
          </w:p>
          <w:p w14:paraId="32368E5B" w14:textId="77777777" w:rsidR="00CF747B" w:rsidRPr="00C83045" w:rsidRDefault="00CF747B" w:rsidP="00D4304B">
            <w:pPr>
              <w:widowControl w:val="0"/>
              <w:rPr>
                <w:b/>
                <w:color w:val="000000"/>
                <w:szCs w:val="22"/>
              </w:rPr>
            </w:pPr>
          </w:p>
        </w:tc>
        <w:tc>
          <w:tcPr>
            <w:tcW w:w="4650" w:type="dxa"/>
          </w:tcPr>
          <w:p w14:paraId="32368E5C" w14:textId="77777777" w:rsidR="00CF747B" w:rsidRPr="00C83045" w:rsidRDefault="00CF747B" w:rsidP="00D4304B">
            <w:pPr>
              <w:widowControl w:val="0"/>
              <w:rPr>
                <w:b/>
                <w:color w:val="000000"/>
                <w:szCs w:val="22"/>
                <w:lang w:val="fr-FR"/>
              </w:rPr>
            </w:pPr>
            <w:r w:rsidRPr="00C83045">
              <w:rPr>
                <w:b/>
                <w:color w:val="000000"/>
                <w:szCs w:val="22"/>
                <w:lang w:val="fr-FR"/>
              </w:rPr>
              <w:t>Slovenija</w:t>
            </w:r>
          </w:p>
          <w:p w14:paraId="32368E5D" w14:textId="77777777" w:rsidR="00CF747B" w:rsidRPr="00C83045" w:rsidRDefault="00CF747B" w:rsidP="00D4304B">
            <w:pPr>
              <w:widowControl w:val="0"/>
              <w:rPr>
                <w:color w:val="000000"/>
                <w:szCs w:val="22"/>
                <w:lang w:val="fr-FR"/>
              </w:rPr>
            </w:pPr>
            <w:r w:rsidRPr="00C83045">
              <w:rPr>
                <w:color w:val="000000"/>
                <w:szCs w:val="22"/>
                <w:lang w:val="fr-FR"/>
              </w:rPr>
              <w:t>Novartis Pharma Services Inc.</w:t>
            </w:r>
          </w:p>
          <w:p w14:paraId="32368E5E" w14:textId="77777777" w:rsidR="00CF747B" w:rsidRPr="00C83045" w:rsidRDefault="00CF747B" w:rsidP="00D4304B">
            <w:pPr>
              <w:widowControl w:val="0"/>
              <w:rPr>
                <w:color w:val="000000"/>
                <w:szCs w:val="22"/>
                <w:lang w:val="fr-FR"/>
              </w:rPr>
            </w:pPr>
            <w:r w:rsidRPr="00C83045">
              <w:rPr>
                <w:color w:val="000000"/>
                <w:szCs w:val="22"/>
                <w:lang w:val="fr-FR"/>
              </w:rPr>
              <w:t>Tel: +386 1 300 75 50</w:t>
            </w:r>
          </w:p>
        </w:tc>
      </w:tr>
      <w:tr w:rsidR="00CF747B" w:rsidRPr="00C83045" w14:paraId="32368E68" w14:textId="77777777" w:rsidTr="00500409">
        <w:trPr>
          <w:cantSplit/>
        </w:trPr>
        <w:tc>
          <w:tcPr>
            <w:tcW w:w="4650" w:type="dxa"/>
          </w:tcPr>
          <w:p w14:paraId="32368E60" w14:textId="77777777" w:rsidR="00CF747B" w:rsidRPr="00C83045" w:rsidRDefault="00CF747B" w:rsidP="00D4304B">
            <w:pPr>
              <w:widowControl w:val="0"/>
              <w:rPr>
                <w:b/>
                <w:color w:val="000000"/>
                <w:szCs w:val="22"/>
              </w:rPr>
            </w:pPr>
            <w:r w:rsidRPr="00C83045">
              <w:rPr>
                <w:b/>
                <w:color w:val="000000"/>
                <w:szCs w:val="22"/>
              </w:rPr>
              <w:t>Ísland</w:t>
            </w:r>
          </w:p>
          <w:p w14:paraId="32368E61" w14:textId="77777777" w:rsidR="00CF747B" w:rsidRPr="00C83045" w:rsidRDefault="00CF747B" w:rsidP="00D4304B">
            <w:pPr>
              <w:widowControl w:val="0"/>
              <w:rPr>
                <w:color w:val="000000"/>
                <w:szCs w:val="22"/>
              </w:rPr>
            </w:pPr>
            <w:r w:rsidRPr="00C83045">
              <w:rPr>
                <w:color w:val="000000"/>
                <w:szCs w:val="22"/>
              </w:rPr>
              <w:t>Vistor hf.</w:t>
            </w:r>
          </w:p>
          <w:p w14:paraId="32368E62" w14:textId="77777777" w:rsidR="00CF747B" w:rsidRPr="00C83045" w:rsidRDefault="00CF747B" w:rsidP="00D4304B">
            <w:pPr>
              <w:widowControl w:val="0"/>
              <w:rPr>
                <w:color w:val="000000"/>
                <w:szCs w:val="22"/>
              </w:rPr>
            </w:pPr>
            <w:r w:rsidRPr="00C83045">
              <w:rPr>
                <w:noProof/>
                <w:color w:val="000000"/>
                <w:lang w:val="it-IT"/>
              </w:rPr>
              <w:t>S</w:t>
            </w:r>
            <w:r w:rsidRPr="00C83045">
              <w:rPr>
                <w:noProof/>
                <w:color w:val="000000"/>
                <w:lang w:val="cs-CZ"/>
              </w:rPr>
              <w:t>í</w:t>
            </w:r>
            <w:r w:rsidRPr="00C83045">
              <w:rPr>
                <w:noProof/>
                <w:color w:val="000000"/>
                <w:lang w:val="it-IT"/>
              </w:rPr>
              <w:t>mi</w:t>
            </w:r>
            <w:r w:rsidRPr="00C83045">
              <w:rPr>
                <w:color w:val="000000"/>
                <w:szCs w:val="22"/>
              </w:rPr>
              <w:t>: +354 535 7000</w:t>
            </w:r>
          </w:p>
          <w:p w14:paraId="32368E63" w14:textId="77777777" w:rsidR="00CF747B" w:rsidRPr="00C83045" w:rsidRDefault="00CF747B" w:rsidP="00D4304B">
            <w:pPr>
              <w:widowControl w:val="0"/>
              <w:rPr>
                <w:b/>
                <w:color w:val="000000"/>
                <w:szCs w:val="22"/>
              </w:rPr>
            </w:pPr>
          </w:p>
        </w:tc>
        <w:tc>
          <w:tcPr>
            <w:tcW w:w="4650" w:type="dxa"/>
          </w:tcPr>
          <w:p w14:paraId="32368E64" w14:textId="77777777" w:rsidR="00CF747B" w:rsidRPr="00C83045" w:rsidRDefault="00CF747B" w:rsidP="00D4304B">
            <w:pPr>
              <w:widowControl w:val="0"/>
              <w:rPr>
                <w:b/>
                <w:color w:val="000000"/>
                <w:szCs w:val="22"/>
                <w:lang w:val="pt-BR"/>
              </w:rPr>
            </w:pPr>
            <w:r w:rsidRPr="00C83045">
              <w:rPr>
                <w:b/>
                <w:color w:val="000000"/>
                <w:szCs w:val="22"/>
                <w:lang w:val="pt-BR"/>
              </w:rPr>
              <w:t>Slovenská republika</w:t>
            </w:r>
          </w:p>
          <w:p w14:paraId="32368E65" w14:textId="77777777" w:rsidR="00CF747B" w:rsidRPr="00C83045" w:rsidRDefault="00CF747B" w:rsidP="00D4304B">
            <w:pPr>
              <w:widowControl w:val="0"/>
              <w:rPr>
                <w:color w:val="000000"/>
                <w:szCs w:val="22"/>
                <w:lang w:val="pt-BR"/>
              </w:rPr>
            </w:pPr>
            <w:r w:rsidRPr="00C83045">
              <w:rPr>
                <w:color w:val="000000"/>
                <w:szCs w:val="22"/>
                <w:lang w:val="pt-BR"/>
              </w:rPr>
              <w:t>Novartis Slovakia s.r.o.</w:t>
            </w:r>
          </w:p>
          <w:p w14:paraId="32368E66" w14:textId="77777777" w:rsidR="00CF747B" w:rsidRPr="00C83045" w:rsidRDefault="00CF747B" w:rsidP="00D4304B">
            <w:pPr>
              <w:widowControl w:val="0"/>
              <w:rPr>
                <w:color w:val="000000"/>
                <w:szCs w:val="22"/>
              </w:rPr>
            </w:pPr>
            <w:r w:rsidRPr="00C83045">
              <w:rPr>
                <w:color w:val="000000"/>
                <w:szCs w:val="22"/>
              </w:rPr>
              <w:t>Tel: +421 2 5542 5439</w:t>
            </w:r>
          </w:p>
          <w:p w14:paraId="32368E67" w14:textId="77777777" w:rsidR="00CF747B" w:rsidRPr="00C83045" w:rsidRDefault="00CF747B" w:rsidP="00D4304B">
            <w:pPr>
              <w:widowControl w:val="0"/>
              <w:rPr>
                <w:color w:val="000000"/>
                <w:szCs w:val="22"/>
              </w:rPr>
            </w:pPr>
          </w:p>
        </w:tc>
      </w:tr>
      <w:tr w:rsidR="00CF747B" w:rsidRPr="00C83045" w14:paraId="32368E70" w14:textId="77777777" w:rsidTr="00500409">
        <w:trPr>
          <w:cantSplit/>
        </w:trPr>
        <w:tc>
          <w:tcPr>
            <w:tcW w:w="4650" w:type="dxa"/>
          </w:tcPr>
          <w:p w14:paraId="32368E69" w14:textId="77777777" w:rsidR="00CF747B" w:rsidRPr="00C83045" w:rsidRDefault="00CF747B" w:rsidP="00D4304B">
            <w:pPr>
              <w:widowControl w:val="0"/>
              <w:rPr>
                <w:b/>
                <w:color w:val="000000"/>
                <w:szCs w:val="22"/>
                <w:lang w:val="pt-BR"/>
              </w:rPr>
            </w:pPr>
            <w:r w:rsidRPr="00C83045">
              <w:rPr>
                <w:b/>
                <w:color w:val="000000"/>
                <w:szCs w:val="22"/>
                <w:lang w:val="pt-BR"/>
              </w:rPr>
              <w:t>Italia</w:t>
            </w:r>
          </w:p>
          <w:p w14:paraId="32368E6A" w14:textId="77777777" w:rsidR="00CF747B" w:rsidRPr="00C83045" w:rsidRDefault="00CF747B" w:rsidP="00D4304B">
            <w:pPr>
              <w:widowControl w:val="0"/>
              <w:rPr>
                <w:color w:val="000000"/>
                <w:szCs w:val="22"/>
                <w:lang w:val="pt-BR"/>
              </w:rPr>
            </w:pPr>
            <w:r w:rsidRPr="00C83045">
              <w:rPr>
                <w:color w:val="000000"/>
                <w:szCs w:val="22"/>
                <w:lang w:val="pt-BR"/>
              </w:rPr>
              <w:t>Novartis Farma S.p.A.</w:t>
            </w:r>
          </w:p>
          <w:p w14:paraId="32368E6B" w14:textId="77777777" w:rsidR="00CF747B" w:rsidRPr="00C83045" w:rsidRDefault="00CF747B" w:rsidP="00D4304B">
            <w:pPr>
              <w:widowControl w:val="0"/>
              <w:rPr>
                <w:b/>
                <w:color w:val="000000"/>
                <w:szCs w:val="22"/>
              </w:rPr>
            </w:pPr>
            <w:r w:rsidRPr="00C83045">
              <w:rPr>
                <w:color w:val="000000"/>
                <w:szCs w:val="22"/>
              </w:rPr>
              <w:t>Tel: +39 02 96 54 1</w:t>
            </w:r>
          </w:p>
        </w:tc>
        <w:tc>
          <w:tcPr>
            <w:tcW w:w="4650" w:type="dxa"/>
          </w:tcPr>
          <w:p w14:paraId="32368E6C" w14:textId="77777777" w:rsidR="00CF747B" w:rsidRPr="00C83045" w:rsidRDefault="00CF747B" w:rsidP="00D4304B">
            <w:pPr>
              <w:widowControl w:val="0"/>
              <w:rPr>
                <w:b/>
                <w:color w:val="000000"/>
                <w:szCs w:val="22"/>
                <w:lang w:val="fr-FR"/>
              </w:rPr>
            </w:pPr>
            <w:r w:rsidRPr="00C83045">
              <w:rPr>
                <w:b/>
                <w:color w:val="000000"/>
                <w:szCs w:val="22"/>
                <w:lang w:val="fr-FR"/>
              </w:rPr>
              <w:t>Suomi/Finland</w:t>
            </w:r>
          </w:p>
          <w:p w14:paraId="32368E6D" w14:textId="77777777" w:rsidR="00CF747B" w:rsidRPr="00C83045" w:rsidRDefault="00CF747B" w:rsidP="00D4304B">
            <w:pPr>
              <w:widowControl w:val="0"/>
              <w:rPr>
                <w:color w:val="000000"/>
                <w:szCs w:val="22"/>
                <w:lang w:val="fr-FR"/>
              </w:rPr>
            </w:pPr>
            <w:r w:rsidRPr="00C83045">
              <w:rPr>
                <w:color w:val="000000"/>
                <w:szCs w:val="22"/>
                <w:lang w:val="fr-FR"/>
              </w:rPr>
              <w:t>Novartis Finland Oy</w:t>
            </w:r>
          </w:p>
          <w:p w14:paraId="32368E6E" w14:textId="77777777" w:rsidR="00CF747B" w:rsidRPr="00C83045" w:rsidRDefault="00CF747B" w:rsidP="00D4304B">
            <w:pPr>
              <w:widowControl w:val="0"/>
              <w:rPr>
                <w:color w:val="000000"/>
                <w:szCs w:val="22"/>
                <w:lang w:val="fr-FR"/>
              </w:rPr>
            </w:pPr>
            <w:r w:rsidRPr="00C83045">
              <w:rPr>
                <w:color w:val="000000"/>
                <w:szCs w:val="22"/>
                <w:lang w:val="fr-FR"/>
              </w:rPr>
              <w:t xml:space="preserve">Puh/Tel: </w:t>
            </w:r>
            <w:r w:rsidRPr="00C83045">
              <w:rPr>
                <w:color w:val="000000"/>
                <w:szCs w:val="22"/>
                <w:lang w:val="de-CH" w:bidi="he-IL"/>
              </w:rPr>
              <w:t>+358 (0)10 6133 200</w:t>
            </w:r>
          </w:p>
          <w:p w14:paraId="32368E6F" w14:textId="77777777" w:rsidR="00CF747B" w:rsidRPr="00C83045" w:rsidRDefault="00CF747B" w:rsidP="00D4304B">
            <w:pPr>
              <w:widowControl w:val="0"/>
              <w:rPr>
                <w:color w:val="000000"/>
                <w:szCs w:val="22"/>
                <w:lang w:val="fr-FR"/>
              </w:rPr>
            </w:pPr>
          </w:p>
        </w:tc>
      </w:tr>
      <w:tr w:rsidR="00CF747B" w:rsidRPr="00C83045" w14:paraId="32368E79" w14:textId="77777777" w:rsidTr="00500409">
        <w:trPr>
          <w:cantSplit/>
        </w:trPr>
        <w:tc>
          <w:tcPr>
            <w:tcW w:w="4650" w:type="dxa"/>
          </w:tcPr>
          <w:p w14:paraId="32368E71" w14:textId="77777777" w:rsidR="00CF747B" w:rsidRPr="00C83045" w:rsidRDefault="00CF747B" w:rsidP="00D4304B">
            <w:pPr>
              <w:widowControl w:val="0"/>
              <w:rPr>
                <w:b/>
                <w:color w:val="000000"/>
                <w:szCs w:val="22"/>
                <w:lang w:val="fr-FR"/>
              </w:rPr>
            </w:pPr>
            <w:r w:rsidRPr="00C83045">
              <w:rPr>
                <w:b/>
                <w:color w:val="000000"/>
                <w:szCs w:val="22"/>
              </w:rPr>
              <w:t>Κύπρος</w:t>
            </w:r>
          </w:p>
          <w:p w14:paraId="32368E72" w14:textId="77777777" w:rsidR="00CF747B" w:rsidRPr="00C83045" w:rsidRDefault="00CF747B" w:rsidP="00D4304B">
            <w:pPr>
              <w:widowControl w:val="0"/>
              <w:rPr>
                <w:color w:val="000000"/>
                <w:szCs w:val="22"/>
                <w:lang w:val="fr-FR"/>
              </w:rPr>
            </w:pPr>
            <w:r w:rsidRPr="00C83045">
              <w:rPr>
                <w:color w:val="000000"/>
                <w:szCs w:val="22"/>
                <w:lang w:val="fr-FR" w:bidi="he-IL"/>
              </w:rPr>
              <w:t>Novartis Pharma Services Inc.</w:t>
            </w:r>
          </w:p>
          <w:p w14:paraId="32368E73" w14:textId="77777777" w:rsidR="00CF747B" w:rsidRPr="00C83045" w:rsidRDefault="00CF747B" w:rsidP="00D4304B">
            <w:pPr>
              <w:widowControl w:val="0"/>
              <w:rPr>
                <w:color w:val="000000"/>
                <w:szCs w:val="22"/>
                <w:lang w:val="fr-FR"/>
              </w:rPr>
            </w:pPr>
            <w:r w:rsidRPr="00C83045">
              <w:rPr>
                <w:color w:val="000000"/>
                <w:szCs w:val="22"/>
              </w:rPr>
              <w:t>Τηλ</w:t>
            </w:r>
            <w:r w:rsidRPr="00C83045">
              <w:rPr>
                <w:color w:val="000000"/>
                <w:szCs w:val="22"/>
                <w:lang w:val="fr-FR"/>
              </w:rPr>
              <w:t>: +357 22 690 690</w:t>
            </w:r>
          </w:p>
          <w:p w14:paraId="32368E74" w14:textId="77777777" w:rsidR="00CF747B" w:rsidRPr="00C83045" w:rsidRDefault="00CF747B" w:rsidP="00D4304B">
            <w:pPr>
              <w:widowControl w:val="0"/>
              <w:rPr>
                <w:b/>
                <w:color w:val="000000"/>
                <w:szCs w:val="22"/>
                <w:lang w:val="fr-FR"/>
              </w:rPr>
            </w:pPr>
          </w:p>
        </w:tc>
        <w:tc>
          <w:tcPr>
            <w:tcW w:w="4650" w:type="dxa"/>
          </w:tcPr>
          <w:p w14:paraId="32368E75" w14:textId="77777777" w:rsidR="00CF747B" w:rsidRPr="00C83045" w:rsidRDefault="00CF747B" w:rsidP="00D4304B">
            <w:pPr>
              <w:widowControl w:val="0"/>
              <w:rPr>
                <w:b/>
                <w:color w:val="000000"/>
                <w:szCs w:val="22"/>
                <w:lang w:val="de-CH"/>
              </w:rPr>
            </w:pPr>
            <w:r w:rsidRPr="00C83045">
              <w:rPr>
                <w:b/>
                <w:color w:val="000000"/>
                <w:szCs w:val="22"/>
                <w:lang w:val="de-CH"/>
              </w:rPr>
              <w:t>Sverige</w:t>
            </w:r>
          </w:p>
          <w:p w14:paraId="32368E76" w14:textId="77777777" w:rsidR="00CF747B" w:rsidRPr="00C83045" w:rsidRDefault="00CF747B" w:rsidP="00D4304B">
            <w:pPr>
              <w:widowControl w:val="0"/>
              <w:rPr>
                <w:color w:val="000000"/>
                <w:szCs w:val="22"/>
                <w:lang w:val="de-CH"/>
              </w:rPr>
            </w:pPr>
            <w:r w:rsidRPr="00C83045">
              <w:rPr>
                <w:color w:val="000000"/>
                <w:szCs w:val="22"/>
                <w:lang w:val="de-CH"/>
              </w:rPr>
              <w:t>Novartis Sverige AB</w:t>
            </w:r>
          </w:p>
          <w:p w14:paraId="32368E77" w14:textId="77777777" w:rsidR="00CF747B" w:rsidRPr="00C83045" w:rsidRDefault="00CF747B" w:rsidP="00D4304B">
            <w:pPr>
              <w:widowControl w:val="0"/>
              <w:rPr>
                <w:color w:val="000000"/>
                <w:szCs w:val="22"/>
                <w:lang w:val="de-CH"/>
              </w:rPr>
            </w:pPr>
            <w:r w:rsidRPr="00C83045">
              <w:rPr>
                <w:color w:val="000000"/>
                <w:szCs w:val="22"/>
                <w:lang w:val="de-CH"/>
              </w:rPr>
              <w:t>Tel: +46 8 732 32 00</w:t>
            </w:r>
          </w:p>
          <w:p w14:paraId="32368E78" w14:textId="77777777" w:rsidR="00CF747B" w:rsidRPr="00C83045" w:rsidRDefault="00CF747B" w:rsidP="00D4304B">
            <w:pPr>
              <w:widowControl w:val="0"/>
              <w:rPr>
                <w:color w:val="000000"/>
                <w:szCs w:val="22"/>
                <w:lang w:val="de-CH"/>
              </w:rPr>
            </w:pPr>
          </w:p>
        </w:tc>
      </w:tr>
      <w:tr w:rsidR="00CF747B" w:rsidRPr="00C83045" w14:paraId="32368E82" w14:textId="77777777" w:rsidTr="00500409">
        <w:trPr>
          <w:cantSplit/>
        </w:trPr>
        <w:tc>
          <w:tcPr>
            <w:tcW w:w="4650" w:type="dxa"/>
          </w:tcPr>
          <w:p w14:paraId="32368E7A" w14:textId="77777777" w:rsidR="00CF747B" w:rsidRPr="00514B7B" w:rsidRDefault="00CF747B" w:rsidP="00D4304B">
            <w:pPr>
              <w:widowControl w:val="0"/>
              <w:rPr>
                <w:b/>
                <w:color w:val="000000"/>
                <w:szCs w:val="22"/>
                <w:lang w:val="it-IT"/>
              </w:rPr>
            </w:pPr>
            <w:r w:rsidRPr="00514B7B">
              <w:rPr>
                <w:b/>
                <w:color w:val="000000"/>
                <w:szCs w:val="22"/>
                <w:lang w:val="it-IT"/>
              </w:rPr>
              <w:t>Latvija</w:t>
            </w:r>
          </w:p>
          <w:p w14:paraId="32368E7B" w14:textId="51A0D8AA" w:rsidR="00CF747B" w:rsidRPr="00514B7B" w:rsidRDefault="009F23CA" w:rsidP="00D4304B">
            <w:pPr>
              <w:widowControl w:val="0"/>
              <w:rPr>
                <w:color w:val="000000"/>
                <w:szCs w:val="22"/>
                <w:lang w:val="it-IT"/>
              </w:rPr>
            </w:pPr>
            <w:r w:rsidRPr="0051657E">
              <w:rPr>
                <w:szCs w:val="22"/>
                <w:lang w:val="it-IT"/>
              </w:rPr>
              <w:t>SIA Novartis Baltics</w:t>
            </w:r>
          </w:p>
          <w:p w14:paraId="32368E7C" w14:textId="77777777" w:rsidR="00CF747B" w:rsidRPr="00C83045" w:rsidRDefault="00CF747B" w:rsidP="00D4304B">
            <w:pPr>
              <w:widowControl w:val="0"/>
              <w:rPr>
                <w:color w:val="000000"/>
                <w:szCs w:val="22"/>
              </w:rPr>
            </w:pPr>
            <w:r w:rsidRPr="00C83045">
              <w:rPr>
                <w:color w:val="000000"/>
                <w:szCs w:val="22"/>
              </w:rPr>
              <w:t>Tel: +371 67 887 070</w:t>
            </w:r>
          </w:p>
          <w:p w14:paraId="32368E7D" w14:textId="77777777" w:rsidR="00CF747B" w:rsidRPr="00C83045" w:rsidRDefault="00CF747B" w:rsidP="00D4304B">
            <w:pPr>
              <w:widowControl w:val="0"/>
              <w:rPr>
                <w:b/>
                <w:color w:val="000000"/>
                <w:szCs w:val="22"/>
              </w:rPr>
            </w:pPr>
          </w:p>
        </w:tc>
        <w:tc>
          <w:tcPr>
            <w:tcW w:w="4650" w:type="dxa"/>
          </w:tcPr>
          <w:p w14:paraId="32368E7E" w14:textId="77777777" w:rsidR="00CF747B" w:rsidRPr="00C83045" w:rsidRDefault="00CF747B" w:rsidP="00D4304B">
            <w:pPr>
              <w:widowControl w:val="0"/>
              <w:rPr>
                <w:b/>
                <w:color w:val="000000"/>
                <w:szCs w:val="22"/>
              </w:rPr>
            </w:pPr>
            <w:smartTag w:uri="urn:schemas-microsoft-com:office:smarttags" w:element="country-region">
              <w:smartTag w:uri="urn:schemas-microsoft-com:office:smarttags" w:element="place">
                <w:r w:rsidRPr="00C83045">
                  <w:rPr>
                    <w:b/>
                    <w:color w:val="000000"/>
                    <w:szCs w:val="22"/>
                  </w:rPr>
                  <w:t>United Kingdom</w:t>
                </w:r>
              </w:smartTag>
            </w:smartTag>
          </w:p>
          <w:p w14:paraId="32368E7F" w14:textId="77777777" w:rsidR="00CF747B" w:rsidRPr="00C83045" w:rsidRDefault="00CF747B" w:rsidP="00D4304B">
            <w:pPr>
              <w:widowControl w:val="0"/>
              <w:rPr>
                <w:color w:val="000000"/>
                <w:szCs w:val="22"/>
              </w:rPr>
            </w:pPr>
            <w:r w:rsidRPr="00C83045">
              <w:rPr>
                <w:color w:val="000000"/>
                <w:szCs w:val="22"/>
              </w:rPr>
              <w:t>Novartis Pharmaceuticals UK Ltd.</w:t>
            </w:r>
          </w:p>
          <w:p w14:paraId="32368E80" w14:textId="77777777" w:rsidR="00CF747B" w:rsidRPr="00C83045" w:rsidRDefault="00CF747B" w:rsidP="00D4304B">
            <w:pPr>
              <w:widowControl w:val="0"/>
              <w:rPr>
                <w:color w:val="000000"/>
                <w:szCs w:val="22"/>
              </w:rPr>
            </w:pPr>
            <w:r w:rsidRPr="00C83045">
              <w:rPr>
                <w:color w:val="000000"/>
                <w:szCs w:val="22"/>
              </w:rPr>
              <w:t>Tel: +44 1276 698370</w:t>
            </w:r>
          </w:p>
          <w:p w14:paraId="32368E81" w14:textId="77777777" w:rsidR="00CF747B" w:rsidRPr="00C83045" w:rsidRDefault="00CF747B" w:rsidP="00D4304B">
            <w:pPr>
              <w:widowControl w:val="0"/>
              <w:rPr>
                <w:color w:val="000000"/>
                <w:szCs w:val="22"/>
              </w:rPr>
            </w:pPr>
          </w:p>
        </w:tc>
      </w:tr>
    </w:tbl>
    <w:p w14:paraId="32368E83" w14:textId="77777777" w:rsidR="00CF747B" w:rsidRPr="00C83045" w:rsidRDefault="00CF747B" w:rsidP="00D4304B">
      <w:pPr>
        <w:widowControl w:val="0"/>
        <w:ind w:right="-449"/>
        <w:rPr>
          <w:color w:val="000000"/>
          <w:szCs w:val="22"/>
        </w:rPr>
      </w:pPr>
    </w:p>
    <w:p w14:paraId="32368E84" w14:textId="77777777" w:rsidR="00F72C2E" w:rsidRPr="00C83045" w:rsidRDefault="00F72C2E" w:rsidP="00D4304B">
      <w:pPr>
        <w:widowControl w:val="0"/>
        <w:numPr>
          <w:ilvl w:val="12"/>
          <w:numId w:val="0"/>
        </w:numPr>
        <w:outlineLvl w:val="0"/>
        <w:rPr>
          <w:b/>
          <w:color w:val="000000"/>
          <w:szCs w:val="22"/>
        </w:rPr>
      </w:pPr>
      <w:r w:rsidRPr="00C83045">
        <w:rPr>
          <w:b/>
          <w:color w:val="000000"/>
          <w:szCs w:val="22"/>
        </w:rPr>
        <w:t xml:space="preserve">Táto písomná informácia bola </w:t>
      </w:r>
      <w:r w:rsidR="00F92AEB" w:rsidRPr="00C83045">
        <w:rPr>
          <w:b/>
          <w:noProof/>
        </w:rPr>
        <w:t>aktualizovaná</w:t>
      </w:r>
      <w:r w:rsidR="00F92AEB" w:rsidRPr="00C83045" w:rsidDel="00F92AEB">
        <w:rPr>
          <w:b/>
          <w:color w:val="000000"/>
          <w:szCs w:val="22"/>
        </w:rPr>
        <w:t xml:space="preserve"> </w:t>
      </w:r>
      <w:r w:rsidRPr="00C83045">
        <w:rPr>
          <w:b/>
          <w:color w:val="000000"/>
          <w:szCs w:val="22"/>
        </w:rPr>
        <w:t>v</w:t>
      </w:r>
    </w:p>
    <w:p w14:paraId="32368E85" w14:textId="77777777" w:rsidR="00F72C2E" w:rsidRPr="00C83045" w:rsidRDefault="00F72C2E" w:rsidP="00D4304B">
      <w:pPr>
        <w:widowControl w:val="0"/>
        <w:numPr>
          <w:ilvl w:val="12"/>
          <w:numId w:val="0"/>
        </w:numPr>
        <w:outlineLvl w:val="0"/>
        <w:rPr>
          <w:color w:val="000000"/>
          <w:szCs w:val="22"/>
        </w:rPr>
      </w:pPr>
    </w:p>
    <w:p w14:paraId="32368E86" w14:textId="77777777" w:rsidR="00F92AEB" w:rsidRPr="00C83045" w:rsidRDefault="00F92AEB" w:rsidP="00D4304B">
      <w:pPr>
        <w:keepNext/>
        <w:widowControl w:val="0"/>
        <w:rPr>
          <w:noProof/>
          <w:color w:val="000000"/>
          <w:szCs w:val="22"/>
        </w:rPr>
      </w:pPr>
      <w:r w:rsidRPr="00C83045">
        <w:rPr>
          <w:b/>
          <w:noProof/>
        </w:rPr>
        <w:t>Ďalšie zdroje informácií</w:t>
      </w:r>
    </w:p>
    <w:p w14:paraId="32368E87" w14:textId="77777777" w:rsidR="00F72C2E" w:rsidRPr="00C83045" w:rsidRDefault="00F72C2E" w:rsidP="00D4304B">
      <w:pPr>
        <w:widowControl w:val="0"/>
        <w:ind w:left="0" w:firstLine="0"/>
        <w:rPr>
          <w:noProof/>
          <w:color w:val="000000"/>
          <w:szCs w:val="22"/>
        </w:rPr>
      </w:pPr>
      <w:r w:rsidRPr="00C83045">
        <w:rPr>
          <w:noProof/>
          <w:color w:val="000000"/>
          <w:szCs w:val="22"/>
        </w:rPr>
        <w:t>Podrobné informácie o tomto lieku sú dostupné na internetovej stránke Európskej agentúry</w:t>
      </w:r>
      <w:r w:rsidR="00F92AEB" w:rsidRPr="00C83045">
        <w:rPr>
          <w:noProof/>
          <w:color w:val="000000"/>
          <w:szCs w:val="22"/>
        </w:rPr>
        <w:t xml:space="preserve"> pre lieky</w:t>
      </w:r>
      <w:r w:rsidRPr="00C83045">
        <w:rPr>
          <w:noProof/>
          <w:color w:val="000000"/>
          <w:szCs w:val="22"/>
        </w:rPr>
        <w:t xml:space="preserve"> </w:t>
      </w:r>
      <w:r w:rsidRPr="00C83045">
        <w:rPr>
          <w:noProof/>
          <w:color w:val="000000"/>
          <w:szCs w:val="22"/>
        </w:rPr>
        <w:lastRenderedPageBreak/>
        <w:t>http://www.ema.europa.eu</w:t>
      </w:r>
    </w:p>
    <w:p w14:paraId="3236901B" w14:textId="77777777" w:rsidR="0040528C" w:rsidRPr="00227CF9" w:rsidRDefault="0040528C" w:rsidP="00F2211A">
      <w:pPr>
        <w:widowControl w:val="0"/>
        <w:ind w:left="0" w:firstLine="0"/>
        <w:jc w:val="center"/>
        <w:rPr>
          <w:color w:val="000000"/>
          <w:szCs w:val="22"/>
          <w:lang w:eastAsia="en-US"/>
        </w:rPr>
      </w:pPr>
    </w:p>
    <w:sectPr w:rsidR="0040528C" w:rsidRPr="00227CF9" w:rsidSect="00667585">
      <w:headerReference w:type="even" r:id="rId18"/>
      <w:headerReference w:type="default" r:id="rId19"/>
      <w:footerReference w:type="even" r:id="rId20"/>
      <w:footerReference w:type="default" r:id="rId21"/>
      <w:headerReference w:type="first" r:id="rId22"/>
      <w:footerReference w:type="first" r:id="rId23"/>
      <w:pgSz w:w="11907" w:h="16840" w:code="9"/>
      <w:pgMar w:top="1134" w:right="1418" w:bottom="1134" w:left="1418" w:header="737" w:footer="73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6904A" w14:textId="77777777" w:rsidR="004550EF" w:rsidRDefault="004550EF">
      <w:r>
        <w:separator/>
      </w:r>
    </w:p>
  </w:endnote>
  <w:endnote w:type="continuationSeparator" w:id="0">
    <w:p w14:paraId="3236904B" w14:textId="77777777" w:rsidR="004550EF" w:rsidRDefault="00455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
    <w:altName w:val="Yu Gothic UI"/>
    <w:panose1 w:val="00000000000000000000"/>
    <w:charset w:val="00"/>
    <w:family w:val="roman"/>
    <w:notTrueType/>
    <w:pitch w:val="default"/>
    <w:sig w:usb0="00000083" w:usb1="08070000" w:usb2="00000010" w:usb3="00000000" w:csb0="00020009"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6904C" w14:textId="77777777" w:rsidR="004550EF" w:rsidRDefault="004550EF" w:rsidP="00E710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134</w:t>
    </w:r>
    <w:r>
      <w:rPr>
        <w:rStyle w:val="PageNumber"/>
      </w:rPr>
      <w:fldChar w:fldCharType="end"/>
    </w:r>
  </w:p>
  <w:p w14:paraId="3236904D" w14:textId="77777777" w:rsidR="004550EF" w:rsidRDefault="00455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6904E" w14:textId="06E3A65F" w:rsidR="004550EF" w:rsidRPr="00BE6051" w:rsidRDefault="004550EF" w:rsidP="00BE6051">
    <w:pPr>
      <w:pStyle w:val="Footer"/>
      <w:jc w:val="center"/>
      <w:rPr>
        <w:rFonts w:ascii="Arial" w:hAnsi="Arial" w:cs="Arial"/>
        <w:sz w:val="16"/>
        <w:szCs w:val="16"/>
      </w:rPr>
    </w:pPr>
    <w:r w:rsidRPr="00BE6051">
      <w:rPr>
        <w:rFonts w:ascii="Arial" w:hAnsi="Arial" w:cs="Arial"/>
        <w:sz w:val="16"/>
        <w:szCs w:val="16"/>
      </w:rPr>
      <w:fldChar w:fldCharType="begin"/>
    </w:r>
    <w:r w:rsidRPr="00BE6051">
      <w:rPr>
        <w:rFonts w:ascii="Arial" w:hAnsi="Arial" w:cs="Arial"/>
        <w:sz w:val="16"/>
        <w:szCs w:val="16"/>
      </w:rPr>
      <w:instrText xml:space="preserve"> PAGE   \* MERGEFORMAT </w:instrText>
    </w:r>
    <w:r w:rsidRPr="00BE6051">
      <w:rPr>
        <w:rFonts w:ascii="Arial" w:hAnsi="Arial" w:cs="Arial"/>
        <w:sz w:val="16"/>
        <w:szCs w:val="16"/>
      </w:rPr>
      <w:fldChar w:fldCharType="separate"/>
    </w:r>
    <w:r w:rsidR="0083668F">
      <w:rPr>
        <w:rFonts w:ascii="Arial" w:hAnsi="Arial" w:cs="Arial"/>
        <w:noProof/>
        <w:sz w:val="16"/>
        <w:szCs w:val="16"/>
      </w:rPr>
      <w:t>101</w:t>
    </w:r>
    <w:r w:rsidRPr="00BE6051">
      <w:rPr>
        <w:rFonts w:ascii="Arial" w:hAnsi="Arial" w:cs="Arial"/>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B781F" w14:textId="77777777" w:rsidR="004550EF" w:rsidRDefault="00455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69048" w14:textId="77777777" w:rsidR="004550EF" w:rsidRDefault="004550EF">
      <w:r>
        <w:separator/>
      </w:r>
    </w:p>
  </w:footnote>
  <w:footnote w:type="continuationSeparator" w:id="0">
    <w:p w14:paraId="32369049" w14:textId="77777777" w:rsidR="004550EF" w:rsidRDefault="00455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45A27" w14:textId="77777777" w:rsidR="004550EF" w:rsidRDefault="00455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F9AC0" w14:textId="77777777" w:rsidR="004550EF" w:rsidRDefault="004550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40060" w14:textId="77777777" w:rsidR="004550EF" w:rsidRDefault="00455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A831BC"/>
    <w:multiLevelType w:val="hybridMultilevel"/>
    <w:tmpl w:val="47F857D0"/>
    <w:lvl w:ilvl="0" w:tplc="90CAFF8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A4165A"/>
    <w:multiLevelType w:val="hybridMultilevel"/>
    <w:tmpl w:val="63DC4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451B22"/>
    <w:multiLevelType w:val="hybridMultilevel"/>
    <w:tmpl w:val="5498AB56"/>
    <w:lvl w:ilvl="0" w:tplc="F1CCAEB0">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9335A8"/>
    <w:multiLevelType w:val="hybridMultilevel"/>
    <w:tmpl w:val="7450BCFC"/>
    <w:lvl w:ilvl="0" w:tplc="630090D2">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F96A18"/>
    <w:multiLevelType w:val="hybridMultilevel"/>
    <w:tmpl w:val="EF6A531A"/>
    <w:lvl w:ilvl="0" w:tplc="0B0C47C6">
      <w:start w:val="1"/>
      <w:numFmt w:val="bullet"/>
      <w:lvlText w:val=""/>
      <w:lvlJc w:val="left"/>
      <w:pPr>
        <w:tabs>
          <w:tab w:val="num" w:pos="567"/>
        </w:tabs>
        <w:ind w:left="567" w:hanging="567"/>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D92AA8"/>
    <w:multiLevelType w:val="hybridMultilevel"/>
    <w:tmpl w:val="569AA4E6"/>
    <w:lvl w:ilvl="0" w:tplc="F1CCAEB0">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B550C8"/>
    <w:multiLevelType w:val="hybridMultilevel"/>
    <w:tmpl w:val="8350191E"/>
    <w:lvl w:ilvl="0" w:tplc="F1CCAEB0">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2A264C"/>
    <w:multiLevelType w:val="hybridMultilevel"/>
    <w:tmpl w:val="F3C8EFE8"/>
    <w:lvl w:ilvl="0" w:tplc="9CB42472">
      <w:start w:val="1"/>
      <w:numFmt w:val="bullet"/>
      <w:lvlText w:val=""/>
      <w:lvlJc w:val="left"/>
      <w:pPr>
        <w:tabs>
          <w:tab w:val="num" w:pos="720"/>
        </w:tabs>
        <w:ind w:left="567" w:hanging="20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4D6332"/>
    <w:multiLevelType w:val="hybridMultilevel"/>
    <w:tmpl w:val="99F02614"/>
    <w:lvl w:ilvl="0" w:tplc="5CC6A978">
      <w:start w:val="2"/>
      <w:numFmt w:val="bullet"/>
      <w:lvlText w:val="-"/>
      <w:lvlJc w:val="left"/>
      <w:pPr>
        <w:tabs>
          <w:tab w:val="num" w:pos="927"/>
        </w:tabs>
        <w:ind w:left="927" w:hanging="360"/>
      </w:pPr>
      <w:rPr>
        <w:strike w:val="0"/>
        <w:dstrike w:val="0"/>
        <w:u w:val="none" w:color="000000"/>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2603CF"/>
    <w:multiLevelType w:val="hybridMultilevel"/>
    <w:tmpl w:val="9A96D8B4"/>
    <w:lvl w:ilvl="0" w:tplc="5B961810">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870FFC"/>
    <w:multiLevelType w:val="hybridMultilevel"/>
    <w:tmpl w:val="EE5CDBFA"/>
    <w:lvl w:ilvl="0" w:tplc="05E81310">
      <w:numFmt w:val="bullet"/>
      <w:lvlText w:val="-"/>
      <w:lvlJc w:val="left"/>
      <w:pPr>
        <w:tabs>
          <w:tab w:val="num" w:pos="0"/>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915B2E"/>
    <w:multiLevelType w:val="hybridMultilevel"/>
    <w:tmpl w:val="8076C26C"/>
    <w:lvl w:ilvl="0" w:tplc="90CAFF8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173676"/>
    <w:multiLevelType w:val="hybridMultilevel"/>
    <w:tmpl w:val="F08E1C28"/>
    <w:lvl w:ilvl="0" w:tplc="E392E678">
      <w:numFmt w:val="bullet"/>
      <w:lvlText w:val="-"/>
      <w:lvlJc w:val="left"/>
      <w:pPr>
        <w:tabs>
          <w:tab w:val="num" w:pos="1134"/>
        </w:tabs>
        <w:ind w:left="1134" w:hanging="567"/>
      </w:pPr>
      <w:rPr>
        <w:rFonts w:hint="default"/>
      </w:rPr>
    </w:lvl>
    <w:lvl w:ilvl="1" w:tplc="04090003" w:tentative="1">
      <w:start w:val="1"/>
      <w:numFmt w:val="bullet"/>
      <w:lvlText w:val="o"/>
      <w:lvlJc w:val="left"/>
      <w:pPr>
        <w:tabs>
          <w:tab w:val="num" w:pos="2067"/>
        </w:tabs>
        <w:ind w:left="2067" w:hanging="360"/>
      </w:pPr>
      <w:rPr>
        <w:rFonts w:ascii="Courier New" w:hAnsi="Courier New" w:cs="Courier New" w:hint="default"/>
      </w:rPr>
    </w:lvl>
    <w:lvl w:ilvl="2" w:tplc="04090005" w:tentative="1">
      <w:start w:val="1"/>
      <w:numFmt w:val="bullet"/>
      <w:lvlText w:val=""/>
      <w:lvlJc w:val="left"/>
      <w:pPr>
        <w:tabs>
          <w:tab w:val="num" w:pos="2787"/>
        </w:tabs>
        <w:ind w:left="2787" w:hanging="360"/>
      </w:pPr>
      <w:rPr>
        <w:rFonts w:ascii="Wingdings" w:hAnsi="Wingdings" w:hint="default"/>
      </w:rPr>
    </w:lvl>
    <w:lvl w:ilvl="3" w:tplc="04090001" w:tentative="1">
      <w:start w:val="1"/>
      <w:numFmt w:val="bullet"/>
      <w:lvlText w:val=""/>
      <w:lvlJc w:val="left"/>
      <w:pPr>
        <w:tabs>
          <w:tab w:val="num" w:pos="3507"/>
        </w:tabs>
        <w:ind w:left="3507" w:hanging="360"/>
      </w:pPr>
      <w:rPr>
        <w:rFonts w:ascii="Symbol" w:hAnsi="Symbol" w:hint="default"/>
      </w:rPr>
    </w:lvl>
    <w:lvl w:ilvl="4" w:tplc="04090003" w:tentative="1">
      <w:start w:val="1"/>
      <w:numFmt w:val="bullet"/>
      <w:lvlText w:val="o"/>
      <w:lvlJc w:val="left"/>
      <w:pPr>
        <w:tabs>
          <w:tab w:val="num" w:pos="4227"/>
        </w:tabs>
        <w:ind w:left="4227" w:hanging="360"/>
      </w:pPr>
      <w:rPr>
        <w:rFonts w:ascii="Courier New" w:hAnsi="Courier New" w:cs="Courier New" w:hint="default"/>
      </w:rPr>
    </w:lvl>
    <w:lvl w:ilvl="5" w:tplc="04090005" w:tentative="1">
      <w:start w:val="1"/>
      <w:numFmt w:val="bullet"/>
      <w:lvlText w:val=""/>
      <w:lvlJc w:val="left"/>
      <w:pPr>
        <w:tabs>
          <w:tab w:val="num" w:pos="4947"/>
        </w:tabs>
        <w:ind w:left="4947" w:hanging="360"/>
      </w:pPr>
      <w:rPr>
        <w:rFonts w:ascii="Wingdings" w:hAnsi="Wingdings" w:hint="default"/>
      </w:rPr>
    </w:lvl>
    <w:lvl w:ilvl="6" w:tplc="04090001" w:tentative="1">
      <w:start w:val="1"/>
      <w:numFmt w:val="bullet"/>
      <w:lvlText w:val=""/>
      <w:lvlJc w:val="left"/>
      <w:pPr>
        <w:tabs>
          <w:tab w:val="num" w:pos="5667"/>
        </w:tabs>
        <w:ind w:left="5667" w:hanging="360"/>
      </w:pPr>
      <w:rPr>
        <w:rFonts w:ascii="Symbol" w:hAnsi="Symbol" w:hint="default"/>
      </w:rPr>
    </w:lvl>
    <w:lvl w:ilvl="7" w:tplc="04090003" w:tentative="1">
      <w:start w:val="1"/>
      <w:numFmt w:val="bullet"/>
      <w:lvlText w:val="o"/>
      <w:lvlJc w:val="left"/>
      <w:pPr>
        <w:tabs>
          <w:tab w:val="num" w:pos="6387"/>
        </w:tabs>
        <w:ind w:left="6387" w:hanging="360"/>
      </w:pPr>
      <w:rPr>
        <w:rFonts w:ascii="Courier New" w:hAnsi="Courier New" w:cs="Courier New" w:hint="default"/>
      </w:rPr>
    </w:lvl>
    <w:lvl w:ilvl="8" w:tplc="04090005" w:tentative="1">
      <w:start w:val="1"/>
      <w:numFmt w:val="bullet"/>
      <w:lvlText w:val=""/>
      <w:lvlJc w:val="left"/>
      <w:pPr>
        <w:tabs>
          <w:tab w:val="num" w:pos="7107"/>
        </w:tabs>
        <w:ind w:left="7107" w:hanging="360"/>
      </w:pPr>
      <w:rPr>
        <w:rFonts w:ascii="Wingdings" w:hAnsi="Wingdings" w:hint="default"/>
      </w:rPr>
    </w:lvl>
  </w:abstractNum>
  <w:abstractNum w:abstractNumId="16" w15:restartNumberingAfterBreak="0">
    <w:nsid w:val="50407C81"/>
    <w:multiLevelType w:val="hybridMultilevel"/>
    <w:tmpl w:val="0ADE52C2"/>
    <w:lvl w:ilvl="0" w:tplc="E3608AC0">
      <w:start w:val="2"/>
      <w:numFmt w:val="bullet"/>
      <w:lvlText w:val="-"/>
      <w:lvlJc w:val="left"/>
      <w:pPr>
        <w:tabs>
          <w:tab w:val="num" w:pos="576"/>
        </w:tabs>
        <w:ind w:left="576" w:hanging="570"/>
      </w:pPr>
      <w:rPr>
        <w:rFonts w:hint="default"/>
        <w:b w:val="0"/>
        <w:i w:val="0"/>
      </w:rPr>
    </w:lvl>
    <w:lvl w:ilvl="1" w:tplc="FB76711C">
      <w:start w:val="1"/>
      <w:numFmt w:val="bullet"/>
      <w:lvlText w:val=""/>
      <w:lvlJc w:val="left"/>
      <w:pPr>
        <w:tabs>
          <w:tab w:val="num" w:pos="1440"/>
        </w:tabs>
        <w:ind w:left="1440" w:hanging="360"/>
      </w:pPr>
      <w:rPr>
        <w:rFonts w:ascii="Symbol" w:hAnsi="Symbol" w:hint="default"/>
        <w:b w:val="0"/>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C90DE2"/>
    <w:multiLevelType w:val="hybridMultilevel"/>
    <w:tmpl w:val="7CC4D690"/>
    <w:lvl w:ilvl="0" w:tplc="90CAFF8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26644C"/>
    <w:multiLevelType w:val="hybridMultilevel"/>
    <w:tmpl w:val="FF8E949E"/>
    <w:lvl w:ilvl="0" w:tplc="B4D4A7CA">
      <w:start w:val="1"/>
      <w:numFmt w:val="bullet"/>
      <w:lvlText w:val=""/>
      <w:lvlJc w:val="left"/>
      <w:pPr>
        <w:tabs>
          <w:tab w:val="num" w:pos="357"/>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0A0F3D"/>
    <w:multiLevelType w:val="hybridMultilevel"/>
    <w:tmpl w:val="962A2ECA"/>
    <w:lvl w:ilvl="0" w:tplc="5F9C39B4">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780620"/>
    <w:multiLevelType w:val="hybridMultilevel"/>
    <w:tmpl w:val="504A920E"/>
    <w:lvl w:ilvl="0" w:tplc="B52270EA">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B0330C"/>
    <w:multiLevelType w:val="hybridMultilevel"/>
    <w:tmpl w:val="33FCCC3E"/>
    <w:lvl w:ilvl="0" w:tplc="F1CCAEB0">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1052E2"/>
    <w:multiLevelType w:val="hybridMultilevel"/>
    <w:tmpl w:val="C9185194"/>
    <w:lvl w:ilvl="0" w:tplc="097416C4">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236F82"/>
    <w:multiLevelType w:val="hybridMultilevel"/>
    <w:tmpl w:val="A972F3C8"/>
    <w:lvl w:ilvl="0" w:tplc="C67279D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9337D0"/>
    <w:multiLevelType w:val="hybridMultilevel"/>
    <w:tmpl w:val="8AE60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C359C5"/>
    <w:multiLevelType w:val="hybridMultilevel"/>
    <w:tmpl w:val="0DCA51DA"/>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DA7F87"/>
    <w:multiLevelType w:val="hybridMultilevel"/>
    <w:tmpl w:val="74185728"/>
    <w:lvl w:ilvl="0" w:tplc="F1CCAEB0">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622938"/>
    <w:multiLevelType w:val="hybridMultilevel"/>
    <w:tmpl w:val="258CCC6A"/>
    <w:lvl w:ilvl="0" w:tplc="C50ABA6A">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206395"/>
    <w:multiLevelType w:val="hybridMultilevel"/>
    <w:tmpl w:val="150E3E6E"/>
    <w:lvl w:ilvl="0" w:tplc="66B2495C">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553D88"/>
    <w:multiLevelType w:val="hybridMultilevel"/>
    <w:tmpl w:val="70F296F8"/>
    <w:lvl w:ilvl="0" w:tplc="66B2495C">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27"/>
  </w:num>
  <w:num w:numId="4">
    <w:abstractNumId w:val="10"/>
  </w:num>
  <w:num w:numId="5">
    <w:abstractNumId w:val="19"/>
  </w:num>
  <w:num w:numId="6">
    <w:abstractNumId w:val="13"/>
  </w:num>
  <w:num w:numId="7">
    <w:abstractNumId w:val="20"/>
  </w:num>
  <w:num w:numId="8">
    <w:abstractNumId w:val="0"/>
    <w:lvlOverride w:ilvl="0">
      <w:lvl w:ilvl="0">
        <w:start w:val="1"/>
        <w:numFmt w:val="bullet"/>
        <w:lvlText w:val="-"/>
        <w:legacy w:legacy="1" w:legacySpace="0" w:legacyIndent="360"/>
        <w:lvlJc w:val="left"/>
        <w:pPr>
          <w:ind w:left="360" w:hanging="360"/>
        </w:pPr>
      </w:lvl>
    </w:lvlOverride>
  </w:num>
  <w:num w:numId="9">
    <w:abstractNumId w:val="23"/>
  </w:num>
  <w:num w:numId="10">
    <w:abstractNumId w:val="15"/>
  </w:num>
  <w:num w:numId="11">
    <w:abstractNumId w:val="22"/>
  </w:num>
  <w:num w:numId="12">
    <w:abstractNumId w:val="3"/>
  </w:num>
  <w:num w:numId="13">
    <w:abstractNumId w:val="7"/>
  </w:num>
  <w:num w:numId="14">
    <w:abstractNumId w:val="6"/>
  </w:num>
  <w:num w:numId="15">
    <w:abstractNumId w:val="25"/>
  </w:num>
  <w:num w:numId="16">
    <w:abstractNumId w:val="29"/>
  </w:num>
  <w:num w:numId="17">
    <w:abstractNumId w:val="28"/>
  </w:num>
  <w:num w:numId="18">
    <w:abstractNumId w:val="16"/>
  </w:num>
  <w:num w:numId="19">
    <w:abstractNumId w:val="8"/>
  </w:num>
  <w:num w:numId="20">
    <w:abstractNumId w:val="26"/>
  </w:num>
  <w:num w:numId="21">
    <w:abstractNumId w:val="21"/>
  </w:num>
  <w:num w:numId="22">
    <w:abstractNumId w:val="9"/>
  </w:num>
  <w:num w:numId="23">
    <w:abstractNumId w:val="17"/>
  </w:num>
  <w:num w:numId="24">
    <w:abstractNumId w:val="14"/>
  </w:num>
  <w:num w:numId="25">
    <w:abstractNumId w:val="1"/>
  </w:num>
  <w:num w:numId="26">
    <w:abstractNumId w:val="4"/>
  </w:num>
  <w:num w:numId="27">
    <w:abstractNumId w:val="24"/>
  </w:num>
  <w:num w:numId="28">
    <w:abstractNumId w:val="2"/>
  </w:num>
  <w:num w:numId="29">
    <w:abstractNumId w:val="24"/>
  </w:num>
  <w:num w:numId="30">
    <w:abstractNumId w:val="5"/>
  </w:num>
  <w:num w:numId="31">
    <w:abstractNumId w:val="11"/>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pt-BR" w:vendorID="64" w:dllVersion="6" w:nlCheck="1" w:checkStyle="0"/>
  <w:activeWritingStyle w:appName="MSWord" w:lang="de-CH" w:vendorID="64" w:dllVersion="6" w:nlCheck="1" w:checkStyle="1"/>
  <w:activeWritingStyle w:appName="MSWord" w:lang="fr-FR" w:vendorID="64" w:dllVersion="6" w:nlCheck="1" w:checkStyle="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fr-CH" w:vendorID="64" w:dllVersion="6" w:nlCheck="1" w:checkStyle="0"/>
  <w:activeWritingStyle w:appName="MSWord" w:lang="de-DE"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1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34A"/>
    <w:rsid w:val="00000764"/>
    <w:rsid w:val="00001598"/>
    <w:rsid w:val="00002440"/>
    <w:rsid w:val="00004161"/>
    <w:rsid w:val="000075D0"/>
    <w:rsid w:val="00007BB9"/>
    <w:rsid w:val="000112BC"/>
    <w:rsid w:val="000117AD"/>
    <w:rsid w:val="000117E4"/>
    <w:rsid w:val="00011CBC"/>
    <w:rsid w:val="00013D15"/>
    <w:rsid w:val="00013E4F"/>
    <w:rsid w:val="0001419C"/>
    <w:rsid w:val="000160A5"/>
    <w:rsid w:val="000161D1"/>
    <w:rsid w:val="00016D14"/>
    <w:rsid w:val="000170AC"/>
    <w:rsid w:val="00017C48"/>
    <w:rsid w:val="000206A5"/>
    <w:rsid w:val="000227B8"/>
    <w:rsid w:val="00024359"/>
    <w:rsid w:val="00024B03"/>
    <w:rsid w:val="0002548C"/>
    <w:rsid w:val="00025985"/>
    <w:rsid w:val="000262DA"/>
    <w:rsid w:val="00027754"/>
    <w:rsid w:val="00030A18"/>
    <w:rsid w:val="00031F14"/>
    <w:rsid w:val="000321BD"/>
    <w:rsid w:val="000322A8"/>
    <w:rsid w:val="0003269D"/>
    <w:rsid w:val="000328DA"/>
    <w:rsid w:val="00034A67"/>
    <w:rsid w:val="000350A6"/>
    <w:rsid w:val="0003514B"/>
    <w:rsid w:val="0003725E"/>
    <w:rsid w:val="000374B2"/>
    <w:rsid w:val="00037BF6"/>
    <w:rsid w:val="00043708"/>
    <w:rsid w:val="00043E47"/>
    <w:rsid w:val="0004408B"/>
    <w:rsid w:val="00046ED1"/>
    <w:rsid w:val="00050460"/>
    <w:rsid w:val="000504EC"/>
    <w:rsid w:val="00050745"/>
    <w:rsid w:val="00051A63"/>
    <w:rsid w:val="00051AF8"/>
    <w:rsid w:val="00052D6F"/>
    <w:rsid w:val="00053066"/>
    <w:rsid w:val="0005598D"/>
    <w:rsid w:val="00056040"/>
    <w:rsid w:val="000602A3"/>
    <w:rsid w:val="0006094D"/>
    <w:rsid w:val="00060B0E"/>
    <w:rsid w:val="00061384"/>
    <w:rsid w:val="0006180C"/>
    <w:rsid w:val="00063813"/>
    <w:rsid w:val="0006534B"/>
    <w:rsid w:val="00066E56"/>
    <w:rsid w:val="00067559"/>
    <w:rsid w:val="00071EE1"/>
    <w:rsid w:val="00073185"/>
    <w:rsid w:val="000737F2"/>
    <w:rsid w:val="00074BF2"/>
    <w:rsid w:val="00075517"/>
    <w:rsid w:val="00075FEE"/>
    <w:rsid w:val="000768D6"/>
    <w:rsid w:val="00077733"/>
    <w:rsid w:val="000824A8"/>
    <w:rsid w:val="00082B51"/>
    <w:rsid w:val="000839AD"/>
    <w:rsid w:val="000840B4"/>
    <w:rsid w:val="000846B0"/>
    <w:rsid w:val="00084AA4"/>
    <w:rsid w:val="00084BCF"/>
    <w:rsid w:val="000853DD"/>
    <w:rsid w:val="000858BB"/>
    <w:rsid w:val="00085F4E"/>
    <w:rsid w:val="000861B1"/>
    <w:rsid w:val="000862D9"/>
    <w:rsid w:val="00086913"/>
    <w:rsid w:val="0008762F"/>
    <w:rsid w:val="0009196F"/>
    <w:rsid w:val="0009224C"/>
    <w:rsid w:val="00092789"/>
    <w:rsid w:val="00093698"/>
    <w:rsid w:val="000940E4"/>
    <w:rsid w:val="00094DF4"/>
    <w:rsid w:val="00095153"/>
    <w:rsid w:val="00095DC3"/>
    <w:rsid w:val="00096051"/>
    <w:rsid w:val="00096994"/>
    <w:rsid w:val="00097D85"/>
    <w:rsid w:val="000A087F"/>
    <w:rsid w:val="000A0EF8"/>
    <w:rsid w:val="000A1563"/>
    <w:rsid w:val="000A1D3F"/>
    <w:rsid w:val="000A1E6A"/>
    <w:rsid w:val="000A4201"/>
    <w:rsid w:val="000A5D58"/>
    <w:rsid w:val="000A778A"/>
    <w:rsid w:val="000A7C94"/>
    <w:rsid w:val="000B17D6"/>
    <w:rsid w:val="000B2226"/>
    <w:rsid w:val="000B3754"/>
    <w:rsid w:val="000B4887"/>
    <w:rsid w:val="000B52A7"/>
    <w:rsid w:val="000B7A9A"/>
    <w:rsid w:val="000C09F8"/>
    <w:rsid w:val="000C18E3"/>
    <w:rsid w:val="000C1AFD"/>
    <w:rsid w:val="000C38DF"/>
    <w:rsid w:val="000C3D88"/>
    <w:rsid w:val="000C53C5"/>
    <w:rsid w:val="000C5827"/>
    <w:rsid w:val="000C727C"/>
    <w:rsid w:val="000C7568"/>
    <w:rsid w:val="000D0891"/>
    <w:rsid w:val="000D19AC"/>
    <w:rsid w:val="000D20CB"/>
    <w:rsid w:val="000D22CF"/>
    <w:rsid w:val="000D3037"/>
    <w:rsid w:val="000D3842"/>
    <w:rsid w:val="000D6006"/>
    <w:rsid w:val="000D6B49"/>
    <w:rsid w:val="000D7013"/>
    <w:rsid w:val="000D7442"/>
    <w:rsid w:val="000D7AAD"/>
    <w:rsid w:val="000D7BBF"/>
    <w:rsid w:val="000E014D"/>
    <w:rsid w:val="000E06FD"/>
    <w:rsid w:val="000E1738"/>
    <w:rsid w:val="000E1F7C"/>
    <w:rsid w:val="000E20A1"/>
    <w:rsid w:val="000E24D2"/>
    <w:rsid w:val="000E3168"/>
    <w:rsid w:val="000E5189"/>
    <w:rsid w:val="000E5202"/>
    <w:rsid w:val="000E618B"/>
    <w:rsid w:val="000E6787"/>
    <w:rsid w:val="000F19AB"/>
    <w:rsid w:val="000F21CF"/>
    <w:rsid w:val="000F36E0"/>
    <w:rsid w:val="000F592D"/>
    <w:rsid w:val="000F5E39"/>
    <w:rsid w:val="000F64BF"/>
    <w:rsid w:val="000F663C"/>
    <w:rsid w:val="000F74CE"/>
    <w:rsid w:val="000F7595"/>
    <w:rsid w:val="000F7F9B"/>
    <w:rsid w:val="001011E3"/>
    <w:rsid w:val="00101534"/>
    <w:rsid w:val="00101ECE"/>
    <w:rsid w:val="00102D98"/>
    <w:rsid w:val="00103921"/>
    <w:rsid w:val="00103F7A"/>
    <w:rsid w:val="00104CC0"/>
    <w:rsid w:val="00105394"/>
    <w:rsid w:val="00106132"/>
    <w:rsid w:val="001062CB"/>
    <w:rsid w:val="001065BD"/>
    <w:rsid w:val="00110492"/>
    <w:rsid w:val="001121E1"/>
    <w:rsid w:val="00112488"/>
    <w:rsid w:val="0011284C"/>
    <w:rsid w:val="0011359B"/>
    <w:rsid w:val="001140C5"/>
    <w:rsid w:val="00114271"/>
    <w:rsid w:val="001146AD"/>
    <w:rsid w:val="00114BA1"/>
    <w:rsid w:val="001178FC"/>
    <w:rsid w:val="001204AE"/>
    <w:rsid w:val="001207ED"/>
    <w:rsid w:val="0012172B"/>
    <w:rsid w:val="00121D41"/>
    <w:rsid w:val="00121D7C"/>
    <w:rsid w:val="00122A82"/>
    <w:rsid w:val="00122D24"/>
    <w:rsid w:val="00123BD7"/>
    <w:rsid w:val="00125EDE"/>
    <w:rsid w:val="00126E10"/>
    <w:rsid w:val="00126F6A"/>
    <w:rsid w:val="001271AA"/>
    <w:rsid w:val="001312F2"/>
    <w:rsid w:val="001314F8"/>
    <w:rsid w:val="00133107"/>
    <w:rsid w:val="00133258"/>
    <w:rsid w:val="00134B9B"/>
    <w:rsid w:val="00137778"/>
    <w:rsid w:val="00140358"/>
    <w:rsid w:val="0014109A"/>
    <w:rsid w:val="00141215"/>
    <w:rsid w:val="001413CB"/>
    <w:rsid w:val="00144BAC"/>
    <w:rsid w:val="00145657"/>
    <w:rsid w:val="001462F9"/>
    <w:rsid w:val="001466B2"/>
    <w:rsid w:val="00146A3F"/>
    <w:rsid w:val="00147C29"/>
    <w:rsid w:val="00150301"/>
    <w:rsid w:val="0015244D"/>
    <w:rsid w:val="001528A6"/>
    <w:rsid w:val="00152CF0"/>
    <w:rsid w:val="00153E30"/>
    <w:rsid w:val="00154023"/>
    <w:rsid w:val="00154826"/>
    <w:rsid w:val="0015521F"/>
    <w:rsid w:val="00156358"/>
    <w:rsid w:val="001567AD"/>
    <w:rsid w:val="00157ED0"/>
    <w:rsid w:val="00157F8C"/>
    <w:rsid w:val="001613C1"/>
    <w:rsid w:val="0016154F"/>
    <w:rsid w:val="00161738"/>
    <w:rsid w:val="001620B9"/>
    <w:rsid w:val="00162BBF"/>
    <w:rsid w:val="0016323D"/>
    <w:rsid w:val="00163B7B"/>
    <w:rsid w:val="00164DB5"/>
    <w:rsid w:val="00166AEA"/>
    <w:rsid w:val="00167EF6"/>
    <w:rsid w:val="00171115"/>
    <w:rsid w:val="001724DD"/>
    <w:rsid w:val="0017295F"/>
    <w:rsid w:val="001740F3"/>
    <w:rsid w:val="00174A59"/>
    <w:rsid w:val="0017613B"/>
    <w:rsid w:val="00176776"/>
    <w:rsid w:val="00176A97"/>
    <w:rsid w:val="001770E3"/>
    <w:rsid w:val="00177854"/>
    <w:rsid w:val="001807BF"/>
    <w:rsid w:val="00181051"/>
    <w:rsid w:val="00181CA5"/>
    <w:rsid w:val="00181EFF"/>
    <w:rsid w:val="00182B5B"/>
    <w:rsid w:val="00182D93"/>
    <w:rsid w:val="001837CD"/>
    <w:rsid w:val="001837F9"/>
    <w:rsid w:val="00183D5B"/>
    <w:rsid w:val="00187FD7"/>
    <w:rsid w:val="00191506"/>
    <w:rsid w:val="00197911"/>
    <w:rsid w:val="001A1278"/>
    <w:rsid w:val="001A1B43"/>
    <w:rsid w:val="001A5967"/>
    <w:rsid w:val="001A6E4F"/>
    <w:rsid w:val="001A7767"/>
    <w:rsid w:val="001B05E5"/>
    <w:rsid w:val="001B28AD"/>
    <w:rsid w:val="001B4311"/>
    <w:rsid w:val="001B7C21"/>
    <w:rsid w:val="001B7F54"/>
    <w:rsid w:val="001C0503"/>
    <w:rsid w:val="001C1E1C"/>
    <w:rsid w:val="001D0B58"/>
    <w:rsid w:val="001D2062"/>
    <w:rsid w:val="001D2A52"/>
    <w:rsid w:val="001D2F9A"/>
    <w:rsid w:val="001D5D2F"/>
    <w:rsid w:val="001D693C"/>
    <w:rsid w:val="001D7331"/>
    <w:rsid w:val="001E1991"/>
    <w:rsid w:val="001E34CE"/>
    <w:rsid w:val="001E3E5C"/>
    <w:rsid w:val="001E4DB7"/>
    <w:rsid w:val="001E4ED1"/>
    <w:rsid w:val="001E66A3"/>
    <w:rsid w:val="001E77A3"/>
    <w:rsid w:val="001E7B31"/>
    <w:rsid w:val="001F0DCB"/>
    <w:rsid w:val="001F0FBF"/>
    <w:rsid w:val="001F1426"/>
    <w:rsid w:val="001F2E5B"/>
    <w:rsid w:val="001F5E8B"/>
    <w:rsid w:val="001F610E"/>
    <w:rsid w:val="001F733C"/>
    <w:rsid w:val="00200742"/>
    <w:rsid w:val="00200B04"/>
    <w:rsid w:val="002028BF"/>
    <w:rsid w:val="00202E20"/>
    <w:rsid w:val="0020516E"/>
    <w:rsid w:val="0020534B"/>
    <w:rsid w:val="00206B36"/>
    <w:rsid w:val="00207558"/>
    <w:rsid w:val="00212852"/>
    <w:rsid w:val="00213A5E"/>
    <w:rsid w:val="0021529F"/>
    <w:rsid w:val="002169A4"/>
    <w:rsid w:val="00217449"/>
    <w:rsid w:val="00217982"/>
    <w:rsid w:val="0022002A"/>
    <w:rsid w:val="0022087B"/>
    <w:rsid w:val="0022161F"/>
    <w:rsid w:val="00221B5E"/>
    <w:rsid w:val="00222674"/>
    <w:rsid w:val="00224CD5"/>
    <w:rsid w:val="0022565A"/>
    <w:rsid w:val="002256BF"/>
    <w:rsid w:val="002265C4"/>
    <w:rsid w:val="00227CF9"/>
    <w:rsid w:val="002307CE"/>
    <w:rsid w:val="00230C8C"/>
    <w:rsid w:val="00233C6D"/>
    <w:rsid w:val="00236A53"/>
    <w:rsid w:val="0024127F"/>
    <w:rsid w:val="00241B31"/>
    <w:rsid w:val="00242171"/>
    <w:rsid w:val="00242177"/>
    <w:rsid w:val="00242327"/>
    <w:rsid w:val="0024297A"/>
    <w:rsid w:val="00242B2C"/>
    <w:rsid w:val="00242B97"/>
    <w:rsid w:val="00246FF3"/>
    <w:rsid w:val="00247190"/>
    <w:rsid w:val="002471A8"/>
    <w:rsid w:val="002532B8"/>
    <w:rsid w:val="00256A47"/>
    <w:rsid w:val="00260996"/>
    <w:rsid w:val="002631FD"/>
    <w:rsid w:val="00263638"/>
    <w:rsid w:val="002641B8"/>
    <w:rsid w:val="0026456D"/>
    <w:rsid w:val="00265507"/>
    <w:rsid w:val="00270268"/>
    <w:rsid w:val="0027374F"/>
    <w:rsid w:val="0027466F"/>
    <w:rsid w:val="00276048"/>
    <w:rsid w:val="002773F9"/>
    <w:rsid w:val="00280E4D"/>
    <w:rsid w:val="0028115F"/>
    <w:rsid w:val="00281AE2"/>
    <w:rsid w:val="00283748"/>
    <w:rsid w:val="002841C9"/>
    <w:rsid w:val="00284C16"/>
    <w:rsid w:val="0028742F"/>
    <w:rsid w:val="00287DAE"/>
    <w:rsid w:val="0029077C"/>
    <w:rsid w:val="00291082"/>
    <w:rsid w:val="002925F3"/>
    <w:rsid w:val="00292929"/>
    <w:rsid w:val="00294464"/>
    <w:rsid w:val="002956F5"/>
    <w:rsid w:val="00295ADB"/>
    <w:rsid w:val="00295F89"/>
    <w:rsid w:val="002979BC"/>
    <w:rsid w:val="002A07E2"/>
    <w:rsid w:val="002A0B5D"/>
    <w:rsid w:val="002A130C"/>
    <w:rsid w:val="002A27E8"/>
    <w:rsid w:val="002A305A"/>
    <w:rsid w:val="002A3F92"/>
    <w:rsid w:val="002A45A0"/>
    <w:rsid w:val="002A49E8"/>
    <w:rsid w:val="002A56CC"/>
    <w:rsid w:val="002A6B70"/>
    <w:rsid w:val="002A7475"/>
    <w:rsid w:val="002B0073"/>
    <w:rsid w:val="002B0FE1"/>
    <w:rsid w:val="002B133D"/>
    <w:rsid w:val="002B172F"/>
    <w:rsid w:val="002B2402"/>
    <w:rsid w:val="002B2627"/>
    <w:rsid w:val="002B38BB"/>
    <w:rsid w:val="002B48C2"/>
    <w:rsid w:val="002C10F4"/>
    <w:rsid w:val="002C24F7"/>
    <w:rsid w:val="002C2D7C"/>
    <w:rsid w:val="002C3C82"/>
    <w:rsid w:val="002C5DF7"/>
    <w:rsid w:val="002C60A1"/>
    <w:rsid w:val="002C6467"/>
    <w:rsid w:val="002C6D20"/>
    <w:rsid w:val="002C7EFC"/>
    <w:rsid w:val="002D005B"/>
    <w:rsid w:val="002D08E0"/>
    <w:rsid w:val="002D156F"/>
    <w:rsid w:val="002D1BDF"/>
    <w:rsid w:val="002D2981"/>
    <w:rsid w:val="002D3E25"/>
    <w:rsid w:val="002D3E47"/>
    <w:rsid w:val="002D54F3"/>
    <w:rsid w:val="002D5791"/>
    <w:rsid w:val="002D590E"/>
    <w:rsid w:val="002D6378"/>
    <w:rsid w:val="002D6E67"/>
    <w:rsid w:val="002D7D84"/>
    <w:rsid w:val="002E04BC"/>
    <w:rsid w:val="002E1867"/>
    <w:rsid w:val="002E2ACF"/>
    <w:rsid w:val="002E405A"/>
    <w:rsid w:val="002E4523"/>
    <w:rsid w:val="002E45D4"/>
    <w:rsid w:val="002E4F3F"/>
    <w:rsid w:val="002E524E"/>
    <w:rsid w:val="002E6287"/>
    <w:rsid w:val="002E631F"/>
    <w:rsid w:val="002E7054"/>
    <w:rsid w:val="002E7DDE"/>
    <w:rsid w:val="002F1702"/>
    <w:rsid w:val="002F1D52"/>
    <w:rsid w:val="002F2725"/>
    <w:rsid w:val="002F2C45"/>
    <w:rsid w:val="002F3698"/>
    <w:rsid w:val="002F3B33"/>
    <w:rsid w:val="002F3C88"/>
    <w:rsid w:val="002F49D8"/>
    <w:rsid w:val="002F6505"/>
    <w:rsid w:val="002F65D6"/>
    <w:rsid w:val="002F73A9"/>
    <w:rsid w:val="0030298D"/>
    <w:rsid w:val="00302B36"/>
    <w:rsid w:val="00306162"/>
    <w:rsid w:val="00306E17"/>
    <w:rsid w:val="0030774F"/>
    <w:rsid w:val="00307862"/>
    <w:rsid w:val="0031149F"/>
    <w:rsid w:val="003117A8"/>
    <w:rsid w:val="00312133"/>
    <w:rsid w:val="00312E2D"/>
    <w:rsid w:val="00313615"/>
    <w:rsid w:val="00313A35"/>
    <w:rsid w:val="00315892"/>
    <w:rsid w:val="00316A94"/>
    <w:rsid w:val="003203BC"/>
    <w:rsid w:val="00321313"/>
    <w:rsid w:val="0032185C"/>
    <w:rsid w:val="003219F2"/>
    <w:rsid w:val="00321DD1"/>
    <w:rsid w:val="003227B1"/>
    <w:rsid w:val="00322DA2"/>
    <w:rsid w:val="00323C9F"/>
    <w:rsid w:val="003245D1"/>
    <w:rsid w:val="00324D07"/>
    <w:rsid w:val="00327586"/>
    <w:rsid w:val="003276AC"/>
    <w:rsid w:val="003279FF"/>
    <w:rsid w:val="00327E6E"/>
    <w:rsid w:val="00331AEE"/>
    <w:rsid w:val="00333244"/>
    <w:rsid w:val="00334867"/>
    <w:rsid w:val="00334BD8"/>
    <w:rsid w:val="00334E4C"/>
    <w:rsid w:val="003370FE"/>
    <w:rsid w:val="00337BF6"/>
    <w:rsid w:val="00343282"/>
    <w:rsid w:val="00344360"/>
    <w:rsid w:val="003443F2"/>
    <w:rsid w:val="00347124"/>
    <w:rsid w:val="00351710"/>
    <w:rsid w:val="00351946"/>
    <w:rsid w:val="00351D2A"/>
    <w:rsid w:val="003525C7"/>
    <w:rsid w:val="00354E62"/>
    <w:rsid w:val="00355822"/>
    <w:rsid w:val="00355D2E"/>
    <w:rsid w:val="00357569"/>
    <w:rsid w:val="00361FA0"/>
    <w:rsid w:val="003655EE"/>
    <w:rsid w:val="00366FAB"/>
    <w:rsid w:val="00370F67"/>
    <w:rsid w:val="00370FEA"/>
    <w:rsid w:val="00371B57"/>
    <w:rsid w:val="00373550"/>
    <w:rsid w:val="00374663"/>
    <w:rsid w:val="00375410"/>
    <w:rsid w:val="00375FEC"/>
    <w:rsid w:val="0037626A"/>
    <w:rsid w:val="003779B7"/>
    <w:rsid w:val="003813EC"/>
    <w:rsid w:val="003819EC"/>
    <w:rsid w:val="00383301"/>
    <w:rsid w:val="003835DA"/>
    <w:rsid w:val="0038616D"/>
    <w:rsid w:val="00392DB8"/>
    <w:rsid w:val="00393E7C"/>
    <w:rsid w:val="00395083"/>
    <w:rsid w:val="00396BBC"/>
    <w:rsid w:val="003973F3"/>
    <w:rsid w:val="0039781D"/>
    <w:rsid w:val="003A0075"/>
    <w:rsid w:val="003A009B"/>
    <w:rsid w:val="003A0972"/>
    <w:rsid w:val="003A260A"/>
    <w:rsid w:val="003A2BFD"/>
    <w:rsid w:val="003A2E01"/>
    <w:rsid w:val="003A2F14"/>
    <w:rsid w:val="003A335F"/>
    <w:rsid w:val="003A3ABC"/>
    <w:rsid w:val="003A4342"/>
    <w:rsid w:val="003A5E11"/>
    <w:rsid w:val="003B1AC5"/>
    <w:rsid w:val="003B3E3E"/>
    <w:rsid w:val="003B7306"/>
    <w:rsid w:val="003B7B56"/>
    <w:rsid w:val="003C23DE"/>
    <w:rsid w:val="003C28E8"/>
    <w:rsid w:val="003C2FCA"/>
    <w:rsid w:val="003C4EFC"/>
    <w:rsid w:val="003C6CE4"/>
    <w:rsid w:val="003C77DC"/>
    <w:rsid w:val="003C7A26"/>
    <w:rsid w:val="003D13D3"/>
    <w:rsid w:val="003D1501"/>
    <w:rsid w:val="003D190F"/>
    <w:rsid w:val="003D1C47"/>
    <w:rsid w:val="003D2302"/>
    <w:rsid w:val="003D386E"/>
    <w:rsid w:val="003D3D5C"/>
    <w:rsid w:val="003D5550"/>
    <w:rsid w:val="003D616C"/>
    <w:rsid w:val="003D6BE8"/>
    <w:rsid w:val="003D785F"/>
    <w:rsid w:val="003D78B9"/>
    <w:rsid w:val="003D79E0"/>
    <w:rsid w:val="003E03D6"/>
    <w:rsid w:val="003E0DCD"/>
    <w:rsid w:val="003E1038"/>
    <w:rsid w:val="003E11BD"/>
    <w:rsid w:val="003E1270"/>
    <w:rsid w:val="003E286B"/>
    <w:rsid w:val="003E2EB2"/>
    <w:rsid w:val="003E363B"/>
    <w:rsid w:val="003E4783"/>
    <w:rsid w:val="003E490D"/>
    <w:rsid w:val="003E52D4"/>
    <w:rsid w:val="003E5DF4"/>
    <w:rsid w:val="003E76D1"/>
    <w:rsid w:val="003F12F8"/>
    <w:rsid w:val="003F18F0"/>
    <w:rsid w:val="003F310C"/>
    <w:rsid w:val="003F503A"/>
    <w:rsid w:val="003F5798"/>
    <w:rsid w:val="003F5C7A"/>
    <w:rsid w:val="003F68C1"/>
    <w:rsid w:val="003F6F5C"/>
    <w:rsid w:val="003F71FF"/>
    <w:rsid w:val="00400AC2"/>
    <w:rsid w:val="00402C0B"/>
    <w:rsid w:val="00403811"/>
    <w:rsid w:val="00403AC4"/>
    <w:rsid w:val="004046C2"/>
    <w:rsid w:val="00404878"/>
    <w:rsid w:val="0040528C"/>
    <w:rsid w:val="004057BC"/>
    <w:rsid w:val="00405CBE"/>
    <w:rsid w:val="00406D2D"/>
    <w:rsid w:val="00407F16"/>
    <w:rsid w:val="00410222"/>
    <w:rsid w:val="00411934"/>
    <w:rsid w:val="004148CD"/>
    <w:rsid w:val="00414B75"/>
    <w:rsid w:val="00416E90"/>
    <w:rsid w:val="004170CD"/>
    <w:rsid w:val="00417E90"/>
    <w:rsid w:val="00420C03"/>
    <w:rsid w:val="00422790"/>
    <w:rsid w:val="00423585"/>
    <w:rsid w:val="004236F5"/>
    <w:rsid w:val="00423B5C"/>
    <w:rsid w:val="00425C24"/>
    <w:rsid w:val="00430B56"/>
    <w:rsid w:val="0043146B"/>
    <w:rsid w:val="0043194D"/>
    <w:rsid w:val="004324C4"/>
    <w:rsid w:val="0043297F"/>
    <w:rsid w:val="00433002"/>
    <w:rsid w:val="004338E5"/>
    <w:rsid w:val="0043490D"/>
    <w:rsid w:val="00434C16"/>
    <w:rsid w:val="004350BA"/>
    <w:rsid w:val="004351F9"/>
    <w:rsid w:val="0043631E"/>
    <w:rsid w:val="00436AE5"/>
    <w:rsid w:val="00437295"/>
    <w:rsid w:val="00440AC8"/>
    <w:rsid w:val="00440DE4"/>
    <w:rsid w:val="0044116B"/>
    <w:rsid w:val="0044116D"/>
    <w:rsid w:val="00443875"/>
    <w:rsid w:val="004450ED"/>
    <w:rsid w:val="004470EE"/>
    <w:rsid w:val="00447933"/>
    <w:rsid w:val="00451AC2"/>
    <w:rsid w:val="00452EDB"/>
    <w:rsid w:val="004532C2"/>
    <w:rsid w:val="00453519"/>
    <w:rsid w:val="004550EF"/>
    <w:rsid w:val="00457110"/>
    <w:rsid w:val="0045773A"/>
    <w:rsid w:val="00460207"/>
    <w:rsid w:val="00460B0F"/>
    <w:rsid w:val="00461D03"/>
    <w:rsid w:val="00462A3D"/>
    <w:rsid w:val="00463CFC"/>
    <w:rsid w:val="00463F2C"/>
    <w:rsid w:val="0046423E"/>
    <w:rsid w:val="004644FF"/>
    <w:rsid w:val="004648BE"/>
    <w:rsid w:val="004657D6"/>
    <w:rsid w:val="0046780F"/>
    <w:rsid w:val="00471032"/>
    <w:rsid w:val="004722F9"/>
    <w:rsid w:val="00472353"/>
    <w:rsid w:val="0047335C"/>
    <w:rsid w:val="00473BA6"/>
    <w:rsid w:val="00473F00"/>
    <w:rsid w:val="00475A55"/>
    <w:rsid w:val="00476E55"/>
    <w:rsid w:val="004773F1"/>
    <w:rsid w:val="0048096D"/>
    <w:rsid w:val="004815A1"/>
    <w:rsid w:val="00481DB6"/>
    <w:rsid w:val="00482A0E"/>
    <w:rsid w:val="00482A20"/>
    <w:rsid w:val="004830EC"/>
    <w:rsid w:val="00483E81"/>
    <w:rsid w:val="0048665C"/>
    <w:rsid w:val="00487DC8"/>
    <w:rsid w:val="00492955"/>
    <w:rsid w:val="00492EEB"/>
    <w:rsid w:val="00493039"/>
    <w:rsid w:val="004933D0"/>
    <w:rsid w:val="00494AA9"/>
    <w:rsid w:val="004969B2"/>
    <w:rsid w:val="00496D5B"/>
    <w:rsid w:val="0049772B"/>
    <w:rsid w:val="004A10D4"/>
    <w:rsid w:val="004A2C12"/>
    <w:rsid w:val="004A3C6F"/>
    <w:rsid w:val="004A46E2"/>
    <w:rsid w:val="004A46FC"/>
    <w:rsid w:val="004A5317"/>
    <w:rsid w:val="004A5979"/>
    <w:rsid w:val="004A5CB1"/>
    <w:rsid w:val="004A5DFD"/>
    <w:rsid w:val="004A5FDC"/>
    <w:rsid w:val="004A709D"/>
    <w:rsid w:val="004A7418"/>
    <w:rsid w:val="004B1773"/>
    <w:rsid w:val="004B2935"/>
    <w:rsid w:val="004B2B65"/>
    <w:rsid w:val="004B4599"/>
    <w:rsid w:val="004B5E5E"/>
    <w:rsid w:val="004B65E9"/>
    <w:rsid w:val="004B6898"/>
    <w:rsid w:val="004C14EF"/>
    <w:rsid w:val="004C2011"/>
    <w:rsid w:val="004C6BDE"/>
    <w:rsid w:val="004C71FB"/>
    <w:rsid w:val="004C7ED1"/>
    <w:rsid w:val="004D05B6"/>
    <w:rsid w:val="004D0E38"/>
    <w:rsid w:val="004D1279"/>
    <w:rsid w:val="004D2198"/>
    <w:rsid w:val="004D27AC"/>
    <w:rsid w:val="004D2DA5"/>
    <w:rsid w:val="004D2FB9"/>
    <w:rsid w:val="004D32FF"/>
    <w:rsid w:val="004D385E"/>
    <w:rsid w:val="004D49AD"/>
    <w:rsid w:val="004D4D9E"/>
    <w:rsid w:val="004D4F0C"/>
    <w:rsid w:val="004D5AF2"/>
    <w:rsid w:val="004D7575"/>
    <w:rsid w:val="004E0EA7"/>
    <w:rsid w:val="004E1732"/>
    <w:rsid w:val="004E3525"/>
    <w:rsid w:val="004E3A9C"/>
    <w:rsid w:val="004E45C1"/>
    <w:rsid w:val="004E7037"/>
    <w:rsid w:val="004E717D"/>
    <w:rsid w:val="004F038F"/>
    <w:rsid w:val="004F0448"/>
    <w:rsid w:val="004F0653"/>
    <w:rsid w:val="004F065D"/>
    <w:rsid w:val="004F0826"/>
    <w:rsid w:val="004F2F95"/>
    <w:rsid w:val="004F3954"/>
    <w:rsid w:val="004F5B12"/>
    <w:rsid w:val="004F620B"/>
    <w:rsid w:val="004F6CC1"/>
    <w:rsid w:val="004F74EE"/>
    <w:rsid w:val="00500409"/>
    <w:rsid w:val="00500432"/>
    <w:rsid w:val="0050336A"/>
    <w:rsid w:val="005044D9"/>
    <w:rsid w:val="0050464E"/>
    <w:rsid w:val="00504AE9"/>
    <w:rsid w:val="00505D25"/>
    <w:rsid w:val="00506B22"/>
    <w:rsid w:val="00506D91"/>
    <w:rsid w:val="00507EE9"/>
    <w:rsid w:val="00510AB5"/>
    <w:rsid w:val="00513D1B"/>
    <w:rsid w:val="00514634"/>
    <w:rsid w:val="00514B7B"/>
    <w:rsid w:val="005155E8"/>
    <w:rsid w:val="00516289"/>
    <w:rsid w:val="005178F9"/>
    <w:rsid w:val="00517CBE"/>
    <w:rsid w:val="0052210F"/>
    <w:rsid w:val="00524022"/>
    <w:rsid w:val="00524E16"/>
    <w:rsid w:val="00525021"/>
    <w:rsid w:val="00525500"/>
    <w:rsid w:val="00525531"/>
    <w:rsid w:val="0052682B"/>
    <w:rsid w:val="00527967"/>
    <w:rsid w:val="005302B7"/>
    <w:rsid w:val="005318CD"/>
    <w:rsid w:val="0053364E"/>
    <w:rsid w:val="005336FE"/>
    <w:rsid w:val="00536110"/>
    <w:rsid w:val="00536439"/>
    <w:rsid w:val="00536541"/>
    <w:rsid w:val="00536C7C"/>
    <w:rsid w:val="005402F0"/>
    <w:rsid w:val="005416AE"/>
    <w:rsid w:val="00541E95"/>
    <w:rsid w:val="00543900"/>
    <w:rsid w:val="00545586"/>
    <w:rsid w:val="00546D1F"/>
    <w:rsid w:val="00547A16"/>
    <w:rsid w:val="005503A7"/>
    <w:rsid w:val="00550E00"/>
    <w:rsid w:val="005512C6"/>
    <w:rsid w:val="005514C4"/>
    <w:rsid w:val="00552258"/>
    <w:rsid w:val="00552BA7"/>
    <w:rsid w:val="00553227"/>
    <w:rsid w:val="005537F2"/>
    <w:rsid w:val="0055399B"/>
    <w:rsid w:val="00554502"/>
    <w:rsid w:val="005555A1"/>
    <w:rsid w:val="00556D5F"/>
    <w:rsid w:val="00557067"/>
    <w:rsid w:val="0055709A"/>
    <w:rsid w:val="00557730"/>
    <w:rsid w:val="005579FD"/>
    <w:rsid w:val="00557E31"/>
    <w:rsid w:val="0056020A"/>
    <w:rsid w:val="0056087A"/>
    <w:rsid w:val="005619C6"/>
    <w:rsid w:val="00561C4A"/>
    <w:rsid w:val="00562685"/>
    <w:rsid w:val="00564460"/>
    <w:rsid w:val="00564890"/>
    <w:rsid w:val="00564947"/>
    <w:rsid w:val="0057249D"/>
    <w:rsid w:val="00572640"/>
    <w:rsid w:val="00572B69"/>
    <w:rsid w:val="005760AF"/>
    <w:rsid w:val="00577738"/>
    <w:rsid w:val="00581B8C"/>
    <w:rsid w:val="00582A63"/>
    <w:rsid w:val="00582F80"/>
    <w:rsid w:val="005836AD"/>
    <w:rsid w:val="00583DD0"/>
    <w:rsid w:val="00583EB2"/>
    <w:rsid w:val="00585844"/>
    <w:rsid w:val="005868C3"/>
    <w:rsid w:val="00587E5A"/>
    <w:rsid w:val="00590BB1"/>
    <w:rsid w:val="00590C9A"/>
    <w:rsid w:val="0059143C"/>
    <w:rsid w:val="00591A69"/>
    <w:rsid w:val="00592847"/>
    <w:rsid w:val="005932FE"/>
    <w:rsid w:val="005942C0"/>
    <w:rsid w:val="0059521C"/>
    <w:rsid w:val="00595B36"/>
    <w:rsid w:val="00596003"/>
    <w:rsid w:val="00596C49"/>
    <w:rsid w:val="005A09EB"/>
    <w:rsid w:val="005A0ECC"/>
    <w:rsid w:val="005A112A"/>
    <w:rsid w:val="005A2483"/>
    <w:rsid w:val="005A26C9"/>
    <w:rsid w:val="005A26D4"/>
    <w:rsid w:val="005A3F7C"/>
    <w:rsid w:val="005A53A3"/>
    <w:rsid w:val="005A6903"/>
    <w:rsid w:val="005B03FE"/>
    <w:rsid w:val="005B1E87"/>
    <w:rsid w:val="005B2262"/>
    <w:rsid w:val="005B24FF"/>
    <w:rsid w:val="005B3758"/>
    <w:rsid w:val="005B4156"/>
    <w:rsid w:val="005B4446"/>
    <w:rsid w:val="005B5436"/>
    <w:rsid w:val="005B5450"/>
    <w:rsid w:val="005B582D"/>
    <w:rsid w:val="005B5D0B"/>
    <w:rsid w:val="005B60A3"/>
    <w:rsid w:val="005B60B0"/>
    <w:rsid w:val="005C04AC"/>
    <w:rsid w:val="005C1086"/>
    <w:rsid w:val="005C10E5"/>
    <w:rsid w:val="005C1886"/>
    <w:rsid w:val="005C24B5"/>
    <w:rsid w:val="005C3688"/>
    <w:rsid w:val="005C5BB0"/>
    <w:rsid w:val="005C7095"/>
    <w:rsid w:val="005C7627"/>
    <w:rsid w:val="005D0A7E"/>
    <w:rsid w:val="005D6FC6"/>
    <w:rsid w:val="005E1A71"/>
    <w:rsid w:val="005E3AFC"/>
    <w:rsid w:val="005E64A4"/>
    <w:rsid w:val="005E7A10"/>
    <w:rsid w:val="005F1D11"/>
    <w:rsid w:val="005F569D"/>
    <w:rsid w:val="005F60E3"/>
    <w:rsid w:val="005F66DA"/>
    <w:rsid w:val="00601161"/>
    <w:rsid w:val="00601A47"/>
    <w:rsid w:val="00601F3F"/>
    <w:rsid w:val="0060353D"/>
    <w:rsid w:val="00603816"/>
    <w:rsid w:val="00605D17"/>
    <w:rsid w:val="00606CB4"/>
    <w:rsid w:val="00607657"/>
    <w:rsid w:val="00607A1F"/>
    <w:rsid w:val="00610698"/>
    <w:rsid w:val="006111F8"/>
    <w:rsid w:val="006112D9"/>
    <w:rsid w:val="006114B8"/>
    <w:rsid w:val="0061166C"/>
    <w:rsid w:val="0061243F"/>
    <w:rsid w:val="006134D3"/>
    <w:rsid w:val="006139B8"/>
    <w:rsid w:val="00614FE7"/>
    <w:rsid w:val="00615AEF"/>
    <w:rsid w:val="00615D1A"/>
    <w:rsid w:val="0061617F"/>
    <w:rsid w:val="00616FE8"/>
    <w:rsid w:val="00617782"/>
    <w:rsid w:val="006208CC"/>
    <w:rsid w:val="00621202"/>
    <w:rsid w:val="00621DB3"/>
    <w:rsid w:val="00621DE1"/>
    <w:rsid w:val="00621FBF"/>
    <w:rsid w:val="0062210C"/>
    <w:rsid w:val="006226FB"/>
    <w:rsid w:val="006227B8"/>
    <w:rsid w:val="0062582E"/>
    <w:rsid w:val="006269F8"/>
    <w:rsid w:val="00626B2E"/>
    <w:rsid w:val="00626B3A"/>
    <w:rsid w:val="006275A7"/>
    <w:rsid w:val="00627DC7"/>
    <w:rsid w:val="00631534"/>
    <w:rsid w:val="006315BC"/>
    <w:rsid w:val="00632C40"/>
    <w:rsid w:val="006332E1"/>
    <w:rsid w:val="0063460A"/>
    <w:rsid w:val="006370F4"/>
    <w:rsid w:val="00644A86"/>
    <w:rsid w:val="006459DC"/>
    <w:rsid w:val="00651242"/>
    <w:rsid w:val="0065209F"/>
    <w:rsid w:val="0065235E"/>
    <w:rsid w:val="006523DA"/>
    <w:rsid w:val="006531EF"/>
    <w:rsid w:val="00654C06"/>
    <w:rsid w:val="00655709"/>
    <w:rsid w:val="00657D71"/>
    <w:rsid w:val="00657E19"/>
    <w:rsid w:val="006610E8"/>
    <w:rsid w:val="00663A86"/>
    <w:rsid w:val="00664F77"/>
    <w:rsid w:val="00666DF2"/>
    <w:rsid w:val="006672E5"/>
    <w:rsid w:val="00667585"/>
    <w:rsid w:val="00670AB0"/>
    <w:rsid w:val="00670B45"/>
    <w:rsid w:val="00670E2E"/>
    <w:rsid w:val="00671273"/>
    <w:rsid w:val="00672D11"/>
    <w:rsid w:val="006732A0"/>
    <w:rsid w:val="00673403"/>
    <w:rsid w:val="006744B3"/>
    <w:rsid w:val="006766FA"/>
    <w:rsid w:val="00677840"/>
    <w:rsid w:val="00681323"/>
    <w:rsid w:val="00681522"/>
    <w:rsid w:val="00682024"/>
    <w:rsid w:val="00682237"/>
    <w:rsid w:val="00682286"/>
    <w:rsid w:val="00682FF8"/>
    <w:rsid w:val="00684371"/>
    <w:rsid w:val="0068584E"/>
    <w:rsid w:val="00686913"/>
    <w:rsid w:val="006872EE"/>
    <w:rsid w:val="00687D71"/>
    <w:rsid w:val="00691B7B"/>
    <w:rsid w:val="006921B9"/>
    <w:rsid w:val="00692251"/>
    <w:rsid w:val="00693BC4"/>
    <w:rsid w:val="0069464E"/>
    <w:rsid w:val="00694AD7"/>
    <w:rsid w:val="00695306"/>
    <w:rsid w:val="006969A5"/>
    <w:rsid w:val="006A1CED"/>
    <w:rsid w:val="006A1CF0"/>
    <w:rsid w:val="006A210C"/>
    <w:rsid w:val="006A2E6E"/>
    <w:rsid w:val="006A3A5F"/>
    <w:rsid w:val="006A4594"/>
    <w:rsid w:val="006A5435"/>
    <w:rsid w:val="006A60AB"/>
    <w:rsid w:val="006A638A"/>
    <w:rsid w:val="006A70EE"/>
    <w:rsid w:val="006A7608"/>
    <w:rsid w:val="006A7A2F"/>
    <w:rsid w:val="006B0099"/>
    <w:rsid w:val="006B01DE"/>
    <w:rsid w:val="006B28A0"/>
    <w:rsid w:val="006B3094"/>
    <w:rsid w:val="006B324E"/>
    <w:rsid w:val="006B3536"/>
    <w:rsid w:val="006B39D8"/>
    <w:rsid w:val="006B5B0C"/>
    <w:rsid w:val="006B5C7C"/>
    <w:rsid w:val="006B6C14"/>
    <w:rsid w:val="006B7E14"/>
    <w:rsid w:val="006C0206"/>
    <w:rsid w:val="006C110E"/>
    <w:rsid w:val="006C13F9"/>
    <w:rsid w:val="006C2F85"/>
    <w:rsid w:val="006C5496"/>
    <w:rsid w:val="006C5A63"/>
    <w:rsid w:val="006C6844"/>
    <w:rsid w:val="006C7491"/>
    <w:rsid w:val="006C78CD"/>
    <w:rsid w:val="006D1C7D"/>
    <w:rsid w:val="006D21EE"/>
    <w:rsid w:val="006D5165"/>
    <w:rsid w:val="006D66A8"/>
    <w:rsid w:val="006D734E"/>
    <w:rsid w:val="006E17F7"/>
    <w:rsid w:val="006E34EF"/>
    <w:rsid w:val="006E4A00"/>
    <w:rsid w:val="006E4A59"/>
    <w:rsid w:val="006E5DE7"/>
    <w:rsid w:val="006E79DA"/>
    <w:rsid w:val="006F0BD4"/>
    <w:rsid w:val="006F1678"/>
    <w:rsid w:val="006F29E7"/>
    <w:rsid w:val="006F4E5F"/>
    <w:rsid w:val="006F58FC"/>
    <w:rsid w:val="006F6586"/>
    <w:rsid w:val="006F7F96"/>
    <w:rsid w:val="007001C5"/>
    <w:rsid w:val="00700D49"/>
    <w:rsid w:val="00702190"/>
    <w:rsid w:val="00702EFF"/>
    <w:rsid w:val="00703E24"/>
    <w:rsid w:val="00704A88"/>
    <w:rsid w:val="00705050"/>
    <w:rsid w:val="007056D7"/>
    <w:rsid w:val="00707700"/>
    <w:rsid w:val="0071043D"/>
    <w:rsid w:val="0071052B"/>
    <w:rsid w:val="00710761"/>
    <w:rsid w:val="00710DB6"/>
    <w:rsid w:val="007110F1"/>
    <w:rsid w:val="00712329"/>
    <w:rsid w:val="0071262A"/>
    <w:rsid w:val="00712CB5"/>
    <w:rsid w:val="00713EC1"/>
    <w:rsid w:val="007140FD"/>
    <w:rsid w:val="00714769"/>
    <w:rsid w:val="00714A77"/>
    <w:rsid w:val="007216AC"/>
    <w:rsid w:val="0072275D"/>
    <w:rsid w:val="00723902"/>
    <w:rsid w:val="0072425D"/>
    <w:rsid w:val="0072440C"/>
    <w:rsid w:val="00724898"/>
    <w:rsid w:val="007259BA"/>
    <w:rsid w:val="00726BBE"/>
    <w:rsid w:val="00727203"/>
    <w:rsid w:val="00731003"/>
    <w:rsid w:val="00733669"/>
    <w:rsid w:val="007343E0"/>
    <w:rsid w:val="00734443"/>
    <w:rsid w:val="00734A2D"/>
    <w:rsid w:val="00735ABD"/>
    <w:rsid w:val="00735BEA"/>
    <w:rsid w:val="007366C6"/>
    <w:rsid w:val="00736A83"/>
    <w:rsid w:val="00737C25"/>
    <w:rsid w:val="00737C31"/>
    <w:rsid w:val="00741B71"/>
    <w:rsid w:val="00741F22"/>
    <w:rsid w:val="00741F90"/>
    <w:rsid w:val="007428C9"/>
    <w:rsid w:val="00745A1E"/>
    <w:rsid w:val="00745A2C"/>
    <w:rsid w:val="007461F8"/>
    <w:rsid w:val="007470D9"/>
    <w:rsid w:val="00747866"/>
    <w:rsid w:val="00747CF3"/>
    <w:rsid w:val="007501EC"/>
    <w:rsid w:val="007507C9"/>
    <w:rsid w:val="00752643"/>
    <w:rsid w:val="00753F79"/>
    <w:rsid w:val="00754A67"/>
    <w:rsid w:val="00755AE5"/>
    <w:rsid w:val="00756E6E"/>
    <w:rsid w:val="007577C5"/>
    <w:rsid w:val="00757C39"/>
    <w:rsid w:val="00760E8E"/>
    <w:rsid w:val="00761132"/>
    <w:rsid w:val="00761162"/>
    <w:rsid w:val="007612DF"/>
    <w:rsid w:val="0076344C"/>
    <w:rsid w:val="007638C9"/>
    <w:rsid w:val="00765E5B"/>
    <w:rsid w:val="00765F75"/>
    <w:rsid w:val="007671B5"/>
    <w:rsid w:val="00770CD3"/>
    <w:rsid w:val="0077281D"/>
    <w:rsid w:val="00772AAA"/>
    <w:rsid w:val="00776962"/>
    <w:rsid w:val="007769DE"/>
    <w:rsid w:val="00776EA7"/>
    <w:rsid w:val="00781203"/>
    <w:rsid w:val="00781CF1"/>
    <w:rsid w:val="0078227C"/>
    <w:rsid w:val="007858F2"/>
    <w:rsid w:val="0078733E"/>
    <w:rsid w:val="00791001"/>
    <w:rsid w:val="007910D9"/>
    <w:rsid w:val="0079159A"/>
    <w:rsid w:val="00793C1E"/>
    <w:rsid w:val="00794F9E"/>
    <w:rsid w:val="007958E7"/>
    <w:rsid w:val="00795D39"/>
    <w:rsid w:val="00795E6B"/>
    <w:rsid w:val="00796099"/>
    <w:rsid w:val="00796278"/>
    <w:rsid w:val="00796F5A"/>
    <w:rsid w:val="007A0822"/>
    <w:rsid w:val="007A0E77"/>
    <w:rsid w:val="007A1BB3"/>
    <w:rsid w:val="007A33D0"/>
    <w:rsid w:val="007A3F89"/>
    <w:rsid w:val="007A41AA"/>
    <w:rsid w:val="007A539A"/>
    <w:rsid w:val="007A66A1"/>
    <w:rsid w:val="007A66C8"/>
    <w:rsid w:val="007B02E1"/>
    <w:rsid w:val="007B19AF"/>
    <w:rsid w:val="007B21BE"/>
    <w:rsid w:val="007B35B3"/>
    <w:rsid w:val="007B4488"/>
    <w:rsid w:val="007B45B1"/>
    <w:rsid w:val="007B503D"/>
    <w:rsid w:val="007B5724"/>
    <w:rsid w:val="007B6C10"/>
    <w:rsid w:val="007B6E8E"/>
    <w:rsid w:val="007B7FD3"/>
    <w:rsid w:val="007B7FE4"/>
    <w:rsid w:val="007C00F7"/>
    <w:rsid w:val="007C0240"/>
    <w:rsid w:val="007C0CE7"/>
    <w:rsid w:val="007C0EDE"/>
    <w:rsid w:val="007C13D5"/>
    <w:rsid w:val="007C2055"/>
    <w:rsid w:val="007C21E7"/>
    <w:rsid w:val="007C2321"/>
    <w:rsid w:val="007C395B"/>
    <w:rsid w:val="007C3B99"/>
    <w:rsid w:val="007C4A4E"/>
    <w:rsid w:val="007C58B4"/>
    <w:rsid w:val="007D0189"/>
    <w:rsid w:val="007D2C75"/>
    <w:rsid w:val="007D3DA7"/>
    <w:rsid w:val="007D52CB"/>
    <w:rsid w:val="007D5C1B"/>
    <w:rsid w:val="007D6480"/>
    <w:rsid w:val="007D6C03"/>
    <w:rsid w:val="007E2E4B"/>
    <w:rsid w:val="007E4110"/>
    <w:rsid w:val="007E41AA"/>
    <w:rsid w:val="007E4626"/>
    <w:rsid w:val="007E5A6A"/>
    <w:rsid w:val="007E7155"/>
    <w:rsid w:val="007F0728"/>
    <w:rsid w:val="007F105B"/>
    <w:rsid w:val="007F1F08"/>
    <w:rsid w:val="007F3990"/>
    <w:rsid w:val="007F4BC8"/>
    <w:rsid w:val="007F59B6"/>
    <w:rsid w:val="007F61F4"/>
    <w:rsid w:val="007F7E15"/>
    <w:rsid w:val="00800515"/>
    <w:rsid w:val="00800CA0"/>
    <w:rsid w:val="00802457"/>
    <w:rsid w:val="00802765"/>
    <w:rsid w:val="00802815"/>
    <w:rsid w:val="008035DC"/>
    <w:rsid w:val="0080469B"/>
    <w:rsid w:val="00806BE8"/>
    <w:rsid w:val="00810E95"/>
    <w:rsid w:val="0081104B"/>
    <w:rsid w:val="00811D25"/>
    <w:rsid w:val="0081270C"/>
    <w:rsid w:val="00812933"/>
    <w:rsid w:val="008142C5"/>
    <w:rsid w:val="00815113"/>
    <w:rsid w:val="00815840"/>
    <w:rsid w:val="0081705D"/>
    <w:rsid w:val="008202CD"/>
    <w:rsid w:val="0082080F"/>
    <w:rsid w:val="00820F46"/>
    <w:rsid w:val="0082235A"/>
    <w:rsid w:val="0082275C"/>
    <w:rsid w:val="00823E15"/>
    <w:rsid w:val="00824BFA"/>
    <w:rsid w:val="0082567B"/>
    <w:rsid w:val="008261DA"/>
    <w:rsid w:val="00827B2E"/>
    <w:rsid w:val="00830346"/>
    <w:rsid w:val="00830E22"/>
    <w:rsid w:val="00832DCF"/>
    <w:rsid w:val="008335F6"/>
    <w:rsid w:val="008336F3"/>
    <w:rsid w:val="008337D2"/>
    <w:rsid w:val="0083668F"/>
    <w:rsid w:val="00840750"/>
    <w:rsid w:val="0084325E"/>
    <w:rsid w:val="00844D1C"/>
    <w:rsid w:val="008452C9"/>
    <w:rsid w:val="00847C3A"/>
    <w:rsid w:val="00847D15"/>
    <w:rsid w:val="00847F45"/>
    <w:rsid w:val="00850884"/>
    <w:rsid w:val="00850D3F"/>
    <w:rsid w:val="008513D9"/>
    <w:rsid w:val="0085146E"/>
    <w:rsid w:val="00852EF5"/>
    <w:rsid w:val="00853FF7"/>
    <w:rsid w:val="0085415D"/>
    <w:rsid w:val="00854FC3"/>
    <w:rsid w:val="00855E94"/>
    <w:rsid w:val="00855F5E"/>
    <w:rsid w:val="0085634B"/>
    <w:rsid w:val="00862FEC"/>
    <w:rsid w:val="00863098"/>
    <w:rsid w:val="00864354"/>
    <w:rsid w:val="008655E3"/>
    <w:rsid w:val="0086642E"/>
    <w:rsid w:val="00867757"/>
    <w:rsid w:val="008677A7"/>
    <w:rsid w:val="0087097C"/>
    <w:rsid w:val="00870EF6"/>
    <w:rsid w:val="0087192B"/>
    <w:rsid w:val="008732B6"/>
    <w:rsid w:val="00873B32"/>
    <w:rsid w:val="00873C68"/>
    <w:rsid w:val="0087527B"/>
    <w:rsid w:val="00876F94"/>
    <w:rsid w:val="00877F71"/>
    <w:rsid w:val="00881C72"/>
    <w:rsid w:val="00883D75"/>
    <w:rsid w:val="00884FB2"/>
    <w:rsid w:val="00885763"/>
    <w:rsid w:val="00886EF6"/>
    <w:rsid w:val="00890AE7"/>
    <w:rsid w:val="00894199"/>
    <w:rsid w:val="00895A93"/>
    <w:rsid w:val="00895AAD"/>
    <w:rsid w:val="00895C07"/>
    <w:rsid w:val="00896A68"/>
    <w:rsid w:val="00897DA7"/>
    <w:rsid w:val="008A13D1"/>
    <w:rsid w:val="008A3B8A"/>
    <w:rsid w:val="008A5494"/>
    <w:rsid w:val="008A6258"/>
    <w:rsid w:val="008A64E6"/>
    <w:rsid w:val="008A71E0"/>
    <w:rsid w:val="008A724F"/>
    <w:rsid w:val="008B0441"/>
    <w:rsid w:val="008B0B0B"/>
    <w:rsid w:val="008B3265"/>
    <w:rsid w:val="008B4D87"/>
    <w:rsid w:val="008B5F33"/>
    <w:rsid w:val="008B70C1"/>
    <w:rsid w:val="008B79AB"/>
    <w:rsid w:val="008C09CB"/>
    <w:rsid w:val="008C26F4"/>
    <w:rsid w:val="008C3CAF"/>
    <w:rsid w:val="008C53B5"/>
    <w:rsid w:val="008C679E"/>
    <w:rsid w:val="008C6A05"/>
    <w:rsid w:val="008C7F89"/>
    <w:rsid w:val="008D0835"/>
    <w:rsid w:val="008D261F"/>
    <w:rsid w:val="008D2B43"/>
    <w:rsid w:val="008D3229"/>
    <w:rsid w:val="008D3717"/>
    <w:rsid w:val="008D3D96"/>
    <w:rsid w:val="008D4981"/>
    <w:rsid w:val="008D4D63"/>
    <w:rsid w:val="008D4F90"/>
    <w:rsid w:val="008D58FC"/>
    <w:rsid w:val="008D662B"/>
    <w:rsid w:val="008D675A"/>
    <w:rsid w:val="008D7404"/>
    <w:rsid w:val="008D772A"/>
    <w:rsid w:val="008E0248"/>
    <w:rsid w:val="008E0AD9"/>
    <w:rsid w:val="008E15F7"/>
    <w:rsid w:val="008E6A33"/>
    <w:rsid w:val="008F0148"/>
    <w:rsid w:val="008F1681"/>
    <w:rsid w:val="008F1724"/>
    <w:rsid w:val="008F3A05"/>
    <w:rsid w:val="008F3D53"/>
    <w:rsid w:val="008F4122"/>
    <w:rsid w:val="008F4502"/>
    <w:rsid w:val="008F6293"/>
    <w:rsid w:val="008F6834"/>
    <w:rsid w:val="00901723"/>
    <w:rsid w:val="00903E74"/>
    <w:rsid w:val="009045D2"/>
    <w:rsid w:val="00904768"/>
    <w:rsid w:val="00904CD7"/>
    <w:rsid w:val="00906601"/>
    <w:rsid w:val="00906FA3"/>
    <w:rsid w:val="009104FF"/>
    <w:rsid w:val="0091135C"/>
    <w:rsid w:val="009120BD"/>
    <w:rsid w:val="009127E6"/>
    <w:rsid w:val="00913F26"/>
    <w:rsid w:val="00915BE0"/>
    <w:rsid w:val="00916439"/>
    <w:rsid w:val="009215FD"/>
    <w:rsid w:val="00922413"/>
    <w:rsid w:val="00922CDB"/>
    <w:rsid w:val="00923FEE"/>
    <w:rsid w:val="00924435"/>
    <w:rsid w:val="00924469"/>
    <w:rsid w:val="009246C7"/>
    <w:rsid w:val="009253A6"/>
    <w:rsid w:val="00930318"/>
    <w:rsid w:val="00931481"/>
    <w:rsid w:val="009337F6"/>
    <w:rsid w:val="00933F26"/>
    <w:rsid w:val="009340C6"/>
    <w:rsid w:val="009346D0"/>
    <w:rsid w:val="0093535C"/>
    <w:rsid w:val="00936C98"/>
    <w:rsid w:val="0094059F"/>
    <w:rsid w:val="009407C7"/>
    <w:rsid w:val="009411A4"/>
    <w:rsid w:val="00942FD1"/>
    <w:rsid w:val="00944743"/>
    <w:rsid w:val="00946EFB"/>
    <w:rsid w:val="00947B4E"/>
    <w:rsid w:val="00950D96"/>
    <w:rsid w:val="009528EE"/>
    <w:rsid w:val="00952E1E"/>
    <w:rsid w:val="00955E38"/>
    <w:rsid w:val="00956E85"/>
    <w:rsid w:val="0096006F"/>
    <w:rsid w:val="009610EF"/>
    <w:rsid w:val="009614C2"/>
    <w:rsid w:val="00961E60"/>
    <w:rsid w:val="00962BD8"/>
    <w:rsid w:val="00962F25"/>
    <w:rsid w:val="00963356"/>
    <w:rsid w:val="00963E3D"/>
    <w:rsid w:val="00966AD1"/>
    <w:rsid w:val="00966E68"/>
    <w:rsid w:val="00967231"/>
    <w:rsid w:val="00970903"/>
    <w:rsid w:val="00971877"/>
    <w:rsid w:val="00974FEF"/>
    <w:rsid w:val="009754E9"/>
    <w:rsid w:val="0097655D"/>
    <w:rsid w:val="009770BF"/>
    <w:rsid w:val="0097750E"/>
    <w:rsid w:val="009808F2"/>
    <w:rsid w:val="009813C6"/>
    <w:rsid w:val="0098145B"/>
    <w:rsid w:val="00984054"/>
    <w:rsid w:val="009849BF"/>
    <w:rsid w:val="00986086"/>
    <w:rsid w:val="009863AB"/>
    <w:rsid w:val="00986506"/>
    <w:rsid w:val="0099329E"/>
    <w:rsid w:val="009934F2"/>
    <w:rsid w:val="0099386F"/>
    <w:rsid w:val="00993B1B"/>
    <w:rsid w:val="00994646"/>
    <w:rsid w:val="00995C46"/>
    <w:rsid w:val="00996493"/>
    <w:rsid w:val="009A01F6"/>
    <w:rsid w:val="009A04CE"/>
    <w:rsid w:val="009A1AF9"/>
    <w:rsid w:val="009A2A04"/>
    <w:rsid w:val="009A2F15"/>
    <w:rsid w:val="009A53B8"/>
    <w:rsid w:val="009A606C"/>
    <w:rsid w:val="009A6F4A"/>
    <w:rsid w:val="009B008A"/>
    <w:rsid w:val="009B08D1"/>
    <w:rsid w:val="009B1193"/>
    <w:rsid w:val="009B1DC5"/>
    <w:rsid w:val="009B2AA8"/>
    <w:rsid w:val="009B3770"/>
    <w:rsid w:val="009B52C3"/>
    <w:rsid w:val="009B57C5"/>
    <w:rsid w:val="009B6465"/>
    <w:rsid w:val="009B7646"/>
    <w:rsid w:val="009B7663"/>
    <w:rsid w:val="009B7B1C"/>
    <w:rsid w:val="009B7E96"/>
    <w:rsid w:val="009C020A"/>
    <w:rsid w:val="009C1508"/>
    <w:rsid w:val="009C2709"/>
    <w:rsid w:val="009C28A8"/>
    <w:rsid w:val="009C303C"/>
    <w:rsid w:val="009C3B80"/>
    <w:rsid w:val="009C3DD7"/>
    <w:rsid w:val="009C4053"/>
    <w:rsid w:val="009C44C3"/>
    <w:rsid w:val="009C4FF1"/>
    <w:rsid w:val="009C558B"/>
    <w:rsid w:val="009C742B"/>
    <w:rsid w:val="009C75EE"/>
    <w:rsid w:val="009C782C"/>
    <w:rsid w:val="009D01CC"/>
    <w:rsid w:val="009D0A83"/>
    <w:rsid w:val="009D117F"/>
    <w:rsid w:val="009D41C6"/>
    <w:rsid w:val="009D46C9"/>
    <w:rsid w:val="009D49FD"/>
    <w:rsid w:val="009D6593"/>
    <w:rsid w:val="009D6641"/>
    <w:rsid w:val="009D716E"/>
    <w:rsid w:val="009E03A7"/>
    <w:rsid w:val="009E144F"/>
    <w:rsid w:val="009E1EFF"/>
    <w:rsid w:val="009E2C9B"/>
    <w:rsid w:val="009E3D4B"/>
    <w:rsid w:val="009E4131"/>
    <w:rsid w:val="009E4B88"/>
    <w:rsid w:val="009E5243"/>
    <w:rsid w:val="009E607F"/>
    <w:rsid w:val="009E6202"/>
    <w:rsid w:val="009E7283"/>
    <w:rsid w:val="009E7F7D"/>
    <w:rsid w:val="009F23CA"/>
    <w:rsid w:val="009F2E18"/>
    <w:rsid w:val="009F33D8"/>
    <w:rsid w:val="009F4A93"/>
    <w:rsid w:val="009F507F"/>
    <w:rsid w:val="009F6E6B"/>
    <w:rsid w:val="009F7365"/>
    <w:rsid w:val="009F771A"/>
    <w:rsid w:val="00A00559"/>
    <w:rsid w:val="00A01080"/>
    <w:rsid w:val="00A029E5"/>
    <w:rsid w:val="00A04351"/>
    <w:rsid w:val="00A05500"/>
    <w:rsid w:val="00A101A1"/>
    <w:rsid w:val="00A10F7B"/>
    <w:rsid w:val="00A129BD"/>
    <w:rsid w:val="00A1400A"/>
    <w:rsid w:val="00A16F3F"/>
    <w:rsid w:val="00A17401"/>
    <w:rsid w:val="00A17B19"/>
    <w:rsid w:val="00A205E6"/>
    <w:rsid w:val="00A210DC"/>
    <w:rsid w:val="00A2249B"/>
    <w:rsid w:val="00A229E7"/>
    <w:rsid w:val="00A22B8F"/>
    <w:rsid w:val="00A23425"/>
    <w:rsid w:val="00A23ABF"/>
    <w:rsid w:val="00A24715"/>
    <w:rsid w:val="00A25172"/>
    <w:rsid w:val="00A26D9B"/>
    <w:rsid w:val="00A26EEB"/>
    <w:rsid w:val="00A271C2"/>
    <w:rsid w:val="00A30DD9"/>
    <w:rsid w:val="00A313B4"/>
    <w:rsid w:val="00A314BC"/>
    <w:rsid w:val="00A336FA"/>
    <w:rsid w:val="00A3380A"/>
    <w:rsid w:val="00A342A7"/>
    <w:rsid w:val="00A34CA0"/>
    <w:rsid w:val="00A34D7F"/>
    <w:rsid w:val="00A34E1F"/>
    <w:rsid w:val="00A35BDD"/>
    <w:rsid w:val="00A35C5D"/>
    <w:rsid w:val="00A35C66"/>
    <w:rsid w:val="00A35F08"/>
    <w:rsid w:val="00A368A1"/>
    <w:rsid w:val="00A36949"/>
    <w:rsid w:val="00A37A66"/>
    <w:rsid w:val="00A409DC"/>
    <w:rsid w:val="00A41F00"/>
    <w:rsid w:val="00A4246B"/>
    <w:rsid w:val="00A43619"/>
    <w:rsid w:val="00A44CA1"/>
    <w:rsid w:val="00A51AF5"/>
    <w:rsid w:val="00A524C8"/>
    <w:rsid w:val="00A5293A"/>
    <w:rsid w:val="00A52D7A"/>
    <w:rsid w:val="00A53906"/>
    <w:rsid w:val="00A5535B"/>
    <w:rsid w:val="00A553CC"/>
    <w:rsid w:val="00A56CD1"/>
    <w:rsid w:val="00A56D61"/>
    <w:rsid w:val="00A56DFE"/>
    <w:rsid w:val="00A5715D"/>
    <w:rsid w:val="00A61D77"/>
    <w:rsid w:val="00A62CBE"/>
    <w:rsid w:val="00A64CDA"/>
    <w:rsid w:val="00A65559"/>
    <w:rsid w:val="00A65C67"/>
    <w:rsid w:val="00A65FFE"/>
    <w:rsid w:val="00A66A8E"/>
    <w:rsid w:val="00A67588"/>
    <w:rsid w:val="00A70D64"/>
    <w:rsid w:val="00A717A7"/>
    <w:rsid w:val="00A7437A"/>
    <w:rsid w:val="00A74724"/>
    <w:rsid w:val="00A75483"/>
    <w:rsid w:val="00A75B36"/>
    <w:rsid w:val="00A801D8"/>
    <w:rsid w:val="00A81258"/>
    <w:rsid w:val="00A81608"/>
    <w:rsid w:val="00A84CE2"/>
    <w:rsid w:val="00A84F2B"/>
    <w:rsid w:val="00A85233"/>
    <w:rsid w:val="00A85A31"/>
    <w:rsid w:val="00A8620D"/>
    <w:rsid w:val="00A90996"/>
    <w:rsid w:val="00A9131D"/>
    <w:rsid w:val="00A92D98"/>
    <w:rsid w:val="00A938F4"/>
    <w:rsid w:val="00A94673"/>
    <w:rsid w:val="00A94AD6"/>
    <w:rsid w:val="00A957FB"/>
    <w:rsid w:val="00A95D97"/>
    <w:rsid w:val="00AA07EC"/>
    <w:rsid w:val="00AA165B"/>
    <w:rsid w:val="00AA23E2"/>
    <w:rsid w:val="00AA24F2"/>
    <w:rsid w:val="00AA27DB"/>
    <w:rsid w:val="00AA49CE"/>
    <w:rsid w:val="00AA6EFE"/>
    <w:rsid w:val="00AB03DF"/>
    <w:rsid w:val="00AB060E"/>
    <w:rsid w:val="00AB0A1C"/>
    <w:rsid w:val="00AB0A4D"/>
    <w:rsid w:val="00AB0BAB"/>
    <w:rsid w:val="00AB26AC"/>
    <w:rsid w:val="00AB37AD"/>
    <w:rsid w:val="00AB490F"/>
    <w:rsid w:val="00AB7890"/>
    <w:rsid w:val="00AC1B1C"/>
    <w:rsid w:val="00AC1C2F"/>
    <w:rsid w:val="00AC274D"/>
    <w:rsid w:val="00AC4E26"/>
    <w:rsid w:val="00AC5D2C"/>
    <w:rsid w:val="00AC5D40"/>
    <w:rsid w:val="00AC6A31"/>
    <w:rsid w:val="00AC75F1"/>
    <w:rsid w:val="00AD11BE"/>
    <w:rsid w:val="00AD1777"/>
    <w:rsid w:val="00AD1906"/>
    <w:rsid w:val="00AD1C7A"/>
    <w:rsid w:val="00AD57E2"/>
    <w:rsid w:val="00AD7419"/>
    <w:rsid w:val="00AD7E1F"/>
    <w:rsid w:val="00AE022C"/>
    <w:rsid w:val="00AE15C5"/>
    <w:rsid w:val="00AE3D01"/>
    <w:rsid w:val="00AE4C2D"/>
    <w:rsid w:val="00AE5EDF"/>
    <w:rsid w:val="00AE6C51"/>
    <w:rsid w:val="00AF0E28"/>
    <w:rsid w:val="00AF151A"/>
    <w:rsid w:val="00AF42ED"/>
    <w:rsid w:val="00AF5B81"/>
    <w:rsid w:val="00AF7051"/>
    <w:rsid w:val="00AF75C7"/>
    <w:rsid w:val="00AF77CD"/>
    <w:rsid w:val="00B000FE"/>
    <w:rsid w:val="00B00F81"/>
    <w:rsid w:val="00B01DE9"/>
    <w:rsid w:val="00B02624"/>
    <w:rsid w:val="00B0306D"/>
    <w:rsid w:val="00B04DF7"/>
    <w:rsid w:val="00B04F1D"/>
    <w:rsid w:val="00B052DA"/>
    <w:rsid w:val="00B062C5"/>
    <w:rsid w:val="00B0715A"/>
    <w:rsid w:val="00B076D8"/>
    <w:rsid w:val="00B07EF1"/>
    <w:rsid w:val="00B10CF4"/>
    <w:rsid w:val="00B1135A"/>
    <w:rsid w:val="00B11977"/>
    <w:rsid w:val="00B11EE1"/>
    <w:rsid w:val="00B12CD1"/>
    <w:rsid w:val="00B12DB5"/>
    <w:rsid w:val="00B1589F"/>
    <w:rsid w:val="00B15A25"/>
    <w:rsid w:val="00B15BDA"/>
    <w:rsid w:val="00B15D33"/>
    <w:rsid w:val="00B16EF0"/>
    <w:rsid w:val="00B17498"/>
    <w:rsid w:val="00B1790C"/>
    <w:rsid w:val="00B17B05"/>
    <w:rsid w:val="00B2051D"/>
    <w:rsid w:val="00B21B82"/>
    <w:rsid w:val="00B224AC"/>
    <w:rsid w:val="00B22631"/>
    <w:rsid w:val="00B23BC9"/>
    <w:rsid w:val="00B25249"/>
    <w:rsid w:val="00B25C96"/>
    <w:rsid w:val="00B270FF"/>
    <w:rsid w:val="00B2791E"/>
    <w:rsid w:val="00B27D69"/>
    <w:rsid w:val="00B27FF9"/>
    <w:rsid w:val="00B314D0"/>
    <w:rsid w:val="00B32F6D"/>
    <w:rsid w:val="00B333BD"/>
    <w:rsid w:val="00B34BA3"/>
    <w:rsid w:val="00B35C5E"/>
    <w:rsid w:val="00B4202A"/>
    <w:rsid w:val="00B425F0"/>
    <w:rsid w:val="00B42793"/>
    <w:rsid w:val="00B4347C"/>
    <w:rsid w:val="00B45223"/>
    <w:rsid w:val="00B4644C"/>
    <w:rsid w:val="00B46FBF"/>
    <w:rsid w:val="00B47291"/>
    <w:rsid w:val="00B507F4"/>
    <w:rsid w:val="00B512B6"/>
    <w:rsid w:val="00B529EC"/>
    <w:rsid w:val="00B548D2"/>
    <w:rsid w:val="00B573F2"/>
    <w:rsid w:val="00B601BD"/>
    <w:rsid w:val="00B62086"/>
    <w:rsid w:val="00B62BD4"/>
    <w:rsid w:val="00B62C3E"/>
    <w:rsid w:val="00B62DB2"/>
    <w:rsid w:val="00B6321A"/>
    <w:rsid w:val="00B63794"/>
    <w:rsid w:val="00B64392"/>
    <w:rsid w:val="00B64B3F"/>
    <w:rsid w:val="00B66136"/>
    <w:rsid w:val="00B66968"/>
    <w:rsid w:val="00B66B4F"/>
    <w:rsid w:val="00B701FA"/>
    <w:rsid w:val="00B704A7"/>
    <w:rsid w:val="00B73FAE"/>
    <w:rsid w:val="00B7400B"/>
    <w:rsid w:val="00B7492C"/>
    <w:rsid w:val="00B74981"/>
    <w:rsid w:val="00B74DB0"/>
    <w:rsid w:val="00B7512A"/>
    <w:rsid w:val="00B75B1C"/>
    <w:rsid w:val="00B75FEB"/>
    <w:rsid w:val="00B7747A"/>
    <w:rsid w:val="00B80943"/>
    <w:rsid w:val="00B80B10"/>
    <w:rsid w:val="00B82E4E"/>
    <w:rsid w:val="00B847D5"/>
    <w:rsid w:val="00B84A14"/>
    <w:rsid w:val="00B84E61"/>
    <w:rsid w:val="00B858AD"/>
    <w:rsid w:val="00B879F1"/>
    <w:rsid w:val="00B87C22"/>
    <w:rsid w:val="00B906C2"/>
    <w:rsid w:val="00B91E34"/>
    <w:rsid w:val="00B93A44"/>
    <w:rsid w:val="00B95993"/>
    <w:rsid w:val="00B9771E"/>
    <w:rsid w:val="00BA0631"/>
    <w:rsid w:val="00BA0A99"/>
    <w:rsid w:val="00BA0F7D"/>
    <w:rsid w:val="00BA1F68"/>
    <w:rsid w:val="00BA26AF"/>
    <w:rsid w:val="00BA3F95"/>
    <w:rsid w:val="00BA3FC1"/>
    <w:rsid w:val="00BA407D"/>
    <w:rsid w:val="00BA5117"/>
    <w:rsid w:val="00BA5667"/>
    <w:rsid w:val="00BA5A88"/>
    <w:rsid w:val="00BA5F02"/>
    <w:rsid w:val="00BA6749"/>
    <w:rsid w:val="00BB0196"/>
    <w:rsid w:val="00BB0FC1"/>
    <w:rsid w:val="00BB19E7"/>
    <w:rsid w:val="00BB2E6C"/>
    <w:rsid w:val="00BB3EDF"/>
    <w:rsid w:val="00BB4D37"/>
    <w:rsid w:val="00BB4D92"/>
    <w:rsid w:val="00BB554A"/>
    <w:rsid w:val="00BB77F5"/>
    <w:rsid w:val="00BB7B9D"/>
    <w:rsid w:val="00BC130B"/>
    <w:rsid w:val="00BC13B5"/>
    <w:rsid w:val="00BC1D87"/>
    <w:rsid w:val="00BC36FB"/>
    <w:rsid w:val="00BC4413"/>
    <w:rsid w:val="00BC467E"/>
    <w:rsid w:val="00BC521B"/>
    <w:rsid w:val="00BC6D97"/>
    <w:rsid w:val="00BC6FFF"/>
    <w:rsid w:val="00BD0CC0"/>
    <w:rsid w:val="00BD100D"/>
    <w:rsid w:val="00BD1958"/>
    <w:rsid w:val="00BD1F07"/>
    <w:rsid w:val="00BD20FE"/>
    <w:rsid w:val="00BD5A3E"/>
    <w:rsid w:val="00BD65D9"/>
    <w:rsid w:val="00BD66A3"/>
    <w:rsid w:val="00BD6ADA"/>
    <w:rsid w:val="00BD74FC"/>
    <w:rsid w:val="00BD7B27"/>
    <w:rsid w:val="00BD7F8C"/>
    <w:rsid w:val="00BE0037"/>
    <w:rsid w:val="00BE0925"/>
    <w:rsid w:val="00BE0CA7"/>
    <w:rsid w:val="00BE3A16"/>
    <w:rsid w:val="00BE42E6"/>
    <w:rsid w:val="00BE4D9D"/>
    <w:rsid w:val="00BE5063"/>
    <w:rsid w:val="00BE5094"/>
    <w:rsid w:val="00BE6051"/>
    <w:rsid w:val="00BE6267"/>
    <w:rsid w:val="00BE7629"/>
    <w:rsid w:val="00BE7839"/>
    <w:rsid w:val="00BE7A8E"/>
    <w:rsid w:val="00BF0097"/>
    <w:rsid w:val="00BF1692"/>
    <w:rsid w:val="00BF1EAB"/>
    <w:rsid w:val="00BF2369"/>
    <w:rsid w:val="00BF2FD4"/>
    <w:rsid w:val="00BF3445"/>
    <w:rsid w:val="00BF36F0"/>
    <w:rsid w:val="00BF65D9"/>
    <w:rsid w:val="00BF6C07"/>
    <w:rsid w:val="00C00602"/>
    <w:rsid w:val="00C0114F"/>
    <w:rsid w:val="00C01536"/>
    <w:rsid w:val="00C02771"/>
    <w:rsid w:val="00C027BE"/>
    <w:rsid w:val="00C04DDD"/>
    <w:rsid w:val="00C057DD"/>
    <w:rsid w:val="00C05F3B"/>
    <w:rsid w:val="00C06592"/>
    <w:rsid w:val="00C0734A"/>
    <w:rsid w:val="00C101A1"/>
    <w:rsid w:val="00C104A0"/>
    <w:rsid w:val="00C11128"/>
    <w:rsid w:val="00C1152F"/>
    <w:rsid w:val="00C13E18"/>
    <w:rsid w:val="00C146C9"/>
    <w:rsid w:val="00C150A8"/>
    <w:rsid w:val="00C154D0"/>
    <w:rsid w:val="00C2005F"/>
    <w:rsid w:val="00C203A7"/>
    <w:rsid w:val="00C20E15"/>
    <w:rsid w:val="00C21D50"/>
    <w:rsid w:val="00C22342"/>
    <w:rsid w:val="00C233A5"/>
    <w:rsid w:val="00C237A9"/>
    <w:rsid w:val="00C24B07"/>
    <w:rsid w:val="00C27B98"/>
    <w:rsid w:val="00C30937"/>
    <w:rsid w:val="00C31855"/>
    <w:rsid w:val="00C31F45"/>
    <w:rsid w:val="00C33593"/>
    <w:rsid w:val="00C339C2"/>
    <w:rsid w:val="00C345D3"/>
    <w:rsid w:val="00C35639"/>
    <w:rsid w:val="00C36EB3"/>
    <w:rsid w:val="00C37C51"/>
    <w:rsid w:val="00C43179"/>
    <w:rsid w:val="00C43839"/>
    <w:rsid w:val="00C43DF9"/>
    <w:rsid w:val="00C43F0D"/>
    <w:rsid w:val="00C444F7"/>
    <w:rsid w:val="00C45066"/>
    <w:rsid w:val="00C46807"/>
    <w:rsid w:val="00C4728F"/>
    <w:rsid w:val="00C47E40"/>
    <w:rsid w:val="00C50683"/>
    <w:rsid w:val="00C518AD"/>
    <w:rsid w:val="00C51C2F"/>
    <w:rsid w:val="00C553DF"/>
    <w:rsid w:val="00C56570"/>
    <w:rsid w:val="00C56B00"/>
    <w:rsid w:val="00C573E8"/>
    <w:rsid w:val="00C5749B"/>
    <w:rsid w:val="00C57729"/>
    <w:rsid w:val="00C6161D"/>
    <w:rsid w:val="00C6215C"/>
    <w:rsid w:val="00C63536"/>
    <w:rsid w:val="00C63B0A"/>
    <w:rsid w:val="00C644DC"/>
    <w:rsid w:val="00C64E10"/>
    <w:rsid w:val="00C65DC4"/>
    <w:rsid w:val="00C6653A"/>
    <w:rsid w:val="00C6763A"/>
    <w:rsid w:val="00C6774D"/>
    <w:rsid w:val="00C701E2"/>
    <w:rsid w:val="00C712F4"/>
    <w:rsid w:val="00C71898"/>
    <w:rsid w:val="00C729C7"/>
    <w:rsid w:val="00C72CA5"/>
    <w:rsid w:val="00C73C87"/>
    <w:rsid w:val="00C74F1F"/>
    <w:rsid w:val="00C75230"/>
    <w:rsid w:val="00C75AA8"/>
    <w:rsid w:val="00C76B77"/>
    <w:rsid w:val="00C8085B"/>
    <w:rsid w:val="00C80E57"/>
    <w:rsid w:val="00C814EA"/>
    <w:rsid w:val="00C81A5A"/>
    <w:rsid w:val="00C82FF5"/>
    <w:rsid w:val="00C83045"/>
    <w:rsid w:val="00C83F63"/>
    <w:rsid w:val="00C8444A"/>
    <w:rsid w:val="00C84DF8"/>
    <w:rsid w:val="00C85A99"/>
    <w:rsid w:val="00C861AD"/>
    <w:rsid w:val="00C862F6"/>
    <w:rsid w:val="00C86CAF"/>
    <w:rsid w:val="00C91579"/>
    <w:rsid w:val="00C91C04"/>
    <w:rsid w:val="00C92309"/>
    <w:rsid w:val="00C9233B"/>
    <w:rsid w:val="00C92F12"/>
    <w:rsid w:val="00C93D1E"/>
    <w:rsid w:val="00C94687"/>
    <w:rsid w:val="00C9591D"/>
    <w:rsid w:val="00C96503"/>
    <w:rsid w:val="00C968D8"/>
    <w:rsid w:val="00C96C15"/>
    <w:rsid w:val="00C96F50"/>
    <w:rsid w:val="00C97BC6"/>
    <w:rsid w:val="00CA01BB"/>
    <w:rsid w:val="00CA04F8"/>
    <w:rsid w:val="00CA07F8"/>
    <w:rsid w:val="00CA1762"/>
    <w:rsid w:val="00CA4577"/>
    <w:rsid w:val="00CA6438"/>
    <w:rsid w:val="00CB0878"/>
    <w:rsid w:val="00CB1740"/>
    <w:rsid w:val="00CB17DE"/>
    <w:rsid w:val="00CB4244"/>
    <w:rsid w:val="00CB45EC"/>
    <w:rsid w:val="00CB481B"/>
    <w:rsid w:val="00CB6244"/>
    <w:rsid w:val="00CB6AFC"/>
    <w:rsid w:val="00CC03D4"/>
    <w:rsid w:val="00CC0A17"/>
    <w:rsid w:val="00CC0F65"/>
    <w:rsid w:val="00CC1240"/>
    <w:rsid w:val="00CC155B"/>
    <w:rsid w:val="00CC249A"/>
    <w:rsid w:val="00CC3640"/>
    <w:rsid w:val="00CC3AFF"/>
    <w:rsid w:val="00CD056A"/>
    <w:rsid w:val="00CD169B"/>
    <w:rsid w:val="00CD2647"/>
    <w:rsid w:val="00CD7453"/>
    <w:rsid w:val="00CD7C55"/>
    <w:rsid w:val="00CD7E9F"/>
    <w:rsid w:val="00CE0D2C"/>
    <w:rsid w:val="00CE188B"/>
    <w:rsid w:val="00CE3FA7"/>
    <w:rsid w:val="00CE630E"/>
    <w:rsid w:val="00CE63A2"/>
    <w:rsid w:val="00CE6810"/>
    <w:rsid w:val="00CE6BBE"/>
    <w:rsid w:val="00CE7396"/>
    <w:rsid w:val="00CF178C"/>
    <w:rsid w:val="00CF2A8B"/>
    <w:rsid w:val="00CF2FB8"/>
    <w:rsid w:val="00CF32A8"/>
    <w:rsid w:val="00CF3624"/>
    <w:rsid w:val="00CF3A86"/>
    <w:rsid w:val="00CF4171"/>
    <w:rsid w:val="00CF67C6"/>
    <w:rsid w:val="00CF6B72"/>
    <w:rsid w:val="00CF6BF2"/>
    <w:rsid w:val="00CF747B"/>
    <w:rsid w:val="00CF747C"/>
    <w:rsid w:val="00CF7775"/>
    <w:rsid w:val="00D014FC"/>
    <w:rsid w:val="00D01587"/>
    <w:rsid w:val="00D048FF"/>
    <w:rsid w:val="00D049E9"/>
    <w:rsid w:val="00D04D7E"/>
    <w:rsid w:val="00D064E4"/>
    <w:rsid w:val="00D06581"/>
    <w:rsid w:val="00D06A62"/>
    <w:rsid w:val="00D079CC"/>
    <w:rsid w:val="00D1012C"/>
    <w:rsid w:val="00D11F81"/>
    <w:rsid w:val="00D12A9E"/>
    <w:rsid w:val="00D13C35"/>
    <w:rsid w:val="00D1417D"/>
    <w:rsid w:val="00D166C6"/>
    <w:rsid w:val="00D1789C"/>
    <w:rsid w:val="00D17E7A"/>
    <w:rsid w:val="00D17F64"/>
    <w:rsid w:val="00D212B9"/>
    <w:rsid w:val="00D21C57"/>
    <w:rsid w:val="00D22012"/>
    <w:rsid w:val="00D22840"/>
    <w:rsid w:val="00D23B01"/>
    <w:rsid w:val="00D24360"/>
    <w:rsid w:val="00D2565D"/>
    <w:rsid w:val="00D25F0D"/>
    <w:rsid w:val="00D262B1"/>
    <w:rsid w:val="00D32155"/>
    <w:rsid w:val="00D32705"/>
    <w:rsid w:val="00D333C9"/>
    <w:rsid w:val="00D34BF2"/>
    <w:rsid w:val="00D375D4"/>
    <w:rsid w:val="00D4027B"/>
    <w:rsid w:val="00D4304B"/>
    <w:rsid w:val="00D43751"/>
    <w:rsid w:val="00D44112"/>
    <w:rsid w:val="00D46C3F"/>
    <w:rsid w:val="00D46E7C"/>
    <w:rsid w:val="00D47298"/>
    <w:rsid w:val="00D47B50"/>
    <w:rsid w:val="00D511FB"/>
    <w:rsid w:val="00D51A4B"/>
    <w:rsid w:val="00D554A9"/>
    <w:rsid w:val="00D557D8"/>
    <w:rsid w:val="00D572D1"/>
    <w:rsid w:val="00D60163"/>
    <w:rsid w:val="00D60B1D"/>
    <w:rsid w:val="00D62473"/>
    <w:rsid w:val="00D64267"/>
    <w:rsid w:val="00D64362"/>
    <w:rsid w:val="00D65177"/>
    <w:rsid w:val="00D7171A"/>
    <w:rsid w:val="00D7180D"/>
    <w:rsid w:val="00D7285B"/>
    <w:rsid w:val="00D7388B"/>
    <w:rsid w:val="00D74A8E"/>
    <w:rsid w:val="00D757FF"/>
    <w:rsid w:val="00D7651B"/>
    <w:rsid w:val="00D766D8"/>
    <w:rsid w:val="00D7778C"/>
    <w:rsid w:val="00D77DB1"/>
    <w:rsid w:val="00D8023A"/>
    <w:rsid w:val="00D80D8F"/>
    <w:rsid w:val="00D80FB9"/>
    <w:rsid w:val="00D81583"/>
    <w:rsid w:val="00D81CF0"/>
    <w:rsid w:val="00D81DCD"/>
    <w:rsid w:val="00D82B20"/>
    <w:rsid w:val="00D8427D"/>
    <w:rsid w:val="00D84D00"/>
    <w:rsid w:val="00D84DFE"/>
    <w:rsid w:val="00D8572D"/>
    <w:rsid w:val="00D85B1A"/>
    <w:rsid w:val="00D876D6"/>
    <w:rsid w:val="00D87852"/>
    <w:rsid w:val="00D87D89"/>
    <w:rsid w:val="00D918D1"/>
    <w:rsid w:val="00D91E23"/>
    <w:rsid w:val="00D95DB5"/>
    <w:rsid w:val="00D97A90"/>
    <w:rsid w:val="00D97C53"/>
    <w:rsid w:val="00D97CB5"/>
    <w:rsid w:val="00DA0007"/>
    <w:rsid w:val="00DA0D4E"/>
    <w:rsid w:val="00DA1650"/>
    <w:rsid w:val="00DA1DD5"/>
    <w:rsid w:val="00DA29EB"/>
    <w:rsid w:val="00DA2A8F"/>
    <w:rsid w:val="00DA354A"/>
    <w:rsid w:val="00DA417A"/>
    <w:rsid w:val="00DB290F"/>
    <w:rsid w:val="00DB29AE"/>
    <w:rsid w:val="00DB2F20"/>
    <w:rsid w:val="00DB425C"/>
    <w:rsid w:val="00DB505C"/>
    <w:rsid w:val="00DB5BD6"/>
    <w:rsid w:val="00DB6B34"/>
    <w:rsid w:val="00DB7985"/>
    <w:rsid w:val="00DB7BC9"/>
    <w:rsid w:val="00DC0036"/>
    <w:rsid w:val="00DC2178"/>
    <w:rsid w:val="00DC2F3B"/>
    <w:rsid w:val="00DC3152"/>
    <w:rsid w:val="00DC4B0B"/>
    <w:rsid w:val="00DC54D2"/>
    <w:rsid w:val="00DC68A7"/>
    <w:rsid w:val="00DC6DE1"/>
    <w:rsid w:val="00DC7194"/>
    <w:rsid w:val="00DC7824"/>
    <w:rsid w:val="00DD0749"/>
    <w:rsid w:val="00DD20A2"/>
    <w:rsid w:val="00DD3484"/>
    <w:rsid w:val="00DD496D"/>
    <w:rsid w:val="00DD4E2D"/>
    <w:rsid w:val="00DE59E7"/>
    <w:rsid w:val="00DE5B9F"/>
    <w:rsid w:val="00DE6B43"/>
    <w:rsid w:val="00DE6B74"/>
    <w:rsid w:val="00DE7740"/>
    <w:rsid w:val="00DF0316"/>
    <w:rsid w:val="00DF1BE7"/>
    <w:rsid w:val="00DF2977"/>
    <w:rsid w:val="00DF4592"/>
    <w:rsid w:val="00E00702"/>
    <w:rsid w:val="00E014FB"/>
    <w:rsid w:val="00E01A71"/>
    <w:rsid w:val="00E02269"/>
    <w:rsid w:val="00E02F5D"/>
    <w:rsid w:val="00E04AA2"/>
    <w:rsid w:val="00E05052"/>
    <w:rsid w:val="00E05E05"/>
    <w:rsid w:val="00E0675B"/>
    <w:rsid w:val="00E06D6E"/>
    <w:rsid w:val="00E07886"/>
    <w:rsid w:val="00E07AD1"/>
    <w:rsid w:val="00E10319"/>
    <w:rsid w:val="00E150EE"/>
    <w:rsid w:val="00E15617"/>
    <w:rsid w:val="00E16B75"/>
    <w:rsid w:val="00E20C41"/>
    <w:rsid w:val="00E21B24"/>
    <w:rsid w:val="00E226D5"/>
    <w:rsid w:val="00E26C65"/>
    <w:rsid w:val="00E30274"/>
    <w:rsid w:val="00E31AC8"/>
    <w:rsid w:val="00E32414"/>
    <w:rsid w:val="00E33779"/>
    <w:rsid w:val="00E349FE"/>
    <w:rsid w:val="00E355EE"/>
    <w:rsid w:val="00E35733"/>
    <w:rsid w:val="00E36F49"/>
    <w:rsid w:val="00E400C8"/>
    <w:rsid w:val="00E40C08"/>
    <w:rsid w:val="00E4149A"/>
    <w:rsid w:val="00E420EA"/>
    <w:rsid w:val="00E4218F"/>
    <w:rsid w:val="00E45DBA"/>
    <w:rsid w:val="00E46062"/>
    <w:rsid w:val="00E47073"/>
    <w:rsid w:val="00E5099D"/>
    <w:rsid w:val="00E53419"/>
    <w:rsid w:val="00E540AC"/>
    <w:rsid w:val="00E571AD"/>
    <w:rsid w:val="00E5727D"/>
    <w:rsid w:val="00E57DA0"/>
    <w:rsid w:val="00E61609"/>
    <w:rsid w:val="00E61A7E"/>
    <w:rsid w:val="00E61D15"/>
    <w:rsid w:val="00E61FCA"/>
    <w:rsid w:val="00E629CE"/>
    <w:rsid w:val="00E62ED9"/>
    <w:rsid w:val="00E62EDC"/>
    <w:rsid w:val="00E6351E"/>
    <w:rsid w:val="00E64F49"/>
    <w:rsid w:val="00E65ADB"/>
    <w:rsid w:val="00E65F57"/>
    <w:rsid w:val="00E66CD7"/>
    <w:rsid w:val="00E674F6"/>
    <w:rsid w:val="00E675E9"/>
    <w:rsid w:val="00E67C94"/>
    <w:rsid w:val="00E710DB"/>
    <w:rsid w:val="00E7127A"/>
    <w:rsid w:val="00E71BD3"/>
    <w:rsid w:val="00E72CBA"/>
    <w:rsid w:val="00E74085"/>
    <w:rsid w:val="00E74257"/>
    <w:rsid w:val="00E755DB"/>
    <w:rsid w:val="00E759A8"/>
    <w:rsid w:val="00E7790F"/>
    <w:rsid w:val="00E77B15"/>
    <w:rsid w:val="00E81846"/>
    <w:rsid w:val="00E81BD4"/>
    <w:rsid w:val="00E83331"/>
    <w:rsid w:val="00E83546"/>
    <w:rsid w:val="00E8503D"/>
    <w:rsid w:val="00E85AE5"/>
    <w:rsid w:val="00E90E71"/>
    <w:rsid w:val="00E91309"/>
    <w:rsid w:val="00E9205B"/>
    <w:rsid w:val="00E92A0B"/>
    <w:rsid w:val="00E932E7"/>
    <w:rsid w:val="00E94125"/>
    <w:rsid w:val="00E96208"/>
    <w:rsid w:val="00EA0E44"/>
    <w:rsid w:val="00EA1FB2"/>
    <w:rsid w:val="00EA2378"/>
    <w:rsid w:val="00EA302B"/>
    <w:rsid w:val="00EA3BDE"/>
    <w:rsid w:val="00EA3E18"/>
    <w:rsid w:val="00EA44F2"/>
    <w:rsid w:val="00EA465E"/>
    <w:rsid w:val="00EA48FF"/>
    <w:rsid w:val="00EA4C4F"/>
    <w:rsid w:val="00EA575B"/>
    <w:rsid w:val="00EA5778"/>
    <w:rsid w:val="00EA730B"/>
    <w:rsid w:val="00EA757D"/>
    <w:rsid w:val="00EA7C80"/>
    <w:rsid w:val="00EB31EF"/>
    <w:rsid w:val="00EB3808"/>
    <w:rsid w:val="00EB474F"/>
    <w:rsid w:val="00EB49ED"/>
    <w:rsid w:val="00EB5C75"/>
    <w:rsid w:val="00EB5DF4"/>
    <w:rsid w:val="00EB6146"/>
    <w:rsid w:val="00EB628E"/>
    <w:rsid w:val="00EB682F"/>
    <w:rsid w:val="00EB72C1"/>
    <w:rsid w:val="00EB799D"/>
    <w:rsid w:val="00EC29E3"/>
    <w:rsid w:val="00EC2A03"/>
    <w:rsid w:val="00ED1E3E"/>
    <w:rsid w:val="00ED2A0B"/>
    <w:rsid w:val="00ED4A43"/>
    <w:rsid w:val="00ED63F6"/>
    <w:rsid w:val="00ED661A"/>
    <w:rsid w:val="00ED681B"/>
    <w:rsid w:val="00EE181C"/>
    <w:rsid w:val="00EE203C"/>
    <w:rsid w:val="00EE2A10"/>
    <w:rsid w:val="00EE456A"/>
    <w:rsid w:val="00EE471C"/>
    <w:rsid w:val="00EE4A5B"/>
    <w:rsid w:val="00EE55E3"/>
    <w:rsid w:val="00EE6397"/>
    <w:rsid w:val="00EE6682"/>
    <w:rsid w:val="00EE6CB6"/>
    <w:rsid w:val="00EE7D66"/>
    <w:rsid w:val="00EF2B45"/>
    <w:rsid w:val="00EF5549"/>
    <w:rsid w:val="00F002ED"/>
    <w:rsid w:val="00F01215"/>
    <w:rsid w:val="00F02F39"/>
    <w:rsid w:val="00F02F63"/>
    <w:rsid w:val="00F032BD"/>
    <w:rsid w:val="00F03A2E"/>
    <w:rsid w:val="00F03B44"/>
    <w:rsid w:val="00F04283"/>
    <w:rsid w:val="00F046B4"/>
    <w:rsid w:val="00F04B61"/>
    <w:rsid w:val="00F07B7E"/>
    <w:rsid w:val="00F07CBB"/>
    <w:rsid w:val="00F10657"/>
    <w:rsid w:val="00F1077D"/>
    <w:rsid w:val="00F107A1"/>
    <w:rsid w:val="00F10D3D"/>
    <w:rsid w:val="00F11B0C"/>
    <w:rsid w:val="00F12D5C"/>
    <w:rsid w:val="00F13069"/>
    <w:rsid w:val="00F13C11"/>
    <w:rsid w:val="00F146F2"/>
    <w:rsid w:val="00F14902"/>
    <w:rsid w:val="00F153E8"/>
    <w:rsid w:val="00F1694F"/>
    <w:rsid w:val="00F16C2D"/>
    <w:rsid w:val="00F2025D"/>
    <w:rsid w:val="00F210CD"/>
    <w:rsid w:val="00F2211A"/>
    <w:rsid w:val="00F2328C"/>
    <w:rsid w:val="00F239F6"/>
    <w:rsid w:val="00F23CEC"/>
    <w:rsid w:val="00F256DA"/>
    <w:rsid w:val="00F26015"/>
    <w:rsid w:val="00F30815"/>
    <w:rsid w:val="00F31325"/>
    <w:rsid w:val="00F3152C"/>
    <w:rsid w:val="00F31B44"/>
    <w:rsid w:val="00F31D08"/>
    <w:rsid w:val="00F328C1"/>
    <w:rsid w:val="00F32D05"/>
    <w:rsid w:val="00F34577"/>
    <w:rsid w:val="00F352CD"/>
    <w:rsid w:val="00F3532A"/>
    <w:rsid w:val="00F36439"/>
    <w:rsid w:val="00F3655F"/>
    <w:rsid w:val="00F37198"/>
    <w:rsid w:val="00F3726A"/>
    <w:rsid w:val="00F400AE"/>
    <w:rsid w:val="00F40888"/>
    <w:rsid w:val="00F416DA"/>
    <w:rsid w:val="00F4208D"/>
    <w:rsid w:val="00F42540"/>
    <w:rsid w:val="00F454B5"/>
    <w:rsid w:val="00F454C6"/>
    <w:rsid w:val="00F45A21"/>
    <w:rsid w:val="00F47565"/>
    <w:rsid w:val="00F50812"/>
    <w:rsid w:val="00F51683"/>
    <w:rsid w:val="00F51918"/>
    <w:rsid w:val="00F521B5"/>
    <w:rsid w:val="00F5276F"/>
    <w:rsid w:val="00F53A43"/>
    <w:rsid w:val="00F53C54"/>
    <w:rsid w:val="00F5425C"/>
    <w:rsid w:val="00F543C6"/>
    <w:rsid w:val="00F5450C"/>
    <w:rsid w:val="00F5461F"/>
    <w:rsid w:val="00F54865"/>
    <w:rsid w:val="00F579B2"/>
    <w:rsid w:val="00F609E5"/>
    <w:rsid w:val="00F60F43"/>
    <w:rsid w:val="00F61CD2"/>
    <w:rsid w:val="00F65595"/>
    <w:rsid w:val="00F659F4"/>
    <w:rsid w:val="00F662C2"/>
    <w:rsid w:val="00F66881"/>
    <w:rsid w:val="00F672D5"/>
    <w:rsid w:val="00F673DB"/>
    <w:rsid w:val="00F67427"/>
    <w:rsid w:val="00F675E4"/>
    <w:rsid w:val="00F71912"/>
    <w:rsid w:val="00F71B48"/>
    <w:rsid w:val="00F71EEE"/>
    <w:rsid w:val="00F72814"/>
    <w:rsid w:val="00F729F2"/>
    <w:rsid w:val="00F72C2E"/>
    <w:rsid w:val="00F72E06"/>
    <w:rsid w:val="00F73F2C"/>
    <w:rsid w:val="00F75E5D"/>
    <w:rsid w:val="00F77271"/>
    <w:rsid w:val="00F80E99"/>
    <w:rsid w:val="00F81093"/>
    <w:rsid w:val="00F81568"/>
    <w:rsid w:val="00F8218C"/>
    <w:rsid w:val="00F82C61"/>
    <w:rsid w:val="00F837CF"/>
    <w:rsid w:val="00F8436D"/>
    <w:rsid w:val="00F846DA"/>
    <w:rsid w:val="00F856AB"/>
    <w:rsid w:val="00F8589D"/>
    <w:rsid w:val="00F910CF"/>
    <w:rsid w:val="00F92AEB"/>
    <w:rsid w:val="00F93058"/>
    <w:rsid w:val="00F93517"/>
    <w:rsid w:val="00F9448E"/>
    <w:rsid w:val="00F95FF3"/>
    <w:rsid w:val="00FA0059"/>
    <w:rsid w:val="00FA1072"/>
    <w:rsid w:val="00FA1255"/>
    <w:rsid w:val="00FA228A"/>
    <w:rsid w:val="00FA2A76"/>
    <w:rsid w:val="00FA35B4"/>
    <w:rsid w:val="00FA4406"/>
    <w:rsid w:val="00FA47CE"/>
    <w:rsid w:val="00FA4B21"/>
    <w:rsid w:val="00FA4E7C"/>
    <w:rsid w:val="00FA65DB"/>
    <w:rsid w:val="00FA7774"/>
    <w:rsid w:val="00FB0B27"/>
    <w:rsid w:val="00FB1781"/>
    <w:rsid w:val="00FB1F96"/>
    <w:rsid w:val="00FB298E"/>
    <w:rsid w:val="00FB2C0A"/>
    <w:rsid w:val="00FB5A78"/>
    <w:rsid w:val="00FB5DA5"/>
    <w:rsid w:val="00FB633D"/>
    <w:rsid w:val="00FB653B"/>
    <w:rsid w:val="00FB67A6"/>
    <w:rsid w:val="00FB7C0D"/>
    <w:rsid w:val="00FB7CF5"/>
    <w:rsid w:val="00FC04D9"/>
    <w:rsid w:val="00FC2B11"/>
    <w:rsid w:val="00FC427D"/>
    <w:rsid w:val="00FC4354"/>
    <w:rsid w:val="00FC49D9"/>
    <w:rsid w:val="00FD01EF"/>
    <w:rsid w:val="00FD01F6"/>
    <w:rsid w:val="00FD04BC"/>
    <w:rsid w:val="00FD05AE"/>
    <w:rsid w:val="00FD2CF9"/>
    <w:rsid w:val="00FD3418"/>
    <w:rsid w:val="00FD4A57"/>
    <w:rsid w:val="00FD527F"/>
    <w:rsid w:val="00FD5C89"/>
    <w:rsid w:val="00FD70D8"/>
    <w:rsid w:val="00FD7B26"/>
    <w:rsid w:val="00FE11C7"/>
    <w:rsid w:val="00FE37E1"/>
    <w:rsid w:val="00FE4395"/>
    <w:rsid w:val="00FE46BE"/>
    <w:rsid w:val="00FE5CB1"/>
    <w:rsid w:val="00FE63D6"/>
    <w:rsid w:val="00FE6AD3"/>
    <w:rsid w:val="00FE6C0C"/>
    <w:rsid w:val="00FF0C16"/>
    <w:rsid w:val="00FF1EDE"/>
    <w:rsid w:val="00FF1F34"/>
    <w:rsid w:val="00FF3ED6"/>
    <w:rsid w:val="00FF704C"/>
    <w:rsid w:val="00FF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metricconverter"/>
  <w:smartTagType w:namespaceuri="urn:schemas-microsoft-com:office:smarttags" w:name="PersonName"/>
  <w:smartTagType w:namespaceuri="urn:schemas-microsoft-com:office:smarttags" w:name="stockticker"/>
  <w:shapeDefaults>
    <o:shapedefaults v:ext="edit" spidmax="32769"/>
    <o:shapelayout v:ext="edit">
      <o:idmap v:ext="edit" data="1"/>
    </o:shapelayout>
  </w:shapeDefaults>
  <w:decimalSymbol w:val="."/>
  <w:listSeparator w:val=","/>
  <w14:docId w14:val="32367B80"/>
  <w15:docId w15:val="{C07B3CEE-D5F6-410C-B0BA-C857E204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16C"/>
    <w:pPr>
      <w:ind w:left="567" w:hanging="567"/>
    </w:pPr>
    <w:rPr>
      <w:sz w:val="22"/>
      <w:szCs w:val="24"/>
      <w:lang w:val="sk-SK" w:eastAsia="sk-SK"/>
    </w:rPr>
  </w:style>
  <w:style w:type="paragraph" w:styleId="Heading1">
    <w:name w:val="heading 1"/>
    <w:basedOn w:val="Normal"/>
    <w:next w:val="Normal"/>
    <w:qFormat/>
    <w:pPr>
      <w:keepNext/>
      <w:autoSpaceDE w:val="0"/>
      <w:autoSpaceDN w:val="0"/>
      <w:ind w:left="0" w:firstLine="0"/>
      <w:outlineLvl w:val="0"/>
    </w:pPr>
    <w:rPr>
      <w:i/>
      <w:iCs/>
      <w:sz w:val="24"/>
      <w:lang w:eastAsia="en-US"/>
    </w:rPr>
  </w:style>
  <w:style w:type="paragraph" w:styleId="Heading2">
    <w:name w:val="heading 2"/>
    <w:basedOn w:val="Normal"/>
    <w:next w:val="Normal"/>
    <w:qFormat/>
    <w:pPr>
      <w:keepNext/>
      <w:autoSpaceDE w:val="0"/>
      <w:autoSpaceDN w:val="0"/>
      <w:ind w:left="0" w:firstLine="0"/>
      <w:outlineLvl w:val="1"/>
    </w:pPr>
    <w:rPr>
      <w:b/>
      <w:bCs/>
      <w:i/>
      <w:iCs/>
      <w:sz w:val="24"/>
      <w:lang w:eastAsia="en-US"/>
    </w:rPr>
  </w:style>
  <w:style w:type="paragraph" w:styleId="Heading3">
    <w:name w:val="heading 3"/>
    <w:basedOn w:val="Normal"/>
    <w:next w:val="Normal"/>
    <w:qFormat/>
    <w:pPr>
      <w:keepNext/>
      <w:autoSpaceDE w:val="0"/>
      <w:autoSpaceDN w:val="0"/>
      <w:ind w:left="0" w:firstLine="0"/>
      <w:outlineLvl w:val="2"/>
    </w:pPr>
    <w:rPr>
      <w:sz w:val="24"/>
      <w:lang w:eastAsia="en-US"/>
    </w:rPr>
  </w:style>
  <w:style w:type="paragraph" w:styleId="Heading4">
    <w:name w:val="heading 4"/>
    <w:basedOn w:val="Normal"/>
    <w:next w:val="Normal"/>
    <w:qFormat/>
    <w:pPr>
      <w:keepNext/>
      <w:autoSpaceDE w:val="0"/>
      <w:autoSpaceDN w:val="0"/>
      <w:ind w:left="0" w:firstLine="0"/>
      <w:outlineLvl w:val="3"/>
    </w:pPr>
    <w:rPr>
      <w:i/>
      <w:iCs/>
      <w:szCs w:val="22"/>
      <w:lang w:eastAsia="en-U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rsid w:val="00A271C2"/>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ind w:left="0" w:firstLine="0"/>
    </w:pPr>
    <w:rPr>
      <w:sz w:val="24"/>
      <w:lang w:eastAsia="en-US"/>
    </w:rPr>
  </w:style>
  <w:style w:type="paragraph" w:styleId="BodyTextIndent">
    <w:name w:val="Body Text Indent"/>
    <w:basedOn w:val="Normal"/>
    <w:pPr>
      <w:autoSpaceDE w:val="0"/>
      <w:autoSpaceDN w:val="0"/>
      <w:ind w:left="0" w:firstLine="0"/>
    </w:pPr>
    <w:rPr>
      <w:szCs w:val="22"/>
      <w:lang w:eastAsia="en-US"/>
    </w:rPr>
  </w:style>
  <w:style w:type="paragraph" w:styleId="Header">
    <w:name w:val="header"/>
    <w:basedOn w:val="Normal"/>
    <w:pPr>
      <w:tabs>
        <w:tab w:val="center" w:pos="4703"/>
        <w:tab w:val="right" w:pos="9406"/>
      </w:tabs>
      <w:ind w:left="0" w:firstLine="0"/>
    </w:pPr>
    <w:rPr>
      <w:sz w:val="24"/>
      <w:szCs w:val="20"/>
      <w:lang w:eastAsia="en-US"/>
    </w:rPr>
  </w:style>
  <w:style w:type="paragraph" w:customStyle="1" w:styleId="Text">
    <w:name w:val="Text"/>
    <w:basedOn w:val="Normal"/>
    <w:link w:val="TextChar"/>
    <w:pPr>
      <w:spacing w:before="120"/>
      <w:ind w:left="0" w:firstLine="0"/>
      <w:jc w:val="both"/>
    </w:pPr>
    <w:rPr>
      <w:sz w:val="24"/>
      <w:szCs w:val="20"/>
      <w:lang w:val="en-GB" w:eastAsia="en-US"/>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BalloonText1">
    <w:name w:val="Balloon Text1"/>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aliases w:val="Comment Text Char1 Char,Comment Text Char Char Char,Comment Text Char1,Annotationtext"/>
    <w:basedOn w:val="Normal"/>
    <w:link w:val="CommentTextChar"/>
    <w:rPr>
      <w:sz w:val="20"/>
      <w:szCs w:val="20"/>
    </w:rPr>
  </w:style>
  <w:style w:type="paragraph" w:customStyle="1" w:styleId="CommentSubject1">
    <w:name w:val="Comment Subject1"/>
    <w:basedOn w:val="CommentText"/>
    <w:next w:val="CommentText"/>
    <w:semiHidden/>
    <w:rPr>
      <w:b/>
      <w:bCs/>
    </w:rPr>
  </w:style>
  <w:style w:type="paragraph" w:customStyle="1" w:styleId="Authors">
    <w:name w:val="Authors"/>
    <w:basedOn w:val="Normal"/>
    <w:pPr>
      <w:keepNext/>
      <w:spacing w:before="240"/>
      <w:ind w:left="0" w:firstLine="0"/>
    </w:pPr>
    <w:rPr>
      <w:rFonts w:ascii="Arial" w:hAnsi="Arial"/>
      <w:szCs w:val="20"/>
      <w:lang w:val="en-GB" w:eastAsia="en-US"/>
    </w:rPr>
  </w:style>
  <w:style w:type="paragraph" w:styleId="BalloonText">
    <w:name w:val="Balloon Text"/>
    <w:basedOn w:val="Normal"/>
    <w:semiHidden/>
    <w:rsid w:val="00C0734A"/>
    <w:rPr>
      <w:rFonts w:ascii="Tahoma" w:hAnsi="Tahoma" w:cs="Tahoma"/>
      <w:sz w:val="16"/>
      <w:szCs w:val="16"/>
    </w:rPr>
  </w:style>
  <w:style w:type="paragraph" w:styleId="EndnoteText">
    <w:name w:val="endnote text"/>
    <w:basedOn w:val="Normal"/>
    <w:link w:val="EndnoteTextChar"/>
    <w:pPr>
      <w:tabs>
        <w:tab w:val="left" w:pos="567"/>
      </w:tabs>
      <w:ind w:left="0" w:firstLine="0"/>
    </w:pPr>
    <w:rPr>
      <w:szCs w:val="20"/>
      <w:lang w:val="en-GB" w:eastAsia="en-US"/>
    </w:rPr>
  </w:style>
  <w:style w:type="paragraph" w:styleId="BodyText2">
    <w:name w:val="Body Text 2"/>
    <w:basedOn w:val="Normal"/>
    <w:pPr>
      <w:spacing w:after="120" w:line="480" w:lineRule="auto"/>
    </w:pPr>
  </w:style>
  <w:style w:type="paragraph" w:customStyle="1" w:styleId="Table">
    <w:name w:val="Table"/>
    <w:basedOn w:val="Normal"/>
    <w:link w:val="TableChar"/>
    <w:pPr>
      <w:keepNext/>
      <w:keepLines/>
      <w:tabs>
        <w:tab w:val="left" w:pos="284"/>
      </w:tabs>
      <w:spacing w:before="40" w:after="20"/>
      <w:ind w:left="0" w:firstLine="0"/>
    </w:pPr>
    <w:rPr>
      <w:rFonts w:ascii="Arial" w:hAnsi="Arial"/>
      <w:sz w:val="20"/>
      <w:szCs w:val="20"/>
      <w:lang w:val="en-US" w:eastAsia="en-US"/>
    </w:rPr>
  </w:style>
  <w:style w:type="paragraph" w:styleId="CommentSubject">
    <w:name w:val="annotation subject"/>
    <w:basedOn w:val="CommentText"/>
    <w:next w:val="CommentText"/>
    <w:semiHidden/>
    <w:rsid w:val="003A4342"/>
    <w:rPr>
      <w:b/>
      <w:bCs/>
    </w:rPr>
  </w:style>
  <w:style w:type="character" w:customStyle="1" w:styleId="TextChar">
    <w:name w:val="Text Char"/>
    <w:link w:val="Text"/>
    <w:rsid w:val="00351946"/>
    <w:rPr>
      <w:sz w:val="24"/>
      <w:lang w:val="en-GB" w:eastAsia="en-US" w:bidi="ar-SA"/>
    </w:rPr>
  </w:style>
  <w:style w:type="table" w:styleId="TableGrid">
    <w:name w:val="Table Grid"/>
    <w:basedOn w:val="TableNormal"/>
    <w:rsid w:val="00351946"/>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C01536"/>
    <w:pPr>
      <w:tabs>
        <w:tab w:val="left" w:pos="567"/>
      </w:tabs>
      <w:spacing w:line="260" w:lineRule="exact"/>
      <w:ind w:left="0" w:firstLine="0"/>
    </w:pPr>
    <w:rPr>
      <w:sz w:val="20"/>
      <w:szCs w:val="20"/>
      <w:lang w:val="en-GB" w:eastAsia="en-US"/>
    </w:rPr>
  </w:style>
  <w:style w:type="character" w:customStyle="1" w:styleId="TableChar">
    <w:name w:val="Table Char"/>
    <w:link w:val="Table"/>
    <w:rsid w:val="002B133D"/>
    <w:rPr>
      <w:rFonts w:ascii="Arial" w:hAnsi="Arial"/>
      <w:lang w:val="en-US" w:eastAsia="en-US" w:bidi="ar-SA"/>
    </w:rPr>
  </w:style>
  <w:style w:type="character" w:customStyle="1" w:styleId="EndnoteTextChar">
    <w:name w:val="Endnote Text Char"/>
    <w:link w:val="EndnoteText"/>
    <w:rsid w:val="00550E00"/>
    <w:rPr>
      <w:sz w:val="22"/>
      <w:lang w:val="en-GB" w:eastAsia="en-US" w:bidi="ar-SA"/>
    </w:rPr>
  </w:style>
  <w:style w:type="paragraph" w:customStyle="1" w:styleId="CharChar1CharCharChar">
    <w:name w:val="Char Char1 Char Char Char"/>
    <w:basedOn w:val="Normal"/>
    <w:rsid w:val="00F04283"/>
    <w:pPr>
      <w:spacing w:after="160" w:line="240" w:lineRule="exact"/>
      <w:ind w:left="0" w:firstLine="0"/>
    </w:pPr>
    <w:rPr>
      <w:rFonts w:ascii="Verdana" w:hAnsi="Verdana" w:cs="Verdana"/>
      <w:sz w:val="20"/>
      <w:szCs w:val="20"/>
      <w:lang w:val="en-GB" w:eastAsia="en-US"/>
    </w:rPr>
  </w:style>
  <w:style w:type="paragraph" w:customStyle="1" w:styleId="Nottoc-headings">
    <w:name w:val="Not toc-headings"/>
    <w:basedOn w:val="Normal"/>
    <w:next w:val="Text"/>
    <w:link w:val="Nottoc-headingsChar"/>
    <w:rsid w:val="00F04283"/>
    <w:pPr>
      <w:keepNext/>
      <w:keepLines/>
      <w:spacing w:before="240" w:after="60"/>
      <w:ind w:left="1701" w:hanging="1701"/>
    </w:pPr>
    <w:rPr>
      <w:rFonts w:ascii="Arial" w:hAnsi="Arial"/>
      <w:b/>
      <w:sz w:val="24"/>
      <w:lang w:val="en-US" w:eastAsia="en-US"/>
    </w:rPr>
  </w:style>
  <w:style w:type="character" w:customStyle="1" w:styleId="Nottoc-headingsChar">
    <w:name w:val="Not toc-headings Char"/>
    <w:link w:val="Nottoc-headings"/>
    <w:rsid w:val="00F04283"/>
    <w:rPr>
      <w:rFonts w:ascii="Arial" w:hAnsi="Arial"/>
      <w:b/>
      <w:sz w:val="24"/>
      <w:szCs w:val="24"/>
      <w:lang w:val="en-US" w:eastAsia="en-US" w:bidi="ar-SA"/>
    </w:rPr>
  </w:style>
  <w:style w:type="paragraph" w:customStyle="1" w:styleId="Style">
    <w:name w:val="Style"/>
    <w:basedOn w:val="Normal"/>
    <w:rsid w:val="005E3AFC"/>
    <w:pPr>
      <w:spacing w:after="160" w:line="240" w:lineRule="exact"/>
      <w:ind w:left="0" w:firstLine="0"/>
    </w:pPr>
    <w:rPr>
      <w:rFonts w:ascii="Verdana" w:hAnsi="Verdana" w:cs="Verdana"/>
      <w:sz w:val="20"/>
      <w:szCs w:val="20"/>
      <w:lang w:val="en-GB" w:eastAsia="en-US"/>
    </w:rPr>
  </w:style>
  <w:style w:type="character" w:styleId="Hyperlink">
    <w:name w:val="Hyperlink"/>
    <w:rsid w:val="0015244D"/>
    <w:rPr>
      <w:color w:val="0000FF"/>
      <w:u w:val="single"/>
    </w:rPr>
  </w:style>
  <w:style w:type="paragraph" w:customStyle="1" w:styleId="CharChar2">
    <w:name w:val="Char Char2"/>
    <w:basedOn w:val="Normal"/>
    <w:rsid w:val="004B6898"/>
    <w:pPr>
      <w:spacing w:after="160" w:line="240" w:lineRule="exact"/>
      <w:ind w:left="0" w:firstLine="0"/>
    </w:pPr>
    <w:rPr>
      <w:rFonts w:ascii="Tahoma" w:eastAsia="MS Mincho" w:hAnsi="Tahoma"/>
      <w:sz w:val="20"/>
      <w:szCs w:val="20"/>
      <w:lang w:eastAsia="en-US"/>
    </w:rPr>
  </w:style>
  <w:style w:type="character" w:styleId="FollowedHyperlink">
    <w:name w:val="FollowedHyperlink"/>
    <w:rsid w:val="00BA407D"/>
    <w:rPr>
      <w:color w:val="606420"/>
      <w:u w:val="single"/>
    </w:rPr>
  </w:style>
  <w:style w:type="character" w:customStyle="1" w:styleId="CommentTextChar">
    <w:name w:val="Comment Text Char"/>
    <w:aliases w:val="Comment Text Char1 Char Char,Comment Text Char Char Char Char,Comment Text Char1 Char1,Annotationtext Char"/>
    <w:link w:val="CommentText"/>
    <w:rsid w:val="00292929"/>
    <w:rPr>
      <w:lang w:val="sk-SK" w:eastAsia="sk-SK"/>
    </w:rPr>
  </w:style>
  <w:style w:type="character" w:customStyle="1" w:styleId="NormalAgencyChar">
    <w:name w:val="Normal (Agency) Char"/>
    <w:link w:val="NormalAgency"/>
    <w:locked/>
    <w:rsid w:val="00BE7629"/>
    <w:rPr>
      <w:rFonts w:ascii="Verdana" w:hAnsi="Verdana"/>
    </w:rPr>
  </w:style>
  <w:style w:type="paragraph" w:customStyle="1" w:styleId="NormalAgency">
    <w:name w:val="Normal (Agency)"/>
    <w:basedOn w:val="Normal"/>
    <w:link w:val="NormalAgencyChar"/>
    <w:rsid w:val="00BE7629"/>
    <w:pPr>
      <w:ind w:left="0" w:firstLine="0"/>
    </w:pPr>
    <w:rPr>
      <w:rFonts w:ascii="Verdana" w:hAnsi="Verdana"/>
      <w:sz w:val="20"/>
      <w:szCs w:val="20"/>
      <w:lang w:val="en-US" w:eastAsia="en-US"/>
    </w:rPr>
  </w:style>
  <w:style w:type="paragraph" w:styleId="Revision">
    <w:name w:val="Revision"/>
    <w:hidden/>
    <w:uiPriority w:val="99"/>
    <w:semiHidden/>
    <w:rsid w:val="0028115F"/>
    <w:rPr>
      <w:sz w:val="22"/>
      <w:szCs w:val="24"/>
      <w:lang w:val="sk-SK" w:eastAsia="sk-SK"/>
    </w:rPr>
  </w:style>
  <w:style w:type="character" w:customStyle="1" w:styleId="FooterChar">
    <w:name w:val="Footer Char"/>
    <w:link w:val="Footer"/>
    <w:uiPriority w:val="99"/>
    <w:rsid w:val="00BE6051"/>
    <w:rPr>
      <w:sz w:val="22"/>
      <w:szCs w:val="24"/>
      <w:lang w:val="sk-SK"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05565">
      <w:bodyDiv w:val="1"/>
      <w:marLeft w:val="0"/>
      <w:marRight w:val="0"/>
      <w:marTop w:val="0"/>
      <w:marBottom w:val="0"/>
      <w:divBdr>
        <w:top w:val="none" w:sz="0" w:space="0" w:color="auto"/>
        <w:left w:val="none" w:sz="0" w:space="0" w:color="auto"/>
        <w:bottom w:val="none" w:sz="0" w:space="0" w:color="auto"/>
        <w:right w:val="none" w:sz="0" w:space="0" w:color="auto"/>
      </w:divBdr>
    </w:div>
    <w:div w:id="339356157">
      <w:bodyDiv w:val="1"/>
      <w:marLeft w:val="0"/>
      <w:marRight w:val="0"/>
      <w:marTop w:val="0"/>
      <w:marBottom w:val="0"/>
      <w:divBdr>
        <w:top w:val="none" w:sz="0" w:space="0" w:color="auto"/>
        <w:left w:val="none" w:sz="0" w:space="0" w:color="auto"/>
        <w:bottom w:val="none" w:sz="0" w:space="0" w:color="auto"/>
        <w:right w:val="none" w:sz="0" w:space="0" w:color="auto"/>
      </w:divBdr>
    </w:div>
    <w:div w:id="349188325">
      <w:bodyDiv w:val="1"/>
      <w:marLeft w:val="0"/>
      <w:marRight w:val="0"/>
      <w:marTop w:val="0"/>
      <w:marBottom w:val="0"/>
      <w:divBdr>
        <w:top w:val="none" w:sz="0" w:space="0" w:color="auto"/>
        <w:left w:val="none" w:sz="0" w:space="0" w:color="auto"/>
        <w:bottom w:val="none" w:sz="0" w:space="0" w:color="auto"/>
        <w:right w:val="none" w:sz="0" w:space="0" w:color="auto"/>
      </w:divBdr>
    </w:div>
    <w:div w:id="385496088">
      <w:bodyDiv w:val="1"/>
      <w:marLeft w:val="0"/>
      <w:marRight w:val="0"/>
      <w:marTop w:val="0"/>
      <w:marBottom w:val="0"/>
      <w:divBdr>
        <w:top w:val="none" w:sz="0" w:space="0" w:color="auto"/>
        <w:left w:val="none" w:sz="0" w:space="0" w:color="auto"/>
        <w:bottom w:val="none" w:sz="0" w:space="0" w:color="auto"/>
        <w:right w:val="none" w:sz="0" w:space="0" w:color="auto"/>
      </w:divBdr>
    </w:div>
    <w:div w:id="400835085">
      <w:bodyDiv w:val="1"/>
      <w:marLeft w:val="0"/>
      <w:marRight w:val="0"/>
      <w:marTop w:val="0"/>
      <w:marBottom w:val="0"/>
      <w:divBdr>
        <w:top w:val="none" w:sz="0" w:space="0" w:color="auto"/>
        <w:left w:val="none" w:sz="0" w:space="0" w:color="auto"/>
        <w:bottom w:val="none" w:sz="0" w:space="0" w:color="auto"/>
        <w:right w:val="none" w:sz="0" w:space="0" w:color="auto"/>
      </w:divBdr>
    </w:div>
    <w:div w:id="417562200">
      <w:bodyDiv w:val="1"/>
      <w:marLeft w:val="0"/>
      <w:marRight w:val="0"/>
      <w:marTop w:val="0"/>
      <w:marBottom w:val="0"/>
      <w:divBdr>
        <w:top w:val="none" w:sz="0" w:space="0" w:color="auto"/>
        <w:left w:val="none" w:sz="0" w:space="0" w:color="auto"/>
        <w:bottom w:val="none" w:sz="0" w:space="0" w:color="auto"/>
        <w:right w:val="none" w:sz="0" w:space="0" w:color="auto"/>
      </w:divBdr>
    </w:div>
    <w:div w:id="581990630">
      <w:bodyDiv w:val="1"/>
      <w:marLeft w:val="0"/>
      <w:marRight w:val="0"/>
      <w:marTop w:val="0"/>
      <w:marBottom w:val="0"/>
      <w:divBdr>
        <w:top w:val="none" w:sz="0" w:space="0" w:color="auto"/>
        <w:left w:val="none" w:sz="0" w:space="0" w:color="auto"/>
        <w:bottom w:val="none" w:sz="0" w:space="0" w:color="auto"/>
        <w:right w:val="none" w:sz="0" w:space="0" w:color="auto"/>
      </w:divBdr>
    </w:div>
    <w:div w:id="589854657">
      <w:bodyDiv w:val="1"/>
      <w:marLeft w:val="0"/>
      <w:marRight w:val="0"/>
      <w:marTop w:val="0"/>
      <w:marBottom w:val="0"/>
      <w:divBdr>
        <w:top w:val="none" w:sz="0" w:space="0" w:color="auto"/>
        <w:left w:val="none" w:sz="0" w:space="0" w:color="auto"/>
        <w:bottom w:val="none" w:sz="0" w:space="0" w:color="auto"/>
        <w:right w:val="none" w:sz="0" w:space="0" w:color="auto"/>
      </w:divBdr>
    </w:div>
    <w:div w:id="645548591">
      <w:bodyDiv w:val="1"/>
      <w:marLeft w:val="0"/>
      <w:marRight w:val="0"/>
      <w:marTop w:val="0"/>
      <w:marBottom w:val="0"/>
      <w:divBdr>
        <w:top w:val="none" w:sz="0" w:space="0" w:color="auto"/>
        <w:left w:val="none" w:sz="0" w:space="0" w:color="auto"/>
        <w:bottom w:val="none" w:sz="0" w:space="0" w:color="auto"/>
        <w:right w:val="none" w:sz="0" w:space="0" w:color="auto"/>
      </w:divBdr>
    </w:div>
    <w:div w:id="659501961">
      <w:bodyDiv w:val="1"/>
      <w:marLeft w:val="0"/>
      <w:marRight w:val="0"/>
      <w:marTop w:val="0"/>
      <w:marBottom w:val="0"/>
      <w:divBdr>
        <w:top w:val="none" w:sz="0" w:space="0" w:color="auto"/>
        <w:left w:val="none" w:sz="0" w:space="0" w:color="auto"/>
        <w:bottom w:val="none" w:sz="0" w:space="0" w:color="auto"/>
        <w:right w:val="none" w:sz="0" w:space="0" w:color="auto"/>
      </w:divBdr>
    </w:div>
    <w:div w:id="915364264">
      <w:bodyDiv w:val="1"/>
      <w:marLeft w:val="0"/>
      <w:marRight w:val="0"/>
      <w:marTop w:val="0"/>
      <w:marBottom w:val="0"/>
      <w:divBdr>
        <w:top w:val="none" w:sz="0" w:space="0" w:color="auto"/>
        <w:left w:val="none" w:sz="0" w:space="0" w:color="auto"/>
        <w:bottom w:val="none" w:sz="0" w:space="0" w:color="auto"/>
        <w:right w:val="none" w:sz="0" w:space="0" w:color="auto"/>
      </w:divBdr>
    </w:div>
    <w:div w:id="1027026155">
      <w:bodyDiv w:val="1"/>
      <w:marLeft w:val="0"/>
      <w:marRight w:val="0"/>
      <w:marTop w:val="0"/>
      <w:marBottom w:val="0"/>
      <w:divBdr>
        <w:top w:val="none" w:sz="0" w:space="0" w:color="auto"/>
        <w:left w:val="none" w:sz="0" w:space="0" w:color="auto"/>
        <w:bottom w:val="none" w:sz="0" w:space="0" w:color="auto"/>
        <w:right w:val="none" w:sz="0" w:space="0" w:color="auto"/>
      </w:divBdr>
    </w:div>
    <w:div w:id="1042051905">
      <w:bodyDiv w:val="1"/>
      <w:marLeft w:val="0"/>
      <w:marRight w:val="0"/>
      <w:marTop w:val="0"/>
      <w:marBottom w:val="0"/>
      <w:divBdr>
        <w:top w:val="none" w:sz="0" w:space="0" w:color="auto"/>
        <w:left w:val="none" w:sz="0" w:space="0" w:color="auto"/>
        <w:bottom w:val="none" w:sz="0" w:space="0" w:color="auto"/>
        <w:right w:val="none" w:sz="0" w:space="0" w:color="auto"/>
      </w:divBdr>
    </w:div>
    <w:div w:id="1048265509">
      <w:bodyDiv w:val="1"/>
      <w:marLeft w:val="0"/>
      <w:marRight w:val="0"/>
      <w:marTop w:val="0"/>
      <w:marBottom w:val="0"/>
      <w:divBdr>
        <w:top w:val="none" w:sz="0" w:space="0" w:color="auto"/>
        <w:left w:val="none" w:sz="0" w:space="0" w:color="auto"/>
        <w:bottom w:val="none" w:sz="0" w:space="0" w:color="auto"/>
        <w:right w:val="none" w:sz="0" w:space="0" w:color="auto"/>
      </w:divBdr>
    </w:div>
    <w:div w:id="1393387120">
      <w:bodyDiv w:val="1"/>
      <w:marLeft w:val="0"/>
      <w:marRight w:val="0"/>
      <w:marTop w:val="0"/>
      <w:marBottom w:val="0"/>
      <w:divBdr>
        <w:top w:val="none" w:sz="0" w:space="0" w:color="auto"/>
        <w:left w:val="none" w:sz="0" w:space="0" w:color="auto"/>
        <w:bottom w:val="none" w:sz="0" w:space="0" w:color="auto"/>
        <w:right w:val="none" w:sz="0" w:space="0" w:color="auto"/>
      </w:divBdr>
    </w:div>
    <w:div w:id="1406299108">
      <w:bodyDiv w:val="1"/>
      <w:marLeft w:val="0"/>
      <w:marRight w:val="0"/>
      <w:marTop w:val="0"/>
      <w:marBottom w:val="0"/>
      <w:divBdr>
        <w:top w:val="none" w:sz="0" w:space="0" w:color="auto"/>
        <w:left w:val="none" w:sz="0" w:space="0" w:color="auto"/>
        <w:bottom w:val="none" w:sz="0" w:space="0" w:color="auto"/>
        <w:right w:val="none" w:sz="0" w:space="0" w:color="auto"/>
      </w:divBdr>
    </w:div>
    <w:div w:id="1718578407">
      <w:bodyDiv w:val="1"/>
      <w:marLeft w:val="0"/>
      <w:marRight w:val="0"/>
      <w:marTop w:val="0"/>
      <w:marBottom w:val="0"/>
      <w:divBdr>
        <w:top w:val="none" w:sz="0" w:space="0" w:color="auto"/>
        <w:left w:val="none" w:sz="0" w:space="0" w:color="auto"/>
        <w:bottom w:val="none" w:sz="0" w:space="0" w:color="auto"/>
        <w:right w:val="none" w:sz="0" w:space="0" w:color="auto"/>
      </w:divBdr>
    </w:div>
    <w:div w:id="1871260731">
      <w:bodyDiv w:val="1"/>
      <w:marLeft w:val="0"/>
      <w:marRight w:val="0"/>
      <w:marTop w:val="0"/>
      <w:marBottom w:val="0"/>
      <w:divBdr>
        <w:top w:val="none" w:sz="0" w:space="0" w:color="auto"/>
        <w:left w:val="none" w:sz="0" w:space="0" w:color="auto"/>
        <w:bottom w:val="none" w:sz="0" w:space="0" w:color="auto"/>
        <w:right w:val="none" w:sz="0" w:space="0" w:color="auto"/>
      </w:divBdr>
    </w:div>
    <w:div w:id="1905484276">
      <w:bodyDiv w:val="1"/>
      <w:marLeft w:val="0"/>
      <w:marRight w:val="0"/>
      <w:marTop w:val="0"/>
      <w:marBottom w:val="0"/>
      <w:divBdr>
        <w:top w:val="none" w:sz="0" w:space="0" w:color="auto"/>
        <w:left w:val="none" w:sz="0" w:space="0" w:color="auto"/>
        <w:bottom w:val="none" w:sz="0" w:space="0" w:color="auto"/>
        <w:right w:val="none" w:sz="0" w:space="0" w:color="auto"/>
      </w:divBdr>
    </w:div>
    <w:div w:id="2033453257">
      <w:bodyDiv w:val="1"/>
      <w:marLeft w:val="0"/>
      <w:marRight w:val="0"/>
      <w:marTop w:val="0"/>
      <w:marBottom w:val="0"/>
      <w:divBdr>
        <w:top w:val="none" w:sz="0" w:space="0" w:color="auto"/>
        <w:left w:val="none" w:sz="0" w:space="0" w:color="auto"/>
        <w:bottom w:val="none" w:sz="0" w:space="0" w:color="auto"/>
        <w:right w:val="none" w:sz="0" w:space="0" w:color="auto"/>
      </w:divBdr>
    </w:div>
    <w:div w:id="2068676299">
      <w:bodyDiv w:val="1"/>
      <w:marLeft w:val="0"/>
      <w:marRight w:val="0"/>
      <w:marTop w:val="0"/>
      <w:marBottom w:val="0"/>
      <w:divBdr>
        <w:top w:val="none" w:sz="0" w:space="0" w:color="auto"/>
        <w:left w:val="none" w:sz="0" w:space="0" w:color="auto"/>
        <w:bottom w:val="none" w:sz="0" w:space="0" w:color="auto"/>
        <w:right w:val="none" w:sz="0" w:space="0" w:color="auto"/>
      </w:divBdr>
    </w:div>
    <w:div w:id="2116899116">
      <w:bodyDiv w:val="1"/>
      <w:marLeft w:val="0"/>
      <w:marRight w:val="0"/>
      <w:marTop w:val="0"/>
      <w:marBottom w:val="0"/>
      <w:divBdr>
        <w:top w:val="none" w:sz="0" w:space="0" w:color="auto"/>
        <w:left w:val="none" w:sz="0" w:space="0" w:color="auto"/>
        <w:bottom w:val="none" w:sz="0" w:space="0" w:color="auto"/>
        <w:right w:val="none" w:sz="0" w:space="0" w:color="auto"/>
      </w:divBdr>
    </w:div>
    <w:div w:id="2145006371">
      <w:bodyDiv w:val="1"/>
      <w:marLeft w:val="0"/>
      <w:marRight w:val="0"/>
      <w:marTop w:val="0"/>
      <w:marBottom w:val="0"/>
      <w:divBdr>
        <w:top w:val="none" w:sz="0" w:space="0" w:color="auto"/>
        <w:left w:val="none" w:sz="0" w:space="0" w:color="auto"/>
        <w:bottom w:val="none" w:sz="0" w:space="0" w:color="auto"/>
        <w:right w:val="none" w:sz="0" w:space="0" w:color="auto"/>
      </w:divBdr>
      <w:divsChild>
        <w:div w:id="631784906">
          <w:marLeft w:val="0"/>
          <w:marRight w:val="0"/>
          <w:marTop w:val="0"/>
          <w:marBottom w:val="0"/>
          <w:divBdr>
            <w:top w:val="none" w:sz="0" w:space="0" w:color="auto"/>
            <w:left w:val="none" w:sz="0" w:space="0" w:color="auto"/>
            <w:bottom w:val="none" w:sz="0" w:space="0" w:color="auto"/>
            <w:right w:val="none" w:sz="0" w:space="0" w:color="auto"/>
          </w:divBdr>
        </w:div>
        <w:div w:id="1284652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2B936-5DF5-4FF7-9197-C7062312FFC9}">
  <ds:schemaRefs>
    <ds:schemaRef ds:uri="http://schemas.microsoft.com/sharepoint/v3/contenttype/forms"/>
  </ds:schemaRefs>
</ds:datastoreItem>
</file>

<file path=customXml/itemProps2.xml><?xml version="1.0" encoding="utf-8"?>
<ds:datastoreItem xmlns:ds="http://schemas.openxmlformats.org/officeDocument/2006/customXml" ds:itemID="{8ADE0AD8-36A3-4EDA-97A7-B4A24BDBEBA4}"/>
</file>

<file path=customXml/itemProps3.xml><?xml version="1.0" encoding="utf-8"?>
<ds:datastoreItem xmlns:ds="http://schemas.openxmlformats.org/officeDocument/2006/customXml" ds:itemID="{D3F50971-F6DF-4342-8E8E-8462D55D3B1D}">
  <ds:schemaRefs>
    <ds:schemaRef ds:uri="08c21c09-beba-4072-8000-1dca26330969"/>
    <ds:schemaRef ds:uri="http://purl.org/dc/terms/"/>
    <ds:schemaRef ds:uri="http://schemas.openxmlformats.org/package/2006/metadata/core-properties"/>
    <ds:schemaRef ds:uri="http://schemas.microsoft.com/office/2006/documentManagement/types"/>
    <ds:schemaRef ds:uri="e84aa060-13d4-4ddd-8d65-c3aafff2663b"/>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DCDFB511-5A20-4053-8116-7FB632DE3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37824</Words>
  <Characters>224123</Characters>
  <Application>Microsoft Office Word</Application>
  <DocSecurity>0</DocSecurity>
  <Lines>1867</Lines>
  <Paragraphs>522</Paragraphs>
  <ScaleCrop>false</ScaleCrop>
  <HeadingPairs>
    <vt:vector size="6" baseType="variant">
      <vt:variant>
        <vt:lpstr>Title</vt:lpstr>
      </vt:variant>
      <vt:variant>
        <vt:i4>1</vt:i4>
      </vt:variant>
      <vt:variant>
        <vt:lpstr>Názov</vt:lpstr>
      </vt:variant>
      <vt:variant>
        <vt:i4>1</vt:i4>
      </vt:variant>
      <vt:variant>
        <vt:lpstr>Název</vt:lpstr>
      </vt:variant>
      <vt:variant>
        <vt:i4>1</vt:i4>
      </vt:variant>
    </vt:vector>
  </HeadingPairs>
  <TitlesOfParts>
    <vt:vector size="3" baseType="lpstr">
      <vt:lpstr>Glivec, INN-imatinib</vt:lpstr>
      <vt:lpstr>Glivec, INN-imatinib</vt:lpstr>
      <vt:lpstr>Glivec, INN-imatinib</vt:lpstr>
    </vt:vector>
  </TitlesOfParts>
  <Company>Novartis</Company>
  <LinksUpToDate>false</LinksUpToDate>
  <CharactersWithSpaces>261425</CharactersWithSpaces>
  <SharedDoc>false</SharedDoc>
  <HLinks>
    <vt:vector size="36" baseType="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7</cp:revision>
  <cp:lastPrinted>2012-08-03T12:08:00Z</cp:lastPrinted>
  <dcterms:created xsi:type="dcterms:W3CDTF">2021-02-02T19:48:00Z</dcterms:created>
  <dcterms:modified xsi:type="dcterms:W3CDTF">2021-05-21T16:15:00Z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2019-01-22T13:35:52.0315080Z</vt:lpwstr>
  </property>
  <property fmtid="{D5CDD505-2E9C-101B-9397-08002B2CF9AE}" pid="5" name="MSIP_Label_4929bff8-5b33-42aa-95d2-28f72e792cb0_Name">
    <vt:lpwstr>Business Use Only</vt:lpwstr>
  </property>
  <property fmtid="{D5CDD505-2E9C-101B-9397-08002B2CF9AE}" pid="6" name="MSIP_Label_4929bff8-5b33-42aa-95d2-28f72e792cb0_Extended_MSFT_Method">
    <vt:lpwstr>Automatic</vt:lpwstr>
  </property>
  <property fmtid="{D5CDD505-2E9C-101B-9397-08002B2CF9AE}" pid="7" name="Confidentiality">
    <vt:lpwstr>Business Use Only</vt:lpwstr>
  </property>
  <property fmtid="{D5CDD505-2E9C-101B-9397-08002B2CF9AE}" pid="8" name="ContentTypeId">
    <vt:lpwstr>0x010100726F91DD1AE57B44B1BCEB7F1056F5D0</vt:lpwstr>
  </property>
  <property fmtid="{D5CDD505-2E9C-101B-9397-08002B2CF9AE}" pid="9" name="MSIP_Label_0eea11ca-d417-4147-80ed-01a58412c458_Enabled">
    <vt:lpwstr>true</vt:lpwstr>
  </property>
  <property fmtid="{D5CDD505-2E9C-101B-9397-08002B2CF9AE}" pid="10" name="MSIP_Label_0eea11ca-d417-4147-80ed-01a58412c458_SetDate">
    <vt:lpwstr>2021-05-21T16:15:18Z</vt:lpwstr>
  </property>
  <property fmtid="{D5CDD505-2E9C-101B-9397-08002B2CF9AE}" pid="11" name="MSIP_Label_0eea11ca-d417-4147-80ed-01a58412c458_Method">
    <vt:lpwstr>Standard</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SiteId">
    <vt:lpwstr>bc9dc15c-61bc-4f03-b60b-e5b6d8922839</vt:lpwstr>
  </property>
  <property fmtid="{D5CDD505-2E9C-101B-9397-08002B2CF9AE}" pid="14" name="MSIP_Label_0eea11ca-d417-4147-80ed-01a58412c458_ActionId">
    <vt:lpwstr>a8981692-3cf5-4aab-b20d-60855e029769</vt:lpwstr>
  </property>
  <property fmtid="{D5CDD505-2E9C-101B-9397-08002B2CF9AE}" pid="15" name="MSIP_Label_0eea11ca-d417-4147-80ed-01a58412c458_ContentBits">
    <vt:lpwstr>2</vt:lpwstr>
  </property>
</Properties>
</file>