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796EE" w14:textId="77777777" w:rsidR="00444D75" w:rsidRPr="004B7622" w:rsidRDefault="00444D75" w:rsidP="009C1193">
      <w:pPr>
        <w:pStyle w:val="Header"/>
        <w:widowControl w:val="0"/>
        <w:rPr>
          <w:rFonts w:ascii="Times New Roman" w:hAnsi="Times New Roman"/>
          <w:color w:val="000000"/>
          <w:sz w:val="22"/>
          <w:szCs w:val="22"/>
        </w:rPr>
      </w:pPr>
      <w:bookmarkStart w:id="0" w:name="_GoBack"/>
      <w:bookmarkEnd w:id="0"/>
    </w:p>
    <w:p w14:paraId="529796EF" w14:textId="77777777" w:rsidR="00444D75" w:rsidRPr="004B7622" w:rsidRDefault="00444D75" w:rsidP="009C1193">
      <w:pPr>
        <w:widowControl w:val="0"/>
        <w:tabs>
          <w:tab w:val="clear" w:pos="567"/>
        </w:tabs>
        <w:spacing w:line="240" w:lineRule="auto"/>
        <w:rPr>
          <w:color w:val="000000"/>
          <w:szCs w:val="22"/>
        </w:rPr>
      </w:pPr>
    </w:p>
    <w:p w14:paraId="529796F0" w14:textId="77777777" w:rsidR="00444D75" w:rsidRPr="004B7622" w:rsidRDefault="00444D75" w:rsidP="009C1193">
      <w:pPr>
        <w:pStyle w:val="EndnoteText"/>
        <w:widowControl w:val="0"/>
        <w:tabs>
          <w:tab w:val="clear" w:pos="567"/>
          <w:tab w:val="left" w:pos="2385"/>
        </w:tabs>
        <w:rPr>
          <w:color w:val="000000"/>
          <w:szCs w:val="22"/>
        </w:rPr>
      </w:pPr>
    </w:p>
    <w:p w14:paraId="529796F1" w14:textId="77777777" w:rsidR="00B47D3F" w:rsidRPr="004B7622" w:rsidRDefault="00B47D3F" w:rsidP="009C1193">
      <w:pPr>
        <w:widowControl w:val="0"/>
        <w:tabs>
          <w:tab w:val="clear" w:pos="567"/>
        </w:tabs>
        <w:spacing w:line="240" w:lineRule="auto"/>
        <w:rPr>
          <w:color w:val="000000"/>
          <w:szCs w:val="22"/>
        </w:rPr>
      </w:pPr>
    </w:p>
    <w:p w14:paraId="529796F2" w14:textId="77777777" w:rsidR="00444D75" w:rsidRPr="004B7622" w:rsidRDefault="00444D75" w:rsidP="009C1193">
      <w:pPr>
        <w:widowControl w:val="0"/>
        <w:tabs>
          <w:tab w:val="clear" w:pos="567"/>
        </w:tabs>
        <w:spacing w:line="240" w:lineRule="auto"/>
        <w:rPr>
          <w:color w:val="000000"/>
          <w:szCs w:val="22"/>
        </w:rPr>
      </w:pPr>
    </w:p>
    <w:p w14:paraId="529796F3" w14:textId="77777777" w:rsidR="00444D75" w:rsidRPr="004B7622" w:rsidRDefault="00444D75" w:rsidP="009C1193">
      <w:pPr>
        <w:widowControl w:val="0"/>
        <w:tabs>
          <w:tab w:val="clear" w:pos="567"/>
        </w:tabs>
        <w:spacing w:line="240" w:lineRule="auto"/>
        <w:rPr>
          <w:color w:val="000000"/>
          <w:szCs w:val="22"/>
        </w:rPr>
      </w:pPr>
    </w:p>
    <w:p w14:paraId="529796F4" w14:textId="77777777" w:rsidR="00444D75" w:rsidRPr="004B7622" w:rsidRDefault="00444D75" w:rsidP="009C1193">
      <w:pPr>
        <w:widowControl w:val="0"/>
        <w:tabs>
          <w:tab w:val="clear" w:pos="567"/>
        </w:tabs>
        <w:spacing w:line="240" w:lineRule="auto"/>
        <w:rPr>
          <w:color w:val="000000"/>
          <w:szCs w:val="22"/>
        </w:rPr>
      </w:pPr>
    </w:p>
    <w:p w14:paraId="529796F5" w14:textId="77777777" w:rsidR="00444D75" w:rsidRPr="004B7622" w:rsidRDefault="00444D75" w:rsidP="009C1193">
      <w:pPr>
        <w:widowControl w:val="0"/>
        <w:tabs>
          <w:tab w:val="clear" w:pos="567"/>
        </w:tabs>
        <w:spacing w:line="240" w:lineRule="auto"/>
        <w:rPr>
          <w:color w:val="000000"/>
          <w:szCs w:val="22"/>
        </w:rPr>
      </w:pPr>
    </w:p>
    <w:p w14:paraId="529796F6" w14:textId="77777777" w:rsidR="00444D75" w:rsidRPr="004B7622" w:rsidRDefault="00444D75" w:rsidP="009C1193">
      <w:pPr>
        <w:widowControl w:val="0"/>
        <w:tabs>
          <w:tab w:val="clear" w:pos="567"/>
        </w:tabs>
        <w:spacing w:line="240" w:lineRule="auto"/>
        <w:rPr>
          <w:color w:val="000000"/>
          <w:szCs w:val="22"/>
        </w:rPr>
      </w:pPr>
    </w:p>
    <w:p w14:paraId="529796F7" w14:textId="77777777" w:rsidR="00444D75" w:rsidRPr="004B7622" w:rsidRDefault="00444D75" w:rsidP="009C1193">
      <w:pPr>
        <w:widowControl w:val="0"/>
        <w:tabs>
          <w:tab w:val="clear" w:pos="567"/>
        </w:tabs>
        <w:spacing w:line="240" w:lineRule="auto"/>
        <w:rPr>
          <w:color w:val="000000"/>
          <w:szCs w:val="22"/>
        </w:rPr>
      </w:pPr>
    </w:p>
    <w:p w14:paraId="529796F8" w14:textId="77777777" w:rsidR="00444D75" w:rsidRPr="004B7622" w:rsidRDefault="00444D75" w:rsidP="009C1193">
      <w:pPr>
        <w:pStyle w:val="EndnoteText"/>
        <w:widowControl w:val="0"/>
        <w:tabs>
          <w:tab w:val="clear" w:pos="567"/>
        </w:tabs>
        <w:rPr>
          <w:color w:val="000000"/>
          <w:szCs w:val="22"/>
        </w:rPr>
      </w:pPr>
    </w:p>
    <w:p w14:paraId="529796F9" w14:textId="77777777" w:rsidR="00444D75" w:rsidRPr="004B7622" w:rsidRDefault="00444D75" w:rsidP="009C1193">
      <w:pPr>
        <w:widowControl w:val="0"/>
        <w:tabs>
          <w:tab w:val="clear" w:pos="567"/>
        </w:tabs>
        <w:spacing w:line="240" w:lineRule="auto"/>
        <w:rPr>
          <w:color w:val="000000"/>
          <w:szCs w:val="22"/>
        </w:rPr>
      </w:pPr>
    </w:p>
    <w:p w14:paraId="529796FA" w14:textId="77777777" w:rsidR="00444D75" w:rsidRPr="004B7622" w:rsidRDefault="00444D75" w:rsidP="009C1193">
      <w:pPr>
        <w:widowControl w:val="0"/>
        <w:tabs>
          <w:tab w:val="clear" w:pos="567"/>
        </w:tabs>
        <w:spacing w:line="240" w:lineRule="auto"/>
        <w:rPr>
          <w:color w:val="000000"/>
          <w:szCs w:val="22"/>
        </w:rPr>
      </w:pPr>
    </w:p>
    <w:p w14:paraId="529796FB" w14:textId="77777777" w:rsidR="00444D75" w:rsidRPr="004B7622" w:rsidRDefault="00444D75" w:rsidP="009C1193">
      <w:pPr>
        <w:widowControl w:val="0"/>
        <w:tabs>
          <w:tab w:val="clear" w:pos="567"/>
        </w:tabs>
        <w:spacing w:line="240" w:lineRule="auto"/>
        <w:rPr>
          <w:color w:val="000000"/>
          <w:szCs w:val="22"/>
        </w:rPr>
      </w:pPr>
    </w:p>
    <w:p w14:paraId="529796FC" w14:textId="77777777" w:rsidR="00444D75" w:rsidRPr="004B7622" w:rsidRDefault="00444D75" w:rsidP="009C1193">
      <w:pPr>
        <w:widowControl w:val="0"/>
        <w:tabs>
          <w:tab w:val="clear" w:pos="567"/>
        </w:tabs>
        <w:spacing w:line="240" w:lineRule="auto"/>
        <w:rPr>
          <w:color w:val="000000"/>
          <w:szCs w:val="22"/>
        </w:rPr>
      </w:pPr>
    </w:p>
    <w:p w14:paraId="529796FD" w14:textId="77777777" w:rsidR="00444D75" w:rsidRPr="004B7622" w:rsidRDefault="00444D75" w:rsidP="009C1193">
      <w:pPr>
        <w:widowControl w:val="0"/>
        <w:tabs>
          <w:tab w:val="clear" w:pos="567"/>
        </w:tabs>
        <w:spacing w:line="240" w:lineRule="auto"/>
        <w:rPr>
          <w:color w:val="000000"/>
          <w:szCs w:val="22"/>
        </w:rPr>
      </w:pPr>
    </w:p>
    <w:p w14:paraId="529796FE" w14:textId="77777777" w:rsidR="00444D75" w:rsidRPr="004B7622" w:rsidRDefault="00444D75" w:rsidP="009C1193">
      <w:pPr>
        <w:widowControl w:val="0"/>
        <w:tabs>
          <w:tab w:val="clear" w:pos="567"/>
        </w:tabs>
        <w:spacing w:line="240" w:lineRule="auto"/>
        <w:rPr>
          <w:color w:val="000000"/>
          <w:szCs w:val="22"/>
        </w:rPr>
      </w:pPr>
    </w:p>
    <w:p w14:paraId="529796FF" w14:textId="77777777" w:rsidR="00444D75" w:rsidRPr="004B7622" w:rsidRDefault="00444D75" w:rsidP="009C1193">
      <w:pPr>
        <w:widowControl w:val="0"/>
        <w:tabs>
          <w:tab w:val="clear" w:pos="567"/>
        </w:tabs>
        <w:spacing w:line="240" w:lineRule="auto"/>
        <w:rPr>
          <w:color w:val="000000"/>
          <w:szCs w:val="22"/>
        </w:rPr>
      </w:pPr>
    </w:p>
    <w:p w14:paraId="52979700" w14:textId="77777777" w:rsidR="00444D75" w:rsidRPr="004B7622" w:rsidRDefault="00444D75" w:rsidP="009C1193">
      <w:pPr>
        <w:widowControl w:val="0"/>
        <w:tabs>
          <w:tab w:val="clear" w:pos="567"/>
        </w:tabs>
        <w:spacing w:line="240" w:lineRule="auto"/>
        <w:rPr>
          <w:color w:val="000000"/>
          <w:szCs w:val="22"/>
        </w:rPr>
      </w:pPr>
    </w:p>
    <w:p w14:paraId="52979701" w14:textId="77777777" w:rsidR="00444D75" w:rsidRPr="004B7622" w:rsidRDefault="00444D75" w:rsidP="009C1193">
      <w:pPr>
        <w:widowControl w:val="0"/>
        <w:tabs>
          <w:tab w:val="clear" w:pos="567"/>
        </w:tabs>
        <w:spacing w:line="240" w:lineRule="auto"/>
        <w:rPr>
          <w:color w:val="000000"/>
          <w:szCs w:val="22"/>
        </w:rPr>
      </w:pPr>
    </w:p>
    <w:p w14:paraId="52979702" w14:textId="77777777" w:rsidR="00444D75" w:rsidRPr="004B7622" w:rsidRDefault="00444D75" w:rsidP="009C1193">
      <w:pPr>
        <w:widowControl w:val="0"/>
        <w:tabs>
          <w:tab w:val="clear" w:pos="567"/>
        </w:tabs>
        <w:spacing w:line="240" w:lineRule="auto"/>
        <w:rPr>
          <w:color w:val="000000"/>
          <w:szCs w:val="22"/>
        </w:rPr>
      </w:pPr>
    </w:p>
    <w:p w14:paraId="52979703" w14:textId="77777777" w:rsidR="00444D75" w:rsidRPr="004B7622" w:rsidRDefault="00444D75" w:rsidP="009C1193">
      <w:pPr>
        <w:pStyle w:val="EndnoteText"/>
        <w:widowControl w:val="0"/>
        <w:tabs>
          <w:tab w:val="clear" w:pos="567"/>
        </w:tabs>
        <w:rPr>
          <w:color w:val="000000"/>
          <w:szCs w:val="22"/>
        </w:rPr>
      </w:pPr>
    </w:p>
    <w:p w14:paraId="52979704" w14:textId="77777777" w:rsidR="00444D75" w:rsidRPr="004B7622" w:rsidRDefault="00444D75" w:rsidP="009C1193">
      <w:pPr>
        <w:widowControl w:val="0"/>
        <w:tabs>
          <w:tab w:val="clear" w:pos="567"/>
        </w:tabs>
        <w:spacing w:line="240" w:lineRule="auto"/>
        <w:rPr>
          <w:color w:val="000000"/>
          <w:szCs w:val="22"/>
        </w:rPr>
      </w:pPr>
    </w:p>
    <w:p w14:paraId="52979705" w14:textId="77777777" w:rsidR="00444D75" w:rsidRPr="004A59B1" w:rsidRDefault="00791AB7" w:rsidP="009C1193">
      <w:pPr>
        <w:widowControl w:val="0"/>
        <w:tabs>
          <w:tab w:val="clear" w:pos="567"/>
        </w:tabs>
        <w:spacing w:line="240" w:lineRule="auto"/>
        <w:jc w:val="center"/>
        <w:rPr>
          <w:b/>
          <w:color w:val="000000"/>
          <w:szCs w:val="22"/>
        </w:rPr>
      </w:pPr>
      <w:r w:rsidRPr="004A59B1">
        <w:rPr>
          <w:b/>
          <w:color w:val="000000"/>
          <w:szCs w:val="22"/>
        </w:rPr>
        <w:t xml:space="preserve">PRILOGA </w:t>
      </w:r>
      <w:r w:rsidR="00444D75" w:rsidRPr="004A59B1">
        <w:rPr>
          <w:b/>
          <w:color w:val="000000"/>
          <w:szCs w:val="22"/>
        </w:rPr>
        <w:t>I</w:t>
      </w:r>
    </w:p>
    <w:p w14:paraId="52979706" w14:textId="77777777" w:rsidR="00444D75" w:rsidRPr="004A59B1" w:rsidRDefault="00444D75" w:rsidP="009C1193">
      <w:pPr>
        <w:widowControl w:val="0"/>
        <w:tabs>
          <w:tab w:val="clear" w:pos="567"/>
        </w:tabs>
        <w:spacing w:line="240" w:lineRule="auto"/>
        <w:jc w:val="center"/>
        <w:rPr>
          <w:color w:val="000000"/>
          <w:szCs w:val="22"/>
        </w:rPr>
      </w:pPr>
    </w:p>
    <w:p w14:paraId="52979707" w14:textId="77777777" w:rsidR="00444D75" w:rsidRPr="004A59B1" w:rsidRDefault="00444D75" w:rsidP="009C1193">
      <w:pPr>
        <w:widowControl w:val="0"/>
        <w:tabs>
          <w:tab w:val="clear" w:pos="567"/>
        </w:tabs>
        <w:spacing w:line="240" w:lineRule="auto"/>
        <w:jc w:val="center"/>
        <w:rPr>
          <w:b/>
          <w:color w:val="000000"/>
          <w:szCs w:val="22"/>
        </w:rPr>
      </w:pPr>
      <w:r w:rsidRPr="004A59B1">
        <w:rPr>
          <w:b/>
          <w:color w:val="000000"/>
          <w:szCs w:val="22"/>
        </w:rPr>
        <w:t>POVZETEK GLAVNIH ZNAČILNOSTI ZDRAVILA</w:t>
      </w:r>
    </w:p>
    <w:p w14:paraId="52979708" w14:textId="77777777" w:rsidR="00AB7F78" w:rsidRPr="004A59B1" w:rsidRDefault="00444D75" w:rsidP="009C1193">
      <w:pPr>
        <w:widowControl w:val="0"/>
        <w:rPr>
          <w:snapToGrid w:val="0"/>
          <w:szCs w:val="22"/>
          <w:lang w:val="sl-SI" w:eastAsia="zh-CN"/>
        </w:rPr>
      </w:pPr>
      <w:r w:rsidRPr="004A59B1">
        <w:rPr>
          <w:b/>
          <w:color w:val="000000"/>
          <w:szCs w:val="22"/>
          <w:lang w:val="da-DK"/>
        </w:rPr>
        <w:br w:type="page"/>
      </w:r>
      <w:r w:rsidR="003B1E8C" w:rsidRPr="004A59B1">
        <w:rPr>
          <w:noProof/>
          <w:lang w:val="en-US"/>
        </w:rPr>
        <w:lastRenderedPageBreak/>
        <w:drawing>
          <wp:inline distT="0" distB="0" distL="0" distR="0" wp14:anchorId="5297AC14" wp14:editId="5297AC15">
            <wp:extent cx="201295" cy="173990"/>
            <wp:effectExtent l="0" t="0" r="0" b="0"/>
            <wp:docPr id="1"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295" cy="173990"/>
                    </a:xfrm>
                    <a:prstGeom prst="rect">
                      <a:avLst/>
                    </a:prstGeom>
                    <a:noFill/>
                    <a:ln>
                      <a:noFill/>
                    </a:ln>
                  </pic:spPr>
                </pic:pic>
              </a:graphicData>
            </a:graphic>
          </wp:inline>
        </w:drawing>
      </w:r>
      <w:r w:rsidR="00AB7F78" w:rsidRPr="004A59B1">
        <w:rPr>
          <w:snapToGrid w:val="0"/>
          <w:szCs w:val="22"/>
          <w:lang w:val="sl-SI" w:eastAsia="zh-CN"/>
        </w:rPr>
        <w:t>Za to zdravilo se izvaja dodatno spremljanje varnosti. Tako bodo hitreje na voljo nove informacije o njegovi varnosti. Zdravstvene delavce naprošamo, da poročajo o katerem koli domnevnem neželenem učinku zdravila. Glejte poglavje 4.8, kako poročati o neželenih učinkih.</w:t>
      </w:r>
    </w:p>
    <w:p w14:paraId="52979709" w14:textId="77777777" w:rsidR="00AB7F78" w:rsidRPr="004A59B1" w:rsidRDefault="00AB7F78" w:rsidP="009C1193">
      <w:pPr>
        <w:widowControl w:val="0"/>
        <w:rPr>
          <w:snapToGrid w:val="0"/>
          <w:szCs w:val="22"/>
          <w:lang w:val="sl-SI" w:eastAsia="zh-CN"/>
        </w:rPr>
      </w:pPr>
    </w:p>
    <w:p w14:paraId="5297970A" w14:textId="77777777" w:rsidR="00AB7F78" w:rsidRPr="004A59B1" w:rsidRDefault="00AB7F78" w:rsidP="009C1193">
      <w:pPr>
        <w:widowControl w:val="0"/>
        <w:rPr>
          <w:snapToGrid w:val="0"/>
          <w:szCs w:val="22"/>
          <w:lang w:val="sl-SI" w:eastAsia="zh-CN"/>
        </w:rPr>
      </w:pPr>
    </w:p>
    <w:p w14:paraId="5297970B" w14:textId="77777777" w:rsidR="00444D75" w:rsidRPr="004A59B1" w:rsidRDefault="00444D75" w:rsidP="009C1193">
      <w:pPr>
        <w:widowControl w:val="0"/>
        <w:tabs>
          <w:tab w:val="clear" w:pos="567"/>
        </w:tabs>
        <w:spacing w:line="240" w:lineRule="auto"/>
        <w:ind w:left="567" w:hanging="567"/>
        <w:rPr>
          <w:color w:val="000000"/>
          <w:szCs w:val="22"/>
          <w:lang w:val="da-DK"/>
        </w:rPr>
      </w:pPr>
      <w:r w:rsidRPr="004A59B1">
        <w:rPr>
          <w:b/>
          <w:color w:val="000000"/>
          <w:szCs w:val="22"/>
          <w:lang w:val="da-DK"/>
        </w:rPr>
        <w:t>1.</w:t>
      </w:r>
      <w:r w:rsidRPr="004A59B1">
        <w:rPr>
          <w:b/>
          <w:color w:val="000000"/>
          <w:szCs w:val="22"/>
          <w:lang w:val="da-DK"/>
        </w:rPr>
        <w:tab/>
        <w:t>IME ZDRAVILA</w:t>
      </w:r>
    </w:p>
    <w:p w14:paraId="5297970C" w14:textId="77777777" w:rsidR="00444D75" w:rsidRPr="004A59B1" w:rsidRDefault="00444D75" w:rsidP="009C1193">
      <w:pPr>
        <w:pStyle w:val="EndnoteText"/>
        <w:widowControl w:val="0"/>
        <w:tabs>
          <w:tab w:val="clear" w:pos="567"/>
        </w:tabs>
        <w:rPr>
          <w:color w:val="000000"/>
          <w:szCs w:val="22"/>
          <w:lang w:val="da-DK"/>
        </w:rPr>
      </w:pPr>
    </w:p>
    <w:p w14:paraId="5297970E" w14:textId="77777777" w:rsidR="00444D75" w:rsidRDefault="000920A0" w:rsidP="009C1193">
      <w:pPr>
        <w:pStyle w:val="EndnoteText"/>
        <w:widowControl w:val="0"/>
        <w:tabs>
          <w:tab w:val="clear" w:pos="567"/>
        </w:tabs>
        <w:rPr>
          <w:color w:val="000000"/>
          <w:szCs w:val="22"/>
          <w:lang w:val="sv-SE"/>
        </w:rPr>
      </w:pPr>
      <w:r w:rsidRPr="004A59B1">
        <w:rPr>
          <w:color w:val="000000"/>
          <w:szCs w:val="22"/>
          <w:lang w:val="sv-SE"/>
        </w:rPr>
        <w:t>Glivec 100 mg trde kapsule</w:t>
      </w:r>
    </w:p>
    <w:p w14:paraId="5297970F" w14:textId="77777777" w:rsidR="000920A0" w:rsidRPr="004A59B1" w:rsidRDefault="000920A0" w:rsidP="009C1193">
      <w:pPr>
        <w:pStyle w:val="EndnoteText"/>
        <w:widowControl w:val="0"/>
        <w:tabs>
          <w:tab w:val="clear" w:pos="567"/>
        </w:tabs>
        <w:rPr>
          <w:color w:val="000000"/>
          <w:szCs w:val="22"/>
          <w:lang w:val="da-DK"/>
        </w:rPr>
      </w:pPr>
    </w:p>
    <w:p w14:paraId="52979710" w14:textId="77777777" w:rsidR="00444D75" w:rsidRPr="004A59B1" w:rsidRDefault="00444D75" w:rsidP="009C1193">
      <w:pPr>
        <w:pStyle w:val="EndnoteText"/>
        <w:widowControl w:val="0"/>
        <w:tabs>
          <w:tab w:val="clear" w:pos="567"/>
        </w:tabs>
        <w:rPr>
          <w:color w:val="000000"/>
          <w:szCs w:val="22"/>
          <w:lang w:val="da-DK"/>
        </w:rPr>
      </w:pPr>
    </w:p>
    <w:p w14:paraId="52979711" w14:textId="77777777" w:rsidR="00444D75" w:rsidRPr="004A59B1" w:rsidRDefault="00444D75" w:rsidP="009C1193">
      <w:pPr>
        <w:keepNext/>
        <w:widowControl w:val="0"/>
        <w:tabs>
          <w:tab w:val="clear" w:pos="567"/>
        </w:tabs>
        <w:spacing w:line="240" w:lineRule="auto"/>
        <w:ind w:left="567" w:hanging="567"/>
        <w:rPr>
          <w:color w:val="000000"/>
          <w:szCs w:val="22"/>
          <w:lang w:val="da-DK"/>
        </w:rPr>
      </w:pPr>
      <w:r w:rsidRPr="004A59B1">
        <w:rPr>
          <w:b/>
          <w:color w:val="000000"/>
          <w:szCs w:val="22"/>
          <w:lang w:val="da-DK"/>
        </w:rPr>
        <w:t>2.</w:t>
      </w:r>
      <w:r w:rsidRPr="004A59B1">
        <w:rPr>
          <w:b/>
          <w:color w:val="000000"/>
          <w:szCs w:val="22"/>
          <w:lang w:val="da-DK"/>
        </w:rPr>
        <w:tab/>
        <w:t>KAKOVOSTNA IN KOLIČINSKA SESTAVA</w:t>
      </w:r>
    </w:p>
    <w:p w14:paraId="52979712" w14:textId="77777777" w:rsidR="00444D75" w:rsidRPr="004A59B1" w:rsidRDefault="00444D75" w:rsidP="009C1193">
      <w:pPr>
        <w:keepNext/>
        <w:widowControl w:val="0"/>
        <w:tabs>
          <w:tab w:val="clear" w:pos="567"/>
        </w:tabs>
        <w:spacing w:line="240" w:lineRule="auto"/>
        <w:rPr>
          <w:i/>
          <w:color w:val="000000"/>
          <w:szCs w:val="22"/>
          <w:lang w:val="da-DK"/>
        </w:rPr>
      </w:pPr>
    </w:p>
    <w:p w14:paraId="52979717" w14:textId="77777777" w:rsidR="006B3B5C" w:rsidRDefault="006B3B5C" w:rsidP="009C1193">
      <w:pPr>
        <w:widowControl w:val="0"/>
        <w:tabs>
          <w:tab w:val="clear" w:pos="567"/>
        </w:tabs>
        <w:spacing w:line="240" w:lineRule="auto"/>
        <w:rPr>
          <w:color w:val="000000"/>
          <w:szCs w:val="22"/>
          <w:u w:val="single"/>
          <w:lang w:val="sv-SE"/>
        </w:rPr>
      </w:pPr>
      <w:r w:rsidRPr="004A59B1">
        <w:rPr>
          <w:color w:val="000000"/>
          <w:szCs w:val="22"/>
          <w:lang w:val="sv-SE"/>
        </w:rPr>
        <w:t>Ena kapsula vsebuje 100 mg imatiniba (v obliki mesilata).</w:t>
      </w:r>
    </w:p>
    <w:p w14:paraId="52979718" w14:textId="77777777" w:rsidR="006B3B5C" w:rsidRPr="00AA1FD3" w:rsidRDefault="006B3B5C" w:rsidP="009C1193">
      <w:pPr>
        <w:widowControl w:val="0"/>
        <w:tabs>
          <w:tab w:val="clear" w:pos="567"/>
        </w:tabs>
        <w:spacing w:line="240" w:lineRule="auto"/>
        <w:rPr>
          <w:color w:val="000000"/>
          <w:szCs w:val="22"/>
          <w:lang w:val="da-DK"/>
        </w:rPr>
      </w:pPr>
    </w:p>
    <w:p w14:paraId="52979719" w14:textId="77777777" w:rsidR="00444D75" w:rsidRPr="004A59B1" w:rsidRDefault="00444D75" w:rsidP="009C1193">
      <w:pPr>
        <w:widowControl w:val="0"/>
        <w:tabs>
          <w:tab w:val="clear" w:pos="567"/>
        </w:tabs>
        <w:spacing w:line="240" w:lineRule="auto"/>
        <w:rPr>
          <w:color w:val="000000"/>
          <w:szCs w:val="22"/>
          <w:lang w:val="da-DK"/>
        </w:rPr>
      </w:pPr>
      <w:r w:rsidRPr="004A59B1">
        <w:rPr>
          <w:color w:val="000000"/>
          <w:szCs w:val="22"/>
          <w:lang w:val="da-DK"/>
        </w:rPr>
        <w:t>Za</w:t>
      </w:r>
      <w:r w:rsidR="00174845" w:rsidRPr="004A59B1">
        <w:rPr>
          <w:color w:val="000000"/>
          <w:szCs w:val="22"/>
          <w:lang w:val="da-DK"/>
        </w:rPr>
        <w:t xml:space="preserve"> celoten seznam</w:t>
      </w:r>
      <w:r w:rsidRPr="004A59B1">
        <w:rPr>
          <w:color w:val="000000"/>
          <w:szCs w:val="22"/>
          <w:lang w:val="da-DK"/>
        </w:rPr>
        <w:t xml:space="preserve"> pomožn</w:t>
      </w:r>
      <w:r w:rsidR="00174845" w:rsidRPr="004A59B1">
        <w:rPr>
          <w:color w:val="000000"/>
          <w:szCs w:val="22"/>
          <w:lang w:val="da-DK"/>
        </w:rPr>
        <w:t>ih</w:t>
      </w:r>
      <w:r w:rsidRPr="004A59B1">
        <w:rPr>
          <w:color w:val="000000"/>
          <w:szCs w:val="22"/>
          <w:lang w:val="da-DK"/>
        </w:rPr>
        <w:t xml:space="preserve"> snovi glejte </w:t>
      </w:r>
      <w:r w:rsidR="00174845" w:rsidRPr="004A59B1">
        <w:rPr>
          <w:color w:val="000000"/>
          <w:szCs w:val="22"/>
          <w:lang w:val="da-DK"/>
        </w:rPr>
        <w:t xml:space="preserve">poglavje </w:t>
      </w:r>
      <w:r w:rsidRPr="004A59B1">
        <w:rPr>
          <w:color w:val="000000"/>
          <w:szCs w:val="22"/>
          <w:lang w:val="da-DK"/>
        </w:rPr>
        <w:t>6.1.</w:t>
      </w:r>
    </w:p>
    <w:p w14:paraId="5297971A" w14:textId="77777777" w:rsidR="00444D75" w:rsidRPr="004A59B1" w:rsidRDefault="00444D75" w:rsidP="009C1193">
      <w:pPr>
        <w:widowControl w:val="0"/>
        <w:tabs>
          <w:tab w:val="clear" w:pos="567"/>
        </w:tabs>
        <w:spacing w:line="240" w:lineRule="auto"/>
        <w:rPr>
          <w:color w:val="000000"/>
          <w:szCs w:val="22"/>
          <w:lang w:val="da-DK"/>
        </w:rPr>
      </w:pPr>
    </w:p>
    <w:p w14:paraId="5297971B" w14:textId="77777777" w:rsidR="00444D75" w:rsidRPr="004A59B1" w:rsidRDefault="00444D75" w:rsidP="009C1193">
      <w:pPr>
        <w:widowControl w:val="0"/>
        <w:tabs>
          <w:tab w:val="clear" w:pos="567"/>
        </w:tabs>
        <w:spacing w:line="240" w:lineRule="auto"/>
        <w:rPr>
          <w:color w:val="000000"/>
          <w:szCs w:val="22"/>
          <w:lang w:val="da-DK"/>
        </w:rPr>
      </w:pPr>
    </w:p>
    <w:p w14:paraId="5297971C" w14:textId="77777777" w:rsidR="00444D75" w:rsidRPr="004A59B1" w:rsidRDefault="00444D75" w:rsidP="009C1193">
      <w:pPr>
        <w:keepNext/>
        <w:widowControl w:val="0"/>
        <w:tabs>
          <w:tab w:val="clear" w:pos="567"/>
        </w:tabs>
        <w:spacing w:line="240" w:lineRule="auto"/>
        <w:ind w:left="567" w:hanging="567"/>
        <w:rPr>
          <w:caps/>
          <w:color w:val="000000"/>
          <w:szCs w:val="22"/>
          <w:lang w:val="da-DK"/>
        </w:rPr>
      </w:pPr>
      <w:r w:rsidRPr="004A59B1">
        <w:rPr>
          <w:b/>
          <w:color w:val="000000"/>
          <w:szCs w:val="22"/>
          <w:lang w:val="da-DK"/>
        </w:rPr>
        <w:t>3.</w:t>
      </w:r>
      <w:r w:rsidRPr="004A59B1">
        <w:rPr>
          <w:b/>
          <w:color w:val="000000"/>
          <w:szCs w:val="22"/>
          <w:lang w:val="da-DK"/>
        </w:rPr>
        <w:tab/>
        <w:t>FARMACEVTSKA OBLIKA</w:t>
      </w:r>
    </w:p>
    <w:p w14:paraId="5297971D" w14:textId="77777777" w:rsidR="00444D75" w:rsidRPr="004A59B1" w:rsidRDefault="00444D75" w:rsidP="009C1193">
      <w:pPr>
        <w:pStyle w:val="EndnoteText"/>
        <w:keepNext/>
        <w:widowControl w:val="0"/>
        <w:tabs>
          <w:tab w:val="clear" w:pos="567"/>
        </w:tabs>
        <w:rPr>
          <w:color w:val="000000"/>
          <w:szCs w:val="22"/>
          <w:lang w:val="da-DK"/>
        </w:rPr>
      </w:pPr>
    </w:p>
    <w:p w14:paraId="5297971E" w14:textId="77777777" w:rsidR="00444D75" w:rsidRPr="004A59B1" w:rsidRDefault="008952B6" w:rsidP="009C1193">
      <w:pPr>
        <w:widowControl w:val="0"/>
        <w:tabs>
          <w:tab w:val="clear" w:pos="567"/>
        </w:tabs>
        <w:spacing w:line="240" w:lineRule="auto"/>
        <w:rPr>
          <w:color w:val="000000"/>
          <w:szCs w:val="22"/>
          <w:lang w:val="da-DK"/>
        </w:rPr>
      </w:pPr>
      <w:r w:rsidRPr="004A59B1">
        <w:rPr>
          <w:color w:val="000000"/>
          <w:szCs w:val="22"/>
          <w:lang w:val="da-DK"/>
        </w:rPr>
        <w:t xml:space="preserve">trda </w:t>
      </w:r>
      <w:r w:rsidR="00444D75" w:rsidRPr="004A59B1">
        <w:rPr>
          <w:color w:val="000000"/>
          <w:szCs w:val="22"/>
          <w:lang w:val="da-DK"/>
        </w:rPr>
        <w:t>kapsula</w:t>
      </w:r>
    </w:p>
    <w:p w14:paraId="5297971F" w14:textId="77777777" w:rsidR="00444D75" w:rsidRPr="004A59B1" w:rsidRDefault="00444D75" w:rsidP="009C1193">
      <w:pPr>
        <w:widowControl w:val="0"/>
        <w:tabs>
          <w:tab w:val="clear" w:pos="567"/>
        </w:tabs>
        <w:spacing w:line="240" w:lineRule="auto"/>
        <w:rPr>
          <w:color w:val="000000"/>
          <w:szCs w:val="22"/>
          <w:lang w:val="da-DK"/>
        </w:rPr>
      </w:pPr>
    </w:p>
    <w:p w14:paraId="52979724" w14:textId="77777777" w:rsidR="006B3B5C" w:rsidRPr="004A59B1" w:rsidRDefault="006B3B5C" w:rsidP="009C1193">
      <w:pPr>
        <w:widowControl w:val="0"/>
        <w:tabs>
          <w:tab w:val="clear" w:pos="567"/>
        </w:tabs>
        <w:spacing w:line="240" w:lineRule="auto"/>
        <w:rPr>
          <w:color w:val="000000"/>
          <w:szCs w:val="22"/>
          <w:lang w:val="da-DK"/>
        </w:rPr>
      </w:pPr>
      <w:r w:rsidRPr="004A59B1">
        <w:rPr>
          <w:color w:val="000000"/>
          <w:szCs w:val="22"/>
          <w:lang w:val="pl-PL"/>
        </w:rPr>
        <w:t>Bel do rumen prašek v oranžni do sivkastooranžni neprozorni kapsuli, označeni z “NVR SI”.</w:t>
      </w:r>
    </w:p>
    <w:p w14:paraId="52979725" w14:textId="77777777" w:rsidR="00444D75" w:rsidRPr="004A59B1" w:rsidRDefault="00444D75" w:rsidP="009C1193">
      <w:pPr>
        <w:widowControl w:val="0"/>
        <w:tabs>
          <w:tab w:val="clear" w:pos="567"/>
        </w:tabs>
        <w:spacing w:line="240" w:lineRule="auto"/>
        <w:rPr>
          <w:color w:val="000000"/>
          <w:szCs w:val="22"/>
          <w:lang w:val="da-DK"/>
        </w:rPr>
      </w:pPr>
    </w:p>
    <w:p w14:paraId="52979726" w14:textId="77777777" w:rsidR="00444D75" w:rsidRPr="004A59B1" w:rsidRDefault="00444D75" w:rsidP="009C1193">
      <w:pPr>
        <w:widowControl w:val="0"/>
        <w:tabs>
          <w:tab w:val="clear" w:pos="567"/>
        </w:tabs>
        <w:spacing w:line="240" w:lineRule="auto"/>
        <w:rPr>
          <w:color w:val="000000"/>
          <w:szCs w:val="22"/>
          <w:lang w:val="da-DK"/>
        </w:rPr>
      </w:pPr>
    </w:p>
    <w:p w14:paraId="52979727" w14:textId="77777777" w:rsidR="00444D75" w:rsidRPr="004A59B1" w:rsidRDefault="00444D75" w:rsidP="009C1193">
      <w:pPr>
        <w:keepNext/>
        <w:widowControl w:val="0"/>
        <w:tabs>
          <w:tab w:val="clear" w:pos="567"/>
        </w:tabs>
        <w:spacing w:line="240" w:lineRule="auto"/>
        <w:ind w:left="567" w:hanging="567"/>
        <w:rPr>
          <w:caps/>
          <w:color w:val="000000"/>
          <w:szCs w:val="22"/>
          <w:lang w:val="da-DK"/>
        </w:rPr>
      </w:pPr>
      <w:r w:rsidRPr="004A59B1">
        <w:rPr>
          <w:b/>
          <w:caps/>
          <w:color w:val="000000"/>
          <w:szCs w:val="22"/>
          <w:lang w:val="da-DK"/>
        </w:rPr>
        <w:t>4.</w:t>
      </w:r>
      <w:r w:rsidRPr="004A59B1">
        <w:rPr>
          <w:b/>
          <w:caps/>
          <w:color w:val="000000"/>
          <w:szCs w:val="22"/>
          <w:lang w:val="da-DK"/>
        </w:rPr>
        <w:tab/>
        <w:t>KLINIČNI PODATKI</w:t>
      </w:r>
    </w:p>
    <w:p w14:paraId="52979728" w14:textId="77777777" w:rsidR="00444D75" w:rsidRPr="004A59B1" w:rsidRDefault="00444D75" w:rsidP="009C1193">
      <w:pPr>
        <w:pStyle w:val="EndnoteText"/>
        <w:keepNext/>
        <w:widowControl w:val="0"/>
        <w:tabs>
          <w:tab w:val="clear" w:pos="567"/>
        </w:tabs>
        <w:rPr>
          <w:color w:val="000000"/>
          <w:szCs w:val="22"/>
          <w:lang w:val="da-DK"/>
        </w:rPr>
      </w:pPr>
    </w:p>
    <w:p w14:paraId="52979729" w14:textId="77777777" w:rsidR="00444D75" w:rsidRPr="004A59B1" w:rsidRDefault="00444D75" w:rsidP="009C1193">
      <w:pPr>
        <w:keepNext/>
        <w:widowControl w:val="0"/>
        <w:tabs>
          <w:tab w:val="clear" w:pos="567"/>
        </w:tabs>
        <w:spacing w:line="240" w:lineRule="auto"/>
        <w:ind w:left="567" w:hanging="567"/>
        <w:rPr>
          <w:color w:val="000000"/>
          <w:szCs w:val="22"/>
          <w:lang w:val="da-DK"/>
        </w:rPr>
      </w:pPr>
      <w:r w:rsidRPr="004A59B1">
        <w:rPr>
          <w:b/>
          <w:color w:val="000000"/>
          <w:szCs w:val="22"/>
          <w:lang w:val="da-DK"/>
        </w:rPr>
        <w:t>4.1</w:t>
      </w:r>
      <w:r w:rsidRPr="004A59B1">
        <w:rPr>
          <w:b/>
          <w:color w:val="000000"/>
          <w:szCs w:val="22"/>
          <w:lang w:val="da-DK"/>
        </w:rPr>
        <w:tab/>
        <w:t>Terapevtske indikacije</w:t>
      </w:r>
    </w:p>
    <w:p w14:paraId="5297972A" w14:textId="77777777" w:rsidR="00444D75" w:rsidRPr="004A59B1" w:rsidRDefault="00444D75" w:rsidP="009C1193">
      <w:pPr>
        <w:pStyle w:val="EndnoteText"/>
        <w:keepNext/>
        <w:widowControl w:val="0"/>
        <w:tabs>
          <w:tab w:val="clear" w:pos="567"/>
        </w:tabs>
        <w:rPr>
          <w:color w:val="000000"/>
          <w:szCs w:val="22"/>
          <w:lang w:val="da-DK"/>
        </w:rPr>
      </w:pPr>
    </w:p>
    <w:p w14:paraId="5297972B" w14:textId="77777777" w:rsidR="00F8622F" w:rsidRPr="004A59B1" w:rsidRDefault="00773606" w:rsidP="009C1193">
      <w:pPr>
        <w:pStyle w:val="EndnoteText"/>
        <w:keepNext/>
        <w:widowControl w:val="0"/>
        <w:tabs>
          <w:tab w:val="clear" w:pos="567"/>
        </w:tabs>
        <w:rPr>
          <w:color w:val="000000"/>
          <w:szCs w:val="22"/>
          <w:lang w:val="da-DK"/>
        </w:rPr>
      </w:pPr>
      <w:r w:rsidRPr="004A59B1">
        <w:rPr>
          <w:color w:val="000000"/>
          <w:szCs w:val="22"/>
          <w:lang w:val="da-DK"/>
        </w:rPr>
        <w:t xml:space="preserve">Zdravilo </w:t>
      </w:r>
      <w:r w:rsidR="00F8622F" w:rsidRPr="004A59B1">
        <w:rPr>
          <w:color w:val="000000"/>
          <w:szCs w:val="22"/>
          <w:lang w:val="da-DK"/>
        </w:rPr>
        <w:t>Glivec je indiciran</w:t>
      </w:r>
      <w:r w:rsidRPr="004A59B1">
        <w:rPr>
          <w:color w:val="000000"/>
          <w:szCs w:val="22"/>
          <w:lang w:val="da-DK"/>
        </w:rPr>
        <w:t>o</w:t>
      </w:r>
      <w:r w:rsidR="00F8622F" w:rsidRPr="004A59B1">
        <w:rPr>
          <w:color w:val="000000"/>
          <w:szCs w:val="22"/>
          <w:lang w:val="da-DK"/>
        </w:rPr>
        <w:t xml:space="preserve"> za zdravljenje</w:t>
      </w:r>
    </w:p>
    <w:p w14:paraId="5297972C" w14:textId="77777777" w:rsidR="00F8622F" w:rsidRPr="004A59B1" w:rsidRDefault="00F8622F" w:rsidP="009C1193">
      <w:pPr>
        <w:pStyle w:val="EndnoteText"/>
        <w:widowControl w:val="0"/>
        <w:numPr>
          <w:ilvl w:val="0"/>
          <w:numId w:val="16"/>
        </w:numPr>
        <w:tabs>
          <w:tab w:val="clear" w:pos="360"/>
          <w:tab w:val="clear" w:pos="567"/>
        </w:tabs>
        <w:ind w:left="567" w:hanging="567"/>
        <w:rPr>
          <w:snapToGrid w:val="0"/>
          <w:color w:val="000000"/>
          <w:szCs w:val="22"/>
          <w:lang w:val="da-DK" w:eastAsia="de-DE"/>
        </w:rPr>
      </w:pPr>
      <w:r w:rsidRPr="004A59B1">
        <w:rPr>
          <w:snapToGrid w:val="0"/>
          <w:color w:val="000000"/>
          <w:szCs w:val="22"/>
          <w:lang w:val="da-DK" w:eastAsia="de-DE"/>
        </w:rPr>
        <w:t>odraslih in pediatričnih</w:t>
      </w:r>
      <w:r w:rsidRPr="004A59B1">
        <w:rPr>
          <w:color w:val="000000"/>
          <w:szCs w:val="22"/>
          <w:lang w:val="da-DK"/>
        </w:rPr>
        <w:t xml:space="preserve"> bolnikov z na novo diagnosticirano kronično </w:t>
      </w:r>
      <w:r w:rsidR="00AC3A4B" w:rsidRPr="004A59B1">
        <w:rPr>
          <w:color w:val="000000"/>
          <w:szCs w:val="22"/>
          <w:lang w:val="da-DK"/>
        </w:rPr>
        <w:t xml:space="preserve">mieloično </w:t>
      </w:r>
      <w:r w:rsidRPr="004A59B1">
        <w:rPr>
          <w:color w:val="000000"/>
          <w:szCs w:val="22"/>
          <w:lang w:val="da-DK"/>
        </w:rPr>
        <w:t>levkemijo (</w:t>
      </w:r>
      <w:r w:rsidR="00677326" w:rsidRPr="004A59B1">
        <w:rPr>
          <w:color w:val="000000"/>
          <w:szCs w:val="22"/>
          <w:lang w:val="da-DK"/>
        </w:rPr>
        <w:t>KML</w:t>
      </w:r>
      <w:r w:rsidRPr="004A59B1">
        <w:rPr>
          <w:color w:val="000000"/>
          <w:szCs w:val="22"/>
          <w:lang w:val="da-DK"/>
        </w:rPr>
        <w:t>), s prisotnim kromosomom Philadelphia (bcr-abl) (Ph+), pri katerih presaditev kostnega mozga kot zdravljenje prve izbire ne pride v poštev</w:t>
      </w:r>
      <w:r w:rsidR="00023632" w:rsidRPr="004A59B1">
        <w:rPr>
          <w:color w:val="000000"/>
          <w:szCs w:val="22"/>
          <w:lang w:val="da-DK"/>
        </w:rPr>
        <w:t>;</w:t>
      </w:r>
    </w:p>
    <w:p w14:paraId="5297972D" w14:textId="77777777" w:rsidR="00F8622F" w:rsidRPr="004A59B1" w:rsidRDefault="00F8622F" w:rsidP="009C1193">
      <w:pPr>
        <w:pStyle w:val="EndnoteText"/>
        <w:widowControl w:val="0"/>
        <w:numPr>
          <w:ilvl w:val="0"/>
          <w:numId w:val="16"/>
        </w:numPr>
        <w:tabs>
          <w:tab w:val="clear" w:pos="360"/>
          <w:tab w:val="clear" w:pos="567"/>
        </w:tabs>
        <w:ind w:left="567" w:hanging="567"/>
        <w:rPr>
          <w:snapToGrid w:val="0"/>
          <w:color w:val="000000"/>
          <w:szCs w:val="22"/>
          <w:lang w:val="da-DK" w:eastAsia="de-DE"/>
        </w:rPr>
      </w:pPr>
      <w:r w:rsidRPr="004A59B1">
        <w:rPr>
          <w:snapToGrid w:val="0"/>
          <w:color w:val="000000"/>
          <w:szCs w:val="22"/>
          <w:lang w:val="da-DK" w:eastAsia="de-DE"/>
        </w:rPr>
        <w:t xml:space="preserve">odraslih in pediatričnih </w:t>
      </w:r>
      <w:r w:rsidRPr="004A59B1">
        <w:rPr>
          <w:color w:val="000000"/>
          <w:szCs w:val="22"/>
          <w:lang w:val="da-DK"/>
        </w:rPr>
        <w:t xml:space="preserve">bolnikov s Ph+ </w:t>
      </w:r>
      <w:r w:rsidR="00677326" w:rsidRPr="004A59B1">
        <w:rPr>
          <w:color w:val="000000"/>
          <w:szCs w:val="22"/>
          <w:lang w:val="da-DK"/>
        </w:rPr>
        <w:t>KML</w:t>
      </w:r>
      <w:r w:rsidRPr="004A59B1">
        <w:rPr>
          <w:color w:val="000000"/>
          <w:szCs w:val="22"/>
          <w:lang w:val="da-DK"/>
        </w:rPr>
        <w:t xml:space="preserve"> v kronični fazi po neuspelem zdravljenju z interferonom alfa, ali v pospešeni fazi ali blastni krizi</w:t>
      </w:r>
      <w:r w:rsidR="00023632" w:rsidRPr="004A59B1">
        <w:rPr>
          <w:color w:val="000000"/>
          <w:szCs w:val="22"/>
          <w:lang w:val="da-DK"/>
        </w:rPr>
        <w:t>;</w:t>
      </w:r>
    </w:p>
    <w:p w14:paraId="5297972E" w14:textId="77777777" w:rsidR="006F2F81" w:rsidRPr="004A59B1" w:rsidRDefault="006F2F81" w:rsidP="009C1193">
      <w:pPr>
        <w:pStyle w:val="EndnoteText"/>
        <w:widowControl w:val="0"/>
        <w:numPr>
          <w:ilvl w:val="0"/>
          <w:numId w:val="16"/>
        </w:numPr>
        <w:tabs>
          <w:tab w:val="clear" w:pos="360"/>
          <w:tab w:val="clear" w:pos="567"/>
        </w:tabs>
        <w:ind w:left="567" w:hanging="567"/>
        <w:rPr>
          <w:snapToGrid w:val="0"/>
          <w:color w:val="000000"/>
          <w:szCs w:val="22"/>
          <w:lang w:val="da-DK" w:eastAsia="de-DE"/>
        </w:rPr>
      </w:pPr>
      <w:r w:rsidRPr="004A59B1">
        <w:rPr>
          <w:snapToGrid w:val="0"/>
          <w:color w:val="000000"/>
          <w:szCs w:val="22"/>
          <w:lang w:val="da-DK" w:eastAsia="de-DE"/>
        </w:rPr>
        <w:t>odraslih</w:t>
      </w:r>
      <w:r w:rsidR="00673FCE" w:rsidRPr="004A59B1">
        <w:rPr>
          <w:snapToGrid w:val="0"/>
          <w:color w:val="000000"/>
          <w:szCs w:val="22"/>
          <w:lang w:val="da-DK" w:eastAsia="de-DE"/>
        </w:rPr>
        <w:t xml:space="preserve"> in pediatričnih</w:t>
      </w:r>
      <w:r w:rsidRPr="004A59B1">
        <w:rPr>
          <w:snapToGrid w:val="0"/>
          <w:color w:val="000000"/>
          <w:szCs w:val="22"/>
          <w:lang w:val="da-DK" w:eastAsia="de-DE"/>
        </w:rPr>
        <w:t xml:space="preserve"> bolnikov</w:t>
      </w:r>
      <w:r w:rsidRPr="004A59B1">
        <w:rPr>
          <w:color w:val="000000"/>
          <w:szCs w:val="22"/>
          <w:lang w:val="da-DK"/>
        </w:rPr>
        <w:t xml:space="preserve"> z na novo diagnosticirano akutno limfoblastno levkemijo,</w:t>
      </w:r>
      <w:r w:rsidRPr="004A59B1">
        <w:rPr>
          <w:snapToGrid w:val="0"/>
          <w:color w:val="000000"/>
          <w:szCs w:val="22"/>
          <w:lang w:val="da-DK" w:eastAsia="de-DE"/>
        </w:rPr>
        <w:t xml:space="preserve"> </w:t>
      </w:r>
      <w:r w:rsidRPr="004A59B1">
        <w:rPr>
          <w:color w:val="000000"/>
          <w:szCs w:val="22"/>
          <w:lang w:val="da-DK"/>
        </w:rPr>
        <w:t>s prisotnim kromosomom Philadelphia (Ph+ ALL) skupaj s kemoterapijo;</w:t>
      </w:r>
    </w:p>
    <w:p w14:paraId="5297972F" w14:textId="77777777" w:rsidR="001C0544" w:rsidRPr="004A59B1" w:rsidRDefault="006F2F81" w:rsidP="009C1193">
      <w:pPr>
        <w:pStyle w:val="EndnoteText"/>
        <w:widowControl w:val="0"/>
        <w:numPr>
          <w:ilvl w:val="0"/>
          <w:numId w:val="16"/>
        </w:numPr>
        <w:tabs>
          <w:tab w:val="clear" w:pos="360"/>
          <w:tab w:val="clear" w:pos="567"/>
        </w:tabs>
        <w:ind w:left="567" w:hanging="567"/>
        <w:rPr>
          <w:snapToGrid w:val="0"/>
          <w:color w:val="000000"/>
          <w:szCs w:val="22"/>
          <w:lang w:val="da-DK" w:eastAsia="de-DE"/>
        </w:rPr>
      </w:pPr>
      <w:r w:rsidRPr="004A59B1">
        <w:rPr>
          <w:color w:val="000000"/>
          <w:szCs w:val="22"/>
          <w:lang w:val="da-DK"/>
        </w:rPr>
        <w:t>odraslih bolnikov z relapsom ali neodzivno Ph+ ALL v monoterapiji</w:t>
      </w:r>
      <w:r w:rsidR="006A2A59" w:rsidRPr="004A59B1">
        <w:rPr>
          <w:color w:val="000000"/>
          <w:szCs w:val="22"/>
          <w:lang w:val="da-DK"/>
        </w:rPr>
        <w:t>;</w:t>
      </w:r>
    </w:p>
    <w:p w14:paraId="52979730" w14:textId="77777777" w:rsidR="006A2A59" w:rsidRPr="004A59B1" w:rsidRDefault="006A2A59" w:rsidP="009C1193">
      <w:pPr>
        <w:pStyle w:val="EndnoteText"/>
        <w:widowControl w:val="0"/>
        <w:numPr>
          <w:ilvl w:val="0"/>
          <w:numId w:val="16"/>
        </w:numPr>
        <w:tabs>
          <w:tab w:val="clear" w:pos="360"/>
          <w:tab w:val="num" w:pos="567"/>
        </w:tabs>
        <w:ind w:left="567" w:hanging="567"/>
        <w:rPr>
          <w:snapToGrid w:val="0"/>
          <w:color w:val="000000"/>
          <w:szCs w:val="22"/>
          <w:lang w:val="da-DK" w:eastAsia="de-DE"/>
        </w:rPr>
      </w:pPr>
      <w:r w:rsidRPr="004A59B1">
        <w:rPr>
          <w:color w:val="000000"/>
          <w:szCs w:val="22"/>
          <w:lang w:val="da-DK"/>
        </w:rPr>
        <w:t xml:space="preserve">odraslih bolnikov z mielodisplastičnimi/mieloproliferativnimi boleznimi (MDS/MPD) v povezavi s </w:t>
      </w:r>
      <w:r w:rsidR="001B6509" w:rsidRPr="004A59B1">
        <w:rPr>
          <w:color w:val="000000"/>
          <w:szCs w:val="22"/>
          <w:lang w:val="da-DK"/>
        </w:rPr>
        <w:t xml:space="preserve">preureditvijo </w:t>
      </w:r>
      <w:r w:rsidRPr="004A59B1">
        <w:rPr>
          <w:color w:val="000000"/>
          <w:szCs w:val="22"/>
          <w:lang w:val="da-DK"/>
        </w:rPr>
        <w:t xml:space="preserve">genov za </w:t>
      </w:r>
      <w:bookmarkStart w:id="1" w:name="OLE_LINK4"/>
      <w:bookmarkStart w:id="2" w:name="OLE_LINK5"/>
      <w:r w:rsidRPr="004A59B1">
        <w:rPr>
          <w:color w:val="000000"/>
          <w:szCs w:val="22"/>
          <w:lang w:val="da-DK"/>
        </w:rPr>
        <w:t xml:space="preserve">receptor </w:t>
      </w:r>
      <w:r w:rsidR="00E666A0" w:rsidRPr="004A59B1">
        <w:rPr>
          <w:color w:val="000000"/>
          <w:szCs w:val="22"/>
          <w:lang w:val="da-DK"/>
        </w:rPr>
        <w:t xml:space="preserve">za rastni faktor </w:t>
      </w:r>
      <w:r w:rsidRPr="004A59B1">
        <w:rPr>
          <w:color w:val="000000"/>
          <w:szCs w:val="22"/>
          <w:lang w:val="da-DK"/>
        </w:rPr>
        <w:t xml:space="preserve">iz trombocitov </w:t>
      </w:r>
      <w:bookmarkEnd w:id="1"/>
      <w:bookmarkEnd w:id="2"/>
      <w:r w:rsidRPr="004A59B1">
        <w:rPr>
          <w:color w:val="000000"/>
          <w:szCs w:val="22"/>
          <w:lang w:val="da-DK"/>
        </w:rPr>
        <w:t xml:space="preserve">(PDGFR – </w:t>
      </w:r>
      <w:r w:rsidRPr="00304E94">
        <w:rPr>
          <w:i/>
          <w:color w:val="000000"/>
          <w:szCs w:val="22"/>
          <w:lang w:val="da-DK"/>
        </w:rPr>
        <w:t>platelet derived growth factor receptor</w:t>
      </w:r>
      <w:r w:rsidRPr="004A59B1">
        <w:rPr>
          <w:color w:val="000000"/>
          <w:szCs w:val="22"/>
          <w:lang w:val="da-DK"/>
        </w:rPr>
        <w:t>)</w:t>
      </w:r>
      <w:r w:rsidR="00F22282" w:rsidRPr="004A59B1">
        <w:rPr>
          <w:color w:val="000000"/>
          <w:szCs w:val="22"/>
          <w:lang w:val="da-DK"/>
        </w:rPr>
        <w:t>;</w:t>
      </w:r>
    </w:p>
    <w:p w14:paraId="52979731" w14:textId="77777777" w:rsidR="00444D75" w:rsidRPr="004A59B1" w:rsidRDefault="00F22282" w:rsidP="009C1193">
      <w:pPr>
        <w:pStyle w:val="EndnoteText"/>
        <w:widowControl w:val="0"/>
        <w:numPr>
          <w:ilvl w:val="0"/>
          <w:numId w:val="16"/>
        </w:numPr>
        <w:tabs>
          <w:tab w:val="clear" w:pos="360"/>
          <w:tab w:val="num" w:pos="567"/>
        </w:tabs>
        <w:ind w:left="567" w:hanging="567"/>
        <w:rPr>
          <w:color w:val="000000"/>
          <w:szCs w:val="22"/>
          <w:lang w:val="da-DK"/>
        </w:rPr>
      </w:pPr>
      <w:r w:rsidRPr="004A59B1">
        <w:rPr>
          <w:color w:val="000000"/>
          <w:szCs w:val="22"/>
          <w:lang w:val="da-DK"/>
        </w:rPr>
        <w:t xml:space="preserve">odraslih bolnikov z napredovalim hipereozinofilnim sindromom (HES) ali </w:t>
      </w:r>
      <w:r w:rsidR="00023632" w:rsidRPr="004A59B1">
        <w:rPr>
          <w:color w:val="000000"/>
          <w:szCs w:val="22"/>
          <w:lang w:val="da-DK"/>
        </w:rPr>
        <w:t xml:space="preserve">s </w:t>
      </w:r>
      <w:r w:rsidRPr="004A59B1">
        <w:rPr>
          <w:color w:val="000000"/>
          <w:szCs w:val="22"/>
          <w:lang w:val="da-DK"/>
        </w:rPr>
        <w:t>kronično eozinofilno levkemijo (CEL) s premestitvijo FIP1L1-PDGFR</w:t>
      </w:r>
      <w:r w:rsidRPr="004A59B1">
        <w:rPr>
          <w:color w:val="000000"/>
          <w:szCs w:val="22"/>
        </w:rPr>
        <w:sym w:font="Symbol" w:char="F061"/>
      </w:r>
      <w:r w:rsidR="00563D98" w:rsidRPr="004A59B1">
        <w:rPr>
          <w:color w:val="000000"/>
          <w:szCs w:val="22"/>
          <w:lang w:val="da-DK"/>
        </w:rPr>
        <w:t xml:space="preserve"> ali </w:t>
      </w:r>
      <w:r w:rsidR="00023632" w:rsidRPr="004A59B1">
        <w:rPr>
          <w:color w:val="000000"/>
          <w:szCs w:val="22"/>
          <w:lang w:val="da-DK"/>
        </w:rPr>
        <w:t xml:space="preserve">z </w:t>
      </w:r>
      <w:r w:rsidR="00563D98" w:rsidRPr="004A59B1">
        <w:rPr>
          <w:color w:val="000000"/>
          <w:szCs w:val="22"/>
          <w:lang w:val="da-DK"/>
        </w:rPr>
        <w:t>obojim</w:t>
      </w:r>
      <w:r w:rsidRPr="004A59B1">
        <w:rPr>
          <w:color w:val="000000"/>
          <w:szCs w:val="22"/>
          <w:lang w:val="da-DK"/>
        </w:rPr>
        <w:t>.</w:t>
      </w:r>
    </w:p>
    <w:p w14:paraId="52979732" w14:textId="77777777" w:rsidR="00F22282" w:rsidRPr="004A59B1" w:rsidRDefault="00F22282" w:rsidP="009C1193">
      <w:pPr>
        <w:pStyle w:val="EndnoteText"/>
        <w:widowControl w:val="0"/>
        <w:tabs>
          <w:tab w:val="clear" w:pos="567"/>
        </w:tabs>
        <w:rPr>
          <w:color w:val="000000"/>
          <w:szCs w:val="22"/>
          <w:lang w:val="da-DK"/>
        </w:rPr>
      </w:pPr>
    </w:p>
    <w:p w14:paraId="52979733" w14:textId="77777777" w:rsidR="00444D75" w:rsidRPr="004A59B1" w:rsidRDefault="00444D75" w:rsidP="009C1193">
      <w:pPr>
        <w:pStyle w:val="EndnoteText"/>
        <w:widowControl w:val="0"/>
        <w:tabs>
          <w:tab w:val="clear" w:pos="567"/>
        </w:tabs>
        <w:rPr>
          <w:color w:val="000000"/>
          <w:szCs w:val="22"/>
          <w:lang w:val="da-DK"/>
        </w:rPr>
      </w:pPr>
      <w:r w:rsidRPr="004A59B1">
        <w:rPr>
          <w:color w:val="000000"/>
          <w:szCs w:val="22"/>
          <w:lang w:val="da-DK"/>
        </w:rPr>
        <w:t xml:space="preserve">Učinek </w:t>
      </w:r>
      <w:r w:rsidR="00D81193" w:rsidRPr="004A59B1">
        <w:rPr>
          <w:color w:val="000000"/>
          <w:szCs w:val="22"/>
          <w:lang w:val="da-DK"/>
        </w:rPr>
        <w:t xml:space="preserve">zdravila </w:t>
      </w:r>
      <w:r w:rsidRPr="004A59B1">
        <w:rPr>
          <w:color w:val="000000"/>
          <w:szCs w:val="22"/>
          <w:lang w:val="da-DK"/>
        </w:rPr>
        <w:t>Glivec na izid presaditve kostnega mozga ni raziskan</w:t>
      </w:r>
      <w:r w:rsidRPr="004A59B1">
        <w:rPr>
          <w:snapToGrid w:val="0"/>
          <w:color w:val="000000"/>
          <w:szCs w:val="22"/>
          <w:lang w:val="da-DK" w:eastAsia="de-DE"/>
        </w:rPr>
        <w:t>.</w:t>
      </w:r>
    </w:p>
    <w:p w14:paraId="52979734" w14:textId="77777777" w:rsidR="00444D75" w:rsidRPr="004A59B1" w:rsidRDefault="00444D75" w:rsidP="009C1193">
      <w:pPr>
        <w:widowControl w:val="0"/>
        <w:tabs>
          <w:tab w:val="clear" w:pos="567"/>
        </w:tabs>
        <w:spacing w:line="240" w:lineRule="auto"/>
        <w:rPr>
          <w:color w:val="000000"/>
          <w:szCs w:val="22"/>
          <w:lang w:val="da-DK"/>
        </w:rPr>
      </w:pPr>
    </w:p>
    <w:p w14:paraId="52979735" w14:textId="77777777" w:rsidR="003E56E2" w:rsidRPr="004A59B1" w:rsidRDefault="00773606" w:rsidP="009C1193">
      <w:pPr>
        <w:keepNext/>
        <w:widowControl w:val="0"/>
        <w:tabs>
          <w:tab w:val="clear" w:pos="567"/>
        </w:tabs>
        <w:spacing w:line="240" w:lineRule="auto"/>
        <w:rPr>
          <w:color w:val="000000"/>
          <w:szCs w:val="22"/>
          <w:lang w:val="fr-FR"/>
        </w:rPr>
      </w:pPr>
      <w:r w:rsidRPr="004A59B1">
        <w:rPr>
          <w:color w:val="000000"/>
          <w:szCs w:val="22"/>
          <w:lang w:val="fr-FR"/>
        </w:rPr>
        <w:t xml:space="preserve">Zdravilo </w:t>
      </w:r>
      <w:r w:rsidR="003E56E2" w:rsidRPr="004A59B1">
        <w:rPr>
          <w:color w:val="000000"/>
          <w:szCs w:val="22"/>
          <w:lang w:val="fr-FR"/>
        </w:rPr>
        <w:t>Glivec je indiciran</w:t>
      </w:r>
      <w:r w:rsidRPr="004A59B1">
        <w:rPr>
          <w:color w:val="000000"/>
          <w:szCs w:val="22"/>
          <w:lang w:val="fr-FR"/>
        </w:rPr>
        <w:t>o</w:t>
      </w:r>
      <w:r w:rsidR="003E56E2" w:rsidRPr="004A59B1">
        <w:rPr>
          <w:color w:val="000000"/>
          <w:szCs w:val="22"/>
          <w:lang w:val="fr-FR"/>
        </w:rPr>
        <w:t xml:space="preserve"> za</w:t>
      </w:r>
    </w:p>
    <w:p w14:paraId="52979736" w14:textId="77777777" w:rsidR="003E56E2" w:rsidRPr="004A59B1" w:rsidRDefault="003E56E2" w:rsidP="009C1193">
      <w:pPr>
        <w:widowControl w:val="0"/>
        <w:numPr>
          <w:ilvl w:val="0"/>
          <w:numId w:val="13"/>
        </w:numPr>
        <w:tabs>
          <w:tab w:val="clear" w:pos="720"/>
          <w:tab w:val="num" w:pos="567"/>
        </w:tabs>
        <w:spacing w:line="240" w:lineRule="auto"/>
        <w:ind w:left="567" w:hanging="567"/>
        <w:rPr>
          <w:color w:val="000000"/>
          <w:szCs w:val="22"/>
          <w:lang w:val="fr-FR"/>
        </w:rPr>
      </w:pPr>
      <w:r w:rsidRPr="004A59B1">
        <w:rPr>
          <w:color w:val="000000"/>
          <w:szCs w:val="22"/>
          <w:lang w:val="fr-FR"/>
        </w:rPr>
        <w:t>zdravljenje odraslih bolnikov z neresektabilnimi in/ali metastatskimi malignimi gastrointestinalnimi stromalnimi tumorji (GIST), pozitivnimi na Kit (CD 117);</w:t>
      </w:r>
    </w:p>
    <w:p w14:paraId="52979737" w14:textId="77777777" w:rsidR="003E56E2" w:rsidRPr="004A59B1" w:rsidRDefault="003E56E2" w:rsidP="009C1193">
      <w:pPr>
        <w:widowControl w:val="0"/>
        <w:numPr>
          <w:ilvl w:val="0"/>
          <w:numId w:val="13"/>
        </w:numPr>
        <w:tabs>
          <w:tab w:val="clear" w:pos="720"/>
          <w:tab w:val="num" w:pos="567"/>
        </w:tabs>
        <w:spacing w:line="240" w:lineRule="auto"/>
        <w:ind w:left="567" w:hanging="567"/>
        <w:rPr>
          <w:color w:val="000000"/>
          <w:szCs w:val="22"/>
          <w:lang w:val="fr-FR"/>
        </w:rPr>
      </w:pPr>
      <w:r w:rsidRPr="004A59B1">
        <w:rPr>
          <w:color w:val="000000"/>
          <w:szCs w:val="22"/>
          <w:lang w:val="fr-FR"/>
        </w:rPr>
        <w:t>adjuvantno zdravljenje odraslih bolnikov s precejšnjim tveganjem za relaps po resekciji GIST, pozitivnega na Kit (CD117).</w:t>
      </w:r>
      <w:r w:rsidR="00306CD3" w:rsidRPr="004A59B1">
        <w:rPr>
          <w:color w:val="000000"/>
          <w:szCs w:val="22"/>
          <w:lang w:val="fr-FR"/>
        </w:rPr>
        <w:t xml:space="preserve"> Bolniki z majhnim ali zelo majhnim tveganjem za ponovitev bolezni ne smejo pr</w:t>
      </w:r>
      <w:r w:rsidR="00892522" w:rsidRPr="004A59B1">
        <w:rPr>
          <w:color w:val="000000"/>
          <w:szCs w:val="22"/>
          <w:lang w:val="fr-FR"/>
        </w:rPr>
        <w:t>e</w:t>
      </w:r>
      <w:r w:rsidR="00306CD3" w:rsidRPr="004A59B1">
        <w:rPr>
          <w:color w:val="000000"/>
          <w:szCs w:val="22"/>
          <w:lang w:val="fr-FR"/>
        </w:rPr>
        <w:t>j</w:t>
      </w:r>
      <w:r w:rsidR="00892522" w:rsidRPr="004A59B1">
        <w:rPr>
          <w:color w:val="000000"/>
          <w:szCs w:val="22"/>
          <w:lang w:val="fr-FR"/>
        </w:rPr>
        <w:t>e</w:t>
      </w:r>
      <w:r w:rsidR="00306CD3" w:rsidRPr="004A59B1">
        <w:rPr>
          <w:color w:val="000000"/>
          <w:szCs w:val="22"/>
          <w:lang w:val="fr-FR"/>
        </w:rPr>
        <w:t>mati adjuvantnega zdravljenja</w:t>
      </w:r>
      <w:r w:rsidRPr="004A59B1">
        <w:rPr>
          <w:color w:val="000000"/>
          <w:szCs w:val="22"/>
          <w:lang w:val="fr-FR"/>
        </w:rPr>
        <w:t>;</w:t>
      </w:r>
    </w:p>
    <w:p w14:paraId="52979738" w14:textId="77777777" w:rsidR="003E56E2" w:rsidRPr="004A59B1" w:rsidRDefault="003E56E2" w:rsidP="009C1193">
      <w:pPr>
        <w:widowControl w:val="0"/>
        <w:numPr>
          <w:ilvl w:val="0"/>
          <w:numId w:val="13"/>
        </w:numPr>
        <w:tabs>
          <w:tab w:val="clear" w:pos="720"/>
          <w:tab w:val="num" w:pos="567"/>
        </w:tabs>
        <w:spacing w:line="240" w:lineRule="auto"/>
        <w:ind w:left="567" w:hanging="567"/>
        <w:rPr>
          <w:color w:val="000000"/>
          <w:szCs w:val="22"/>
          <w:lang w:val="fr-FR"/>
        </w:rPr>
      </w:pPr>
      <w:r w:rsidRPr="004A59B1">
        <w:rPr>
          <w:color w:val="000000"/>
          <w:szCs w:val="22"/>
          <w:lang w:val="fr-FR"/>
        </w:rPr>
        <w:t xml:space="preserve">zdravljenje odraslih bolnikov z neresektabilnim protuberantnim dermatofibrosarkomom (DFSP - </w:t>
      </w:r>
      <w:r w:rsidRPr="00304E94">
        <w:rPr>
          <w:i/>
          <w:color w:val="000000"/>
          <w:lang w:val="fr-FR"/>
        </w:rPr>
        <w:t>dermatofibrosarcoma protuberans</w:t>
      </w:r>
      <w:r w:rsidRPr="004A59B1">
        <w:rPr>
          <w:color w:val="000000"/>
          <w:szCs w:val="22"/>
          <w:lang w:val="fr-FR"/>
        </w:rPr>
        <w:t>) in tistih odraslih bolnikov z rekurentnim in/ali metastatskim DFSP, ki niso primerni za operacijo.</w:t>
      </w:r>
    </w:p>
    <w:p w14:paraId="52979739" w14:textId="77777777" w:rsidR="003E56E2" w:rsidRPr="004A59B1" w:rsidRDefault="003E56E2" w:rsidP="009C1193">
      <w:pPr>
        <w:widowControl w:val="0"/>
        <w:tabs>
          <w:tab w:val="clear" w:pos="567"/>
        </w:tabs>
        <w:spacing w:line="240" w:lineRule="auto"/>
        <w:rPr>
          <w:color w:val="000000"/>
          <w:szCs w:val="22"/>
          <w:lang w:val="fr-FR"/>
        </w:rPr>
      </w:pPr>
    </w:p>
    <w:p w14:paraId="5297973A" w14:textId="77777777" w:rsidR="003E56E2" w:rsidRPr="004A59B1" w:rsidRDefault="003E56E2" w:rsidP="009C1193">
      <w:pPr>
        <w:pStyle w:val="TextChar"/>
        <w:widowControl w:val="0"/>
        <w:spacing w:before="0"/>
        <w:jc w:val="left"/>
        <w:rPr>
          <w:color w:val="000000"/>
          <w:sz w:val="22"/>
          <w:szCs w:val="22"/>
          <w:lang w:val="fr-FR"/>
        </w:rPr>
      </w:pPr>
      <w:r w:rsidRPr="004A59B1">
        <w:rPr>
          <w:color w:val="000000"/>
          <w:sz w:val="22"/>
          <w:szCs w:val="22"/>
          <w:lang w:val="fr-FR"/>
        </w:rPr>
        <w:t xml:space="preserve">Pri odraslih in pediatričnih bolnikih temelji učinkovitost zdravila Glivec na celotni hematološki in </w:t>
      </w:r>
      <w:r w:rsidRPr="004A59B1">
        <w:rPr>
          <w:color w:val="000000"/>
          <w:sz w:val="22"/>
          <w:szCs w:val="22"/>
          <w:lang w:val="fr-FR"/>
        </w:rPr>
        <w:lastRenderedPageBreak/>
        <w:t xml:space="preserve">citogenetični odzivnosti in preživetju brez napredovanja bolezni pri </w:t>
      </w:r>
      <w:r w:rsidR="00677326" w:rsidRPr="004A59B1">
        <w:rPr>
          <w:color w:val="000000"/>
          <w:sz w:val="22"/>
          <w:szCs w:val="22"/>
          <w:lang w:val="fr-FR"/>
        </w:rPr>
        <w:t>KML</w:t>
      </w:r>
      <w:r w:rsidRPr="004A59B1">
        <w:rPr>
          <w:color w:val="000000"/>
          <w:sz w:val="22"/>
          <w:szCs w:val="22"/>
          <w:lang w:val="fr-FR"/>
        </w:rPr>
        <w:t>, na hematološki in citogenetični odzivnosti pri Ph+ ALL in MDS/MPD, na hematološki odzivnosti pri HES/CEL ter na objektivni odzivnosti odraslih bolnikov z neresektabilnimi in/ali metastatskimi GIST in DFSP ter na preživetju brez ponovitve bolezni pri adjuvantnem zdravljenju GIST. Izkuš</w:t>
      </w:r>
      <w:r w:rsidR="00551057" w:rsidRPr="004A59B1">
        <w:rPr>
          <w:color w:val="000000"/>
          <w:sz w:val="22"/>
          <w:szCs w:val="22"/>
          <w:lang w:val="fr-FR"/>
        </w:rPr>
        <w:t>e</w:t>
      </w:r>
      <w:r w:rsidRPr="004A59B1">
        <w:rPr>
          <w:color w:val="000000"/>
          <w:sz w:val="22"/>
          <w:szCs w:val="22"/>
          <w:lang w:val="fr-FR"/>
        </w:rPr>
        <w:t xml:space="preserve">nj z uporabo zdravila Glivec pri bolnikih MDS/MPD v povezavi s preureditvijo genov za PDGFR </w:t>
      </w:r>
      <w:r w:rsidR="00551057" w:rsidRPr="004A59B1">
        <w:rPr>
          <w:color w:val="000000"/>
          <w:sz w:val="22"/>
          <w:szCs w:val="22"/>
          <w:lang w:val="fr-FR"/>
        </w:rPr>
        <w:t>je malo</w:t>
      </w:r>
      <w:r w:rsidR="009C1193">
        <w:rPr>
          <w:color w:val="000000"/>
          <w:sz w:val="22"/>
          <w:szCs w:val="22"/>
          <w:lang w:val="fr-FR"/>
        </w:rPr>
        <w:t xml:space="preserve"> (glejte poglavje </w:t>
      </w:r>
      <w:r w:rsidRPr="004A59B1">
        <w:rPr>
          <w:color w:val="000000"/>
          <w:sz w:val="22"/>
          <w:szCs w:val="22"/>
          <w:lang w:val="fr-FR"/>
        </w:rPr>
        <w:t xml:space="preserve">5.1). Razen za novo diagnosticirano </w:t>
      </w:r>
      <w:r w:rsidR="00677326" w:rsidRPr="004A59B1">
        <w:rPr>
          <w:color w:val="000000"/>
          <w:sz w:val="22"/>
          <w:szCs w:val="22"/>
          <w:lang w:val="fr-FR"/>
        </w:rPr>
        <w:t>KML</w:t>
      </w:r>
      <w:r w:rsidRPr="004A59B1">
        <w:rPr>
          <w:color w:val="000000"/>
          <w:sz w:val="22"/>
          <w:szCs w:val="22"/>
          <w:lang w:val="fr-FR"/>
        </w:rPr>
        <w:t xml:space="preserve"> v kronični fazi ni kontroliranih preskušanj, ki bi pokazala klinično koristnost ali izboljšanje preživetja pri teh bolezni.</w:t>
      </w:r>
    </w:p>
    <w:p w14:paraId="5297973B" w14:textId="77777777" w:rsidR="003E56E2" w:rsidRPr="004A59B1" w:rsidRDefault="003E56E2" w:rsidP="009C1193">
      <w:pPr>
        <w:pStyle w:val="TextChar"/>
        <w:widowControl w:val="0"/>
        <w:spacing w:before="0"/>
        <w:rPr>
          <w:color w:val="000000"/>
          <w:sz w:val="22"/>
          <w:szCs w:val="22"/>
          <w:lang w:val="fr-FR"/>
        </w:rPr>
      </w:pPr>
    </w:p>
    <w:p w14:paraId="5297973C" w14:textId="77777777" w:rsidR="00444D75" w:rsidRPr="004A59B1" w:rsidRDefault="00444D75" w:rsidP="009C1193">
      <w:pPr>
        <w:keepNext/>
        <w:widowControl w:val="0"/>
        <w:tabs>
          <w:tab w:val="clear" w:pos="567"/>
        </w:tabs>
        <w:spacing w:line="240" w:lineRule="auto"/>
        <w:ind w:left="567" w:hanging="567"/>
        <w:rPr>
          <w:color w:val="000000"/>
          <w:szCs w:val="22"/>
          <w:lang w:val="fr-FR"/>
        </w:rPr>
      </w:pPr>
      <w:r w:rsidRPr="004A59B1">
        <w:rPr>
          <w:b/>
          <w:color w:val="000000"/>
          <w:szCs w:val="22"/>
          <w:lang w:val="fr-FR"/>
        </w:rPr>
        <w:t>4.2</w:t>
      </w:r>
      <w:r w:rsidRPr="004A59B1">
        <w:rPr>
          <w:b/>
          <w:color w:val="000000"/>
          <w:szCs w:val="22"/>
          <w:lang w:val="fr-FR"/>
        </w:rPr>
        <w:tab/>
        <w:t>Odmerjanje in način uporabe</w:t>
      </w:r>
    </w:p>
    <w:p w14:paraId="5297973D" w14:textId="77777777" w:rsidR="00444D75" w:rsidRPr="004A59B1" w:rsidRDefault="00444D75" w:rsidP="009C1193">
      <w:pPr>
        <w:pStyle w:val="EndnoteText"/>
        <w:keepNext/>
        <w:widowControl w:val="0"/>
        <w:tabs>
          <w:tab w:val="clear" w:pos="567"/>
        </w:tabs>
        <w:rPr>
          <w:color w:val="000000"/>
          <w:szCs w:val="22"/>
          <w:lang w:val="fr-FR"/>
        </w:rPr>
      </w:pPr>
    </w:p>
    <w:p w14:paraId="5297973E" w14:textId="77777777" w:rsidR="00444D75" w:rsidRPr="004A59B1" w:rsidRDefault="00D84421" w:rsidP="009C1193">
      <w:pPr>
        <w:pStyle w:val="EndnoteText"/>
        <w:widowControl w:val="0"/>
        <w:tabs>
          <w:tab w:val="clear" w:pos="567"/>
        </w:tabs>
        <w:rPr>
          <w:color w:val="000000"/>
          <w:szCs w:val="22"/>
          <w:lang w:val="fr-FR"/>
        </w:rPr>
      </w:pPr>
      <w:r w:rsidRPr="004A59B1">
        <w:rPr>
          <w:color w:val="000000"/>
          <w:szCs w:val="22"/>
          <w:lang w:val="fr-FR"/>
        </w:rPr>
        <w:t xml:space="preserve">Zdravljenje mora začeti zdravnik, izkušen v zdravljenju bolnikov s hematološkimi malignimi boleznimi oziroma </w:t>
      </w:r>
      <w:r w:rsidR="00F7557B" w:rsidRPr="004A59B1">
        <w:rPr>
          <w:color w:val="000000"/>
          <w:szCs w:val="22"/>
          <w:lang w:val="fr-FR"/>
        </w:rPr>
        <w:t xml:space="preserve">z </w:t>
      </w:r>
      <w:r w:rsidRPr="004A59B1">
        <w:rPr>
          <w:color w:val="000000"/>
          <w:szCs w:val="22"/>
          <w:lang w:val="fr-FR"/>
        </w:rPr>
        <w:t>malignimi sarkomi.</w:t>
      </w:r>
    </w:p>
    <w:p w14:paraId="5297973F" w14:textId="77777777" w:rsidR="00D84421" w:rsidRPr="004A59B1" w:rsidRDefault="00D84421" w:rsidP="009C1193">
      <w:pPr>
        <w:pStyle w:val="EndnoteText"/>
        <w:widowControl w:val="0"/>
        <w:tabs>
          <w:tab w:val="clear" w:pos="567"/>
        </w:tabs>
        <w:rPr>
          <w:color w:val="000000"/>
          <w:szCs w:val="22"/>
          <w:lang w:val="fr-FR"/>
        </w:rPr>
      </w:pPr>
    </w:p>
    <w:p w14:paraId="52979740" w14:textId="77777777" w:rsidR="00444D75" w:rsidRPr="004A59B1" w:rsidRDefault="00444D75" w:rsidP="009C1193">
      <w:pPr>
        <w:pStyle w:val="EndnoteText"/>
        <w:widowControl w:val="0"/>
        <w:tabs>
          <w:tab w:val="clear" w:pos="567"/>
        </w:tabs>
        <w:rPr>
          <w:color w:val="000000"/>
          <w:szCs w:val="22"/>
          <w:lang w:val="pl-PL"/>
        </w:rPr>
      </w:pPr>
      <w:r w:rsidRPr="004A59B1">
        <w:rPr>
          <w:color w:val="000000"/>
          <w:szCs w:val="22"/>
          <w:lang w:val="fr-FR"/>
        </w:rPr>
        <w:t xml:space="preserve">Predpisani odmerek mora bolnik vzeti peroralno z obrokom in velikim kozarcem vode, da se čim bolj zmanjša tveganje draženja prebavil. Odmerke po 400 mg ali 600 mg je treba jemati enkrat na dan, medtem ko je treba odmerek 800 mg </w:t>
      </w:r>
      <w:r w:rsidR="008B4FB4" w:rsidRPr="004A59B1">
        <w:rPr>
          <w:color w:val="000000"/>
          <w:szCs w:val="22"/>
          <w:lang w:val="fr-FR"/>
        </w:rPr>
        <w:t xml:space="preserve">na dan </w:t>
      </w:r>
      <w:r w:rsidRPr="004A59B1">
        <w:rPr>
          <w:color w:val="000000"/>
          <w:szCs w:val="22"/>
          <w:lang w:val="fr-FR"/>
        </w:rPr>
        <w:t xml:space="preserve">vzeti kot 400 mg dvakrat na dan, zjutraj in zvečer. Bolnikom (otrokom), ki ne morejo pogoltniti kapsul, lahko njihovo vsebino razredčimo v kozarcu navadne vode ali jabolčnega soka. Ker so študije pri živalih pokazale toksičnost za razmnoževanje, potencialno tveganje za človeški plod pa je neznano, je treba ženskam v rodni dobi svetovati, naj pri odpiranju kapsul pazljivo ravnajo z vsebino in se izogibajo stiku zdravila z očmi preko rok ali vdihavanju zdravila (glejte poglavje 4.6). </w:t>
      </w:r>
      <w:r w:rsidRPr="004A59B1">
        <w:rPr>
          <w:color w:val="000000"/>
          <w:szCs w:val="22"/>
          <w:lang w:val="pl-PL"/>
        </w:rPr>
        <w:t>Takoj po rokovanju z odprtimi kapsulami si je treba umiti roke.</w:t>
      </w:r>
    </w:p>
    <w:p w14:paraId="52979741" w14:textId="77777777" w:rsidR="00444D75" w:rsidRPr="004A59B1" w:rsidRDefault="00444D75" w:rsidP="009C1193">
      <w:pPr>
        <w:pStyle w:val="BodyText"/>
        <w:widowControl w:val="0"/>
        <w:spacing w:line="240" w:lineRule="auto"/>
        <w:rPr>
          <w:b w:val="0"/>
          <w:i w:val="0"/>
          <w:color w:val="000000"/>
          <w:szCs w:val="22"/>
          <w:lang w:val="pl-PL"/>
        </w:rPr>
      </w:pPr>
    </w:p>
    <w:p w14:paraId="52979742" w14:textId="77777777" w:rsidR="00444D75" w:rsidRPr="004A59B1" w:rsidRDefault="00444D75" w:rsidP="009C1193">
      <w:pPr>
        <w:keepNext/>
        <w:widowControl w:val="0"/>
        <w:spacing w:line="240" w:lineRule="auto"/>
        <w:jc w:val="both"/>
        <w:rPr>
          <w:color w:val="000000"/>
          <w:szCs w:val="22"/>
          <w:u w:val="single"/>
          <w:lang w:val="pl-PL"/>
        </w:rPr>
      </w:pPr>
      <w:r w:rsidRPr="004A59B1">
        <w:rPr>
          <w:color w:val="000000"/>
          <w:szCs w:val="22"/>
          <w:u w:val="single"/>
          <w:lang w:val="pl-PL"/>
        </w:rPr>
        <w:t xml:space="preserve">Odmerjanje pri </w:t>
      </w:r>
      <w:r w:rsidR="00677326" w:rsidRPr="004A59B1">
        <w:rPr>
          <w:color w:val="000000"/>
          <w:szCs w:val="22"/>
          <w:u w:val="single"/>
          <w:lang w:val="pl-PL"/>
        </w:rPr>
        <w:t>KML</w:t>
      </w:r>
      <w:r w:rsidR="00BA16D8" w:rsidRPr="004A59B1">
        <w:rPr>
          <w:color w:val="000000"/>
          <w:szCs w:val="22"/>
          <w:u w:val="single"/>
          <w:lang w:val="pl-PL"/>
        </w:rPr>
        <w:t xml:space="preserve"> pri odraslih bolnikih</w:t>
      </w:r>
    </w:p>
    <w:p w14:paraId="52979743" w14:textId="77777777" w:rsidR="00444D75" w:rsidRPr="004A59B1" w:rsidRDefault="00444D75" w:rsidP="009C1193">
      <w:pPr>
        <w:pStyle w:val="BodyText"/>
        <w:widowControl w:val="0"/>
        <w:spacing w:line="240" w:lineRule="auto"/>
        <w:rPr>
          <w:b w:val="0"/>
          <w:i w:val="0"/>
          <w:snapToGrid w:val="0"/>
          <w:color w:val="000000"/>
          <w:szCs w:val="22"/>
          <w:lang w:val="pl-PL"/>
        </w:rPr>
      </w:pPr>
      <w:r w:rsidRPr="004A59B1">
        <w:rPr>
          <w:b w:val="0"/>
          <w:i w:val="0"/>
          <w:color w:val="000000"/>
          <w:szCs w:val="22"/>
          <w:lang w:val="pl-PL"/>
        </w:rPr>
        <w:t xml:space="preserve">Priporočeno odmerjanje </w:t>
      </w:r>
      <w:r w:rsidR="00D81193" w:rsidRPr="004A59B1">
        <w:rPr>
          <w:b w:val="0"/>
          <w:i w:val="0"/>
          <w:color w:val="000000"/>
          <w:szCs w:val="22"/>
          <w:lang w:val="pl-PL"/>
        </w:rPr>
        <w:t>zdravila Glivec</w:t>
      </w:r>
      <w:r w:rsidRPr="004A59B1">
        <w:rPr>
          <w:b w:val="0"/>
          <w:i w:val="0"/>
          <w:color w:val="000000"/>
          <w:szCs w:val="22"/>
          <w:lang w:val="pl-PL"/>
        </w:rPr>
        <w:t xml:space="preserve"> za </w:t>
      </w:r>
      <w:r w:rsidR="00577F21" w:rsidRPr="004A59B1">
        <w:rPr>
          <w:b w:val="0"/>
          <w:i w:val="0"/>
          <w:color w:val="000000"/>
          <w:szCs w:val="22"/>
          <w:lang w:val="pl-PL"/>
        </w:rPr>
        <w:t xml:space="preserve">odrasle </w:t>
      </w:r>
      <w:r w:rsidRPr="004A59B1">
        <w:rPr>
          <w:b w:val="0"/>
          <w:i w:val="0"/>
          <w:color w:val="000000"/>
          <w:szCs w:val="22"/>
          <w:lang w:val="pl-PL"/>
        </w:rPr>
        <w:t xml:space="preserve">bolnike v kronični fazi </w:t>
      </w:r>
      <w:r w:rsidR="00677326" w:rsidRPr="004A59B1">
        <w:rPr>
          <w:b w:val="0"/>
          <w:i w:val="0"/>
          <w:color w:val="000000"/>
          <w:szCs w:val="22"/>
          <w:lang w:val="pl-PL"/>
        </w:rPr>
        <w:t>KML</w:t>
      </w:r>
      <w:r w:rsidRPr="004A59B1">
        <w:rPr>
          <w:b w:val="0"/>
          <w:i w:val="0"/>
          <w:color w:val="000000"/>
          <w:szCs w:val="22"/>
          <w:lang w:val="pl-PL"/>
        </w:rPr>
        <w:t xml:space="preserve"> je 400 mg/dan. </w:t>
      </w:r>
      <w:r w:rsidR="00E35EBE" w:rsidRPr="004A59B1">
        <w:rPr>
          <w:b w:val="0"/>
          <w:i w:val="0"/>
          <w:color w:val="000000"/>
          <w:szCs w:val="22"/>
          <w:lang w:val="pl-PL"/>
        </w:rPr>
        <w:t>K</w:t>
      </w:r>
      <w:r w:rsidRPr="004A59B1">
        <w:rPr>
          <w:b w:val="0"/>
          <w:i w:val="0"/>
          <w:color w:val="000000"/>
          <w:szCs w:val="22"/>
          <w:lang w:val="pl-PL"/>
        </w:rPr>
        <w:t>roničn</w:t>
      </w:r>
      <w:r w:rsidR="00E35EBE" w:rsidRPr="004A59B1">
        <w:rPr>
          <w:b w:val="0"/>
          <w:i w:val="0"/>
          <w:color w:val="000000"/>
          <w:szCs w:val="22"/>
          <w:lang w:val="pl-PL"/>
        </w:rPr>
        <w:t>a</w:t>
      </w:r>
      <w:r w:rsidRPr="004A59B1">
        <w:rPr>
          <w:b w:val="0"/>
          <w:i w:val="0"/>
          <w:color w:val="000000"/>
          <w:szCs w:val="22"/>
          <w:lang w:val="pl-PL"/>
        </w:rPr>
        <w:t xml:space="preserve"> faz</w:t>
      </w:r>
      <w:r w:rsidR="00265FC5" w:rsidRPr="004A59B1">
        <w:rPr>
          <w:b w:val="0"/>
          <w:i w:val="0"/>
          <w:color w:val="000000"/>
          <w:szCs w:val="22"/>
          <w:lang w:val="pl-PL"/>
        </w:rPr>
        <w:t>a</w:t>
      </w:r>
      <w:r w:rsidRPr="004A59B1">
        <w:rPr>
          <w:b w:val="0"/>
          <w:i w:val="0"/>
          <w:color w:val="000000"/>
          <w:szCs w:val="22"/>
          <w:lang w:val="pl-PL"/>
        </w:rPr>
        <w:t xml:space="preserve"> </w:t>
      </w:r>
      <w:r w:rsidR="00677326" w:rsidRPr="004A59B1">
        <w:rPr>
          <w:b w:val="0"/>
          <w:i w:val="0"/>
          <w:color w:val="000000"/>
          <w:szCs w:val="22"/>
          <w:lang w:val="pl-PL"/>
        </w:rPr>
        <w:t>KML</w:t>
      </w:r>
      <w:r w:rsidRPr="004A59B1">
        <w:rPr>
          <w:b w:val="0"/>
          <w:i w:val="0"/>
          <w:color w:val="000000"/>
          <w:szCs w:val="22"/>
          <w:lang w:val="pl-PL"/>
        </w:rPr>
        <w:t xml:space="preserve"> </w:t>
      </w:r>
      <w:r w:rsidR="00E35EBE" w:rsidRPr="004A59B1">
        <w:rPr>
          <w:b w:val="0"/>
          <w:i w:val="0"/>
          <w:color w:val="000000"/>
          <w:szCs w:val="22"/>
          <w:lang w:val="pl-PL"/>
        </w:rPr>
        <w:t>je opredeljena z naslednjimi</w:t>
      </w:r>
      <w:r w:rsidRPr="004A59B1">
        <w:rPr>
          <w:b w:val="0"/>
          <w:i w:val="0"/>
          <w:color w:val="000000"/>
          <w:szCs w:val="22"/>
          <w:lang w:val="pl-PL"/>
        </w:rPr>
        <w:t xml:space="preserve"> kriteriji</w:t>
      </w:r>
      <w:r w:rsidRPr="004A59B1">
        <w:rPr>
          <w:b w:val="0"/>
          <w:i w:val="0"/>
          <w:snapToGrid w:val="0"/>
          <w:color w:val="000000"/>
          <w:szCs w:val="22"/>
          <w:lang w:val="pl-PL"/>
        </w:rPr>
        <w:t xml:space="preserve">: </w:t>
      </w:r>
      <w:r w:rsidRPr="004A59B1">
        <w:rPr>
          <w:b w:val="0"/>
          <w:i w:val="0"/>
          <w:color w:val="000000"/>
          <w:szCs w:val="22"/>
          <w:lang w:val="pl-PL"/>
        </w:rPr>
        <w:t>blasti &lt; 15 % v krvi in kostnem mozgu, bazofilci v periferni krvi &lt; 20 %, trombociti &gt; 100 x 10</w:t>
      </w:r>
      <w:r w:rsidRPr="004A59B1">
        <w:rPr>
          <w:b w:val="0"/>
          <w:i w:val="0"/>
          <w:color w:val="000000"/>
          <w:szCs w:val="22"/>
          <w:vertAlign w:val="superscript"/>
          <w:lang w:val="pl-PL"/>
        </w:rPr>
        <w:t>9</w:t>
      </w:r>
      <w:r w:rsidRPr="004A59B1">
        <w:rPr>
          <w:b w:val="0"/>
          <w:i w:val="0"/>
          <w:color w:val="000000"/>
          <w:szCs w:val="22"/>
          <w:lang w:val="pl-PL"/>
        </w:rPr>
        <w:t>/l</w:t>
      </w:r>
      <w:r w:rsidRPr="004A59B1">
        <w:rPr>
          <w:b w:val="0"/>
          <w:i w:val="0"/>
          <w:snapToGrid w:val="0"/>
          <w:color w:val="000000"/>
          <w:szCs w:val="22"/>
          <w:lang w:val="pl-PL"/>
        </w:rPr>
        <w:t>.</w:t>
      </w:r>
    </w:p>
    <w:p w14:paraId="52979744" w14:textId="77777777" w:rsidR="00444D75" w:rsidRPr="004A59B1" w:rsidRDefault="00444D75" w:rsidP="009C1193">
      <w:pPr>
        <w:pStyle w:val="BodyText"/>
        <w:widowControl w:val="0"/>
        <w:spacing w:line="240" w:lineRule="auto"/>
        <w:rPr>
          <w:b w:val="0"/>
          <w:i w:val="0"/>
          <w:color w:val="000000"/>
          <w:szCs w:val="22"/>
          <w:lang w:val="pl-PL"/>
        </w:rPr>
      </w:pPr>
    </w:p>
    <w:p w14:paraId="52979745" w14:textId="77777777" w:rsidR="00444D75" w:rsidRPr="004A59B1" w:rsidRDefault="00444D75" w:rsidP="009C1193">
      <w:pPr>
        <w:pStyle w:val="BodyText"/>
        <w:widowControl w:val="0"/>
        <w:spacing w:line="240" w:lineRule="auto"/>
        <w:rPr>
          <w:b w:val="0"/>
          <w:i w:val="0"/>
          <w:snapToGrid w:val="0"/>
          <w:color w:val="000000"/>
          <w:szCs w:val="22"/>
          <w:lang w:val="pl-PL"/>
        </w:rPr>
      </w:pPr>
      <w:r w:rsidRPr="004A59B1">
        <w:rPr>
          <w:b w:val="0"/>
          <w:i w:val="0"/>
          <w:color w:val="000000"/>
          <w:szCs w:val="22"/>
          <w:lang w:val="pl-PL"/>
        </w:rPr>
        <w:t xml:space="preserve">Priporočeno odmerjanje </w:t>
      </w:r>
      <w:r w:rsidR="00D81193" w:rsidRPr="004A59B1">
        <w:rPr>
          <w:b w:val="0"/>
          <w:i w:val="0"/>
          <w:color w:val="000000"/>
          <w:szCs w:val="22"/>
          <w:lang w:val="pl-PL"/>
        </w:rPr>
        <w:t>zdravila Glivec</w:t>
      </w:r>
      <w:r w:rsidRPr="004A59B1">
        <w:rPr>
          <w:b w:val="0"/>
          <w:i w:val="0"/>
          <w:color w:val="000000"/>
          <w:szCs w:val="22"/>
          <w:lang w:val="pl-PL"/>
        </w:rPr>
        <w:t xml:space="preserve"> za </w:t>
      </w:r>
      <w:r w:rsidR="00577F21" w:rsidRPr="004A59B1">
        <w:rPr>
          <w:b w:val="0"/>
          <w:i w:val="0"/>
          <w:color w:val="000000"/>
          <w:szCs w:val="22"/>
          <w:lang w:val="pl-PL"/>
        </w:rPr>
        <w:t xml:space="preserve">odrasle </w:t>
      </w:r>
      <w:r w:rsidRPr="004A59B1">
        <w:rPr>
          <w:b w:val="0"/>
          <w:i w:val="0"/>
          <w:color w:val="000000"/>
          <w:szCs w:val="22"/>
          <w:lang w:val="pl-PL"/>
        </w:rPr>
        <w:t xml:space="preserve">bolnike v pospešeni fazi je 600 mg/dan. Pospešeno fazo opredeljuje eno ali več sledečih meril: blasti v krvi ali kostnem mozgu ≥ 15 %, </w:t>
      </w:r>
      <w:r w:rsidR="00E35EBE" w:rsidRPr="004A59B1">
        <w:rPr>
          <w:b w:val="0"/>
          <w:i w:val="0"/>
          <w:color w:val="000000"/>
          <w:szCs w:val="22"/>
          <w:lang w:val="pl-PL"/>
        </w:rPr>
        <w:t>vendar</w:t>
      </w:r>
      <w:r w:rsidRPr="004A59B1">
        <w:rPr>
          <w:b w:val="0"/>
          <w:i w:val="0"/>
          <w:color w:val="000000"/>
          <w:szCs w:val="22"/>
          <w:lang w:val="pl-PL"/>
        </w:rPr>
        <w:t xml:space="preserve"> &lt; 30 %, blasti </w:t>
      </w:r>
      <w:r w:rsidR="00E35EBE" w:rsidRPr="004A59B1">
        <w:rPr>
          <w:b w:val="0"/>
          <w:i w:val="0"/>
          <w:color w:val="000000"/>
          <w:szCs w:val="22"/>
          <w:lang w:val="pl-PL"/>
        </w:rPr>
        <w:t xml:space="preserve">in </w:t>
      </w:r>
      <w:r w:rsidRPr="004A59B1">
        <w:rPr>
          <w:b w:val="0"/>
          <w:i w:val="0"/>
          <w:color w:val="000000"/>
          <w:szCs w:val="22"/>
          <w:lang w:val="pl-PL"/>
        </w:rPr>
        <w:t xml:space="preserve">promielociti </w:t>
      </w:r>
      <w:r w:rsidR="00E35EBE" w:rsidRPr="004A59B1">
        <w:rPr>
          <w:b w:val="0"/>
          <w:i w:val="0"/>
          <w:color w:val="000000"/>
          <w:szCs w:val="22"/>
          <w:lang w:val="pl-PL"/>
        </w:rPr>
        <w:t xml:space="preserve">skupaj </w:t>
      </w:r>
      <w:r w:rsidRPr="004A59B1">
        <w:rPr>
          <w:b w:val="0"/>
          <w:i w:val="0"/>
          <w:color w:val="000000"/>
          <w:szCs w:val="22"/>
          <w:lang w:val="pl-PL"/>
        </w:rPr>
        <w:t>≥ 30 % v krvi ali kostnem mozgu (pogoj: blasti &lt; 30 %), bazofilci v periferni krvi ≥ 20 %, trombociti &lt; 100 x</w:t>
      </w:r>
      <w:r w:rsidRPr="004A59B1">
        <w:rPr>
          <w:i w:val="0"/>
          <w:color w:val="000000"/>
          <w:szCs w:val="22"/>
          <w:lang w:val="pl-PL"/>
        </w:rPr>
        <w:t> </w:t>
      </w:r>
      <w:r w:rsidRPr="004A59B1">
        <w:rPr>
          <w:b w:val="0"/>
          <w:i w:val="0"/>
          <w:color w:val="000000"/>
          <w:szCs w:val="22"/>
          <w:lang w:val="pl-PL"/>
        </w:rPr>
        <w:t>10</w:t>
      </w:r>
      <w:r w:rsidRPr="004A59B1">
        <w:rPr>
          <w:b w:val="0"/>
          <w:i w:val="0"/>
          <w:color w:val="000000"/>
          <w:szCs w:val="22"/>
          <w:vertAlign w:val="superscript"/>
          <w:lang w:val="pl-PL"/>
        </w:rPr>
        <w:t>9</w:t>
      </w:r>
      <w:r w:rsidRPr="004A59B1">
        <w:rPr>
          <w:b w:val="0"/>
          <w:i w:val="0"/>
          <w:color w:val="000000"/>
          <w:szCs w:val="22"/>
          <w:lang w:val="pl-PL"/>
        </w:rPr>
        <w:t xml:space="preserve">/l </w:t>
      </w:r>
      <w:r w:rsidR="00E35EBE" w:rsidRPr="004A59B1">
        <w:rPr>
          <w:b w:val="0"/>
          <w:i w:val="0"/>
          <w:color w:val="000000"/>
          <w:szCs w:val="22"/>
          <w:lang w:val="pl-PL"/>
        </w:rPr>
        <w:t>ne glede na</w:t>
      </w:r>
      <w:r w:rsidRPr="004A59B1">
        <w:rPr>
          <w:b w:val="0"/>
          <w:i w:val="0"/>
          <w:color w:val="000000"/>
          <w:szCs w:val="22"/>
          <w:lang w:val="pl-PL"/>
        </w:rPr>
        <w:t xml:space="preserve"> zdravljenje</w:t>
      </w:r>
      <w:r w:rsidRPr="004A59B1">
        <w:rPr>
          <w:b w:val="0"/>
          <w:i w:val="0"/>
          <w:snapToGrid w:val="0"/>
          <w:color w:val="000000"/>
          <w:szCs w:val="22"/>
          <w:lang w:val="pl-PL"/>
        </w:rPr>
        <w:t>.</w:t>
      </w:r>
    </w:p>
    <w:p w14:paraId="52979746" w14:textId="77777777" w:rsidR="00444D75" w:rsidRPr="004A59B1" w:rsidRDefault="00444D75" w:rsidP="009C1193">
      <w:pPr>
        <w:pStyle w:val="BodyText"/>
        <w:widowControl w:val="0"/>
        <w:spacing w:line="240" w:lineRule="auto"/>
        <w:rPr>
          <w:b w:val="0"/>
          <w:i w:val="0"/>
          <w:color w:val="000000"/>
          <w:szCs w:val="22"/>
          <w:lang w:val="pl-PL"/>
        </w:rPr>
      </w:pPr>
    </w:p>
    <w:p w14:paraId="52979747" w14:textId="77777777" w:rsidR="00444D75" w:rsidRPr="004A59B1" w:rsidRDefault="00444D75" w:rsidP="009C1193">
      <w:pPr>
        <w:pStyle w:val="BodyText"/>
        <w:widowControl w:val="0"/>
        <w:spacing w:line="240" w:lineRule="auto"/>
        <w:rPr>
          <w:b w:val="0"/>
          <w:i w:val="0"/>
          <w:color w:val="000000"/>
          <w:szCs w:val="22"/>
          <w:lang w:val="pl-PL"/>
        </w:rPr>
      </w:pPr>
      <w:r w:rsidRPr="004A59B1">
        <w:rPr>
          <w:b w:val="0"/>
          <w:i w:val="0"/>
          <w:color w:val="000000"/>
          <w:szCs w:val="22"/>
          <w:lang w:val="pl-PL"/>
        </w:rPr>
        <w:t xml:space="preserve">Priporočeni odmerek </w:t>
      </w:r>
      <w:r w:rsidR="00D81193" w:rsidRPr="004A59B1">
        <w:rPr>
          <w:b w:val="0"/>
          <w:i w:val="0"/>
          <w:color w:val="000000"/>
          <w:szCs w:val="22"/>
          <w:lang w:val="pl-PL"/>
        </w:rPr>
        <w:t>zdravila Glivec</w:t>
      </w:r>
      <w:r w:rsidRPr="004A59B1">
        <w:rPr>
          <w:b w:val="0"/>
          <w:i w:val="0"/>
          <w:color w:val="000000"/>
          <w:szCs w:val="22"/>
          <w:lang w:val="pl-PL"/>
        </w:rPr>
        <w:t xml:space="preserve"> za </w:t>
      </w:r>
      <w:r w:rsidR="00577F21" w:rsidRPr="004A59B1">
        <w:rPr>
          <w:b w:val="0"/>
          <w:i w:val="0"/>
          <w:color w:val="000000"/>
          <w:szCs w:val="22"/>
          <w:lang w:val="pl-PL"/>
        </w:rPr>
        <w:t xml:space="preserve">odrasle </w:t>
      </w:r>
      <w:r w:rsidRPr="004A59B1">
        <w:rPr>
          <w:b w:val="0"/>
          <w:i w:val="0"/>
          <w:color w:val="000000"/>
          <w:szCs w:val="22"/>
          <w:lang w:val="pl-PL"/>
        </w:rPr>
        <w:t>bolnike v blastni krizi je 600 mg/dan. Blastno krizo opredeljuje ≥ 30 % blastov v krvi ali kostnem mozgu ali ekstramedularna bolezen</w:t>
      </w:r>
      <w:r w:rsidR="00E35EBE" w:rsidRPr="004A59B1">
        <w:rPr>
          <w:b w:val="0"/>
          <w:i w:val="0"/>
          <w:color w:val="000000"/>
          <w:szCs w:val="22"/>
          <w:lang w:val="pl-PL"/>
        </w:rPr>
        <w:t>, ki ni</w:t>
      </w:r>
      <w:r w:rsidRPr="004A59B1">
        <w:rPr>
          <w:b w:val="0"/>
          <w:i w:val="0"/>
          <w:color w:val="000000"/>
          <w:szCs w:val="22"/>
          <w:lang w:val="pl-PL"/>
        </w:rPr>
        <w:t xml:space="preserve"> hepatosplenomegalij</w:t>
      </w:r>
      <w:r w:rsidR="00E35EBE" w:rsidRPr="004A59B1">
        <w:rPr>
          <w:b w:val="0"/>
          <w:i w:val="0"/>
          <w:color w:val="000000"/>
          <w:szCs w:val="22"/>
          <w:lang w:val="pl-PL"/>
        </w:rPr>
        <w:t>a</w:t>
      </w:r>
      <w:r w:rsidRPr="004A59B1">
        <w:rPr>
          <w:b w:val="0"/>
          <w:i w:val="0"/>
          <w:snapToGrid w:val="0"/>
          <w:color w:val="000000"/>
          <w:szCs w:val="22"/>
          <w:lang w:val="pl-PL"/>
        </w:rPr>
        <w:t>.</w:t>
      </w:r>
    </w:p>
    <w:p w14:paraId="52979748" w14:textId="77777777" w:rsidR="00444D75" w:rsidRPr="004A59B1" w:rsidRDefault="00444D75" w:rsidP="009C1193">
      <w:pPr>
        <w:pStyle w:val="EndnoteText"/>
        <w:widowControl w:val="0"/>
        <w:tabs>
          <w:tab w:val="clear" w:pos="567"/>
        </w:tabs>
        <w:rPr>
          <w:color w:val="000000"/>
          <w:szCs w:val="22"/>
          <w:lang w:val="pl-PL"/>
        </w:rPr>
      </w:pPr>
    </w:p>
    <w:p w14:paraId="52979749" w14:textId="77777777" w:rsidR="00444D75" w:rsidRPr="004A59B1" w:rsidRDefault="00444D75" w:rsidP="009C1193">
      <w:pPr>
        <w:pStyle w:val="EndnoteText"/>
        <w:widowControl w:val="0"/>
        <w:tabs>
          <w:tab w:val="clear" w:pos="567"/>
        </w:tabs>
        <w:rPr>
          <w:color w:val="000000"/>
          <w:szCs w:val="22"/>
          <w:lang w:val="pl-PL"/>
        </w:rPr>
      </w:pPr>
      <w:r w:rsidRPr="004A59B1">
        <w:rPr>
          <w:color w:val="000000"/>
          <w:szCs w:val="22"/>
          <w:lang w:val="pl-PL"/>
        </w:rPr>
        <w:t xml:space="preserve">Trajanje zdravljenja: V kliničnih preskušanjih so zdravljenje z </w:t>
      </w:r>
      <w:r w:rsidR="00D81193" w:rsidRPr="004A59B1">
        <w:rPr>
          <w:color w:val="000000"/>
          <w:szCs w:val="22"/>
          <w:lang w:val="pl-PL"/>
        </w:rPr>
        <w:t>zdravilom Glivec</w:t>
      </w:r>
      <w:r w:rsidRPr="004A59B1">
        <w:rPr>
          <w:color w:val="000000"/>
          <w:szCs w:val="22"/>
          <w:lang w:val="pl-PL"/>
        </w:rPr>
        <w:t xml:space="preserve"> nadaljevali, dokler ni začela bolezen napredovati. Učinek prekinitve zdravljenja po doseženem popolnem citogenetičnem odzivu ni raziskan.</w:t>
      </w:r>
    </w:p>
    <w:p w14:paraId="5297974A" w14:textId="77777777" w:rsidR="00444D75" w:rsidRPr="004A59B1" w:rsidRDefault="00444D75" w:rsidP="009C1193">
      <w:pPr>
        <w:pStyle w:val="EndnoteText"/>
        <w:widowControl w:val="0"/>
        <w:tabs>
          <w:tab w:val="clear" w:pos="567"/>
        </w:tabs>
        <w:rPr>
          <w:color w:val="000000"/>
          <w:szCs w:val="22"/>
          <w:lang w:val="pl-PL"/>
        </w:rPr>
      </w:pPr>
    </w:p>
    <w:p w14:paraId="5297974B" w14:textId="77777777" w:rsidR="00444D75" w:rsidRPr="004A59B1" w:rsidRDefault="00444D75" w:rsidP="009C1193">
      <w:pPr>
        <w:pStyle w:val="EndnoteText"/>
        <w:widowControl w:val="0"/>
        <w:tabs>
          <w:tab w:val="clear" w:pos="567"/>
        </w:tabs>
        <w:rPr>
          <w:color w:val="000000"/>
          <w:szCs w:val="22"/>
          <w:lang w:val="pl-PL"/>
        </w:rPr>
      </w:pPr>
      <w:r w:rsidRPr="004A59B1">
        <w:rPr>
          <w:color w:val="000000"/>
          <w:szCs w:val="22"/>
          <w:lang w:val="pl-PL"/>
        </w:rPr>
        <w:t>Povečanje odmerka s 400 mg na 600 mg ali 800 mg pri bolnikih s kronično fazo bolezni ali s 600 mg na največ 800 mg (odmerjanih po 400 mg dvakrat na dan) pri bolnikih v pospešeni fazi ali v blastni krizi lahko pride v poštev, če bolnik nima hude neželene reakcije na zdravilo in hude nevtropenije ali trombocitopenije, ki ni povezana z levkemijo, v sledečih okoliščinah: napredovanje bolezni (kadarkoli); odsotnost zadovoljivega hematološkega odziva po najmanj 3 mesecih zdravljenja; odsotnost citogenetičnega odziva po 12 mesecih zdravljenja; ali izguba že prej doseženega hematološkega in/ali citogenetičnega odziva. Po povečanju odmerka je treba bolnike natančno spremljati, ker pri večjih odmerkih obstaja možnost povečane pogostnosti neželenih reakcij.</w:t>
      </w:r>
    </w:p>
    <w:p w14:paraId="5297974C" w14:textId="77777777" w:rsidR="00444D75" w:rsidRPr="004A59B1" w:rsidRDefault="00444D75" w:rsidP="009C1193">
      <w:pPr>
        <w:pStyle w:val="EndnoteText"/>
        <w:widowControl w:val="0"/>
        <w:tabs>
          <w:tab w:val="clear" w:pos="567"/>
        </w:tabs>
        <w:rPr>
          <w:color w:val="000000"/>
          <w:szCs w:val="22"/>
          <w:lang w:val="pl-PL"/>
        </w:rPr>
      </w:pPr>
    </w:p>
    <w:p w14:paraId="5297974D" w14:textId="77777777" w:rsidR="00BA16D8" w:rsidRPr="004A59B1" w:rsidRDefault="00BA16D8" w:rsidP="009C1193">
      <w:pPr>
        <w:keepNext/>
        <w:widowControl w:val="0"/>
        <w:spacing w:line="240" w:lineRule="auto"/>
        <w:jc w:val="both"/>
        <w:rPr>
          <w:color w:val="000000"/>
          <w:szCs w:val="22"/>
          <w:u w:val="single"/>
          <w:lang w:val="pl-PL"/>
        </w:rPr>
      </w:pPr>
      <w:r w:rsidRPr="004A59B1">
        <w:rPr>
          <w:color w:val="000000"/>
          <w:szCs w:val="22"/>
          <w:u w:val="single"/>
          <w:lang w:val="pl-PL"/>
        </w:rPr>
        <w:t xml:space="preserve">Odmerjanje pri </w:t>
      </w:r>
      <w:r w:rsidR="00677326" w:rsidRPr="004A59B1">
        <w:rPr>
          <w:color w:val="000000"/>
          <w:szCs w:val="22"/>
          <w:u w:val="single"/>
          <w:lang w:val="pl-PL"/>
        </w:rPr>
        <w:t>KML</w:t>
      </w:r>
      <w:r w:rsidRPr="004A59B1">
        <w:rPr>
          <w:color w:val="000000"/>
          <w:szCs w:val="22"/>
          <w:u w:val="single"/>
          <w:lang w:val="pl-PL"/>
        </w:rPr>
        <w:t xml:space="preserve"> pri otrocih</w:t>
      </w:r>
    </w:p>
    <w:p w14:paraId="5297974E" w14:textId="77777777" w:rsidR="00BA16D8" w:rsidRPr="004A59B1" w:rsidRDefault="00BA16D8" w:rsidP="009C1193">
      <w:pPr>
        <w:pStyle w:val="EndnoteText"/>
        <w:widowControl w:val="0"/>
        <w:tabs>
          <w:tab w:val="clear" w:pos="567"/>
        </w:tabs>
        <w:rPr>
          <w:color w:val="000000"/>
          <w:szCs w:val="22"/>
          <w:lang w:val="pl-PL"/>
        </w:rPr>
      </w:pPr>
      <w:r w:rsidRPr="004A59B1">
        <w:rPr>
          <w:color w:val="000000"/>
          <w:szCs w:val="22"/>
          <w:lang w:val="pl-PL"/>
        </w:rPr>
        <w:t>Odmerjanje za otroke mora temeljiti na telesni površini (mg/m</w:t>
      </w:r>
      <w:r w:rsidRPr="004A59B1">
        <w:rPr>
          <w:color w:val="000000"/>
          <w:szCs w:val="22"/>
          <w:vertAlign w:val="superscript"/>
          <w:lang w:val="pl-PL"/>
        </w:rPr>
        <w:t>2</w:t>
      </w:r>
      <w:r w:rsidRPr="004A59B1">
        <w:rPr>
          <w:color w:val="000000"/>
          <w:szCs w:val="22"/>
          <w:lang w:val="pl-PL"/>
        </w:rPr>
        <w:t xml:space="preserve">). Za otroke s kronično fazo </w:t>
      </w:r>
      <w:r w:rsidR="00677326" w:rsidRPr="004A59B1">
        <w:rPr>
          <w:color w:val="000000"/>
          <w:szCs w:val="22"/>
          <w:lang w:val="pl-PL"/>
        </w:rPr>
        <w:t>KML</w:t>
      </w:r>
      <w:r w:rsidRPr="004A59B1">
        <w:rPr>
          <w:color w:val="000000"/>
          <w:szCs w:val="22"/>
          <w:lang w:val="pl-PL"/>
        </w:rPr>
        <w:t xml:space="preserve"> oziroma </w:t>
      </w:r>
      <w:r w:rsidR="00023632" w:rsidRPr="004A59B1">
        <w:rPr>
          <w:color w:val="000000"/>
          <w:szCs w:val="22"/>
          <w:lang w:val="pl-PL"/>
        </w:rPr>
        <w:t xml:space="preserve">z </w:t>
      </w:r>
      <w:r w:rsidRPr="004A59B1">
        <w:rPr>
          <w:color w:val="000000"/>
          <w:szCs w:val="22"/>
          <w:lang w:val="pl-PL"/>
        </w:rPr>
        <w:t xml:space="preserve">napredovalimi fazami </w:t>
      </w:r>
      <w:r w:rsidR="00677326" w:rsidRPr="004A59B1">
        <w:rPr>
          <w:color w:val="000000"/>
          <w:szCs w:val="22"/>
          <w:lang w:val="pl-PL"/>
        </w:rPr>
        <w:t>KML</w:t>
      </w:r>
      <w:r w:rsidRPr="004A59B1">
        <w:rPr>
          <w:color w:val="000000"/>
          <w:szCs w:val="22"/>
          <w:lang w:val="pl-PL"/>
        </w:rPr>
        <w:t xml:space="preserve"> je priporočeni odmerek 340 mg/m</w:t>
      </w:r>
      <w:r w:rsidRPr="004A59B1">
        <w:rPr>
          <w:color w:val="000000"/>
          <w:szCs w:val="22"/>
          <w:vertAlign w:val="superscript"/>
          <w:lang w:val="pl-PL"/>
        </w:rPr>
        <w:t>2</w:t>
      </w:r>
      <w:r w:rsidRPr="004A59B1">
        <w:rPr>
          <w:color w:val="000000"/>
          <w:szCs w:val="22"/>
          <w:lang w:val="pl-PL"/>
        </w:rPr>
        <w:t xml:space="preserve"> </w:t>
      </w:r>
      <w:r w:rsidR="00265FC5" w:rsidRPr="004A59B1">
        <w:rPr>
          <w:color w:val="000000"/>
          <w:szCs w:val="22"/>
          <w:lang w:val="pl-PL"/>
        </w:rPr>
        <w:t>na dan</w:t>
      </w:r>
      <w:r w:rsidRPr="004A59B1">
        <w:rPr>
          <w:color w:val="000000"/>
          <w:szCs w:val="22"/>
          <w:lang w:val="pl-PL"/>
        </w:rPr>
        <w:t xml:space="preserve"> (ne sme preseči celotnega odmerka 800 mg). Zdravljenje lahko poteka v obliki enega samega odmerka</w:t>
      </w:r>
      <w:r w:rsidR="008B4FB4" w:rsidRPr="004A59B1">
        <w:rPr>
          <w:color w:val="000000"/>
          <w:szCs w:val="22"/>
          <w:lang w:val="pl-PL"/>
        </w:rPr>
        <w:t xml:space="preserve"> na dan</w:t>
      </w:r>
      <w:r w:rsidRPr="004A59B1">
        <w:rPr>
          <w:color w:val="000000"/>
          <w:szCs w:val="22"/>
          <w:lang w:val="pl-PL"/>
        </w:rPr>
        <w:t xml:space="preserve"> ali pa dnevni odmerek razdelimo na dva – enega zjutraj in enega zvečer. Priporočila za odmerjanje trenutno temeljijo na majhnem številu pediatričnih bolnikov (glejte poglavji 5.1 in 5.2). Z zdravljenjem otrok, mlajših od 2 let, ni nobenih izkušenj.</w:t>
      </w:r>
    </w:p>
    <w:p w14:paraId="5297974F" w14:textId="77777777" w:rsidR="00BA16D8" w:rsidRPr="004A59B1" w:rsidRDefault="00BA16D8" w:rsidP="009C1193">
      <w:pPr>
        <w:pStyle w:val="EndnoteText"/>
        <w:widowControl w:val="0"/>
        <w:tabs>
          <w:tab w:val="clear" w:pos="567"/>
        </w:tabs>
        <w:rPr>
          <w:color w:val="000000"/>
          <w:szCs w:val="22"/>
          <w:lang w:val="pl-PL"/>
        </w:rPr>
      </w:pPr>
    </w:p>
    <w:p w14:paraId="52979750" w14:textId="77777777" w:rsidR="00BA16D8" w:rsidRPr="004A59B1" w:rsidRDefault="00BA16D8" w:rsidP="009C1193">
      <w:pPr>
        <w:pStyle w:val="EndnoteText"/>
        <w:widowControl w:val="0"/>
        <w:tabs>
          <w:tab w:val="clear" w:pos="567"/>
        </w:tabs>
        <w:rPr>
          <w:color w:val="000000"/>
          <w:szCs w:val="22"/>
          <w:lang w:val="pl-PL"/>
        </w:rPr>
      </w:pPr>
      <w:r w:rsidRPr="004A59B1">
        <w:rPr>
          <w:color w:val="000000"/>
          <w:szCs w:val="22"/>
          <w:lang w:val="pl-PL"/>
        </w:rPr>
        <w:t>Povečanje odmerka s 340 mg/m</w:t>
      </w:r>
      <w:r w:rsidRPr="004A59B1">
        <w:rPr>
          <w:color w:val="000000"/>
          <w:szCs w:val="22"/>
          <w:vertAlign w:val="superscript"/>
          <w:lang w:val="pl-PL"/>
        </w:rPr>
        <w:t>2</w:t>
      </w:r>
      <w:r w:rsidRPr="004A59B1">
        <w:rPr>
          <w:color w:val="000000"/>
          <w:szCs w:val="22"/>
          <w:lang w:val="pl-PL"/>
        </w:rPr>
        <w:t xml:space="preserve"> </w:t>
      </w:r>
      <w:r w:rsidR="009E6539" w:rsidRPr="004A59B1">
        <w:rPr>
          <w:color w:val="000000"/>
          <w:szCs w:val="22"/>
          <w:lang w:val="pl-PL"/>
        </w:rPr>
        <w:t xml:space="preserve">na dan </w:t>
      </w:r>
      <w:r w:rsidRPr="004A59B1">
        <w:rPr>
          <w:color w:val="000000"/>
          <w:szCs w:val="22"/>
          <w:lang w:val="pl-PL"/>
        </w:rPr>
        <w:t>na 570 mg/m</w:t>
      </w:r>
      <w:r w:rsidRPr="004A59B1">
        <w:rPr>
          <w:color w:val="000000"/>
          <w:szCs w:val="22"/>
          <w:vertAlign w:val="superscript"/>
          <w:lang w:val="pl-PL"/>
        </w:rPr>
        <w:t>2</w:t>
      </w:r>
      <w:r w:rsidRPr="004A59B1">
        <w:rPr>
          <w:color w:val="000000"/>
          <w:szCs w:val="22"/>
          <w:lang w:val="pl-PL"/>
        </w:rPr>
        <w:t xml:space="preserve"> </w:t>
      </w:r>
      <w:r w:rsidR="009E6539" w:rsidRPr="004A59B1">
        <w:rPr>
          <w:color w:val="000000"/>
          <w:szCs w:val="22"/>
          <w:lang w:val="pl-PL"/>
        </w:rPr>
        <w:t xml:space="preserve">na dan </w:t>
      </w:r>
      <w:r w:rsidRPr="004A59B1">
        <w:rPr>
          <w:color w:val="000000"/>
          <w:szCs w:val="22"/>
          <w:lang w:val="pl-PL"/>
        </w:rPr>
        <w:t>(ne sme preseči celotnega odmerka 800 mg) pride v poštev pri otrocih, ki nimajo hud</w:t>
      </w:r>
      <w:r w:rsidR="00265FC5" w:rsidRPr="004A59B1">
        <w:rPr>
          <w:color w:val="000000"/>
          <w:szCs w:val="22"/>
          <w:lang w:val="pl-PL"/>
        </w:rPr>
        <w:t>ih</w:t>
      </w:r>
      <w:r w:rsidRPr="004A59B1">
        <w:rPr>
          <w:color w:val="000000"/>
          <w:szCs w:val="22"/>
          <w:lang w:val="pl-PL"/>
        </w:rPr>
        <w:t xml:space="preserve"> neželen</w:t>
      </w:r>
      <w:r w:rsidR="00265FC5" w:rsidRPr="004A59B1">
        <w:rPr>
          <w:color w:val="000000"/>
          <w:szCs w:val="22"/>
          <w:lang w:val="pl-PL"/>
        </w:rPr>
        <w:t>ih</w:t>
      </w:r>
      <w:r w:rsidRPr="004A59B1">
        <w:rPr>
          <w:color w:val="000000"/>
          <w:szCs w:val="22"/>
          <w:lang w:val="pl-PL"/>
        </w:rPr>
        <w:t xml:space="preserve"> </w:t>
      </w:r>
      <w:r w:rsidR="00265FC5" w:rsidRPr="004A59B1">
        <w:rPr>
          <w:color w:val="000000"/>
          <w:szCs w:val="22"/>
          <w:lang w:val="pl-PL"/>
        </w:rPr>
        <w:t>učinkov</w:t>
      </w:r>
      <w:r w:rsidRPr="004A59B1">
        <w:rPr>
          <w:color w:val="000000"/>
          <w:szCs w:val="22"/>
          <w:lang w:val="pl-PL"/>
        </w:rPr>
        <w:t xml:space="preserve"> na zdravilo in hude nevtropenije ali trombocitopenije, ki </w:t>
      </w:r>
      <w:r w:rsidR="00E43096" w:rsidRPr="004A59B1">
        <w:rPr>
          <w:color w:val="000000"/>
          <w:szCs w:val="22"/>
          <w:lang w:val="pl-PL"/>
        </w:rPr>
        <w:t xml:space="preserve">ni </w:t>
      </w:r>
      <w:r w:rsidRPr="004A59B1">
        <w:rPr>
          <w:color w:val="000000"/>
          <w:szCs w:val="22"/>
          <w:lang w:val="pl-PL"/>
        </w:rPr>
        <w:t>povezana z levkemijo, in sicer v sledečih okoliščinah: napredovanje bolezni (kadarkoli); odsotnost zadovoljivega hematološkega odziva po najmanj 3 mesecih zdravljenja; odsotnost citogenetičnega odziva po 12 mesecih zdravljenja; ali izguba že prej doseženega hematološkega ali citogenetičnega odziva</w:t>
      </w:r>
      <w:r w:rsidR="00265FC5" w:rsidRPr="004A59B1">
        <w:rPr>
          <w:color w:val="000000"/>
          <w:szCs w:val="22"/>
          <w:lang w:val="pl-PL"/>
        </w:rPr>
        <w:t xml:space="preserve"> ali obojega</w:t>
      </w:r>
      <w:r w:rsidRPr="004A59B1">
        <w:rPr>
          <w:color w:val="000000"/>
          <w:szCs w:val="22"/>
          <w:lang w:val="pl-PL"/>
        </w:rPr>
        <w:t xml:space="preserve">. Po povečanju odmerka je treba bolnike natančno spremljati, ker pri večjih odmerkih obstaja možnost povečane pogostnosti neželenih </w:t>
      </w:r>
      <w:r w:rsidR="00265FC5" w:rsidRPr="004A59B1">
        <w:rPr>
          <w:color w:val="000000"/>
          <w:szCs w:val="22"/>
          <w:lang w:val="pl-PL"/>
        </w:rPr>
        <w:t>učinkov</w:t>
      </w:r>
      <w:r w:rsidRPr="004A59B1">
        <w:rPr>
          <w:color w:val="000000"/>
          <w:szCs w:val="22"/>
          <w:lang w:val="pl-PL"/>
        </w:rPr>
        <w:t>.</w:t>
      </w:r>
    </w:p>
    <w:p w14:paraId="52979751" w14:textId="77777777" w:rsidR="00444D75" w:rsidRPr="004A59B1" w:rsidRDefault="00444D75" w:rsidP="009C1193">
      <w:pPr>
        <w:pStyle w:val="EndnoteText"/>
        <w:widowControl w:val="0"/>
        <w:tabs>
          <w:tab w:val="clear" w:pos="567"/>
        </w:tabs>
        <w:rPr>
          <w:color w:val="000000"/>
          <w:szCs w:val="22"/>
          <w:lang w:val="pl-PL"/>
        </w:rPr>
      </w:pPr>
    </w:p>
    <w:p w14:paraId="52979752" w14:textId="77777777" w:rsidR="0027293F" w:rsidRPr="004A59B1" w:rsidRDefault="0027293F" w:rsidP="009C1193">
      <w:pPr>
        <w:keepNext/>
        <w:widowControl w:val="0"/>
        <w:spacing w:line="240" w:lineRule="auto"/>
        <w:jc w:val="both"/>
        <w:rPr>
          <w:color w:val="000000"/>
          <w:szCs w:val="22"/>
          <w:u w:val="single"/>
          <w:lang w:val="pl-PL"/>
        </w:rPr>
      </w:pPr>
      <w:r w:rsidRPr="004A59B1">
        <w:rPr>
          <w:color w:val="000000"/>
          <w:szCs w:val="22"/>
          <w:u w:val="single"/>
          <w:lang w:val="pl-PL"/>
        </w:rPr>
        <w:t>Odmerjanje pri Ph+ ALL</w:t>
      </w:r>
      <w:r w:rsidR="00673FCE" w:rsidRPr="004A59B1">
        <w:rPr>
          <w:color w:val="000000"/>
          <w:szCs w:val="22"/>
          <w:u w:val="single"/>
          <w:lang w:val="pl-PL"/>
        </w:rPr>
        <w:t xml:space="preserve"> pri odraslih bolnikih</w:t>
      </w:r>
    </w:p>
    <w:p w14:paraId="52979753" w14:textId="77777777" w:rsidR="0027293F" w:rsidRPr="004A59B1" w:rsidRDefault="0027293F" w:rsidP="009C1193">
      <w:pPr>
        <w:pStyle w:val="EndnoteText"/>
        <w:widowControl w:val="0"/>
        <w:tabs>
          <w:tab w:val="clear" w:pos="567"/>
        </w:tabs>
        <w:rPr>
          <w:color w:val="000000"/>
          <w:szCs w:val="22"/>
          <w:lang w:val="pl-PL"/>
        </w:rPr>
      </w:pPr>
      <w:r w:rsidRPr="004A59B1">
        <w:rPr>
          <w:color w:val="000000"/>
          <w:szCs w:val="22"/>
          <w:lang w:val="pl-PL"/>
        </w:rPr>
        <w:t xml:space="preserve">Priporočeni odmerek </w:t>
      </w:r>
      <w:r w:rsidR="00D81193" w:rsidRPr="004A59B1">
        <w:rPr>
          <w:color w:val="000000"/>
          <w:szCs w:val="22"/>
          <w:lang w:val="pl-PL"/>
        </w:rPr>
        <w:t>zdravila Glivec</w:t>
      </w:r>
      <w:r w:rsidRPr="004A59B1">
        <w:rPr>
          <w:color w:val="000000"/>
          <w:szCs w:val="22"/>
          <w:lang w:val="pl-PL"/>
        </w:rPr>
        <w:t xml:space="preserve"> pri </w:t>
      </w:r>
      <w:r w:rsidR="00577F21" w:rsidRPr="004A59B1">
        <w:rPr>
          <w:color w:val="000000"/>
          <w:szCs w:val="22"/>
          <w:lang w:val="pl-PL"/>
        </w:rPr>
        <w:t xml:space="preserve">odraslih </w:t>
      </w:r>
      <w:r w:rsidRPr="004A59B1">
        <w:rPr>
          <w:color w:val="000000"/>
          <w:szCs w:val="22"/>
          <w:lang w:val="pl-PL"/>
        </w:rPr>
        <w:t>bolnikih s Ph+ ALL je 600 mg/dan. V vseh fazah naj zdravljenje nadzira hematolog, strokovnjak za vodenje te bolezni.</w:t>
      </w:r>
    </w:p>
    <w:p w14:paraId="52979754" w14:textId="77777777" w:rsidR="0027293F" w:rsidRPr="004A59B1" w:rsidRDefault="0027293F" w:rsidP="009C1193">
      <w:pPr>
        <w:pStyle w:val="EndnoteText"/>
        <w:widowControl w:val="0"/>
        <w:tabs>
          <w:tab w:val="clear" w:pos="567"/>
        </w:tabs>
        <w:rPr>
          <w:color w:val="000000"/>
          <w:szCs w:val="22"/>
          <w:lang w:val="pl-PL"/>
        </w:rPr>
      </w:pPr>
    </w:p>
    <w:p w14:paraId="52979755" w14:textId="77777777" w:rsidR="0027293F" w:rsidRPr="004A59B1" w:rsidRDefault="0027293F" w:rsidP="009C1193">
      <w:pPr>
        <w:pStyle w:val="EndnoteText"/>
        <w:widowControl w:val="0"/>
        <w:tabs>
          <w:tab w:val="clear" w:pos="567"/>
        </w:tabs>
        <w:rPr>
          <w:rFonts w:eastAsia="MS Mincho"/>
          <w:color w:val="000000"/>
          <w:lang w:val="pl-PL" w:eastAsia="ja-JP"/>
        </w:rPr>
      </w:pPr>
      <w:r w:rsidRPr="004A59B1">
        <w:rPr>
          <w:color w:val="000000"/>
          <w:szCs w:val="22"/>
          <w:lang w:val="pl-PL"/>
        </w:rPr>
        <w:t xml:space="preserve">Razpored zdravljenja: Na osnovi obstoječih podatkov se je </w:t>
      </w:r>
      <w:r w:rsidR="003D6822" w:rsidRPr="004A59B1">
        <w:rPr>
          <w:color w:val="000000"/>
          <w:szCs w:val="22"/>
          <w:lang w:val="pl-PL"/>
        </w:rPr>
        <w:t xml:space="preserve">zdravilo </w:t>
      </w:r>
      <w:r w:rsidRPr="004A59B1">
        <w:rPr>
          <w:color w:val="000000"/>
          <w:szCs w:val="22"/>
          <w:lang w:val="pl-PL"/>
        </w:rPr>
        <w:t>Glivec izkazal</w:t>
      </w:r>
      <w:r w:rsidR="003D6822" w:rsidRPr="004A59B1">
        <w:rPr>
          <w:color w:val="000000"/>
          <w:szCs w:val="22"/>
          <w:lang w:val="pl-PL"/>
        </w:rPr>
        <w:t>o</w:t>
      </w:r>
      <w:r w:rsidRPr="004A59B1">
        <w:rPr>
          <w:color w:val="000000"/>
          <w:szCs w:val="22"/>
          <w:lang w:val="pl-PL"/>
        </w:rPr>
        <w:t xml:space="preserve"> kot učinkovito in varno zdravilo, če je bil</w:t>
      </w:r>
      <w:r w:rsidR="004B33C9" w:rsidRPr="004A59B1">
        <w:rPr>
          <w:color w:val="000000"/>
          <w:szCs w:val="22"/>
          <w:lang w:val="pl-PL"/>
        </w:rPr>
        <w:t>o</w:t>
      </w:r>
      <w:r w:rsidRPr="004A59B1">
        <w:rPr>
          <w:color w:val="000000"/>
          <w:szCs w:val="22"/>
          <w:lang w:val="pl-PL"/>
        </w:rPr>
        <w:t xml:space="preserve"> pri odraslih bolnikih z novo diagnosticirano </w:t>
      </w:r>
      <w:r w:rsidRPr="004A59B1">
        <w:rPr>
          <w:rFonts w:eastAsia="MS Mincho"/>
          <w:color w:val="000000"/>
          <w:lang w:val="pl-PL" w:eastAsia="ja-JP"/>
        </w:rPr>
        <w:t>Ph+ALL</w:t>
      </w:r>
      <w:r w:rsidRPr="004A59B1">
        <w:rPr>
          <w:color w:val="000000"/>
          <w:szCs w:val="22"/>
          <w:lang w:val="pl-PL"/>
        </w:rPr>
        <w:t xml:space="preserve"> uporabljen</w:t>
      </w:r>
      <w:r w:rsidR="004B33C9" w:rsidRPr="004A59B1">
        <w:rPr>
          <w:color w:val="000000"/>
          <w:szCs w:val="22"/>
          <w:lang w:val="pl-PL"/>
        </w:rPr>
        <w:t>o</w:t>
      </w:r>
      <w:r w:rsidRPr="004A59B1">
        <w:rPr>
          <w:color w:val="000000"/>
          <w:szCs w:val="22"/>
          <w:lang w:val="pl-PL"/>
        </w:rPr>
        <w:t xml:space="preserve"> v odmerku </w:t>
      </w:r>
      <w:r w:rsidRPr="004A59B1">
        <w:rPr>
          <w:rFonts w:eastAsia="MS Mincho"/>
          <w:color w:val="000000"/>
          <w:lang w:val="pl-PL" w:eastAsia="ja-JP"/>
        </w:rPr>
        <w:t xml:space="preserve">600 mg/dan v kombinaciji s kemoterapijo v </w:t>
      </w:r>
      <w:r w:rsidR="00265FC5" w:rsidRPr="004A59B1">
        <w:rPr>
          <w:rFonts w:eastAsia="MS Mincho"/>
          <w:color w:val="000000"/>
          <w:lang w:val="pl-PL" w:eastAsia="ja-JP"/>
        </w:rPr>
        <w:t>začetni fazi</w:t>
      </w:r>
      <w:r w:rsidRPr="004A59B1">
        <w:rPr>
          <w:rFonts w:eastAsia="MS Mincho"/>
          <w:color w:val="000000"/>
          <w:lang w:val="pl-PL" w:eastAsia="ja-JP"/>
        </w:rPr>
        <w:t>, konsolidacijski in vzdrževalni fazi kemoterapije (glejte poglavje 5.1). Trajanje zdravljenja z zdravilom Glivec je lahko različno glede na izbrani program zdravljenja, vendar pa je na splošno daljša izpostavljenost zdravilu Glivec prinesla boljše rezultate.</w:t>
      </w:r>
    </w:p>
    <w:p w14:paraId="52979756" w14:textId="77777777" w:rsidR="0027293F" w:rsidRPr="004A59B1" w:rsidRDefault="0027293F" w:rsidP="009C1193">
      <w:pPr>
        <w:pStyle w:val="EndnoteText"/>
        <w:widowControl w:val="0"/>
        <w:tabs>
          <w:tab w:val="clear" w:pos="567"/>
        </w:tabs>
        <w:rPr>
          <w:color w:val="000000"/>
          <w:szCs w:val="22"/>
          <w:lang w:val="pl-PL"/>
        </w:rPr>
      </w:pPr>
    </w:p>
    <w:p w14:paraId="52979757" w14:textId="77777777" w:rsidR="0027293F" w:rsidRPr="004A59B1" w:rsidRDefault="0027293F" w:rsidP="009C1193">
      <w:pPr>
        <w:widowControl w:val="0"/>
        <w:rPr>
          <w:rFonts w:eastAsia="MS Mincho"/>
          <w:color w:val="000000"/>
          <w:lang w:val="pl-PL" w:eastAsia="ja-JP"/>
        </w:rPr>
      </w:pPr>
      <w:r w:rsidRPr="004A59B1">
        <w:rPr>
          <w:rFonts w:eastAsia="MS Mincho"/>
          <w:color w:val="000000"/>
          <w:lang w:val="pl-PL" w:eastAsia="ja-JP"/>
        </w:rPr>
        <w:t xml:space="preserve">Za odrasle bolnike </w:t>
      </w:r>
      <w:r w:rsidRPr="004A59B1">
        <w:rPr>
          <w:color w:val="000000"/>
          <w:szCs w:val="22"/>
          <w:lang w:val="pl-PL"/>
        </w:rPr>
        <w:t xml:space="preserve">z relapsom ali neodzivno Ph+ ALL je </w:t>
      </w:r>
      <w:r w:rsidR="003D6822" w:rsidRPr="004A59B1">
        <w:rPr>
          <w:color w:val="000000"/>
          <w:szCs w:val="22"/>
          <w:lang w:val="pl-PL"/>
        </w:rPr>
        <w:t xml:space="preserve">zdravilo </w:t>
      </w:r>
      <w:r w:rsidRPr="004A59B1">
        <w:rPr>
          <w:color w:val="000000"/>
          <w:szCs w:val="22"/>
          <w:lang w:val="pl-PL"/>
        </w:rPr>
        <w:t>Glivec kot monoterapija v odmerku</w:t>
      </w:r>
      <w:r w:rsidRPr="004A59B1">
        <w:rPr>
          <w:rFonts w:eastAsia="MS Mincho"/>
          <w:color w:val="000000"/>
          <w:lang w:val="pl-PL" w:eastAsia="ja-JP"/>
        </w:rPr>
        <w:t xml:space="preserve"> 600 mg/dan varn</w:t>
      </w:r>
      <w:r w:rsidR="004B33C9" w:rsidRPr="004A59B1">
        <w:rPr>
          <w:rFonts w:eastAsia="MS Mincho"/>
          <w:color w:val="000000"/>
          <w:lang w:val="pl-PL" w:eastAsia="ja-JP"/>
        </w:rPr>
        <w:t>o</w:t>
      </w:r>
      <w:r w:rsidRPr="004A59B1">
        <w:rPr>
          <w:rFonts w:eastAsia="MS Mincho"/>
          <w:color w:val="000000"/>
          <w:lang w:val="pl-PL" w:eastAsia="ja-JP"/>
        </w:rPr>
        <w:t xml:space="preserve"> in učinkovit</w:t>
      </w:r>
      <w:r w:rsidR="004B33C9" w:rsidRPr="004A59B1">
        <w:rPr>
          <w:rFonts w:eastAsia="MS Mincho"/>
          <w:color w:val="000000"/>
          <w:lang w:val="pl-PL" w:eastAsia="ja-JP"/>
        </w:rPr>
        <w:t>o</w:t>
      </w:r>
      <w:r w:rsidRPr="004A59B1">
        <w:rPr>
          <w:rFonts w:eastAsia="MS Mincho"/>
          <w:color w:val="000000"/>
          <w:lang w:val="pl-PL" w:eastAsia="ja-JP"/>
        </w:rPr>
        <w:t xml:space="preserve"> ter ga lahko prejemajo dokler ne pride do napredovanja bolezni.</w:t>
      </w:r>
    </w:p>
    <w:p w14:paraId="52979758" w14:textId="77777777" w:rsidR="00DD539F" w:rsidRPr="004A59B1" w:rsidRDefault="00DD539F" w:rsidP="009C1193">
      <w:pPr>
        <w:pStyle w:val="EndnoteText"/>
        <w:widowControl w:val="0"/>
        <w:tabs>
          <w:tab w:val="clear" w:pos="567"/>
        </w:tabs>
        <w:rPr>
          <w:color w:val="000000"/>
          <w:szCs w:val="22"/>
          <w:u w:val="single"/>
          <w:lang w:val="pl-PL"/>
        </w:rPr>
      </w:pPr>
    </w:p>
    <w:p w14:paraId="52979759" w14:textId="77777777" w:rsidR="00673FCE" w:rsidRPr="004A59B1" w:rsidRDefault="00673FCE" w:rsidP="009C1193">
      <w:pPr>
        <w:keepNext/>
        <w:widowControl w:val="0"/>
        <w:spacing w:line="240" w:lineRule="auto"/>
        <w:jc w:val="both"/>
        <w:rPr>
          <w:rFonts w:eastAsia="MS Mincho"/>
          <w:color w:val="000000"/>
          <w:u w:val="single"/>
          <w:lang w:val="pl-PL" w:eastAsia="ja-JP"/>
        </w:rPr>
      </w:pPr>
      <w:r w:rsidRPr="00AA1FD3">
        <w:rPr>
          <w:color w:val="000000"/>
          <w:szCs w:val="22"/>
          <w:u w:val="single"/>
          <w:lang w:val="pl-PL"/>
        </w:rPr>
        <w:t>Odmerjanje</w:t>
      </w:r>
      <w:r w:rsidRPr="004A59B1">
        <w:rPr>
          <w:rFonts w:eastAsia="MS Mincho"/>
          <w:color w:val="000000"/>
          <w:u w:val="single"/>
          <w:lang w:val="pl-PL" w:eastAsia="ja-JP"/>
        </w:rPr>
        <w:t xml:space="preserve"> pri Ph+ ALL pri otrocih</w:t>
      </w:r>
    </w:p>
    <w:p w14:paraId="5297975A" w14:textId="77777777" w:rsidR="00673FCE" w:rsidRPr="004A59B1" w:rsidRDefault="00673FCE" w:rsidP="009C1193">
      <w:pPr>
        <w:pStyle w:val="EndnoteText"/>
        <w:widowControl w:val="0"/>
        <w:tabs>
          <w:tab w:val="clear" w:pos="567"/>
        </w:tabs>
        <w:rPr>
          <w:color w:val="000000"/>
          <w:szCs w:val="22"/>
          <w:lang w:val="pl-PL"/>
        </w:rPr>
      </w:pPr>
      <w:r w:rsidRPr="004A59B1">
        <w:rPr>
          <w:color w:val="000000"/>
          <w:szCs w:val="22"/>
          <w:lang w:val="pl-PL"/>
        </w:rPr>
        <w:t>Odmerjanje za otroke mora temeljiti na telesni površini (mg/m</w:t>
      </w:r>
      <w:r w:rsidRPr="004A59B1">
        <w:rPr>
          <w:color w:val="000000"/>
          <w:szCs w:val="22"/>
          <w:vertAlign w:val="superscript"/>
          <w:lang w:val="pl-PL"/>
        </w:rPr>
        <w:t>2</w:t>
      </w:r>
      <w:r w:rsidRPr="004A59B1">
        <w:rPr>
          <w:color w:val="000000"/>
          <w:szCs w:val="22"/>
          <w:lang w:val="pl-PL"/>
        </w:rPr>
        <w:t xml:space="preserve">). Za otroke s </w:t>
      </w:r>
      <w:r w:rsidR="00C232AE" w:rsidRPr="004A59B1">
        <w:rPr>
          <w:color w:val="000000"/>
          <w:szCs w:val="22"/>
          <w:lang w:val="pl-PL"/>
        </w:rPr>
        <w:t>Ph+ ALL</w:t>
      </w:r>
      <w:r w:rsidRPr="004A59B1">
        <w:rPr>
          <w:color w:val="000000"/>
          <w:szCs w:val="22"/>
          <w:lang w:val="pl-PL"/>
        </w:rPr>
        <w:t xml:space="preserve"> je priporočeni odmerek 340 mg/m</w:t>
      </w:r>
      <w:r w:rsidRPr="004A59B1">
        <w:rPr>
          <w:color w:val="000000"/>
          <w:szCs w:val="22"/>
          <w:vertAlign w:val="superscript"/>
          <w:lang w:val="pl-PL"/>
        </w:rPr>
        <w:t>2</w:t>
      </w:r>
      <w:r w:rsidRPr="004A59B1">
        <w:rPr>
          <w:color w:val="000000"/>
          <w:szCs w:val="22"/>
          <w:lang w:val="pl-PL"/>
        </w:rPr>
        <w:t xml:space="preserve"> na dan (ne sme preseči celotnega odmerka </w:t>
      </w:r>
      <w:r w:rsidR="00C232AE" w:rsidRPr="004A59B1">
        <w:rPr>
          <w:color w:val="000000"/>
          <w:szCs w:val="22"/>
          <w:lang w:val="pl-PL"/>
        </w:rPr>
        <w:t>6</w:t>
      </w:r>
      <w:r w:rsidRPr="004A59B1">
        <w:rPr>
          <w:color w:val="000000"/>
          <w:szCs w:val="22"/>
          <w:lang w:val="pl-PL"/>
        </w:rPr>
        <w:t>00 mg).</w:t>
      </w:r>
    </w:p>
    <w:p w14:paraId="5297975B" w14:textId="77777777" w:rsidR="00673FCE" w:rsidRPr="004A59B1" w:rsidRDefault="00673FCE" w:rsidP="009C1193">
      <w:pPr>
        <w:pStyle w:val="EndnoteText"/>
        <w:widowControl w:val="0"/>
        <w:tabs>
          <w:tab w:val="clear" w:pos="567"/>
        </w:tabs>
        <w:rPr>
          <w:color w:val="000000"/>
          <w:szCs w:val="22"/>
          <w:u w:val="single"/>
          <w:lang w:val="pl-PL"/>
        </w:rPr>
      </w:pPr>
    </w:p>
    <w:p w14:paraId="5297975C" w14:textId="77777777" w:rsidR="00DD539F" w:rsidRPr="004A59B1" w:rsidRDefault="00DD539F" w:rsidP="009C1193">
      <w:pPr>
        <w:keepNext/>
        <w:widowControl w:val="0"/>
        <w:spacing w:line="240" w:lineRule="auto"/>
        <w:jc w:val="both"/>
        <w:rPr>
          <w:color w:val="000000"/>
          <w:szCs w:val="22"/>
          <w:u w:val="single"/>
          <w:lang w:val="pl-PL"/>
        </w:rPr>
      </w:pPr>
      <w:r w:rsidRPr="004A59B1">
        <w:rPr>
          <w:color w:val="000000"/>
          <w:szCs w:val="22"/>
          <w:u w:val="single"/>
          <w:lang w:val="pl-PL"/>
        </w:rPr>
        <w:t>Odmerjanje pri MDS/MPD</w:t>
      </w:r>
    </w:p>
    <w:p w14:paraId="5297975D" w14:textId="77777777" w:rsidR="00DD539F" w:rsidRPr="004A59B1" w:rsidRDefault="00DD539F" w:rsidP="009C1193">
      <w:pPr>
        <w:pStyle w:val="EndnoteText"/>
        <w:widowControl w:val="0"/>
        <w:tabs>
          <w:tab w:val="clear" w:pos="567"/>
        </w:tabs>
        <w:rPr>
          <w:color w:val="000000"/>
          <w:szCs w:val="22"/>
          <w:lang w:val="pl-PL"/>
        </w:rPr>
      </w:pPr>
      <w:r w:rsidRPr="004A59B1">
        <w:rPr>
          <w:color w:val="000000"/>
          <w:szCs w:val="22"/>
          <w:lang w:val="pl-PL"/>
        </w:rPr>
        <w:t xml:space="preserve">Priporočeni odmerek </w:t>
      </w:r>
      <w:r w:rsidR="00563D98" w:rsidRPr="004A59B1">
        <w:rPr>
          <w:color w:val="000000"/>
          <w:szCs w:val="22"/>
          <w:lang w:val="pl-PL"/>
        </w:rPr>
        <w:t xml:space="preserve">zdravila </w:t>
      </w:r>
      <w:r w:rsidRPr="004A59B1">
        <w:rPr>
          <w:color w:val="000000"/>
          <w:szCs w:val="22"/>
          <w:lang w:val="pl-PL"/>
        </w:rPr>
        <w:t xml:space="preserve">Glivec pri </w:t>
      </w:r>
      <w:r w:rsidR="00577F21" w:rsidRPr="004A59B1">
        <w:rPr>
          <w:color w:val="000000"/>
          <w:szCs w:val="22"/>
          <w:lang w:val="pl-PL"/>
        </w:rPr>
        <w:t xml:space="preserve">odraslih </w:t>
      </w:r>
      <w:r w:rsidRPr="004A59B1">
        <w:rPr>
          <w:color w:val="000000"/>
          <w:szCs w:val="22"/>
          <w:lang w:val="pl-PL"/>
        </w:rPr>
        <w:t>bolnikih z MDS/MPD je 400 mg/dan.</w:t>
      </w:r>
    </w:p>
    <w:p w14:paraId="5297975E" w14:textId="77777777" w:rsidR="00DD539F" w:rsidRPr="004A59B1" w:rsidRDefault="00DD539F" w:rsidP="009C1193">
      <w:pPr>
        <w:pStyle w:val="EndnoteText"/>
        <w:widowControl w:val="0"/>
        <w:tabs>
          <w:tab w:val="clear" w:pos="567"/>
        </w:tabs>
        <w:rPr>
          <w:color w:val="000000"/>
          <w:szCs w:val="22"/>
          <w:u w:val="single"/>
          <w:lang w:val="pl-PL"/>
        </w:rPr>
      </w:pPr>
    </w:p>
    <w:p w14:paraId="5297975F" w14:textId="77777777" w:rsidR="00753CDA" w:rsidRPr="004A59B1" w:rsidRDefault="00DD539F" w:rsidP="009C1193">
      <w:pPr>
        <w:pStyle w:val="EndnoteText"/>
        <w:widowControl w:val="0"/>
        <w:tabs>
          <w:tab w:val="clear" w:pos="567"/>
        </w:tabs>
        <w:rPr>
          <w:color w:val="000000"/>
          <w:szCs w:val="22"/>
          <w:lang w:val="pl-PL"/>
        </w:rPr>
      </w:pPr>
      <w:r w:rsidRPr="004A59B1">
        <w:rPr>
          <w:color w:val="000000"/>
          <w:szCs w:val="22"/>
          <w:lang w:val="pl-PL"/>
        </w:rPr>
        <w:t xml:space="preserve">Trajanje zdravljenja: V edinem do zdaj izvedenem kliničnem preskušanju so zdravljenje z </w:t>
      </w:r>
      <w:r w:rsidR="00563D98" w:rsidRPr="004A59B1">
        <w:rPr>
          <w:color w:val="000000"/>
          <w:szCs w:val="22"/>
          <w:lang w:val="pl-PL"/>
        </w:rPr>
        <w:t xml:space="preserve">zdravilom </w:t>
      </w:r>
      <w:r w:rsidRPr="004A59B1">
        <w:rPr>
          <w:color w:val="000000"/>
          <w:szCs w:val="22"/>
          <w:lang w:val="pl-PL"/>
        </w:rPr>
        <w:t>Glivec nadaljevali do napredo</w:t>
      </w:r>
      <w:r w:rsidR="00753CDA" w:rsidRPr="004A59B1">
        <w:rPr>
          <w:color w:val="000000"/>
          <w:szCs w:val="22"/>
          <w:lang w:val="pl-PL"/>
        </w:rPr>
        <w:t xml:space="preserve">vanja bolezni (glejte poglavje 5.1). V času analize je </w:t>
      </w:r>
      <w:r w:rsidR="00B46694" w:rsidRPr="004A59B1">
        <w:rPr>
          <w:color w:val="000000"/>
          <w:szCs w:val="22"/>
          <w:lang w:val="pl-PL"/>
        </w:rPr>
        <w:t xml:space="preserve">bila mediana trajanja </w:t>
      </w:r>
      <w:r w:rsidR="009E0214" w:rsidRPr="004A59B1">
        <w:rPr>
          <w:color w:val="000000"/>
          <w:szCs w:val="22"/>
          <w:lang w:val="pl-PL"/>
        </w:rPr>
        <w:t>zdravljenj</w:t>
      </w:r>
      <w:r w:rsidR="00B46694" w:rsidRPr="004A59B1">
        <w:rPr>
          <w:color w:val="000000"/>
          <w:szCs w:val="22"/>
          <w:lang w:val="pl-PL"/>
        </w:rPr>
        <w:t>a</w:t>
      </w:r>
      <w:r w:rsidR="009E0214" w:rsidRPr="004A59B1">
        <w:rPr>
          <w:color w:val="000000"/>
          <w:szCs w:val="22"/>
          <w:lang w:val="pl-PL"/>
        </w:rPr>
        <w:t xml:space="preserve"> </w:t>
      </w:r>
      <w:r w:rsidR="00753CDA" w:rsidRPr="004A59B1">
        <w:rPr>
          <w:color w:val="000000"/>
          <w:szCs w:val="22"/>
          <w:lang w:val="pl-PL"/>
        </w:rPr>
        <w:t>47 m</w:t>
      </w:r>
      <w:r w:rsidR="009E0214" w:rsidRPr="004A59B1">
        <w:rPr>
          <w:color w:val="000000"/>
          <w:szCs w:val="22"/>
          <w:lang w:val="pl-PL"/>
        </w:rPr>
        <w:t xml:space="preserve">esecev </w:t>
      </w:r>
      <w:r w:rsidR="00753CDA" w:rsidRPr="004A59B1">
        <w:rPr>
          <w:color w:val="000000"/>
          <w:szCs w:val="22"/>
          <w:lang w:val="pl-PL"/>
        </w:rPr>
        <w:t>(24 d</w:t>
      </w:r>
      <w:r w:rsidR="009E0214" w:rsidRPr="004A59B1">
        <w:rPr>
          <w:color w:val="000000"/>
          <w:szCs w:val="22"/>
          <w:lang w:val="pl-PL"/>
        </w:rPr>
        <w:t>ni</w:t>
      </w:r>
      <w:r w:rsidR="00753CDA" w:rsidRPr="004A59B1">
        <w:rPr>
          <w:color w:val="000000"/>
          <w:szCs w:val="22"/>
          <w:lang w:val="pl-PL"/>
        </w:rPr>
        <w:t xml:space="preserve"> - 60 m</w:t>
      </w:r>
      <w:r w:rsidR="009E0214" w:rsidRPr="004A59B1">
        <w:rPr>
          <w:color w:val="000000"/>
          <w:szCs w:val="22"/>
          <w:lang w:val="pl-PL"/>
        </w:rPr>
        <w:t>esecev</w:t>
      </w:r>
      <w:r w:rsidR="00753CDA" w:rsidRPr="004A59B1">
        <w:rPr>
          <w:color w:val="000000"/>
          <w:szCs w:val="22"/>
          <w:lang w:val="pl-PL"/>
        </w:rPr>
        <w:t>).</w:t>
      </w:r>
    </w:p>
    <w:p w14:paraId="52979760" w14:textId="77777777" w:rsidR="00A42E5B" w:rsidRPr="004A59B1" w:rsidRDefault="00A42E5B" w:rsidP="009C1193">
      <w:pPr>
        <w:pStyle w:val="EndnoteText"/>
        <w:widowControl w:val="0"/>
        <w:tabs>
          <w:tab w:val="clear" w:pos="567"/>
        </w:tabs>
        <w:rPr>
          <w:color w:val="000000"/>
          <w:szCs w:val="22"/>
          <w:u w:val="single"/>
          <w:lang w:val="pl-PL"/>
        </w:rPr>
      </w:pPr>
    </w:p>
    <w:p w14:paraId="52979761" w14:textId="77777777" w:rsidR="00A42E5B" w:rsidRPr="004A59B1" w:rsidRDefault="00A42E5B" w:rsidP="009C1193">
      <w:pPr>
        <w:keepNext/>
        <w:widowControl w:val="0"/>
        <w:spacing w:line="240" w:lineRule="auto"/>
        <w:jc w:val="both"/>
        <w:rPr>
          <w:color w:val="000000"/>
          <w:szCs w:val="22"/>
          <w:u w:val="single"/>
          <w:lang w:val="pl-PL"/>
        </w:rPr>
      </w:pPr>
      <w:r w:rsidRPr="004A59B1">
        <w:rPr>
          <w:color w:val="000000"/>
          <w:szCs w:val="22"/>
          <w:u w:val="single"/>
          <w:lang w:val="pl-PL"/>
        </w:rPr>
        <w:t>Odmerjanje pri HES/CEL</w:t>
      </w:r>
    </w:p>
    <w:p w14:paraId="52979762" w14:textId="77777777" w:rsidR="00A42E5B" w:rsidRPr="004A59B1" w:rsidRDefault="00A42E5B" w:rsidP="009C1193">
      <w:pPr>
        <w:pStyle w:val="EndnoteText"/>
        <w:widowControl w:val="0"/>
        <w:tabs>
          <w:tab w:val="clear" w:pos="567"/>
        </w:tabs>
        <w:rPr>
          <w:color w:val="000000"/>
          <w:szCs w:val="22"/>
          <w:lang w:val="pl-PL"/>
        </w:rPr>
      </w:pPr>
      <w:r w:rsidRPr="004A59B1">
        <w:rPr>
          <w:color w:val="000000"/>
          <w:szCs w:val="22"/>
          <w:lang w:val="pl-PL"/>
        </w:rPr>
        <w:t xml:space="preserve">Priporočeni odmerek </w:t>
      </w:r>
      <w:r w:rsidR="00563D98" w:rsidRPr="004A59B1">
        <w:rPr>
          <w:color w:val="000000"/>
          <w:szCs w:val="22"/>
          <w:lang w:val="pl-PL"/>
        </w:rPr>
        <w:t xml:space="preserve">zdravila </w:t>
      </w:r>
      <w:r w:rsidRPr="004A59B1">
        <w:rPr>
          <w:color w:val="000000"/>
          <w:szCs w:val="22"/>
          <w:lang w:val="pl-PL"/>
        </w:rPr>
        <w:t xml:space="preserve">Glivec pri </w:t>
      </w:r>
      <w:r w:rsidR="00577F21" w:rsidRPr="004A59B1">
        <w:rPr>
          <w:color w:val="000000"/>
          <w:szCs w:val="22"/>
          <w:lang w:val="pl-PL"/>
        </w:rPr>
        <w:t xml:space="preserve">odraslih </w:t>
      </w:r>
      <w:r w:rsidRPr="004A59B1">
        <w:rPr>
          <w:color w:val="000000"/>
          <w:szCs w:val="22"/>
          <w:lang w:val="pl-PL"/>
        </w:rPr>
        <w:t>bolnikih s HES/CEL je 100 mg/dan.</w:t>
      </w:r>
    </w:p>
    <w:p w14:paraId="52979763" w14:textId="77777777" w:rsidR="00A42E5B" w:rsidRPr="004A59B1" w:rsidRDefault="00A42E5B" w:rsidP="009C1193">
      <w:pPr>
        <w:pStyle w:val="EndnoteText"/>
        <w:widowControl w:val="0"/>
        <w:tabs>
          <w:tab w:val="clear" w:pos="567"/>
        </w:tabs>
        <w:rPr>
          <w:color w:val="000000"/>
          <w:szCs w:val="22"/>
          <w:lang w:val="pl-PL"/>
        </w:rPr>
      </w:pPr>
    </w:p>
    <w:p w14:paraId="52979764" w14:textId="77777777" w:rsidR="00A42E5B" w:rsidRPr="004A59B1" w:rsidRDefault="00A42E5B" w:rsidP="009C1193">
      <w:pPr>
        <w:pStyle w:val="EndnoteText"/>
        <w:widowControl w:val="0"/>
        <w:tabs>
          <w:tab w:val="clear" w:pos="567"/>
        </w:tabs>
        <w:rPr>
          <w:color w:val="000000"/>
          <w:szCs w:val="22"/>
          <w:lang w:val="pl-PL"/>
        </w:rPr>
      </w:pPr>
      <w:r w:rsidRPr="004A59B1">
        <w:rPr>
          <w:color w:val="000000"/>
          <w:szCs w:val="22"/>
          <w:lang w:val="pl-PL"/>
        </w:rPr>
        <w:t>Če se ugotovi nezadosten odziv na zdravljenje, pri tem pa ni nobenih neželenih učinkov, velja pri takih bolnikih razmisliti o povečanju odmerka s 100 mg na 400 mg.</w:t>
      </w:r>
    </w:p>
    <w:p w14:paraId="52979765" w14:textId="77777777" w:rsidR="00DA00D3" w:rsidRPr="004A59B1" w:rsidRDefault="00DA00D3" w:rsidP="009C1193">
      <w:pPr>
        <w:pStyle w:val="Text"/>
        <w:widowControl w:val="0"/>
        <w:spacing w:before="0"/>
        <w:jc w:val="left"/>
        <w:rPr>
          <w:color w:val="000000"/>
          <w:sz w:val="22"/>
          <w:szCs w:val="22"/>
          <w:lang w:val="pl-PL"/>
        </w:rPr>
      </w:pPr>
    </w:p>
    <w:p w14:paraId="52979766" w14:textId="77777777" w:rsidR="00DA00D3" w:rsidRPr="004A59B1" w:rsidRDefault="00DA00D3" w:rsidP="009C1193">
      <w:pPr>
        <w:pStyle w:val="Text"/>
        <w:widowControl w:val="0"/>
        <w:spacing w:before="0"/>
        <w:jc w:val="left"/>
        <w:rPr>
          <w:color w:val="000000"/>
          <w:sz w:val="22"/>
          <w:szCs w:val="22"/>
          <w:lang w:val="pl-PL"/>
        </w:rPr>
      </w:pPr>
      <w:r w:rsidRPr="004A59B1">
        <w:rPr>
          <w:color w:val="000000"/>
          <w:sz w:val="22"/>
          <w:szCs w:val="22"/>
          <w:lang w:val="pl-PL"/>
        </w:rPr>
        <w:t>Z zdravljenjem je treba nadaljevati dokler to bolniku koristi.</w:t>
      </w:r>
    </w:p>
    <w:p w14:paraId="52979767" w14:textId="77777777" w:rsidR="00DD539F" w:rsidRPr="004A59B1" w:rsidRDefault="00DD539F" w:rsidP="009C1193">
      <w:pPr>
        <w:pStyle w:val="EndnoteText"/>
        <w:widowControl w:val="0"/>
        <w:tabs>
          <w:tab w:val="clear" w:pos="567"/>
        </w:tabs>
        <w:rPr>
          <w:color w:val="000000"/>
          <w:szCs w:val="22"/>
          <w:u w:val="single"/>
          <w:lang w:val="pl-PL"/>
        </w:rPr>
      </w:pPr>
    </w:p>
    <w:p w14:paraId="52979768" w14:textId="77777777" w:rsidR="00444D75" w:rsidRPr="004A59B1" w:rsidRDefault="00444D75" w:rsidP="009C1193">
      <w:pPr>
        <w:keepNext/>
        <w:widowControl w:val="0"/>
        <w:spacing w:line="240" w:lineRule="auto"/>
        <w:jc w:val="both"/>
        <w:rPr>
          <w:color w:val="000000"/>
          <w:szCs w:val="22"/>
          <w:u w:val="single"/>
          <w:lang w:val="pl-PL"/>
        </w:rPr>
      </w:pPr>
      <w:r w:rsidRPr="004A59B1">
        <w:rPr>
          <w:color w:val="000000"/>
          <w:szCs w:val="22"/>
          <w:u w:val="single"/>
          <w:lang w:val="pl-PL"/>
        </w:rPr>
        <w:t>Odmerjanje pri GIST</w:t>
      </w:r>
    </w:p>
    <w:p w14:paraId="52979769" w14:textId="77777777" w:rsidR="00444D75" w:rsidRPr="004A59B1" w:rsidRDefault="00444D75" w:rsidP="009C1193">
      <w:pPr>
        <w:pStyle w:val="EndnoteText"/>
        <w:widowControl w:val="0"/>
        <w:tabs>
          <w:tab w:val="clear" w:pos="567"/>
        </w:tabs>
        <w:rPr>
          <w:color w:val="000000"/>
          <w:szCs w:val="22"/>
          <w:lang w:val="pl-PL"/>
        </w:rPr>
      </w:pPr>
      <w:r w:rsidRPr="004A59B1">
        <w:rPr>
          <w:color w:val="000000"/>
          <w:szCs w:val="22"/>
          <w:lang w:val="pl-PL"/>
        </w:rPr>
        <w:t xml:space="preserve">Priporočeni odmerek </w:t>
      </w:r>
      <w:r w:rsidR="00D81193" w:rsidRPr="004A59B1">
        <w:rPr>
          <w:color w:val="000000"/>
          <w:szCs w:val="22"/>
          <w:lang w:val="pl-PL"/>
        </w:rPr>
        <w:t>zdravila Glivec</w:t>
      </w:r>
      <w:r w:rsidRPr="004A59B1">
        <w:rPr>
          <w:color w:val="000000"/>
          <w:szCs w:val="22"/>
          <w:lang w:val="pl-PL"/>
        </w:rPr>
        <w:t xml:space="preserve"> pri </w:t>
      </w:r>
      <w:r w:rsidR="00577F21" w:rsidRPr="004A59B1">
        <w:rPr>
          <w:color w:val="000000"/>
          <w:szCs w:val="22"/>
          <w:lang w:val="pl-PL"/>
        </w:rPr>
        <w:t xml:space="preserve">odraslih </w:t>
      </w:r>
      <w:r w:rsidRPr="004A59B1">
        <w:rPr>
          <w:color w:val="000000"/>
          <w:szCs w:val="22"/>
          <w:lang w:val="pl-PL"/>
        </w:rPr>
        <w:t>bolnikih z neresektabilnimi in/ali metastat</w:t>
      </w:r>
      <w:r w:rsidR="00410C16" w:rsidRPr="004A59B1">
        <w:rPr>
          <w:color w:val="000000"/>
          <w:szCs w:val="22"/>
          <w:lang w:val="pl-PL"/>
        </w:rPr>
        <w:t>skimi</w:t>
      </w:r>
      <w:r w:rsidRPr="004A59B1">
        <w:rPr>
          <w:color w:val="000000"/>
          <w:szCs w:val="22"/>
          <w:lang w:val="pl-PL"/>
        </w:rPr>
        <w:t xml:space="preserve"> malignimi GIST je 400 mg/dan.</w:t>
      </w:r>
    </w:p>
    <w:p w14:paraId="5297976A" w14:textId="77777777" w:rsidR="00444D75" w:rsidRPr="004A59B1" w:rsidRDefault="00444D75" w:rsidP="009C1193">
      <w:pPr>
        <w:pStyle w:val="EndnoteText"/>
        <w:widowControl w:val="0"/>
        <w:tabs>
          <w:tab w:val="clear" w:pos="567"/>
        </w:tabs>
        <w:rPr>
          <w:color w:val="000000"/>
          <w:szCs w:val="22"/>
          <w:lang w:val="pl-PL"/>
        </w:rPr>
      </w:pPr>
    </w:p>
    <w:p w14:paraId="5297976B" w14:textId="77777777" w:rsidR="00444D75" w:rsidRPr="004A59B1" w:rsidRDefault="00444D75" w:rsidP="009C1193">
      <w:pPr>
        <w:pStyle w:val="EndnoteText"/>
        <w:widowControl w:val="0"/>
        <w:tabs>
          <w:tab w:val="clear" w:pos="567"/>
        </w:tabs>
        <w:rPr>
          <w:color w:val="000000"/>
          <w:szCs w:val="22"/>
          <w:lang w:val="pl-PL"/>
        </w:rPr>
      </w:pPr>
      <w:r w:rsidRPr="004A59B1">
        <w:rPr>
          <w:color w:val="000000"/>
          <w:szCs w:val="22"/>
          <w:lang w:val="pl-PL"/>
        </w:rPr>
        <w:t xml:space="preserve">O učinku povečanja odmerka s 400 mg na 600 mg ali na 800 mg pri bolnikih, pri katerih bolezen pri manjšem odmerku napreduje, obstaja </w:t>
      </w:r>
      <w:r w:rsidR="00551057" w:rsidRPr="004A59B1">
        <w:rPr>
          <w:color w:val="000000"/>
          <w:szCs w:val="22"/>
          <w:lang w:val="pl-PL"/>
        </w:rPr>
        <w:t xml:space="preserve">malo podatkov </w:t>
      </w:r>
      <w:r w:rsidRPr="004A59B1">
        <w:rPr>
          <w:color w:val="000000"/>
          <w:szCs w:val="22"/>
          <w:lang w:val="pl-PL"/>
        </w:rPr>
        <w:t>(glejte poglavje 5.1).</w:t>
      </w:r>
    </w:p>
    <w:p w14:paraId="5297976C" w14:textId="77777777" w:rsidR="00444D75" w:rsidRPr="004A59B1" w:rsidRDefault="00444D75" w:rsidP="009C1193">
      <w:pPr>
        <w:pStyle w:val="EndnoteText"/>
        <w:widowControl w:val="0"/>
        <w:tabs>
          <w:tab w:val="clear" w:pos="567"/>
        </w:tabs>
        <w:rPr>
          <w:strike/>
          <w:color w:val="000000"/>
          <w:szCs w:val="22"/>
          <w:lang w:val="pl-PL"/>
        </w:rPr>
      </w:pPr>
    </w:p>
    <w:p w14:paraId="5297976D" w14:textId="77777777" w:rsidR="00444D75" w:rsidRPr="004A59B1" w:rsidRDefault="00444D75" w:rsidP="009C1193">
      <w:pPr>
        <w:pStyle w:val="EndnoteText"/>
        <w:widowControl w:val="0"/>
        <w:tabs>
          <w:tab w:val="clear" w:pos="567"/>
        </w:tabs>
        <w:rPr>
          <w:color w:val="000000"/>
          <w:szCs w:val="22"/>
          <w:lang w:val="pl-PL"/>
        </w:rPr>
      </w:pPr>
      <w:r w:rsidRPr="004A59B1">
        <w:rPr>
          <w:color w:val="000000"/>
          <w:szCs w:val="22"/>
          <w:lang w:val="pl-PL"/>
        </w:rPr>
        <w:t xml:space="preserve">Trajanje zdravljenja: V kliničnih preskušanjih </w:t>
      </w:r>
      <w:r w:rsidR="00023632" w:rsidRPr="004A59B1">
        <w:rPr>
          <w:color w:val="000000"/>
          <w:szCs w:val="22"/>
          <w:lang w:val="pl-PL"/>
        </w:rPr>
        <w:t>pri</w:t>
      </w:r>
      <w:r w:rsidRPr="004A59B1">
        <w:rPr>
          <w:color w:val="000000"/>
          <w:szCs w:val="22"/>
          <w:lang w:val="pl-PL"/>
        </w:rPr>
        <w:t xml:space="preserve"> bolnikih z GIST so zdravljenje z </w:t>
      </w:r>
      <w:r w:rsidR="00D81193" w:rsidRPr="004A59B1">
        <w:rPr>
          <w:color w:val="000000"/>
          <w:szCs w:val="22"/>
          <w:lang w:val="pl-PL"/>
        </w:rPr>
        <w:t>zdravilom Glivec</w:t>
      </w:r>
      <w:r w:rsidRPr="004A59B1">
        <w:rPr>
          <w:color w:val="000000"/>
          <w:szCs w:val="22"/>
          <w:lang w:val="pl-PL"/>
        </w:rPr>
        <w:t xml:space="preserve"> nadaljevali, dokler ni začela bolezen napredovati. V času analize je bilo </w:t>
      </w:r>
      <w:r w:rsidR="00410C16" w:rsidRPr="004A59B1">
        <w:rPr>
          <w:color w:val="000000"/>
          <w:szCs w:val="22"/>
          <w:lang w:val="pl-PL"/>
        </w:rPr>
        <w:t xml:space="preserve">mediano </w:t>
      </w:r>
      <w:r w:rsidRPr="004A59B1">
        <w:rPr>
          <w:color w:val="000000"/>
          <w:szCs w:val="22"/>
          <w:lang w:val="pl-PL"/>
        </w:rPr>
        <w:t>trajanje zdravljenja 7 mesecev (7 dni do 13 mesecev). Učinek prekinitve zdravljenja po doseženem odzivu ni raziskan.</w:t>
      </w:r>
    </w:p>
    <w:p w14:paraId="5297976E" w14:textId="77777777" w:rsidR="003E56E2" w:rsidRPr="004A59B1" w:rsidRDefault="003E56E2" w:rsidP="009C1193">
      <w:pPr>
        <w:pStyle w:val="EndnoteText"/>
        <w:widowControl w:val="0"/>
        <w:tabs>
          <w:tab w:val="clear" w:pos="567"/>
        </w:tabs>
        <w:rPr>
          <w:color w:val="000000"/>
          <w:szCs w:val="22"/>
          <w:lang w:val="pl-PL"/>
        </w:rPr>
      </w:pPr>
    </w:p>
    <w:p w14:paraId="5297976F" w14:textId="77777777" w:rsidR="00306CD3" w:rsidRPr="004A59B1" w:rsidRDefault="003E56E2" w:rsidP="009C1193">
      <w:pPr>
        <w:pStyle w:val="Text"/>
        <w:widowControl w:val="0"/>
        <w:spacing w:before="0"/>
        <w:jc w:val="left"/>
        <w:rPr>
          <w:color w:val="000000"/>
          <w:lang w:val="pl-PL"/>
        </w:rPr>
      </w:pPr>
      <w:r w:rsidRPr="004A59B1">
        <w:rPr>
          <w:color w:val="000000"/>
          <w:sz w:val="22"/>
          <w:szCs w:val="22"/>
          <w:lang w:val="pl-PL"/>
        </w:rPr>
        <w:t xml:space="preserve">Za adjuvantno zdravljenje odraslih bolnikov po resekciji GIST je priporočeni odmerek zdravila Glivec 400 mg na dan. </w:t>
      </w:r>
      <w:r w:rsidR="00306CD3" w:rsidRPr="004A59B1">
        <w:rPr>
          <w:color w:val="000000"/>
          <w:sz w:val="22"/>
          <w:szCs w:val="22"/>
          <w:lang w:val="pl-PL"/>
        </w:rPr>
        <w:t xml:space="preserve">Ustrezno trajanje zdravljenja še ni ugotovljeno. V klinični študiji za navedeno indikacijo je zdravljenje trajalo </w:t>
      </w:r>
      <w:r w:rsidR="00FA2B48" w:rsidRPr="004A59B1">
        <w:rPr>
          <w:color w:val="000000"/>
          <w:sz w:val="22"/>
          <w:szCs w:val="22"/>
          <w:lang w:val="pl-PL"/>
        </w:rPr>
        <w:t>36</w:t>
      </w:r>
      <w:r w:rsidR="00306CD3" w:rsidRPr="004A59B1">
        <w:rPr>
          <w:color w:val="000000"/>
          <w:sz w:val="22"/>
          <w:szCs w:val="22"/>
          <w:lang w:val="pl-PL"/>
        </w:rPr>
        <w:t> mesecev</w:t>
      </w:r>
      <w:r w:rsidR="007031D1" w:rsidRPr="004A59B1">
        <w:rPr>
          <w:color w:val="000000"/>
          <w:sz w:val="22"/>
          <w:szCs w:val="22"/>
          <w:lang w:val="pl-PL"/>
        </w:rPr>
        <w:t xml:space="preserve"> (glejte poglavje 5.1)</w:t>
      </w:r>
      <w:r w:rsidR="00306CD3" w:rsidRPr="004A59B1">
        <w:rPr>
          <w:color w:val="000000"/>
          <w:sz w:val="22"/>
          <w:szCs w:val="22"/>
          <w:lang w:val="pl-PL"/>
        </w:rPr>
        <w:t>.</w:t>
      </w:r>
    </w:p>
    <w:p w14:paraId="52979770" w14:textId="77777777" w:rsidR="003E56E2" w:rsidRPr="004A59B1" w:rsidRDefault="003E56E2" w:rsidP="009C1193">
      <w:pPr>
        <w:pStyle w:val="EndnoteText"/>
        <w:widowControl w:val="0"/>
        <w:tabs>
          <w:tab w:val="clear" w:pos="567"/>
        </w:tabs>
        <w:rPr>
          <w:color w:val="000000"/>
          <w:szCs w:val="22"/>
          <w:u w:val="single"/>
          <w:lang w:val="pl-PL"/>
        </w:rPr>
      </w:pPr>
    </w:p>
    <w:p w14:paraId="52979771" w14:textId="77777777" w:rsidR="00E50FF3" w:rsidRPr="004A59B1" w:rsidRDefault="00E50FF3" w:rsidP="009C1193">
      <w:pPr>
        <w:keepNext/>
        <w:widowControl w:val="0"/>
        <w:spacing w:line="240" w:lineRule="auto"/>
        <w:jc w:val="both"/>
        <w:rPr>
          <w:color w:val="000000"/>
          <w:szCs w:val="22"/>
          <w:u w:val="single"/>
          <w:lang w:val="pl-PL"/>
        </w:rPr>
      </w:pPr>
      <w:r w:rsidRPr="004A59B1">
        <w:rPr>
          <w:color w:val="000000"/>
          <w:szCs w:val="22"/>
          <w:u w:val="single"/>
          <w:lang w:val="pl-PL"/>
        </w:rPr>
        <w:t>Odmerjanje pri DFSP</w:t>
      </w:r>
    </w:p>
    <w:p w14:paraId="52979772" w14:textId="77777777" w:rsidR="00E50FF3" w:rsidRPr="004A59B1" w:rsidRDefault="00E50FF3" w:rsidP="009C1193">
      <w:pPr>
        <w:pStyle w:val="EndnoteText"/>
        <w:widowControl w:val="0"/>
        <w:tabs>
          <w:tab w:val="clear" w:pos="567"/>
        </w:tabs>
        <w:rPr>
          <w:color w:val="000000"/>
          <w:szCs w:val="22"/>
          <w:lang w:val="pl-PL"/>
        </w:rPr>
      </w:pPr>
      <w:r w:rsidRPr="004A59B1">
        <w:rPr>
          <w:color w:val="000000"/>
          <w:szCs w:val="22"/>
          <w:lang w:val="pl-PL"/>
        </w:rPr>
        <w:t xml:space="preserve">Priporočeni odmerek </w:t>
      </w:r>
      <w:r w:rsidR="00D81193" w:rsidRPr="004A59B1">
        <w:rPr>
          <w:color w:val="000000"/>
          <w:szCs w:val="22"/>
          <w:lang w:val="pl-PL"/>
        </w:rPr>
        <w:t>zdravila Glivec</w:t>
      </w:r>
      <w:r w:rsidRPr="004A59B1">
        <w:rPr>
          <w:color w:val="000000"/>
          <w:szCs w:val="22"/>
          <w:lang w:val="pl-PL"/>
        </w:rPr>
        <w:t xml:space="preserve"> pri </w:t>
      </w:r>
      <w:r w:rsidR="00577F21" w:rsidRPr="004A59B1">
        <w:rPr>
          <w:color w:val="000000"/>
          <w:szCs w:val="22"/>
          <w:lang w:val="pl-PL"/>
        </w:rPr>
        <w:t xml:space="preserve">odraslih </w:t>
      </w:r>
      <w:r w:rsidRPr="004A59B1">
        <w:rPr>
          <w:color w:val="000000"/>
          <w:szCs w:val="22"/>
          <w:lang w:val="pl-PL"/>
        </w:rPr>
        <w:t>bolnikih s DFSP je 800 mg/dan.</w:t>
      </w:r>
    </w:p>
    <w:p w14:paraId="52979773" w14:textId="77777777" w:rsidR="00444D75" w:rsidRPr="004A59B1" w:rsidRDefault="00444D75" w:rsidP="009C1193">
      <w:pPr>
        <w:pStyle w:val="EndnoteText"/>
        <w:widowControl w:val="0"/>
        <w:tabs>
          <w:tab w:val="clear" w:pos="567"/>
        </w:tabs>
        <w:rPr>
          <w:color w:val="000000"/>
          <w:szCs w:val="22"/>
          <w:lang w:val="pl-PL"/>
        </w:rPr>
      </w:pPr>
    </w:p>
    <w:p w14:paraId="52979774" w14:textId="77777777" w:rsidR="00E50FF3" w:rsidRPr="004A59B1" w:rsidRDefault="00E50FF3" w:rsidP="009C1193">
      <w:pPr>
        <w:keepNext/>
        <w:widowControl w:val="0"/>
        <w:spacing w:line="240" w:lineRule="auto"/>
        <w:jc w:val="both"/>
        <w:rPr>
          <w:color w:val="000000"/>
          <w:szCs w:val="22"/>
          <w:u w:val="single"/>
          <w:lang w:val="pl-PL"/>
        </w:rPr>
      </w:pPr>
      <w:r w:rsidRPr="004A59B1">
        <w:rPr>
          <w:color w:val="000000"/>
          <w:szCs w:val="22"/>
          <w:u w:val="single"/>
          <w:lang w:val="pl-PL"/>
        </w:rPr>
        <w:t>Prilagoditev odmerjanja zaradi neželenih učinkov</w:t>
      </w:r>
    </w:p>
    <w:p w14:paraId="52979775" w14:textId="77777777" w:rsidR="00444D75" w:rsidRPr="004A59B1" w:rsidRDefault="00444D75" w:rsidP="009C1193">
      <w:pPr>
        <w:keepNext/>
        <w:widowControl w:val="0"/>
        <w:spacing w:line="240" w:lineRule="auto"/>
        <w:jc w:val="both"/>
        <w:rPr>
          <w:i/>
          <w:color w:val="000000"/>
          <w:szCs w:val="22"/>
          <w:lang w:val="pl-PL"/>
        </w:rPr>
      </w:pPr>
      <w:r w:rsidRPr="004A59B1">
        <w:rPr>
          <w:i/>
          <w:color w:val="000000"/>
          <w:szCs w:val="22"/>
          <w:lang w:val="pl-PL"/>
        </w:rPr>
        <w:t>Nehematološke neželene reakcije</w:t>
      </w:r>
    </w:p>
    <w:p w14:paraId="52979776" w14:textId="77777777" w:rsidR="00444D75" w:rsidRPr="004A59B1" w:rsidRDefault="00444D75" w:rsidP="009C1193">
      <w:pPr>
        <w:pStyle w:val="EndnoteText"/>
        <w:widowControl w:val="0"/>
        <w:tabs>
          <w:tab w:val="clear" w:pos="567"/>
        </w:tabs>
        <w:rPr>
          <w:color w:val="000000"/>
          <w:szCs w:val="22"/>
          <w:lang w:val="pl-PL"/>
        </w:rPr>
      </w:pPr>
      <w:r w:rsidRPr="004A59B1">
        <w:rPr>
          <w:color w:val="000000"/>
          <w:szCs w:val="22"/>
          <w:lang w:val="pl-PL"/>
        </w:rPr>
        <w:t xml:space="preserve">Če med uporabo </w:t>
      </w:r>
      <w:r w:rsidR="00D81193" w:rsidRPr="004A59B1">
        <w:rPr>
          <w:color w:val="000000"/>
          <w:szCs w:val="22"/>
          <w:lang w:val="pl-PL"/>
        </w:rPr>
        <w:t>zdravila Glivec</w:t>
      </w:r>
      <w:r w:rsidRPr="004A59B1">
        <w:rPr>
          <w:color w:val="000000"/>
          <w:szCs w:val="22"/>
          <w:lang w:val="pl-PL"/>
        </w:rPr>
        <w:t xml:space="preserve"> nastopi huda nehematološka neželena reakcija, je treba zdravljenje prekiniti, dokler reakcija ne izzveni. Nato se lahko zdravljenje spet začne po ustrezni shemi, odvisni od začetne resnosti reakcije.</w:t>
      </w:r>
    </w:p>
    <w:p w14:paraId="52979777" w14:textId="77777777" w:rsidR="00444D75" w:rsidRPr="004A59B1" w:rsidRDefault="00444D75" w:rsidP="009C1193">
      <w:pPr>
        <w:pStyle w:val="EndnoteText"/>
        <w:widowControl w:val="0"/>
        <w:tabs>
          <w:tab w:val="clear" w:pos="567"/>
        </w:tabs>
        <w:rPr>
          <w:color w:val="000000"/>
          <w:szCs w:val="22"/>
          <w:lang w:val="pl-PL"/>
        </w:rPr>
      </w:pPr>
    </w:p>
    <w:p w14:paraId="52979778" w14:textId="77777777" w:rsidR="00444D75" w:rsidRPr="004A59B1" w:rsidRDefault="00444D75" w:rsidP="009C1193">
      <w:pPr>
        <w:pStyle w:val="EndnoteText"/>
        <w:widowControl w:val="0"/>
        <w:tabs>
          <w:tab w:val="clear" w:pos="567"/>
          <w:tab w:val="left" w:pos="2268"/>
        </w:tabs>
        <w:rPr>
          <w:color w:val="000000"/>
          <w:szCs w:val="22"/>
          <w:lang w:val="pl-PL"/>
        </w:rPr>
      </w:pPr>
      <w:r w:rsidRPr="004A59B1">
        <w:rPr>
          <w:color w:val="000000"/>
          <w:szCs w:val="22"/>
          <w:lang w:val="pl-PL"/>
        </w:rPr>
        <w:t xml:space="preserve">Če pride do zvišanja bilirubina </w:t>
      </w:r>
      <w:r w:rsidR="00410C16" w:rsidRPr="004A59B1">
        <w:rPr>
          <w:color w:val="000000"/>
          <w:szCs w:val="22"/>
          <w:lang w:val="pl-PL"/>
        </w:rPr>
        <w:t xml:space="preserve">na </w:t>
      </w:r>
      <w:r w:rsidRPr="004A59B1">
        <w:rPr>
          <w:color w:val="000000"/>
          <w:szCs w:val="22"/>
          <w:lang w:val="pl-PL"/>
        </w:rPr>
        <w:t>&gt; 3</w:t>
      </w:r>
      <w:r w:rsidR="00410C16" w:rsidRPr="004A59B1">
        <w:rPr>
          <w:color w:val="000000"/>
          <w:szCs w:val="22"/>
          <w:lang w:val="pl-PL"/>
        </w:rPr>
        <w:noBreakHyphen/>
        <w:t>kratno</w:t>
      </w:r>
      <w:r w:rsidRPr="004A59B1">
        <w:rPr>
          <w:color w:val="000000"/>
          <w:szCs w:val="22"/>
          <w:lang w:val="pl-PL"/>
        </w:rPr>
        <w:t xml:space="preserve"> zgornj</w:t>
      </w:r>
      <w:r w:rsidR="00410C16" w:rsidRPr="004A59B1">
        <w:rPr>
          <w:color w:val="000000"/>
          <w:szCs w:val="22"/>
          <w:lang w:val="pl-PL"/>
        </w:rPr>
        <w:t>o</w:t>
      </w:r>
      <w:r w:rsidRPr="004A59B1">
        <w:rPr>
          <w:color w:val="000000"/>
          <w:szCs w:val="22"/>
          <w:lang w:val="pl-PL"/>
        </w:rPr>
        <w:t xml:space="preserve"> </w:t>
      </w:r>
      <w:r w:rsidR="00410C16" w:rsidRPr="004A59B1">
        <w:rPr>
          <w:color w:val="000000"/>
          <w:szCs w:val="22"/>
          <w:lang w:val="pl-PL"/>
        </w:rPr>
        <w:t xml:space="preserve">mejo </w:t>
      </w:r>
      <w:r w:rsidRPr="004A59B1">
        <w:rPr>
          <w:color w:val="000000"/>
          <w:szCs w:val="22"/>
          <w:lang w:val="pl-PL"/>
        </w:rPr>
        <w:t>normal</w:t>
      </w:r>
      <w:r w:rsidR="00DE7EB6" w:rsidRPr="004A59B1">
        <w:rPr>
          <w:color w:val="000000"/>
          <w:szCs w:val="22"/>
          <w:lang w:val="pl-PL"/>
        </w:rPr>
        <w:t>n</w:t>
      </w:r>
      <w:r w:rsidR="00510D3D" w:rsidRPr="004A59B1">
        <w:rPr>
          <w:color w:val="000000"/>
          <w:szCs w:val="22"/>
          <w:lang w:val="pl-PL"/>
        </w:rPr>
        <w:t>ih vrednosti</w:t>
      </w:r>
      <w:r w:rsidR="00410C16" w:rsidRPr="004A59B1">
        <w:rPr>
          <w:color w:val="000000"/>
          <w:szCs w:val="22"/>
          <w:lang w:val="pl-PL"/>
        </w:rPr>
        <w:t>, specifičn</w:t>
      </w:r>
      <w:r w:rsidR="004B33C9" w:rsidRPr="004A59B1">
        <w:rPr>
          <w:color w:val="000000"/>
          <w:szCs w:val="22"/>
          <w:lang w:val="pl-PL"/>
        </w:rPr>
        <w:t>o</w:t>
      </w:r>
      <w:r w:rsidRPr="004A59B1">
        <w:rPr>
          <w:color w:val="000000"/>
          <w:szCs w:val="22"/>
          <w:lang w:val="pl-PL"/>
        </w:rPr>
        <w:t xml:space="preserve"> za ustanovo</w:t>
      </w:r>
      <w:r w:rsidR="00DE7EB6" w:rsidRPr="004A59B1">
        <w:rPr>
          <w:color w:val="000000"/>
          <w:szCs w:val="22"/>
          <w:lang w:val="pl-PL"/>
        </w:rPr>
        <w:t>,</w:t>
      </w:r>
      <w:r w:rsidRPr="004A59B1">
        <w:rPr>
          <w:color w:val="000000"/>
          <w:szCs w:val="22"/>
          <w:lang w:val="pl-PL"/>
        </w:rPr>
        <w:t xml:space="preserve"> (</w:t>
      </w:r>
      <w:r w:rsidR="00510D3D" w:rsidRPr="004A59B1">
        <w:rPr>
          <w:color w:val="000000"/>
          <w:szCs w:val="22"/>
          <w:lang w:val="pl-PL"/>
        </w:rPr>
        <w:t>IULN</w:t>
      </w:r>
      <w:r w:rsidR="00D32388" w:rsidRPr="004A59B1">
        <w:rPr>
          <w:color w:val="000000"/>
          <w:szCs w:val="22"/>
          <w:lang w:val="pl-PL"/>
        </w:rPr>
        <w:t xml:space="preserve"> </w:t>
      </w:r>
      <w:r w:rsidR="00510D3D" w:rsidRPr="004A59B1">
        <w:rPr>
          <w:color w:val="000000"/>
          <w:szCs w:val="22"/>
          <w:lang w:val="pl-PL"/>
        </w:rPr>
        <w:noBreakHyphen/>
      </w:r>
      <w:r w:rsidR="00D32388" w:rsidRPr="004A59B1">
        <w:rPr>
          <w:color w:val="000000"/>
          <w:szCs w:val="22"/>
          <w:lang w:val="pl-PL"/>
        </w:rPr>
        <w:t xml:space="preserve"> </w:t>
      </w:r>
      <w:r w:rsidR="00510D3D" w:rsidRPr="00304E94">
        <w:rPr>
          <w:i/>
          <w:color w:val="000000"/>
          <w:szCs w:val="22"/>
          <w:lang w:val="pl-PL"/>
        </w:rPr>
        <w:t>institutional upper limit of normal</w:t>
      </w:r>
      <w:r w:rsidR="00510D3D" w:rsidRPr="004A59B1">
        <w:rPr>
          <w:color w:val="000000"/>
          <w:szCs w:val="22"/>
          <w:lang w:val="pl-PL"/>
        </w:rPr>
        <w:t>)</w:t>
      </w:r>
      <w:r w:rsidRPr="004A59B1">
        <w:rPr>
          <w:color w:val="000000"/>
          <w:szCs w:val="22"/>
          <w:lang w:val="pl-PL"/>
        </w:rPr>
        <w:t xml:space="preserve"> ali </w:t>
      </w:r>
      <w:r w:rsidR="00410C16" w:rsidRPr="004A59B1">
        <w:rPr>
          <w:color w:val="000000"/>
          <w:szCs w:val="22"/>
          <w:lang w:val="pl-PL"/>
        </w:rPr>
        <w:t xml:space="preserve">zvišanja </w:t>
      </w:r>
      <w:r w:rsidRPr="004A59B1">
        <w:rPr>
          <w:color w:val="000000"/>
          <w:szCs w:val="22"/>
          <w:lang w:val="pl-PL"/>
        </w:rPr>
        <w:t xml:space="preserve">jetrnih </w:t>
      </w:r>
      <w:r w:rsidR="00DE7EB6" w:rsidRPr="004A59B1">
        <w:rPr>
          <w:color w:val="000000"/>
          <w:szCs w:val="22"/>
          <w:lang w:val="pl-PL"/>
        </w:rPr>
        <w:t>aminotransferaz</w:t>
      </w:r>
      <w:r w:rsidRPr="004A59B1">
        <w:rPr>
          <w:color w:val="000000"/>
          <w:szCs w:val="22"/>
          <w:lang w:val="pl-PL"/>
        </w:rPr>
        <w:t xml:space="preserve"> </w:t>
      </w:r>
      <w:r w:rsidR="00410C16" w:rsidRPr="004A59B1">
        <w:rPr>
          <w:color w:val="000000"/>
          <w:szCs w:val="22"/>
          <w:lang w:val="pl-PL"/>
        </w:rPr>
        <w:t xml:space="preserve">na </w:t>
      </w:r>
      <w:r w:rsidRPr="004A59B1">
        <w:rPr>
          <w:color w:val="000000"/>
          <w:szCs w:val="22"/>
          <w:lang w:val="pl-PL"/>
        </w:rPr>
        <w:t>&gt; 5</w:t>
      </w:r>
      <w:r w:rsidR="00410C16" w:rsidRPr="004A59B1">
        <w:rPr>
          <w:color w:val="000000"/>
          <w:szCs w:val="22"/>
          <w:lang w:val="pl-PL"/>
        </w:rPr>
        <w:noBreakHyphen/>
        <w:t>kratno</w:t>
      </w:r>
      <w:r w:rsidR="00987D26" w:rsidRPr="004A59B1">
        <w:rPr>
          <w:color w:val="000000"/>
          <w:szCs w:val="22"/>
          <w:lang w:val="pl-PL"/>
        </w:rPr>
        <w:t xml:space="preserve"> </w:t>
      </w:r>
      <w:r w:rsidR="00510D3D" w:rsidRPr="004A59B1">
        <w:rPr>
          <w:color w:val="000000"/>
          <w:szCs w:val="22"/>
          <w:lang w:val="pl-PL"/>
        </w:rPr>
        <w:t>IULN</w:t>
      </w:r>
      <w:r w:rsidRPr="004A59B1">
        <w:rPr>
          <w:color w:val="000000"/>
          <w:szCs w:val="22"/>
          <w:lang w:val="pl-PL"/>
        </w:rPr>
        <w:t xml:space="preserve">, je treba zdravljenje z </w:t>
      </w:r>
      <w:r w:rsidR="00D81193" w:rsidRPr="004A59B1">
        <w:rPr>
          <w:color w:val="000000"/>
          <w:szCs w:val="22"/>
          <w:lang w:val="pl-PL"/>
        </w:rPr>
        <w:t>zdravilom Glivec</w:t>
      </w:r>
      <w:r w:rsidRPr="004A59B1">
        <w:rPr>
          <w:color w:val="000000"/>
          <w:szCs w:val="22"/>
          <w:lang w:val="pl-PL"/>
        </w:rPr>
        <w:t xml:space="preserve"> prekiniti, dokler se koncentracija bilirubina ne vrne na &lt; 1,5</w:t>
      </w:r>
      <w:r w:rsidR="00410C16" w:rsidRPr="004A59B1">
        <w:rPr>
          <w:color w:val="000000"/>
          <w:szCs w:val="22"/>
          <w:lang w:val="pl-PL"/>
        </w:rPr>
        <w:noBreakHyphen/>
        <w:t xml:space="preserve">kratno </w:t>
      </w:r>
      <w:r w:rsidR="00510D3D" w:rsidRPr="004A59B1">
        <w:rPr>
          <w:color w:val="000000"/>
          <w:szCs w:val="22"/>
          <w:lang w:val="pl-PL"/>
        </w:rPr>
        <w:t>IULN</w:t>
      </w:r>
      <w:r w:rsidRPr="004A59B1">
        <w:rPr>
          <w:color w:val="000000"/>
          <w:szCs w:val="22"/>
          <w:lang w:val="pl-PL"/>
        </w:rPr>
        <w:t xml:space="preserve"> oziroma </w:t>
      </w:r>
      <w:r w:rsidR="00800E18" w:rsidRPr="004A59B1">
        <w:rPr>
          <w:color w:val="000000"/>
          <w:szCs w:val="22"/>
          <w:lang w:val="pl-PL"/>
        </w:rPr>
        <w:t xml:space="preserve">koncentracija </w:t>
      </w:r>
      <w:r w:rsidR="00DE7EB6" w:rsidRPr="004A59B1">
        <w:rPr>
          <w:color w:val="000000"/>
          <w:szCs w:val="22"/>
          <w:lang w:val="pl-PL"/>
        </w:rPr>
        <w:t>aminotransferaz</w:t>
      </w:r>
      <w:r w:rsidRPr="004A59B1">
        <w:rPr>
          <w:color w:val="000000"/>
          <w:szCs w:val="22"/>
          <w:lang w:val="pl-PL"/>
        </w:rPr>
        <w:t xml:space="preserve"> na &lt; 2,5</w:t>
      </w:r>
      <w:r w:rsidR="00410C16" w:rsidRPr="004A59B1">
        <w:rPr>
          <w:color w:val="000000"/>
          <w:szCs w:val="22"/>
          <w:lang w:val="pl-PL"/>
        </w:rPr>
        <w:noBreakHyphen/>
        <w:t xml:space="preserve">kratno </w:t>
      </w:r>
      <w:r w:rsidR="00510D3D" w:rsidRPr="004A59B1">
        <w:rPr>
          <w:color w:val="000000"/>
          <w:szCs w:val="22"/>
          <w:lang w:val="pl-PL"/>
        </w:rPr>
        <w:t>IULN</w:t>
      </w:r>
      <w:r w:rsidRPr="004A59B1">
        <w:rPr>
          <w:color w:val="000000"/>
          <w:szCs w:val="22"/>
          <w:lang w:val="pl-PL"/>
        </w:rPr>
        <w:t xml:space="preserve">. Nato se lahko zdravljenje z </w:t>
      </w:r>
      <w:r w:rsidR="00D81193" w:rsidRPr="004A59B1">
        <w:rPr>
          <w:color w:val="000000"/>
          <w:szCs w:val="22"/>
          <w:lang w:val="pl-PL"/>
        </w:rPr>
        <w:t>zdravilom Glivec</w:t>
      </w:r>
      <w:r w:rsidRPr="004A59B1">
        <w:rPr>
          <w:color w:val="000000"/>
          <w:szCs w:val="22"/>
          <w:lang w:val="pl-PL"/>
        </w:rPr>
        <w:t xml:space="preserve"> nadaljuje z zmanjšanim dnevnim odmerkom. Pri odraslih je treba zmanjšati odmerek s 400</w:t>
      </w:r>
      <w:r w:rsidR="00601459" w:rsidRPr="004A59B1">
        <w:rPr>
          <w:color w:val="000000"/>
          <w:szCs w:val="22"/>
          <w:lang w:val="pl-PL"/>
        </w:rPr>
        <w:t> </w:t>
      </w:r>
      <w:r w:rsidR="009E6539" w:rsidRPr="004A59B1">
        <w:rPr>
          <w:color w:val="000000"/>
          <w:szCs w:val="22"/>
          <w:lang w:val="pl-PL"/>
        </w:rPr>
        <w:t>mg</w:t>
      </w:r>
      <w:r w:rsidRPr="004A59B1">
        <w:rPr>
          <w:color w:val="000000"/>
          <w:szCs w:val="22"/>
          <w:lang w:val="pl-PL"/>
        </w:rPr>
        <w:t xml:space="preserve"> na 300 mg ali s 600</w:t>
      </w:r>
      <w:r w:rsidR="00601459" w:rsidRPr="004A59B1">
        <w:rPr>
          <w:color w:val="000000"/>
          <w:szCs w:val="22"/>
          <w:lang w:val="pl-PL"/>
        </w:rPr>
        <w:t> </w:t>
      </w:r>
      <w:r w:rsidR="009E6539" w:rsidRPr="004A59B1">
        <w:rPr>
          <w:color w:val="000000"/>
          <w:szCs w:val="22"/>
          <w:lang w:val="pl-PL"/>
        </w:rPr>
        <w:t xml:space="preserve">mg </w:t>
      </w:r>
      <w:r w:rsidRPr="004A59B1">
        <w:rPr>
          <w:color w:val="000000"/>
          <w:szCs w:val="22"/>
          <w:lang w:val="pl-PL"/>
        </w:rPr>
        <w:t>na 400 mg</w:t>
      </w:r>
      <w:r w:rsidR="00E50FF3" w:rsidRPr="004A59B1">
        <w:rPr>
          <w:color w:val="000000"/>
          <w:szCs w:val="22"/>
          <w:lang w:val="pl-PL"/>
        </w:rPr>
        <w:t xml:space="preserve"> ali z 800</w:t>
      </w:r>
      <w:r w:rsidR="00601459" w:rsidRPr="004A59B1">
        <w:rPr>
          <w:color w:val="000000"/>
          <w:szCs w:val="22"/>
          <w:lang w:val="pl-PL"/>
        </w:rPr>
        <w:t> </w:t>
      </w:r>
      <w:r w:rsidR="009E6539" w:rsidRPr="004A59B1">
        <w:rPr>
          <w:color w:val="000000"/>
          <w:szCs w:val="22"/>
          <w:lang w:val="pl-PL"/>
        </w:rPr>
        <w:t xml:space="preserve">mg </w:t>
      </w:r>
      <w:r w:rsidR="00E50FF3" w:rsidRPr="004A59B1">
        <w:rPr>
          <w:color w:val="000000"/>
          <w:szCs w:val="22"/>
          <w:lang w:val="pl-PL"/>
        </w:rPr>
        <w:t>na 600 mg</w:t>
      </w:r>
      <w:r w:rsidRPr="004A59B1">
        <w:rPr>
          <w:color w:val="000000"/>
          <w:szCs w:val="22"/>
          <w:lang w:val="pl-PL"/>
        </w:rPr>
        <w:t>, pri otrocih pa s 340</w:t>
      </w:r>
      <w:r w:rsidR="008A0A59" w:rsidRPr="004A59B1">
        <w:rPr>
          <w:color w:val="000000"/>
          <w:szCs w:val="22"/>
          <w:lang w:val="pl-PL"/>
        </w:rPr>
        <w:t> </w:t>
      </w:r>
      <w:r w:rsidR="00512227" w:rsidRPr="004A59B1">
        <w:rPr>
          <w:color w:val="000000"/>
          <w:szCs w:val="22"/>
          <w:lang w:val="pl-PL"/>
        </w:rPr>
        <w:t>mg/m</w:t>
      </w:r>
      <w:r w:rsidR="00512227" w:rsidRPr="004A59B1">
        <w:rPr>
          <w:color w:val="000000"/>
          <w:szCs w:val="22"/>
          <w:vertAlign w:val="superscript"/>
          <w:lang w:val="pl-PL"/>
        </w:rPr>
        <w:t>2</w:t>
      </w:r>
      <w:r w:rsidR="00512227" w:rsidRPr="004A59B1">
        <w:rPr>
          <w:color w:val="000000"/>
          <w:szCs w:val="22"/>
          <w:lang w:val="pl-PL"/>
        </w:rPr>
        <w:t xml:space="preserve">/dan </w:t>
      </w:r>
      <w:r w:rsidRPr="004A59B1">
        <w:rPr>
          <w:color w:val="000000"/>
          <w:szCs w:val="22"/>
          <w:lang w:val="pl-PL"/>
        </w:rPr>
        <w:t>na 260 mg/m</w:t>
      </w:r>
      <w:r w:rsidRPr="004A59B1">
        <w:rPr>
          <w:color w:val="000000"/>
          <w:szCs w:val="22"/>
          <w:vertAlign w:val="superscript"/>
          <w:lang w:val="pl-PL"/>
        </w:rPr>
        <w:t>2</w:t>
      </w:r>
      <w:r w:rsidRPr="004A59B1">
        <w:rPr>
          <w:color w:val="000000"/>
          <w:szCs w:val="22"/>
          <w:lang w:val="pl-PL"/>
        </w:rPr>
        <w:t>/dan.</w:t>
      </w:r>
    </w:p>
    <w:p w14:paraId="52979779" w14:textId="77777777" w:rsidR="00444D75" w:rsidRPr="004A59B1" w:rsidRDefault="00444D75" w:rsidP="009C1193">
      <w:pPr>
        <w:pStyle w:val="EndnoteText"/>
        <w:widowControl w:val="0"/>
        <w:tabs>
          <w:tab w:val="clear" w:pos="567"/>
        </w:tabs>
        <w:rPr>
          <w:color w:val="000000"/>
          <w:szCs w:val="22"/>
          <w:lang w:val="pl-PL"/>
        </w:rPr>
      </w:pPr>
    </w:p>
    <w:p w14:paraId="5297977A" w14:textId="77777777" w:rsidR="00444D75" w:rsidRPr="004A59B1" w:rsidRDefault="00444D75" w:rsidP="009C1193">
      <w:pPr>
        <w:pStyle w:val="EndnoteText"/>
        <w:keepNext/>
        <w:widowControl w:val="0"/>
        <w:tabs>
          <w:tab w:val="clear" w:pos="567"/>
        </w:tabs>
        <w:rPr>
          <w:i/>
          <w:color w:val="000000"/>
          <w:szCs w:val="22"/>
          <w:lang w:val="pl-PL"/>
        </w:rPr>
      </w:pPr>
      <w:r w:rsidRPr="004A59B1">
        <w:rPr>
          <w:i/>
          <w:color w:val="000000"/>
          <w:szCs w:val="22"/>
          <w:lang w:val="pl-PL"/>
        </w:rPr>
        <w:t>Hematološke neželene reakcije</w:t>
      </w:r>
    </w:p>
    <w:p w14:paraId="5297977B" w14:textId="77777777" w:rsidR="00444D75" w:rsidRPr="004A59B1" w:rsidRDefault="00444D75" w:rsidP="009C1193">
      <w:pPr>
        <w:pStyle w:val="EndnoteText"/>
        <w:widowControl w:val="0"/>
        <w:tabs>
          <w:tab w:val="clear" w:pos="567"/>
        </w:tabs>
        <w:rPr>
          <w:color w:val="000000"/>
          <w:szCs w:val="22"/>
          <w:lang w:val="pl-PL"/>
        </w:rPr>
      </w:pPr>
      <w:r w:rsidRPr="004A59B1">
        <w:rPr>
          <w:color w:val="000000"/>
          <w:szCs w:val="22"/>
          <w:lang w:val="pl-PL"/>
        </w:rPr>
        <w:t>Pri hudi nevtropeniji in trombocitopeniji je priporočljivo zmanjšanje odmerka ali prekinitev zdravljenja, kot kaže spodnja preglednica.</w:t>
      </w:r>
    </w:p>
    <w:p w14:paraId="5297977C" w14:textId="77777777" w:rsidR="00444D75" w:rsidRPr="004A59B1" w:rsidRDefault="00444D75" w:rsidP="009C1193">
      <w:pPr>
        <w:pStyle w:val="EndnoteText"/>
        <w:widowControl w:val="0"/>
        <w:tabs>
          <w:tab w:val="clear" w:pos="567"/>
        </w:tabs>
        <w:rPr>
          <w:color w:val="000000"/>
          <w:szCs w:val="22"/>
          <w:lang w:val="pl-PL"/>
        </w:rPr>
      </w:pPr>
    </w:p>
    <w:p w14:paraId="5297977D" w14:textId="77777777" w:rsidR="00444D75" w:rsidRPr="004A59B1" w:rsidRDefault="00444D75" w:rsidP="009C1193">
      <w:pPr>
        <w:pStyle w:val="EndnoteText"/>
        <w:keepNext/>
        <w:keepLines/>
        <w:widowControl w:val="0"/>
        <w:tabs>
          <w:tab w:val="clear" w:pos="567"/>
        </w:tabs>
        <w:rPr>
          <w:color w:val="000000"/>
          <w:szCs w:val="22"/>
          <w:lang w:val="pl-PL"/>
        </w:rPr>
      </w:pPr>
      <w:r w:rsidRPr="004A59B1">
        <w:rPr>
          <w:color w:val="000000"/>
          <w:szCs w:val="22"/>
          <w:lang w:val="pl-PL"/>
        </w:rPr>
        <w:t>Prilagajanje odmerkov zaradi nevtropenije in trombocitopenije</w:t>
      </w:r>
      <w:r w:rsidR="008952B6" w:rsidRPr="004A59B1">
        <w:rPr>
          <w:color w:val="000000"/>
          <w:szCs w:val="22"/>
          <w:lang w:val="pl-PL"/>
        </w:rPr>
        <w:t>:</w:t>
      </w:r>
    </w:p>
    <w:p w14:paraId="5297977E" w14:textId="77777777" w:rsidR="002F40CF" w:rsidRPr="004A59B1" w:rsidRDefault="002F40CF" w:rsidP="009C1193">
      <w:pPr>
        <w:pStyle w:val="EndnoteText"/>
        <w:keepNext/>
        <w:keepLines/>
        <w:widowControl w:val="0"/>
        <w:tabs>
          <w:tab w:val="clear" w:pos="567"/>
        </w:tabs>
        <w:rPr>
          <w:color w:val="000000"/>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2400"/>
        <w:gridCol w:w="4404"/>
      </w:tblGrid>
      <w:tr w:rsidR="002F40CF" w:rsidRPr="003B6568" w14:paraId="52979785" w14:textId="77777777" w:rsidTr="00AA1FD3">
        <w:trPr>
          <w:cantSplit/>
        </w:trPr>
        <w:tc>
          <w:tcPr>
            <w:tcW w:w="2376" w:type="dxa"/>
            <w:tcBorders>
              <w:top w:val="single" w:sz="4" w:space="0" w:color="auto"/>
              <w:left w:val="single" w:sz="4" w:space="0" w:color="auto"/>
              <w:bottom w:val="single" w:sz="4" w:space="0" w:color="auto"/>
              <w:right w:val="single" w:sz="4" w:space="0" w:color="auto"/>
            </w:tcBorders>
          </w:tcPr>
          <w:p w14:paraId="5297977F" w14:textId="77777777" w:rsidR="002F40CF" w:rsidRPr="004A59B1" w:rsidRDefault="002F40CF" w:rsidP="009C1193">
            <w:pPr>
              <w:pStyle w:val="EndnoteText"/>
              <w:keepNext/>
              <w:keepLines/>
              <w:widowControl w:val="0"/>
              <w:tabs>
                <w:tab w:val="clear" w:pos="567"/>
              </w:tabs>
              <w:rPr>
                <w:color w:val="000000"/>
                <w:szCs w:val="22"/>
                <w:lang w:val="pl-PL"/>
              </w:rPr>
            </w:pPr>
            <w:r w:rsidRPr="004A59B1">
              <w:rPr>
                <w:color w:val="000000"/>
                <w:szCs w:val="22"/>
                <w:lang w:val="pl-PL"/>
              </w:rPr>
              <w:t>HES/CEL (začetni odmerek 100 mg)</w:t>
            </w:r>
          </w:p>
        </w:tc>
        <w:tc>
          <w:tcPr>
            <w:tcW w:w="2400" w:type="dxa"/>
            <w:tcBorders>
              <w:top w:val="single" w:sz="4" w:space="0" w:color="auto"/>
              <w:left w:val="single" w:sz="4" w:space="0" w:color="auto"/>
              <w:bottom w:val="single" w:sz="4" w:space="0" w:color="auto"/>
              <w:right w:val="single" w:sz="4" w:space="0" w:color="auto"/>
            </w:tcBorders>
          </w:tcPr>
          <w:p w14:paraId="52979780" w14:textId="77777777" w:rsidR="002F40CF" w:rsidRPr="004A59B1" w:rsidRDefault="002F40CF" w:rsidP="009C1193">
            <w:pPr>
              <w:pStyle w:val="Table"/>
              <w:widowControl w:val="0"/>
              <w:spacing w:before="0" w:after="0"/>
              <w:rPr>
                <w:rFonts w:ascii="Times New Roman" w:hAnsi="Times New Roman"/>
                <w:color w:val="000000"/>
                <w:sz w:val="22"/>
                <w:szCs w:val="22"/>
                <w:lang w:val="it-IT"/>
              </w:rPr>
            </w:pPr>
            <w:r w:rsidRPr="004A59B1">
              <w:rPr>
                <w:rFonts w:ascii="Times New Roman" w:hAnsi="Times New Roman"/>
                <w:color w:val="000000"/>
                <w:sz w:val="22"/>
                <w:szCs w:val="22"/>
                <w:lang w:val="it-IT"/>
              </w:rPr>
              <w:t>A</w:t>
            </w:r>
            <w:r w:rsidR="004B33C9" w:rsidRPr="004A59B1">
              <w:rPr>
                <w:rFonts w:ascii="Times New Roman" w:hAnsi="Times New Roman"/>
                <w:color w:val="000000"/>
                <w:sz w:val="22"/>
                <w:szCs w:val="22"/>
                <w:lang w:val="it-IT"/>
              </w:rPr>
              <w:t>NC</w:t>
            </w:r>
            <w:r w:rsidRPr="004A59B1">
              <w:rPr>
                <w:rFonts w:ascii="Times New Roman" w:hAnsi="Times New Roman"/>
                <w:color w:val="000000"/>
                <w:sz w:val="22"/>
                <w:szCs w:val="22"/>
                <w:lang w:val="it-IT"/>
              </w:rPr>
              <w:t xml:space="preserve"> &lt; 1,0 x 10</w:t>
            </w:r>
            <w:r w:rsidRPr="004A59B1">
              <w:rPr>
                <w:rFonts w:ascii="Times New Roman" w:hAnsi="Times New Roman"/>
                <w:color w:val="000000"/>
                <w:sz w:val="22"/>
                <w:szCs w:val="22"/>
                <w:vertAlign w:val="superscript"/>
                <w:lang w:val="it-IT"/>
              </w:rPr>
              <w:t>9</w:t>
            </w:r>
            <w:r w:rsidRPr="004A59B1">
              <w:rPr>
                <w:rFonts w:ascii="Times New Roman" w:hAnsi="Times New Roman"/>
                <w:color w:val="000000"/>
                <w:sz w:val="22"/>
                <w:szCs w:val="22"/>
                <w:lang w:val="it-IT"/>
              </w:rPr>
              <w:t>/l</w:t>
            </w:r>
          </w:p>
          <w:p w14:paraId="52979781" w14:textId="77777777" w:rsidR="002F40CF" w:rsidRPr="004A59B1" w:rsidRDefault="002F40CF" w:rsidP="009C1193">
            <w:pPr>
              <w:pStyle w:val="Table"/>
              <w:widowControl w:val="0"/>
              <w:spacing w:before="0" w:after="0"/>
              <w:rPr>
                <w:rFonts w:ascii="Times New Roman" w:hAnsi="Times New Roman"/>
                <w:color w:val="000000"/>
                <w:sz w:val="22"/>
                <w:szCs w:val="22"/>
                <w:lang w:val="it-IT"/>
              </w:rPr>
            </w:pPr>
            <w:r w:rsidRPr="004A59B1">
              <w:rPr>
                <w:rFonts w:ascii="Times New Roman" w:hAnsi="Times New Roman"/>
                <w:color w:val="000000"/>
                <w:sz w:val="22"/>
                <w:szCs w:val="22"/>
                <w:lang w:val="it-IT"/>
              </w:rPr>
              <w:t>in/ali</w:t>
            </w:r>
          </w:p>
          <w:p w14:paraId="52979782" w14:textId="77777777" w:rsidR="002F40CF" w:rsidRPr="004A59B1" w:rsidRDefault="00DE7EB6" w:rsidP="009C1193">
            <w:pPr>
              <w:pStyle w:val="Table"/>
              <w:widowControl w:val="0"/>
              <w:spacing w:before="0" w:after="0"/>
              <w:rPr>
                <w:rFonts w:ascii="Times New Roman" w:hAnsi="Times New Roman"/>
                <w:color w:val="000000"/>
                <w:sz w:val="22"/>
                <w:szCs w:val="22"/>
                <w:lang w:val="it-IT"/>
              </w:rPr>
            </w:pPr>
            <w:r w:rsidRPr="004A59B1">
              <w:rPr>
                <w:rFonts w:ascii="Times New Roman" w:hAnsi="Times New Roman"/>
                <w:color w:val="000000"/>
                <w:sz w:val="22"/>
                <w:szCs w:val="22"/>
                <w:lang w:val="it-IT"/>
              </w:rPr>
              <w:t xml:space="preserve">koncentracija </w:t>
            </w:r>
            <w:r w:rsidR="002F40CF" w:rsidRPr="004A59B1">
              <w:rPr>
                <w:rFonts w:ascii="Times New Roman" w:hAnsi="Times New Roman"/>
                <w:color w:val="000000"/>
                <w:sz w:val="22"/>
                <w:szCs w:val="22"/>
                <w:lang w:val="it-IT"/>
              </w:rPr>
              <w:t>trombocitov &lt; 50 x 10</w:t>
            </w:r>
            <w:r w:rsidR="002F40CF" w:rsidRPr="004A59B1">
              <w:rPr>
                <w:rFonts w:ascii="Times New Roman" w:hAnsi="Times New Roman"/>
                <w:color w:val="000000"/>
                <w:sz w:val="22"/>
                <w:szCs w:val="22"/>
                <w:vertAlign w:val="superscript"/>
                <w:lang w:val="it-IT"/>
              </w:rPr>
              <w:t>9</w:t>
            </w:r>
            <w:r w:rsidR="002F40CF" w:rsidRPr="004A59B1">
              <w:rPr>
                <w:rFonts w:ascii="Times New Roman" w:hAnsi="Times New Roman"/>
                <w:color w:val="000000"/>
                <w:sz w:val="22"/>
                <w:szCs w:val="22"/>
                <w:lang w:val="it-IT"/>
              </w:rPr>
              <w:t>/</w:t>
            </w:r>
            <w:r w:rsidR="00A1282B" w:rsidRPr="004A59B1">
              <w:rPr>
                <w:rFonts w:ascii="Times New Roman" w:hAnsi="Times New Roman"/>
                <w:color w:val="000000"/>
                <w:sz w:val="22"/>
                <w:szCs w:val="22"/>
                <w:lang w:val="it-IT"/>
              </w:rPr>
              <w:t>l</w:t>
            </w:r>
          </w:p>
        </w:tc>
        <w:tc>
          <w:tcPr>
            <w:tcW w:w="4404" w:type="dxa"/>
            <w:tcBorders>
              <w:top w:val="single" w:sz="4" w:space="0" w:color="auto"/>
              <w:left w:val="single" w:sz="4" w:space="0" w:color="auto"/>
              <w:bottom w:val="single" w:sz="4" w:space="0" w:color="auto"/>
              <w:right w:val="single" w:sz="4" w:space="0" w:color="auto"/>
            </w:tcBorders>
          </w:tcPr>
          <w:p w14:paraId="52979783" w14:textId="77777777" w:rsidR="002F40CF" w:rsidRPr="004A59B1" w:rsidRDefault="00043C17" w:rsidP="009C1193">
            <w:pPr>
              <w:pStyle w:val="Table"/>
              <w:widowControl w:val="0"/>
              <w:tabs>
                <w:tab w:val="clear" w:pos="284"/>
              </w:tabs>
              <w:spacing w:before="0" w:after="0"/>
              <w:ind w:left="469" w:hanging="469"/>
              <w:rPr>
                <w:rFonts w:ascii="Times New Roman" w:hAnsi="Times New Roman"/>
                <w:color w:val="000000"/>
                <w:sz w:val="22"/>
                <w:szCs w:val="22"/>
                <w:lang w:val="sv-SE"/>
              </w:rPr>
            </w:pPr>
            <w:r w:rsidRPr="004A59B1">
              <w:rPr>
                <w:rFonts w:ascii="Times New Roman" w:hAnsi="Times New Roman"/>
                <w:color w:val="000000"/>
                <w:sz w:val="22"/>
                <w:szCs w:val="22"/>
                <w:lang w:val="sv-SE"/>
              </w:rPr>
              <w:t>1.</w:t>
            </w:r>
            <w:r w:rsidRPr="004A59B1">
              <w:rPr>
                <w:rFonts w:ascii="Times New Roman" w:hAnsi="Times New Roman"/>
                <w:color w:val="000000"/>
                <w:sz w:val="22"/>
                <w:szCs w:val="22"/>
                <w:lang w:val="sv-SE"/>
              </w:rPr>
              <w:tab/>
            </w:r>
            <w:r w:rsidR="002F40CF" w:rsidRPr="004A59B1">
              <w:rPr>
                <w:rFonts w:ascii="Times New Roman" w:hAnsi="Times New Roman"/>
                <w:color w:val="000000"/>
                <w:sz w:val="22"/>
                <w:szCs w:val="22"/>
                <w:lang w:val="sv-SE"/>
              </w:rPr>
              <w:t xml:space="preserve">Prekinite zdravljenje z </w:t>
            </w:r>
            <w:r w:rsidR="00563D98" w:rsidRPr="004A59B1">
              <w:rPr>
                <w:rFonts w:ascii="Times New Roman" w:hAnsi="Times New Roman"/>
                <w:color w:val="000000"/>
                <w:sz w:val="22"/>
                <w:szCs w:val="22"/>
                <w:lang w:val="sv-SE"/>
              </w:rPr>
              <w:t xml:space="preserve">zdravilom </w:t>
            </w:r>
            <w:r w:rsidR="002F40CF" w:rsidRPr="004A59B1">
              <w:rPr>
                <w:rFonts w:ascii="Times New Roman" w:hAnsi="Times New Roman"/>
                <w:color w:val="000000"/>
                <w:sz w:val="22"/>
                <w:szCs w:val="22"/>
                <w:lang w:val="sv-SE"/>
              </w:rPr>
              <w:t>Glivec, dokler ni A</w:t>
            </w:r>
            <w:r w:rsidR="004B33C9" w:rsidRPr="004A59B1">
              <w:rPr>
                <w:rFonts w:ascii="Times New Roman" w:hAnsi="Times New Roman"/>
                <w:color w:val="000000"/>
                <w:sz w:val="22"/>
                <w:szCs w:val="22"/>
                <w:lang w:val="sv-SE"/>
              </w:rPr>
              <w:t>NC</w:t>
            </w:r>
            <w:r w:rsidR="002F40CF" w:rsidRPr="004A59B1">
              <w:rPr>
                <w:rFonts w:ascii="Times New Roman" w:hAnsi="Times New Roman"/>
                <w:color w:val="000000"/>
                <w:sz w:val="22"/>
                <w:szCs w:val="22"/>
                <w:lang w:val="sv-SE"/>
              </w:rPr>
              <w:t xml:space="preserve"> </w:t>
            </w:r>
            <w:r w:rsidR="002F40CF" w:rsidRPr="004A59B1">
              <w:rPr>
                <w:rFonts w:ascii="Times New Roman" w:hAnsi="Times New Roman"/>
                <w:color w:val="000000"/>
                <w:sz w:val="22"/>
                <w:szCs w:val="22"/>
                <w:lang w:val="de-CH"/>
              </w:rPr>
              <w:sym w:font="Symbol" w:char="F0B3"/>
            </w:r>
            <w:r w:rsidR="002F40CF" w:rsidRPr="004A59B1">
              <w:rPr>
                <w:rFonts w:ascii="Times New Roman" w:hAnsi="Times New Roman"/>
                <w:color w:val="000000"/>
                <w:sz w:val="22"/>
                <w:szCs w:val="22"/>
                <w:lang w:val="sv-SE"/>
              </w:rPr>
              <w:t> 1,5 x 10</w:t>
            </w:r>
            <w:r w:rsidR="002F40CF" w:rsidRPr="004A59B1">
              <w:rPr>
                <w:rFonts w:ascii="Times New Roman" w:hAnsi="Times New Roman"/>
                <w:color w:val="000000"/>
                <w:sz w:val="22"/>
                <w:szCs w:val="22"/>
                <w:vertAlign w:val="superscript"/>
                <w:lang w:val="sv-SE"/>
              </w:rPr>
              <w:t>9</w:t>
            </w:r>
            <w:r w:rsidR="002F40CF" w:rsidRPr="004A59B1">
              <w:rPr>
                <w:rFonts w:ascii="Times New Roman" w:hAnsi="Times New Roman"/>
                <w:color w:val="000000"/>
                <w:sz w:val="22"/>
                <w:szCs w:val="22"/>
                <w:lang w:val="sv-SE"/>
              </w:rPr>
              <w:t xml:space="preserve">/l in </w:t>
            </w:r>
            <w:r w:rsidR="00DE7EB6" w:rsidRPr="004A59B1">
              <w:rPr>
                <w:rFonts w:ascii="Times New Roman" w:hAnsi="Times New Roman"/>
                <w:color w:val="000000"/>
                <w:sz w:val="22"/>
                <w:szCs w:val="22"/>
                <w:lang w:val="sv-SE"/>
              </w:rPr>
              <w:t xml:space="preserve">koncentracija </w:t>
            </w:r>
            <w:r w:rsidR="002F40CF" w:rsidRPr="004A59B1">
              <w:rPr>
                <w:rFonts w:ascii="Times New Roman" w:hAnsi="Times New Roman"/>
                <w:color w:val="000000"/>
                <w:sz w:val="22"/>
                <w:szCs w:val="22"/>
                <w:lang w:val="sv-SE"/>
              </w:rPr>
              <w:t>trombocit</w:t>
            </w:r>
            <w:r w:rsidR="00DE7EB6" w:rsidRPr="004A59B1">
              <w:rPr>
                <w:rFonts w:ascii="Times New Roman" w:hAnsi="Times New Roman"/>
                <w:color w:val="000000"/>
                <w:sz w:val="22"/>
                <w:szCs w:val="22"/>
                <w:lang w:val="sv-SE"/>
              </w:rPr>
              <w:t>ov</w:t>
            </w:r>
            <w:r w:rsidR="002F40CF" w:rsidRPr="004A59B1">
              <w:rPr>
                <w:rFonts w:ascii="Times New Roman" w:hAnsi="Times New Roman"/>
                <w:color w:val="000000"/>
                <w:sz w:val="22"/>
                <w:szCs w:val="22"/>
                <w:lang w:val="sv-SE"/>
              </w:rPr>
              <w:t xml:space="preserve"> </w:t>
            </w:r>
            <w:r w:rsidR="002F40CF" w:rsidRPr="004A59B1">
              <w:rPr>
                <w:rFonts w:ascii="Times New Roman" w:hAnsi="Times New Roman"/>
                <w:color w:val="000000"/>
                <w:sz w:val="22"/>
                <w:szCs w:val="22"/>
                <w:lang w:val="de-CH"/>
              </w:rPr>
              <w:sym w:font="Symbol" w:char="F0B3"/>
            </w:r>
            <w:r w:rsidR="002F40CF" w:rsidRPr="004A59B1">
              <w:rPr>
                <w:rFonts w:ascii="Times New Roman" w:hAnsi="Times New Roman"/>
                <w:color w:val="000000"/>
                <w:sz w:val="22"/>
                <w:szCs w:val="22"/>
                <w:lang w:val="sv-SE"/>
              </w:rPr>
              <w:t> 75 x 10</w:t>
            </w:r>
            <w:r w:rsidR="002F40CF" w:rsidRPr="004A59B1">
              <w:rPr>
                <w:rFonts w:ascii="Times New Roman" w:hAnsi="Times New Roman"/>
                <w:color w:val="000000"/>
                <w:sz w:val="22"/>
                <w:szCs w:val="22"/>
                <w:vertAlign w:val="superscript"/>
                <w:lang w:val="sv-SE"/>
              </w:rPr>
              <w:t>9</w:t>
            </w:r>
            <w:r w:rsidR="002F40CF" w:rsidRPr="004A59B1">
              <w:rPr>
                <w:rFonts w:ascii="Times New Roman" w:hAnsi="Times New Roman"/>
                <w:color w:val="000000"/>
                <w:sz w:val="22"/>
                <w:szCs w:val="22"/>
                <w:lang w:val="sv-SE"/>
              </w:rPr>
              <w:t>/l.</w:t>
            </w:r>
          </w:p>
          <w:p w14:paraId="52979784" w14:textId="77777777" w:rsidR="002F40CF" w:rsidRPr="004A59B1" w:rsidRDefault="00043C17" w:rsidP="009C1193">
            <w:pPr>
              <w:pStyle w:val="Table"/>
              <w:widowControl w:val="0"/>
              <w:tabs>
                <w:tab w:val="clear" w:pos="284"/>
              </w:tabs>
              <w:spacing w:before="0" w:after="0"/>
              <w:ind w:left="469" w:hanging="469"/>
              <w:rPr>
                <w:rFonts w:ascii="Times New Roman" w:hAnsi="Times New Roman"/>
                <w:color w:val="000000"/>
                <w:sz w:val="22"/>
                <w:szCs w:val="22"/>
                <w:lang w:val="sv-SE"/>
              </w:rPr>
            </w:pPr>
            <w:r w:rsidRPr="004A59B1">
              <w:rPr>
                <w:rFonts w:ascii="Times New Roman" w:hAnsi="Times New Roman"/>
                <w:color w:val="000000"/>
                <w:sz w:val="22"/>
                <w:szCs w:val="22"/>
                <w:lang w:val="sv-SE"/>
              </w:rPr>
              <w:t>2.</w:t>
            </w:r>
            <w:r w:rsidRPr="004A59B1">
              <w:rPr>
                <w:rFonts w:ascii="Times New Roman" w:hAnsi="Times New Roman"/>
                <w:color w:val="000000"/>
                <w:sz w:val="22"/>
                <w:szCs w:val="22"/>
                <w:lang w:val="sv-SE"/>
              </w:rPr>
              <w:tab/>
            </w:r>
            <w:r w:rsidR="002F40CF" w:rsidRPr="004A59B1">
              <w:rPr>
                <w:rFonts w:ascii="Times New Roman" w:hAnsi="Times New Roman"/>
                <w:color w:val="000000"/>
                <w:sz w:val="22"/>
                <w:szCs w:val="22"/>
                <w:lang w:val="sv-SE"/>
              </w:rPr>
              <w:t xml:space="preserve">Spet začnite zdravljenje z </w:t>
            </w:r>
            <w:r w:rsidR="00563D98" w:rsidRPr="004A59B1">
              <w:rPr>
                <w:rFonts w:ascii="Times New Roman" w:hAnsi="Times New Roman"/>
                <w:color w:val="000000"/>
                <w:sz w:val="22"/>
                <w:szCs w:val="22"/>
                <w:lang w:val="sv-SE"/>
              </w:rPr>
              <w:t xml:space="preserve">zdravilom </w:t>
            </w:r>
            <w:r w:rsidR="002F40CF" w:rsidRPr="004A59B1">
              <w:rPr>
                <w:rFonts w:ascii="Times New Roman" w:hAnsi="Times New Roman"/>
                <w:color w:val="000000"/>
                <w:sz w:val="22"/>
                <w:szCs w:val="22"/>
                <w:lang w:val="sv-SE"/>
              </w:rPr>
              <w:t xml:space="preserve">Glivec s prejšnjim odmerkom (t.j. tistim pred nastopom </w:t>
            </w:r>
            <w:r w:rsidR="00563D98" w:rsidRPr="004A59B1">
              <w:rPr>
                <w:rFonts w:ascii="Times New Roman" w:hAnsi="Times New Roman"/>
                <w:color w:val="000000"/>
                <w:sz w:val="22"/>
                <w:szCs w:val="22"/>
                <w:lang w:val="sv-SE"/>
              </w:rPr>
              <w:t xml:space="preserve">resnega </w:t>
            </w:r>
            <w:r w:rsidR="002F40CF" w:rsidRPr="004A59B1">
              <w:rPr>
                <w:rFonts w:ascii="Times New Roman" w:hAnsi="Times New Roman"/>
                <w:color w:val="000000"/>
                <w:sz w:val="22"/>
                <w:szCs w:val="22"/>
                <w:lang w:val="sv-SE"/>
              </w:rPr>
              <w:t>neželene</w:t>
            </w:r>
            <w:r w:rsidR="00563D98" w:rsidRPr="004A59B1">
              <w:rPr>
                <w:rFonts w:ascii="Times New Roman" w:hAnsi="Times New Roman"/>
                <w:color w:val="000000"/>
                <w:sz w:val="22"/>
                <w:szCs w:val="22"/>
                <w:lang w:val="sv-SE"/>
              </w:rPr>
              <w:t>ga učinka</w:t>
            </w:r>
            <w:r w:rsidR="002F40CF" w:rsidRPr="004A59B1">
              <w:rPr>
                <w:rFonts w:ascii="Times New Roman" w:hAnsi="Times New Roman"/>
                <w:color w:val="000000"/>
                <w:sz w:val="22"/>
                <w:szCs w:val="22"/>
                <w:lang w:val="sv-SE"/>
              </w:rPr>
              <w:t>).</w:t>
            </w:r>
          </w:p>
        </w:tc>
      </w:tr>
      <w:tr w:rsidR="00444D75" w:rsidRPr="003B6568" w14:paraId="5297978F" w14:textId="77777777" w:rsidTr="00AA1FD3">
        <w:trPr>
          <w:cantSplit/>
        </w:trPr>
        <w:tc>
          <w:tcPr>
            <w:tcW w:w="2376" w:type="dxa"/>
          </w:tcPr>
          <w:p w14:paraId="52979786" w14:textId="77777777" w:rsidR="00A1282B" w:rsidRPr="004A59B1" w:rsidRDefault="00444D75" w:rsidP="009C1193">
            <w:pPr>
              <w:pStyle w:val="EndnoteText"/>
              <w:widowControl w:val="0"/>
              <w:tabs>
                <w:tab w:val="clear" w:pos="567"/>
              </w:tabs>
              <w:rPr>
                <w:color w:val="000000"/>
                <w:szCs w:val="22"/>
                <w:lang w:val="sv-SE"/>
              </w:rPr>
            </w:pPr>
            <w:r w:rsidRPr="004A59B1">
              <w:rPr>
                <w:color w:val="000000"/>
                <w:szCs w:val="22"/>
                <w:lang w:val="sv-SE"/>
              </w:rPr>
              <w:t xml:space="preserve">kronična faza </w:t>
            </w:r>
            <w:r w:rsidR="00677326" w:rsidRPr="004A59B1">
              <w:rPr>
                <w:color w:val="000000"/>
                <w:szCs w:val="22"/>
                <w:lang w:val="sv-SE"/>
              </w:rPr>
              <w:t>KML</w:t>
            </w:r>
            <w:r w:rsidR="00C80123" w:rsidRPr="004A59B1">
              <w:rPr>
                <w:color w:val="000000"/>
                <w:szCs w:val="22"/>
                <w:lang w:val="sv-SE"/>
              </w:rPr>
              <w:t>, MDS/MPD</w:t>
            </w:r>
            <w:r w:rsidRPr="004A59B1">
              <w:rPr>
                <w:color w:val="000000"/>
                <w:szCs w:val="22"/>
                <w:lang w:val="sv-SE"/>
              </w:rPr>
              <w:t xml:space="preserve"> in GIST (začetni odmerek 400 mg)</w:t>
            </w:r>
          </w:p>
          <w:p w14:paraId="52979787" w14:textId="77777777" w:rsidR="002F40CF" w:rsidRPr="004A59B1" w:rsidRDefault="002F40CF" w:rsidP="009C1193">
            <w:pPr>
              <w:pStyle w:val="EndnoteText"/>
              <w:widowControl w:val="0"/>
              <w:tabs>
                <w:tab w:val="clear" w:pos="567"/>
              </w:tabs>
              <w:rPr>
                <w:color w:val="000000"/>
                <w:szCs w:val="22"/>
                <w:lang w:val="fr-FR"/>
              </w:rPr>
            </w:pPr>
            <w:r w:rsidRPr="004A59B1">
              <w:rPr>
                <w:color w:val="000000"/>
                <w:szCs w:val="22"/>
                <w:lang w:val="fr-FR"/>
              </w:rPr>
              <w:t>HES/CEL</w:t>
            </w:r>
          </w:p>
          <w:p w14:paraId="52979788" w14:textId="77777777" w:rsidR="00444D75" w:rsidRPr="004A59B1" w:rsidRDefault="002F40CF" w:rsidP="009C1193">
            <w:pPr>
              <w:pStyle w:val="EndnoteText"/>
              <w:widowControl w:val="0"/>
              <w:tabs>
                <w:tab w:val="clear" w:pos="567"/>
              </w:tabs>
              <w:rPr>
                <w:color w:val="000000"/>
                <w:szCs w:val="22"/>
                <w:lang w:val="fr-FR"/>
              </w:rPr>
            </w:pPr>
            <w:r w:rsidRPr="004A59B1">
              <w:rPr>
                <w:color w:val="000000"/>
                <w:szCs w:val="22"/>
                <w:lang w:val="fr-FR"/>
              </w:rPr>
              <w:t>(pri odmerku 400 mg)</w:t>
            </w:r>
          </w:p>
        </w:tc>
        <w:tc>
          <w:tcPr>
            <w:tcW w:w="2400" w:type="dxa"/>
          </w:tcPr>
          <w:p w14:paraId="52979789" w14:textId="77777777" w:rsidR="00444D75" w:rsidRPr="004A59B1" w:rsidRDefault="00444D75" w:rsidP="009C1193">
            <w:pPr>
              <w:pStyle w:val="Table"/>
              <w:keepNext w:val="0"/>
              <w:keepLines w:val="0"/>
              <w:widowControl w:val="0"/>
              <w:spacing w:before="0" w:after="0"/>
              <w:rPr>
                <w:rFonts w:ascii="Times New Roman" w:hAnsi="Times New Roman"/>
                <w:color w:val="000000"/>
                <w:sz w:val="22"/>
                <w:szCs w:val="22"/>
                <w:lang w:val="it-IT"/>
              </w:rPr>
            </w:pPr>
            <w:r w:rsidRPr="004A59B1">
              <w:rPr>
                <w:rFonts w:ascii="Times New Roman" w:hAnsi="Times New Roman"/>
                <w:color w:val="000000"/>
                <w:sz w:val="22"/>
                <w:szCs w:val="22"/>
                <w:lang w:val="it-IT"/>
              </w:rPr>
              <w:t>A</w:t>
            </w:r>
            <w:r w:rsidR="004B33C9" w:rsidRPr="004A59B1">
              <w:rPr>
                <w:rFonts w:ascii="Times New Roman" w:hAnsi="Times New Roman"/>
                <w:color w:val="000000"/>
                <w:sz w:val="22"/>
                <w:szCs w:val="22"/>
                <w:lang w:val="it-IT"/>
              </w:rPr>
              <w:t>NC</w:t>
            </w:r>
            <w:r w:rsidRPr="004A59B1">
              <w:rPr>
                <w:rFonts w:ascii="Times New Roman" w:hAnsi="Times New Roman"/>
                <w:color w:val="000000"/>
                <w:sz w:val="22"/>
                <w:szCs w:val="22"/>
                <w:lang w:val="it-IT"/>
              </w:rPr>
              <w:t xml:space="preserve"> &lt; 1,0 x 10</w:t>
            </w:r>
            <w:r w:rsidRPr="004A59B1">
              <w:rPr>
                <w:rFonts w:ascii="Times New Roman" w:hAnsi="Times New Roman"/>
                <w:color w:val="000000"/>
                <w:sz w:val="22"/>
                <w:szCs w:val="22"/>
                <w:vertAlign w:val="superscript"/>
                <w:lang w:val="it-IT"/>
              </w:rPr>
              <w:t>9</w:t>
            </w:r>
            <w:r w:rsidRPr="004A59B1">
              <w:rPr>
                <w:rFonts w:ascii="Times New Roman" w:hAnsi="Times New Roman"/>
                <w:color w:val="000000"/>
                <w:sz w:val="22"/>
                <w:szCs w:val="22"/>
                <w:lang w:val="it-IT"/>
              </w:rPr>
              <w:t>/l</w:t>
            </w:r>
          </w:p>
          <w:p w14:paraId="5297978A" w14:textId="77777777" w:rsidR="00444D75" w:rsidRPr="004A59B1" w:rsidRDefault="00444D75" w:rsidP="009C1193">
            <w:pPr>
              <w:pStyle w:val="Table"/>
              <w:keepNext w:val="0"/>
              <w:keepLines w:val="0"/>
              <w:widowControl w:val="0"/>
              <w:spacing w:before="0" w:after="0"/>
              <w:rPr>
                <w:rFonts w:ascii="Times New Roman" w:hAnsi="Times New Roman"/>
                <w:color w:val="000000"/>
                <w:sz w:val="22"/>
                <w:szCs w:val="22"/>
                <w:lang w:val="it-IT"/>
              </w:rPr>
            </w:pPr>
            <w:r w:rsidRPr="004A59B1">
              <w:rPr>
                <w:rFonts w:ascii="Times New Roman" w:hAnsi="Times New Roman"/>
                <w:color w:val="000000"/>
                <w:sz w:val="22"/>
                <w:szCs w:val="22"/>
                <w:lang w:val="it-IT"/>
              </w:rPr>
              <w:t>in/ali</w:t>
            </w:r>
          </w:p>
          <w:p w14:paraId="5297978B" w14:textId="77777777" w:rsidR="00444D75" w:rsidRPr="004A59B1" w:rsidRDefault="00DE7EB6" w:rsidP="009C1193">
            <w:pPr>
              <w:pStyle w:val="EndnoteText"/>
              <w:widowControl w:val="0"/>
              <w:tabs>
                <w:tab w:val="clear" w:pos="567"/>
              </w:tabs>
              <w:rPr>
                <w:color w:val="000000"/>
                <w:szCs w:val="22"/>
                <w:lang w:val="it-IT"/>
              </w:rPr>
            </w:pPr>
            <w:r w:rsidRPr="004A59B1">
              <w:rPr>
                <w:color w:val="000000"/>
                <w:szCs w:val="22"/>
                <w:lang w:val="it-IT"/>
              </w:rPr>
              <w:t xml:space="preserve">koncentracija </w:t>
            </w:r>
            <w:r w:rsidR="00444D75" w:rsidRPr="004A59B1">
              <w:rPr>
                <w:color w:val="000000"/>
                <w:szCs w:val="22"/>
                <w:lang w:val="it-IT"/>
              </w:rPr>
              <w:t>trombocitov &lt; 50 x 10</w:t>
            </w:r>
            <w:r w:rsidR="00444D75" w:rsidRPr="004A59B1">
              <w:rPr>
                <w:color w:val="000000"/>
                <w:szCs w:val="22"/>
                <w:vertAlign w:val="superscript"/>
                <w:lang w:val="it-IT"/>
              </w:rPr>
              <w:t>9</w:t>
            </w:r>
            <w:r w:rsidR="00444D75" w:rsidRPr="004A59B1">
              <w:rPr>
                <w:color w:val="000000"/>
                <w:szCs w:val="22"/>
                <w:lang w:val="it-IT"/>
              </w:rPr>
              <w:t>/l</w:t>
            </w:r>
          </w:p>
        </w:tc>
        <w:tc>
          <w:tcPr>
            <w:tcW w:w="4404" w:type="dxa"/>
          </w:tcPr>
          <w:p w14:paraId="5297978C" w14:textId="77777777" w:rsidR="00444D75" w:rsidRPr="004A59B1" w:rsidRDefault="00043C17" w:rsidP="009C1193">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sidRPr="004A59B1">
              <w:rPr>
                <w:rFonts w:ascii="Times New Roman" w:hAnsi="Times New Roman"/>
                <w:color w:val="000000"/>
                <w:sz w:val="22"/>
                <w:szCs w:val="22"/>
                <w:lang w:val="sv-SE"/>
              </w:rPr>
              <w:t>1.</w:t>
            </w:r>
            <w:r w:rsidRPr="004A59B1">
              <w:rPr>
                <w:rFonts w:ascii="Times New Roman" w:hAnsi="Times New Roman"/>
                <w:color w:val="000000"/>
                <w:sz w:val="22"/>
                <w:szCs w:val="22"/>
                <w:lang w:val="sv-SE"/>
              </w:rPr>
              <w:tab/>
            </w:r>
            <w:r w:rsidR="00444D75" w:rsidRPr="004A59B1">
              <w:rPr>
                <w:rFonts w:ascii="Times New Roman" w:hAnsi="Times New Roman"/>
                <w:color w:val="000000"/>
                <w:sz w:val="22"/>
                <w:szCs w:val="22"/>
                <w:lang w:val="sv-SE"/>
              </w:rPr>
              <w:t xml:space="preserve">Prekinite zdravljenje z </w:t>
            </w:r>
            <w:r w:rsidR="00D81193" w:rsidRPr="004A59B1">
              <w:rPr>
                <w:rFonts w:ascii="Times New Roman" w:hAnsi="Times New Roman"/>
                <w:color w:val="000000"/>
                <w:sz w:val="22"/>
                <w:szCs w:val="22"/>
                <w:lang w:val="sv-SE"/>
              </w:rPr>
              <w:t>zdravilom Glivec</w:t>
            </w:r>
            <w:r w:rsidR="00444D75" w:rsidRPr="004A59B1">
              <w:rPr>
                <w:rFonts w:ascii="Times New Roman" w:hAnsi="Times New Roman"/>
                <w:color w:val="000000"/>
                <w:sz w:val="22"/>
                <w:szCs w:val="22"/>
                <w:lang w:val="sv-SE"/>
              </w:rPr>
              <w:t>, dokler ni A</w:t>
            </w:r>
            <w:r w:rsidR="004B33C9" w:rsidRPr="004A59B1">
              <w:rPr>
                <w:rFonts w:ascii="Times New Roman" w:hAnsi="Times New Roman"/>
                <w:color w:val="000000"/>
                <w:sz w:val="22"/>
                <w:szCs w:val="22"/>
                <w:lang w:val="sv-SE"/>
              </w:rPr>
              <w:t>NC</w:t>
            </w:r>
            <w:r w:rsidR="00444D75" w:rsidRPr="004A59B1">
              <w:rPr>
                <w:rFonts w:ascii="Times New Roman" w:hAnsi="Times New Roman"/>
                <w:color w:val="000000"/>
                <w:sz w:val="22"/>
                <w:szCs w:val="22"/>
                <w:lang w:val="sv-SE"/>
              </w:rPr>
              <w:t xml:space="preserve"> </w:t>
            </w:r>
            <w:r w:rsidR="00444D75" w:rsidRPr="004A59B1">
              <w:rPr>
                <w:rFonts w:ascii="Times New Roman" w:hAnsi="Times New Roman"/>
                <w:color w:val="000000"/>
                <w:sz w:val="22"/>
                <w:szCs w:val="22"/>
                <w:lang w:val="en-GB"/>
              </w:rPr>
              <w:sym w:font="Symbol" w:char="F0B3"/>
            </w:r>
            <w:r w:rsidR="00444D75" w:rsidRPr="004A59B1">
              <w:rPr>
                <w:rFonts w:ascii="Times New Roman" w:hAnsi="Times New Roman"/>
                <w:color w:val="000000"/>
                <w:sz w:val="22"/>
                <w:szCs w:val="22"/>
                <w:lang w:val="sv-SE"/>
              </w:rPr>
              <w:t> 1,5 x 10</w:t>
            </w:r>
            <w:r w:rsidR="00444D75" w:rsidRPr="004A59B1">
              <w:rPr>
                <w:rFonts w:ascii="Times New Roman" w:hAnsi="Times New Roman"/>
                <w:color w:val="000000"/>
                <w:sz w:val="22"/>
                <w:szCs w:val="22"/>
                <w:vertAlign w:val="superscript"/>
                <w:lang w:val="sv-SE"/>
              </w:rPr>
              <w:t>9</w:t>
            </w:r>
            <w:r w:rsidR="00444D75" w:rsidRPr="004A59B1">
              <w:rPr>
                <w:rFonts w:ascii="Times New Roman" w:hAnsi="Times New Roman"/>
                <w:color w:val="000000"/>
                <w:sz w:val="22"/>
                <w:szCs w:val="22"/>
                <w:lang w:val="sv-SE"/>
              </w:rPr>
              <w:t xml:space="preserve">/l in </w:t>
            </w:r>
            <w:r w:rsidR="00DE7EB6" w:rsidRPr="004A59B1">
              <w:rPr>
                <w:rFonts w:ascii="Times New Roman" w:hAnsi="Times New Roman"/>
                <w:color w:val="000000"/>
                <w:sz w:val="22"/>
                <w:szCs w:val="22"/>
                <w:lang w:val="sv-SE"/>
              </w:rPr>
              <w:t>koncentracija</w:t>
            </w:r>
            <w:r w:rsidR="00DE7EB6" w:rsidRPr="004A59B1">
              <w:rPr>
                <w:color w:val="000000"/>
                <w:szCs w:val="22"/>
                <w:lang w:val="sv-SE"/>
              </w:rPr>
              <w:t xml:space="preserve"> </w:t>
            </w:r>
            <w:r w:rsidR="00444D75" w:rsidRPr="004A59B1">
              <w:rPr>
                <w:rFonts w:ascii="Times New Roman" w:hAnsi="Times New Roman"/>
                <w:color w:val="000000"/>
                <w:sz w:val="22"/>
                <w:szCs w:val="22"/>
                <w:lang w:val="sv-SE"/>
              </w:rPr>
              <w:t>trombocit</w:t>
            </w:r>
            <w:r w:rsidR="00DE7EB6" w:rsidRPr="004A59B1">
              <w:rPr>
                <w:rFonts w:ascii="Times New Roman" w:hAnsi="Times New Roman"/>
                <w:color w:val="000000"/>
                <w:sz w:val="22"/>
                <w:szCs w:val="22"/>
                <w:lang w:val="sv-SE"/>
              </w:rPr>
              <w:t>ov</w:t>
            </w:r>
            <w:r w:rsidR="00444D75" w:rsidRPr="004A59B1">
              <w:rPr>
                <w:rFonts w:ascii="Times New Roman" w:hAnsi="Times New Roman"/>
                <w:color w:val="000000"/>
                <w:sz w:val="22"/>
                <w:szCs w:val="22"/>
                <w:lang w:val="sv-SE"/>
              </w:rPr>
              <w:t xml:space="preserve"> </w:t>
            </w:r>
            <w:r w:rsidR="00444D75" w:rsidRPr="004A59B1">
              <w:rPr>
                <w:rFonts w:ascii="Times New Roman" w:hAnsi="Times New Roman"/>
                <w:color w:val="000000"/>
                <w:sz w:val="22"/>
                <w:szCs w:val="22"/>
                <w:lang w:val="en-GB"/>
              </w:rPr>
              <w:sym w:font="Symbol" w:char="F0B3"/>
            </w:r>
            <w:r w:rsidR="00444D75" w:rsidRPr="004A59B1">
              <w:rPr>
                <w:rFonts w:ascii="Times New Roman" w:hAnsi="Times New Roman"/>
                <w:color w:val="000000"/>
                <w:sz w:val="22"/>
                <w:szCs w:val="22"/>
                <w:lang w:val="sv-SE"/>
              </w:rPr>
              <w:t> 75 x 10</w:t>
            </w:r>
            <w:r w:rsidR="00444D75" w:rsidRPr="004A59B1">
              <w:rPr>
                <w:rFonts w:ascii="Times New Roman" w:hAnsi="Times New Roman"/>
                <w:color w:val="000000"/>
                <w:sz w:val="22"/>
                <w:szCs w:val="22"/>
                <w:vertAlign w:val="superscript"/>
                <w:lang w:val="sv-SE"/>
              </w:rPr>
              <w:t>9</w:t>
            </w:r>
            <w:r w:rsidR="00444D75" w:rsidRPr="004A59B1">
              <w:rPr>
                <w:rFonts w:ascii="Times New Roman" w:hAnsi="Times New Roman"/>
                <w:color w:val="000000"/>
                <w:sz w:val="22"/>
                <w:szCs w:val="22"/>
                <w:lang w:val="sv-SE"/>
              </w:rPr>
              <w:t>/l.</w:t>
            </w:r>
          </w:p>
          <w:p w14:paraId="5297978D" w14:textId="77777777" w:rsidR="00444D75" w:rsidRPr="004A59B1" w:rsidRDefault="00043C17" w:rsidP="009C1193">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sidRPr="004A59B1">
              <w:rPr>
                <w:rFonts w:ascii="Times New Roman" w:hAnsi="Times New Roman"/>
                <w:color w:val="000000"/>
                <w:sz w:val="22"/>
                <w:szCs w:val="22"/>
                <w:lang w:val="sv-SE"/>
              </w:rPr>
              <w:t>2.</w:t>
            </w:r>
            <w:r w:rsidRPr="004A59B1">
              <w:rPr>
                <w:rFonts w:ascii="Times New Roman" w:hAnsi="Times New Roman"/>
                <w:color w:val="000000"/>
                <w:sz w:val="22"/>
                <w:szCs w:val="22"/>
                <w:lang w:val="sv-SE"/>
              </w:rPr>
              <w:tab/>
            </w:r>
            <w:r w:rsidR="00444D75" w:rsidRPr="004A59B1">
              <w:rPr>
                <w:rFonts w:ascii="Times New Roman" w:hAnsi="Times New Roman"/>
                <w:color w:val="000000"/>
                <w:sz w:val="22"/>
                <w:szCs w:val="22"/>
                <w:lang w:val="sv-SE"/>
              </w:rPr>
              <w:t xml:space="preserve">Spet začnite zdravljenje z </w:t>
            </w:r>
            <w:r w:rsidR="00D81193" w:rsidRPr="004A59B1">
              <w:rPr>
                <w:rFonts w:ascii="Times New Roman" w:hAnsi="Times New Roman"/>
                <w:color w:val="000000"/>
                <w:sz w:val="22"/>
                <w:szCs w:val="22"/>
                <w:lang w:val="sv-SE"/>
              </w:rPr>
              <w:t>zdravilom Glivec</w:t>
            </w:r>
            <w:r w:rsidR="00444D75" w:rsidRPr="004A59B1">
              <w:rPr>
                <w:rFonts w:ascii="Times New Roman" w:hAnsi="Times New Roman"/>
                <w:color w:val="000000"/>
                <w:sz w:val="22"/>
                <w:szCs w:val="22"/>
                <w:lang w:val="sv-SE"/>
              </w:rPr>
              <w:t xml:space="preserve"> s prejšnjim odmerkom (t.j. tistim pred nastopom </w:t>
            </w:r>
            <w:r w:rsidR="00422B3A" w:rsidRPr="004A59B1">
              <w:rPr>
                <w:rFonts w:ascii="Times New Roman" w:hAnsi="Times New Roman"/>
                <w:color w:val="000000"/>
                <w:sz w:val="22"/>
                <w:szCs w:val="22"/>
                <w:lang w:val="sv-SE"/>
              </w:rPr>
              <w:t>resnega neželenega učinka</w:t>
            </w:r>
            <w:r w:rsidR="00444D75" w:rsidRPr="004A59B1">
              <w:rPr>
                <w:rFonts w:ascii="Times New Roman" w:hAnsi="Times New Roman"/>
                <w:color w:val="000000"/>
                <w:sz w:val="22"/>
                <w:szCs w:val="22"/>
                <w:lang w:val="sv-SE"/>
              </w:rPr>
              <w:t>).</w:t>
            </w:r>
          </w:p>
          <w:p w14:paraId="5297978E" w14:textId="77777777" w:rsidR="00444D75" w:rsidRPr="004A59B1" w:rsidRDefault="00043C17" w:rsidP="009C1193">
            <w:pPr>
              <w:pStyle w:val="EndnoteText"/>
              <w:widowControl w:val="0"/>
              <w:tabs>
                <w:tab w:val="clear" w:pos="567"/>
              </w:tabs>
              <w:ind w:left="469" w:hanging="469"/>
              <w:rPr>
                <w:color w:val="000000"/>
                <w:szCs w:val="22"/>
                <w:lang w:val="sv-SE"/>
              </w:rPr>
            </w:pPr>
            <w:r w:rsidRPr="004A59B1">
              <w:rPr>
                <w:color w:val="000000"/>
                <w:szCs w:val="22"/>
                <w:lang w:val="sv-SE"/>
              </w:rPr>
              <w:t>3.</w:t>
            </w:r>
            <w:r w:rsidRPr="004A59B1">
              <w:rPr>
                <w:color w:val="000000"/>
                <w:szCs w:val="22"/>
                <w:lang w:val="sv-SE"/>
              </w:rPr>
              <w:tab/>
            </w:r>
            <w:r w:rsidR="00444D75" w:rsidRPr="004A59B1">
              <w:rPr>
                <w:color w:val="000000"/>
                <w:szCs w:val="22"/>
                <w:lang w:val="sv-SE"/>
              </w:rPr>
              <w:t>Če se pojav/a A</w:t>
            </w:r>
            <w:r w:rsidR="004B33C9" w:rsidRPr="004A59B1">
              <w:rPr>
                <w:color w:val="000000"/>
                <w:szCs w:val="22"/>
                <w:lang w:val="sv-SE"/>
              </w:rPr>
              <w:t>NC</w:t>
            </w:r>
            <w:r w:rsidR="00444D75" w:rsidRPr="004A59B1">
              <w:rPr>
                <w:color w:val="000000"/>
                <w:szCs w:val="22"/>
                <w:lang w:val="sv-SE"/>
              </w:rPr>
              <w:t xml:space="preserve"> </w:t>
            </w:r>
            <w:r w:rsidR="00444D75" w:rsidRPr="004A59B1">
              <w:rPr>
                <w:color w:val="000000"/>
                <w:szCs w:val="22"/>
              </w:rPr>
              <w:sym w:font="Symbol" w:char="F03C"/>
            </w:r>
            <w:r w:rsidR="00444D75" w:rsidRPr="004A59B1">
              <w:rPr>
                <w:color w:val="000000"/>
                <w:szCs w:val="22"/>
                <w:lang w:val="sv-SE"/>
              </w:rPr>
              <w:t> 1,0 x 10</w:t>
            </w:r>
            <w:r w:rsidR="00444D75" w:rsidRPr="004A59B1">
              <w:rPr>
                <w:color w:val="000000"/>
                <w:szCs w:val="22"/>
                <w:vertAlign w:val="superscript"/>
                <w:lang w:val="sv-SE"/>
              </w:rPr>
              <w:t>9</w:t>
            </w:r>
            <w:r w:rsidR="00444D75" w:rsidRPr="004A59B1">
              <w:rPr>
                <w:color w:val="000000"/>
                <w:szCs w:val="22"/>
                <w:lang w:val="sv-SE"/>
              </w:rPr>
              <w:t xml:space="preserve">/l in/ali </w:t>
            </w:r>
            <w:r w:rsidR="00DE7EB6" w:rsidRPr="004A59B1">
              <w:rPr>
                <w:color w:val="000000"/>
                <w:szCs w:val="22"/>
                <w:lang w:val="sv-SE"/>
              </w:rPr>
              <w:t xml:space="preserve">koncentracija </w:t>
            </w:r>
            <w:r w:rsidR="00444D75" w:rsidRPr="004A59B1">
              <w:rPr>
                <w:color w:val="000000"/>
                <w:szCs w:val="22"/>
                <w:lang w:val="sv-SE"/>
              </w:rPr>
              <w:t xml:space="preserve">trombocitov </w:t>
            </w:r>
            <w:r w:rsidR="00444D75" w:rsidRPr="004A59B1">
              <w:rPr>
                <w:color w:val="000000"/>
                <w:szCs w:val="22"/>
              </w:rPr>
              <w:sym w:font="Symbol" w:char="F03C"/>
            </w:r>
            <w:r w:rsidR="00444D75" w:rsidRPr="004A59B1">
              <w:rPr>
                <w:color w:val="000000"/>
                <w:szCs w:val="22"/>
                <w:lang w:val="sv-SE"/>
              </w:rPr>
              <w:t> 50 x 10</w:t>
            </w:r>
            <w:r w:rsidR="00444D75" w:rsidRPr="004A59B1">
              <w:rPr>
                <w:color w:val="000000"/>
                <w:szCs w:val="22"/>
                <w:vertAlign w:val="superscript"/>
                <w:lang w:val="sv-SE"/>
              </w:rPr>
              <w:t>9</w:t>
            </w:r>
            <w:r w:rsidR="00444D75" w:rsidRPr="004A59B1">
              <w:rPr>
                <w:color w:val="000000"/>
                <w:szCs w:val="22"/>
                <w:lang w:val="sv-SE"/>
              </w:rPr>
              <w:t xml:space="preserve">/l ponovi/ta, ponovite točko 1 in spet začnite zdravljenje z </w:t>
            </w:r>
            <w:r w:rsidR="00D81193" w:rsidRPr="004A59B1">
              <w:rPr>
                <w:color w:val="000000"/>
                <w:szCs w:val="22"/>
                <w:lang w:val="sv-SE"/>
              </w:rPr>
              <w:t>zdravilom Glivec</w:t>
            </w:r>
            <w:r w:rsidR="00444D75" w:rsidRPr="004A59B1">
              <w:rPr>
                <w:color w:val="000000"/>
                <w:szCs w:val="22"/>
                <w:lang w:val="sv-SE"/>
              </w:rPr>
              <w:t xml:space="preserve"> z zmanjšanim odmerkom 300 mg.</w:t>
            </w:r>
          </w:p>
        </w:tc>
      </w:tr>
      <w:tr w:rsidR="003276FC" w:rsidRPr="003B6568" w14:paraId="52979797" w14:textId="77777777" w:rsidTr="00AA1FD3">
        <w:trPr>
          <w:cantSplit/>
        </w:trPr>
        <w:tc>
          <w:tcPr>
            <w:tcW w:w="2376" w:type="dxa"/>
          </w:tcPr>
          <w:p w14:paraId="52979790" w14:textId="77777777" w:rsidR="007340CC" w:rsidRPr="004A59B1" w:rsidRDefault="003276FC" w:rsidP="009C1193">
            <w:pPr>
              <w:pStyle w:val="EndnoteText"/>
              <w:widowControl w:val="0"/>
              <w:tabs>
                <w:tab w:val="clear" w:pos="567"/>
              </w:tabs>
              <w:rPr>
                <w:color w:val="000000"/>
                <w:szCs w:val="22"/>
                <w:lang w:val="sv-SE"/>
              </w:rPr>
            </w:pPr>
            <w:r w:rsidRPr="004A59B1">
              <w:rPr>
                <w:color w:val="000000"/>
                <w:szCs w:val="22"/>
                <w:lang w:val="sv-SE"/>
              </w:rPr>
              <w:t xml:space="preserve">kronična faza </w:t>
            </w:r>
            <w:r w:rsidR="00677326" w:rsidRPr="004A59B1">
              <w:rPr>
                <w:color w:val="000000"/>
                <w:szCs w:val="22"/>
                <w:lang w:val="sv-SE"/>
              </w:rPr>
              <w:t>KML</w:t>
            </w:r>
            <w:r w:rsidRPr="004A59B1">
              <w:rPr>
                <w:color w:val="000000"/>
                <w:szCs w:val="22"/>
                <w:lang w:val="sv-SE"/>
              </w:rPr>
              <w:t xml:space="preserve"> pri pediatričnih bolnikih</w:t>
            </w:r>
            <w:r w:rsidR="007340CC" w:rsidRPr="004A59B1">
              <w:rPr>
                <w:color w:val="000000"/>
                <w:szCs w:val="22"/>
                <w:lang w:val="sv-SE"/>
              </w:rPr>
              <w:t xml:space="preserve"> (ob odmerku 340 mg/m</w:t>
            </w:r>
            <w:r w:rsidR="007340CC" w:rsidRPr="004A59B1">
              <w:rPr>
                <w:color w:val="000000"/>
                <w:szCs w:val="22"/>
                <w:vertAlign w:val="superscript"/>
                <w:lang w:val="sv-SE"/>
              </w:rPr>
              <w:t>2</w:t>
            </w:r>
            <w:r w:rsidR="007340CC" w:rsidRPr="004A59B1">
              <w:rPr>
                <w:color w:val="000000"/>
                <w:szCs w:val="22"/>
                <w:lang w:val="sv-SE"/>
              </w:rPr>
              <w:t>)</w:t>
            </w:r>
          </w:p>
        </w:tc>
        <w:tc>
          <w:tcPr>
            <w:tcW w:w="2400" w:type="dxa"/>
            <w:tcBorders>
              <w:bottom w:val="single" w:sz="4" w:space="0" w:color="auto"/>
            </w:tcBorders>
          </w:tcPr>
          <w:p w14:paraId="52979791" w14:textId="77777777" w:rsidR="003276FC" w:rsidRPr="004A59B1" w:rsidRDefault="003276FC" w:rsidP="009C1193">
            <w:pPr>
              <w:pStyle w:val="Table"/>
              <w:keepNext w:val="0"/>
              <w:keepLines w:val="0"/>
              <w:widowControl w:val="0"/>
              <w:spacing w:before="0" w:after="0"/>
              <w:rPr>
                <w:rFonts w:ascii="Times New Roman" w:hAnsi="Times New Roman"/>
                <w:color w:val="000000"/>
                <w:sz w:val="22"/>
                <w:szCs w:val="22"/>
                <w:lang w:val="it-IT"/>
              </w:rPr>
            </w:pPr>
            <w:r w:rsidRPr="004A59B1">
              <w:rPr>
                <w:rFonts w:ascii="Times New Roman" w:hAnsi="Times New Roman"/>
                <w:color w:val="000000"/>
                <w:sz w:val="22"/>
                <w:szCs w:val="22"/>
                <w:lang w:val="it-IT"/>
              </w:rPr>
              <w:t>A</w:t>
            </w:r>
            <w:r w:rsidR="004B33C9" w:rsidRPr="004A59B1">
              <w:rPr>
                <w:rFonts w:ascii="Times New Roman" w:hAnsi="Times New Roman"/>
                <w:color w:val="000000"/>
                <w:sz w:val="22"/>
                <w:szCs w:val="22"/>
                <w:lang w:val="it-IT"/>
              </w:rPr>
              <w:t>NC</w:t>
            </w:r>
            <w:r w:rsidRPr="004A59B1">
              <w:rPr>
                <w:rFonts w:ascii="Times New Roman" w:hAnsi="Times New Roman"/>
                <w:color w:val="000000"/>
                <w:sz w:val="22"/>
                <w:szCs w:val="22"/>
                <w:lang w:val="it-IT"/>
              </w:rPr>
              <w:t xml:space="preserve"> &lt; 1,0 x 10</w:t>
            </w:r>
            <w:r w:rsidRPr="004A59B1">
              <w:rPr>
                <w:rFonts w:ascii="Times New Roman" w:hAnsi="Times New Roman"/>
                <w:color w:val="000000"/>
                <w:sz w:val="22"/>
                <w:szCs w:val="22"/>
                <w:vertAlign w:val="superscript"/>
                <w:lang w:val="it-IT"/>
              </w:rPr>
              <w:t>9</w:t>
            </w:r>
            <w:r w:rsidRPr="004A59B1">
              <w:rPr>
                <w:rFonts w:ascii="Times New Roman" w:hAnsi="Times New Roman"/>
                <w:color w:val="000000"/>
                <w:sz w:val="22"/>
                <w:szCs w:val="22"/>
                <w:lang w:val="it-IT"/>
              </w:rPr>
              <w:t>/l</w:t>
            </w:r>
          </w:p>
          <w:p w14:paraId="52979792" w14:textId="77777777" w:rsidR="003276FC" w:rsidRPr="004A59B1" w:rsidRDefault="003276FC" w:rsidP="009C1193">
            <w:pPr>
              <w:pStyle w:val="Table"/>
              <w:keepNext w:val="0"/>
              <w:keepLines w:val="0"/>
              <w:widowControl w:val="0"/>
              <w:spacing w:before="0" w:after="0"/>
              <w:rPr>
                <w:rFonts w:ascii="Times New Roman" w:hAnsi="Times New Roman"/>
                <w:color w:val="000000"/>
                <w:sz w:val="22"/>
                <w:szCs w:val="22"/>
                <w:lang w:val="it-IT"/>
              </w:rPr>
            </w:pPr>
            <w:r w:rsidRPr="004A59B1">
              <w:rPr>
                <w:rFonts w:ascii="Times New Roman" w:hAnsi="Times New Roman"/>
                <w:color w:val="000000"/>
                <w:sz w:val="22"/>
                <w:szCs w:val="22"/>
                <w:lang w:val="it-IT"/>
              </w:rPr>
              <w:t>in/ali</w:t>
            </w:r>
          </w:p>
          <w:p w14:paraId="52979793" w14:textId="77777777" w:rsidR="003276FC" w:rsidRPr="004A59B1" w:rsidRDefault="00DE7EB6" w:rsidP="009C1193">
            <w:pPr>
              <w:pStyle w:val="Table"/>
              <w:keepNext w:val="0"/>
              <w:keepLines w:val="0"/>
              <w:widowControl w:val="0"/>
              <w:spacing w:before="0" w:after="0"/>
              <w:rPr>
                <w:rFonts w:ascii="Times New Roman" w:hAnsi="Times New Roman"/>
                <w:color w:val="000000"/>
                <w:sz w:val="22"/>
                <w:szCs w:val="22"/>
                <w:lang w:val="it-IT"/>
              </w:rPr>
            </w:pPr>
            <w:r w:rsidRPr="004A59B1">
              <w:rPr>
                <w:rFonts w:ascii="Times New Roman" w:hAnsi="Times New Roman"/>
                <w:color w:val="000000"/>
                <w:sz w:val="22"/>
                <w:szCs w:val="22"/>
                <w:lang w:val="it-IT"/>
              </w:rPr>
              <w:t>koncentracija</w:t>
            </w:r>
            <w:r w:rsidRPr="004A59B1">
              <w:rPr>
                <w:color w:val="000000"/>
                <w:szCs w:val="22"/>
                <w:lang w:val="it-IT"/>
              </w:rPr>
              <w:t xml:space="preserve"> </w:t>
            </w:r>
            <w:r w:rsidR="003276FC" w:rsidRPr="004A59B1">
              <w:rPr>
                <w:rFonts w:ascii="Times New Roman" w:hAnsi="Times New Roman"/>
                <w:color w:val="000000"/>
                <w:sz w:val="22"/>
                <w:szCs w:val="22"/>
                <w:lang w:val="it-IT"/>
              </w:rPr>
              <w:t>trombocitov &lt; 50 x 10</w:t>
            </w:r>
            <w:r w:rsidR="003276FC" w:rsidRPr="004A59B1">
              <w:rPr>
                <w:rFonts w:ascii="Times New Roman" w:hAnsi="Times New Roman"/>
                <w:color w:val="000000"/>
                <w:sz w:val="22"/>
                <w:szCs w:val="22"/>
                <w:vertAlign w:val="superscript"/>
                <w:lang w:val="it-IT"/>
              </w:rPr>
              <w:t>9</w:t>
            </w:r>
            <w:r w:rsidR="003276FC" w:rsidRPr="004A59B1">
              <w:rPr>
                <w:rFonts w:ascii="Times New Roman" w:hAnsi="Times New Roman"/>
                <w:color w:val="000000"/>
                <w:sz w:val="22"/>
                <w:szCs w:val="22"/>
                <w:lang w:val="it-IT"/>
              </w:rPr>
              <w:t>/l</w:t>
            </w:r>
          </w:p>
        </w:tc>
        <w:tc>
          <w:tcPr>
            <w:tcW w:w="4404" w:type="dxa"/>
          </w:tcPr>
          <w:p w14:paraId="52979794" w14:textId="77777777" w:rsidR="000672A2" w:rsidRPr="004A59B1" w:rsidRDefault="00043C17" w:rsidP="009C1193">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sidRPr="004A59B1">
              <w:rPr>
                <w:rFonts w:ascii="Times New Roman" w:hAnsi="Times New Roman"/>
                <w:color w:val="000000"/>
                <w:sz w:val="22"/>
                <w:szCs w:val="22"/>
                <w:lang w:val="sv-SE"/>
              </w:rPr>
              <w:t>1.</w:t>
            </w:r>
            <w:r w:rsidRPr="004A59B1">
              <w:rPr>
                <w:rFonts w:ascii="Times New Roman" w:hAnsi="Times New Roman"/>
                <w:color w:val="000000"/>
                <w:sz w:val="22"/>
                <w:szCs w:val="22"/>
                <w:lang w:val="sv-SE"/>
              </w:rPr>
              <w:tab/>
            </w:r>
            <w:r w:rsidR="000672A2" w:rsidRPr="004A59B1">
              <w:rPr>
                <w:rFonts w:ascii="Times New Roman" w:hAnsi="Times New Roman"/>
                <w:color w:val="000000"/>
                <w:sz w:val="22"/>
                <w:szCs w:val="22"/>
                <w:lang w:val="sv-SE"/>
              </w:rPr>
              <w:t>Pr</w:t>
            </w:r>
            <w:r w:rsidR="00121ECE" w:rsidRPr="004A59B1">
              <w:rPr>
                <w:rFonts w:ascii="Times New Roman" w:hAnsi="Times New Roman"/>
                <w:color w:val="000000"/>
                <w:sz w:val="22"/>
                <w:szCs w:val="22"/>
                <w:lang w:val="sv-SE"/>
              </w:rPr>
              <w:t xml:space="preserve">ekinite zdravljenje z </w:t>
            </w:r>
            <w:r w:rsidR="00D81193" w:rsidRPr="004A59B1">
              <w:rPr>
                <w:rFonts w:ascii="Times New Roman" w:hAnsi="Times New Roman"/>
                <w:color w:val="000000"/>
                <w:sz w:val="22"/>
                <w:szCs w:val="22"/>
                <w:lang w:val="sv-SE"/>
              </w:rPr>
              <w:t>zdravilom Glivec</w:t>
            </w:r>
            <w:r w:rsidR="00121ECE" w:rsidRPr="004A59B1">
              <w:rPr>
                <w:rFonts w:ascii="Times New Roman" w:hAnsi="Times New Roman"/>
                <w:color w:val="000000"/>
                <w:sz w:val="22"/>
                <w:szCs w:val="22"/>
                <w:lang w:val="sv-SE"/>
              </w:rPr>
              <w:t xml:space="preserve"> </w:t>
            </w:r>
            <w:r w:rsidR="000672A2" w:rsidRPr="004A59B1">
              <w:rPr>
                <w:rFonts w:ascii="Times New Roman" w:hAnsi="Times New Roman"/>
                <w:color w:val="000000"/>
                <w:sz w:val="22"/>
                <w:szCs w:val="22"/>
                <w:lang w:val="sv-SE"/>
              </w:rPr>
              <w:t>dokler ni A</w:t>
            </w:r>
            <w:r w:rsidR="004B33C9" w:rsidRPr="004A59B1">
              <w:rPr>
                <w:rFonts w:ascii="Times New Roman" w:hAnsi="Times New Roman"/>
                <w:color w:val="000000"/>
                <w:sz w:val="22"/>
                <w:szCs w:val="22"/>
                <w:lang w:val="sv-SE"/>
              </w:rPr>
              <w:t>NC</w:t>
            </w:r>
            <w:r w:rsidR="000672A2" w:rsidRPr="004A59B1">
              <w:rPr>
                <w:rFonts w:ascii="Times New Roman" w:hAnsi="Times New Roman"/>
                <w:color w:val="000000"/>
                <w:sz w:val="22"/>
                <w:szCs w:val="22"/>
                <w:lang w:val="sv-SE"/>
              </w:rPr>
              <w:t xml:space="preserve"> </w:t>
            </w:r>
            <w:r w:rsidR="000672A2" w:rsidRPr="004A59B1">
              <w:rPr>
                <w:rFonts w:ascii="Times New Roman" w:hAnsi="Times New Roman"/>
                <w:color w:val="000000"/>
                <w:sz w:val="22"/>
                <w:szCs w:val="22"/>
                <w:lang w:val="en-GB"/>
              </w:rPr>
              <w:sym w:font="Symbol" w:char="F0B3"/>
            </w:r>
            <w:r w:rsidR="000672A2" w:rsidRPr="004A59B1">
              <w:rPr>
                <w:rFonts w:ascii="Times New Roman" w:hAnsi="Times New Roman"/>
                <w:color w:val="000000"/>
                <w:sz w:val="22"/>
                <w:szCs w:val="22"/>
                <w:lang w:val="sv-SE"/>
              </w:rPr>
              <w:t> 1,5 x 10</w:t>
            </w:r>
            <w:r w:rsidR="000672A2" w:rsidRPr="004A59B1">
              <w:rPr>
                <w:rFonts w:ascii="Times New Roman" w:hAnsi="Times New Roman"/>
                <w:color w:val="000000"/>
                <w:sz w:val="22"/>
                <w:szCs w:val="22"/>
                <w:vertAlign w:val="superscript"/>
                <w:lang w:val="sv-SE"/>
              </w:rPr>
              <w:t>9</w:t>
            </w:r>
            <w:r w:rsidR="000672A2" w:rsidRPr="004A59B1">
              <w:rPr>
                <w:rFonts w:ascii="Times New Roman" w:hAnsi="Times New Roman"/>
                <w:color w:val="000000"/>
                <w:sz w:val="22"/>
                <w:szCs w:val="22"/>
                <w:lang w:val="sv-SE"/>
              </w:rPr>
              <w:t xml:space="preserve">/l in </w:t>
            </w:r>
            <w:r w:rsidR="00DE7EB6" w:rsidRPr="004A59B1">
              <w:rPr>
                <w:rFonts w:ascii="Times New Roman" w:hAnsi="Times New Roman"/>
                <w:color w:val="000000"/>
                <w:sz w:val="22"/>
                <w:szCs w:val="22"/>
                <w:lang w:val="sv-SE"/>
              </w:rPr>
              <w:t>koncentracija</w:t>
            </w:r>
            <w:r w:rsidR="00DE7EB6" w:rsidRPr="004A59B1">
              <w:rPr>
                <w:color w:val="000000"/>
                <w:szCs w:val="22"/>
                <w:lang w:val="sv-SE"/>
              </w:rPr>
              <w:t xml:space="preserve"> </w:t>
            </w:r>
            <w:r w:rsidR="000672A2" w:rsidRPr="004A59B1">
              <w:rPr>
                <w:rFonts w:ascii="Times New Roman" w:hAnsi="Times New Roman"/>
                <w:color w:val="000000"/>
                <w:sz w:val="22"/>
                <w:szCs w:val="22"/>
                <w:lang w:val="sv-SE"/>
              </w:rPr>
              <w:t>trombocit</w:t>
            </w:r>
            <w:r w:rsidR="00DE7EB6" w:rsidRPr="004A59B1">
              <w:rPr>
                <w:rFonts w:ascii="Times New Roman" w:hAnsi="Times New Roman"/>
                <w:color w:val="000000"/>
                <w:sz w:val="22"/>
                <w:szCs w:val="22"/>
                <w:lang w:val="sv-SE"/>
              </w:rPr>
              <w:t>ov</w:t>
            </w:r>
            <w:r w:rsidR="000672A2" w:rsidRPr="004A59B1">
              <w:rPr>
                <w:rFonts w:ascii="Times New Roman" w:hAnsi="Times New Roman"/>
                <w:color w:val="000000"/>
                <w:sz w:val="22"/>
                <w:szCs w:val="22"/>
                <w:lang w:val="sv-SE"/>
              </w:rPr>
              <w:t xml:space="preserve"> </w:t>
            </w:r>
            <w:r w:rsidR="000672A2" w:rsidRPr="004A59B1">
              <w:rPr>
                <w:rFonts w:ascii="Times New Roman" w:hAnsi="Times New Roman"/>
                <w:color w:val="000000"/>
                <w:sz w:val="22"/>
                <w:szCs w:val="22"/>
                <w:lang w:val="en-GB"/>
              </w:rPr>
              <w:sym w:font="Symbol" w:char="F0B3"/>
            </w:r>
            <w:r w:rsidR="000672A2" w:rsidRPr="004A59B1">
              <w:rPr>
                <w:rFonts w:ascii="Times New Roman" w:hAnsi="Times New Roman"/>
                <w:color w:val="000000"/>
                <w:sz w:val="22"/>
                <w:szCs w:val="22"/>
                <w:lang w:val="sv-SE"/>
              </w:rPr>
              <w:t> 75 x 10</w:t>
            </w:r>
            <w:r w:rsidR="000672A2" w:rsidRPr="004A59B1">
              <w:rPr>
                <w:rFonts w:ascii="Times New Roman" w:hAnsi="Times New Roman"/>
                <w:color w:val="000000"/>
                <w:sz w:val="22"/>
                <w:szCs w:val="22"/>
                <w:vertAlign w:val="superscript"/>
                <w:lang w:val="sv-SE"/>
              </w:rPr>
              <w:t>9</w:t>
            </w:r>
            <w:r w:rsidR="000672A2" w:rsidRPr="004A59B1">
              <w:rPr>
                <w:rFonts w:ascii="Times New Roman" w:hAnsi="Times New Roman"/>
                <w:color w:val="000000"/>
                <w:sz w:val="22"/>
                <w:szCs w:val="22"/>
                <w:lang w:val="sv-SE"/>
              </w:rPr>
              <w:t>/l.</w:t>
            </w:r>
          </w:p>
          <w:p w14:paraId="52979795" w14:textId="77777777" w:rsidR="000672A2" w:rsidRPr="004A59B1" w:rsidRDefault="00043C17" w:rsidP="009C1193">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sidRPr="004A59B1">
              <w:rPr>
                <w:rFonts w:ascii="Times New Roman" w:hAnsi="Times New Roman"/>
                <w:color w:val="000000"/>
                <w:sz w:val="22"/>
                <w:szCs w:val="22"/>
                <w:lang w:val="sv-SE"/>
              </w:rPr>
              <w:t>2.</w:t>
            </w:r>
            <w:r w:rsidRPr="004A59B1">
              <w:rPr>
                <w:rFonts w:ascii="Times New Roman" w:hAnsi="Times New Roman"/>
                <w:color w:val="000000"/>
                <w:sz w:val="22"/>
                <w:szCs w:val="22"/>
                <w:lang w:val="sv-SE"/>
              </w:rPr>
              <w:tab/>
            </w:r>
            <w:r w:rsidR="000672A2" w:rsidRPr="004A59B1">
              <w:rPr>
                <w:rFonts w:ascii="Times New Roman" w:hAnsi="Times New Roman"/>
                <w:color w:val="000000"/>
                <w:sz w:val="22"/>
                <w:szCs w:val="22"/>
                <w:lang w:val="sv-SE"/>
              </w:rPr>
              <w:t xml:space="preserve">Spet začnite zdravljenje z </w:t>
            </w:r>
            <w:r w:rsidR="00D81193" w:rsidRPr="004A59B1">
              <w:rPr>
                <w:rFonts w:ascii="Times New Roman" w:hAnsi="Times New Roman"/>
                <w:color w:val="000000"/>
                <w:sz w:val="22"/>
                <w:szCs w:val="22"/>
                <w:lang w:val="sv-SE"/>
              </w:rPr>
              <w:t>zdravilom Glivec</w:t>
            </w:r>
            <w:r w:rsidR="000672A2" w:rsidRPr="004A59B1">
              <w:rPr>
                <w:rFonts w:ascii="Times New Roman" w:hAnsi="Times New Roman"/>
                <w:color w:val="000000"/>
                <w:sz w:val="22"/>
                <w:szCs w:val="22"/>
                <w:lang w:val="sv-SE"/>
              </w:rPr>
              <w:t xml:space="preserve"> s prejšnjim odmerkom (t.j. tistim pred nastopom </w:t>
            </w:r>
            <w:r w:rsidR="000D4AAF" w:rsidRPr="004A59B1">
              <w:rPr>
                <w:rFonts w:ascii="Times New Roman" w:hAnsi="Times New Roman"/>
                <w:color w:val="000000"/>
                <w:sz w:val="22"/>
                <w:szCs w:val="22"/>
                <w:lang w:val="sv-SE"/>
              </w:rPr>
              <w:t>resnega neželenega učinka</w:t>
            </w:r>
            <w:r w:rsidR="000672A2" w:rsidRPr="004A59B1">
              <w:rPr>
                <w:rFonts w:ascii="Times New Roman" w:hAnsi="Times New Roman"/>
                <w:color w:val="000000"/>
                <w:sz w:val="22"/>
                <w:szCs w:val="22"/>
                <w:lang w:val="sv-SE"/>
              </w:rPr>
              <w:t>).</w:t>
            </w:r>
          </w:p>
          <w:p w14:paraId="52979796" w14:textId="77777777" w:rsidR="003276FC" w:rsidRPr="004A59B1" w:rsidRDefault="00043C17" w:rsidP="009C1193">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sidRPr="004A59B1">
              <w:rPr>
                <w:rFonts w:ascii="Times New Roman" w:hAnsi="Times New Roman"/>
                <w:color w:val="000000"/>
                <w:sz w:val="22"/>
                <w:szCs w:val="22"/>
                <w:lang w:val="sv-SE"/>
              </w:rPr>
              <w:t>3.</w:t>
            </w:r>
            <w:r w:rsidRPr="004A59B1">
              <w:rPr>
                <w:rFonts w:ascii="Times New Roman" w:hAnsi="Times New Roman"/>
                <w:color w:val="000000"/>
                <w:sz w:val="22"/>
                <w:szCs w:val="22"/>
                <w:lang w:val="sv-SE"/>
              </w:rPr>
              <w:tab/>
            </w:r>
            <w:r w:rsidR="000672A2" w:rsidRPr="004A59B1">
              <w:rPr>
                <w:rFonts w:ascii="Times New Roman" w:hAnsi="Times New Roman"/>
                <w:color w:val="000000"/>
                <w:sz w:val="22"/>
                <w:szCs w:val="22"/>
                <w:lang w:val="sv-SE"/>
              </w:rPr>
              <w:t>Če se pojav/a A</w:t>
            </w:r>
            <w:r w:rsidR="004B33C9" w:rsidRPr="004A59B1">
              <w:rPr>
                <w:rFonts w:ascii="Times New Roman" w:hAnsi="Times New Roman"/>
                <w:color w:val="000000"/>
                <w:sz w:val="22"/>
                <w:szCs w:val="22"/>
                <w:lang w:val="sv-SE"/>
              </w:rPr>
              <w:t>NC</w:t>
            </w:r>
            <w:r w:rsidR="000672A2" w:rsidRPr="004A59B1">
              <w:rPr>
                <w:rFonts w:ascii="Times New Roman" w:hAnsi="Times New Roman"/>
                <w:color w:val="000000"/>
                <w:sz w:val="22"/>
                <w:szCs w:val="22"/>
                <w:lang w:val="sv-SE"/>
              </w:rPr>
              <w:t xml:space="preserve"> </w:t>
            </w:r>
            <w:r w:rsidR="000672A2" w:rsidRPr="004A59B1">
              <w:rPr>
                <w:rFonts w:ascii="Times New Roman" w:hAnsi="Times New Roman"/>
                <w:color w:val="000000"/>
                <w:sz w:val="22"/>
                <w:szCs w:val="22"/>
              </w:rPr>
              <w:sym w:font="Symbol" w:char="F03C"/>
            </w:r>
            <w:r w:rsidR="000672A2" w:rsidRPr="004A59B1">
              <w:rPr>
                <w:rFonts w:ascii="Times New Roman" w:hAnsi="Times New Roman"/>
                <w:color w:val="000000"/>
                <w:sz w:val="22"/>
                <w:szCs w:val="22"/>
                <w:lang w:val="sv-SE"/>
              </w:rPr>
              <w:t> 1,0 x 10</w:t>
            </w:r>
            <w:r w:rsidR="000672A2" w:rsidRPr="004A59B1">
              <w:rPr>
                <w:rFonts w:ascii="Times New Roman" w:hAnsi="Times New Roman"/>
                <w:color w:val="000000"/>
                <w:sz w:val="22"/>
                <w:szCs w:val="22"/>
                <w:vertAlign w:val="superscript"/>
                <w:lang w:val="sv-SE"/>
              </w:rPr>
              <w:t>9</w:t>
            </w:r>
            <w:r w:rsidR="000672A2" w:rsidRPr="004A59B1">
              <w:rPr>
                <w:rFonts w:ascii="Times New Roman" w:hAnsi="Times New Roman"/>
                <w:color w:val="000000"/>
                <w:sz w:val="22"/>
                <w:szCs w:val="22"/>
                <w:lang w:val="sv-SE"/>
              </w:rPr>
              <w:t xml:space="preserve">/l in/ali </w:t>
            </w:r>
            <w:r w:rsidR="00DE7EB6" w:rsidRPr="004A59B1">
              <w:rPr>
                <w:rFonts w:ascii="Times New Roman" w:hAnsi="Times New Roman"/>
                <w:color w:val="000000"/>
                <w:sz w:val="22"/>
                <w:szCs w:val="22"/>
                <w:lang w:val="sv-SE"/>
              </w:rPr>
              <w:t>koncentracija</w:t>
            </w:r>
            <w:r w:rsidR="00DE7EB6" w:rsidRPr="004A59B1">
              <w:rPr>
                <w:color w:val="000000"/>
                <w:szCs w:val="22"/>
                <w:lang w:val="sv-SE"/>
              </w:rPr>
              <w:t xml:space="preserve"> </w:t>
            </w:r>
            <w:r w:rsidR="000672A2" w:rsidRPr="004A59B1">
              <w:rPr>
                <w:rFonts w:ascii="Times New Roman" w:hAnsi="Times New Roman"/>
                <w:color w:val="000000"/>
                <w:sz w:val="22"/>
                <w:szCs w:val="22"/>
                <w:lang w:val="sv-SE"/>
              </w:rPr>
              <w:t xml:space="preserve">trombocitov </w:t>
            </w:r>
            <w:r w:rsidR="000672A2" w:rsidRPr="004A59B1">
              <w:rPr>
                <w:rFonts w:ascii="Times New Roman" w:hAnsi="Times New Roman"/>
                <w:color w:val="000000"/>
                <w:sz w:val="22"/>
                <w:szCs w:val="22"/>
              </w:rPr>
              <w:sym w:font="Symbol" w:char="F03C"/>
            </w:r>
            <w:r w:rsidR="000672A2" w:rsidRPr="004A59B1">
              <w:rPr>
                <w:rFonts w:ascii="Times New Roman" w:hAnsi="Times New Roman"/>
                <w:color w:val="000000"/>
                <w:sz w:val="22"/>
                <w:szCs w:val="22"/>
                <w:lang w:val="sv-SE"/>
              </w:rPr>
              <w:t> 50 x 10</w:t>
            </w:r>
            <w:r w:rsidR="000672A2" w:rsidRPr="004A59B1">
              <w:rPr>
                <w:rFonts w:ascii="Times New Roman" w:hAnsi="Times New Roman"/>
                <w:color w:val="000000"/>
                <w:sz w:val="22"/>
                <w:szCs w:val="22"/>
                <w:vertAlign w:val="superscript"/>
                <w:lang w:val="sv-SE"/>
              </w:rPr>
              <w:t>9</w:t>
            </w:r>
            <w:r w:rsidR="000672A2" w:rsidRPr="004A59B1">
              <w:rPr>
                <w:rFonts w:ascii="Times New Roman" w:hAnsi="Times New Roman"/>
                <w:color w:val="000000"/>
                <w:sz w:val="22"/>
                <w:szCs w:val="22"/>
                <w:lang w:val="sv-SE"/>
              </w:rPr>
              <w:t xml:space="preserve">/l ponovi/ta, ponovite točko 1 in spet začnite zdravljenje z </w:t>
            </w:r>
            <w:r w:rsidR="00D81193" w:rsidRPr="004A59B1">
              <w:rPr>
                <w:rFonts w:ascii="Times New Roman" w:hAnsi="Times New Roman"/>
                <w:color w:val="000000"/>
                <w:sz w:val="22"/>
                <w:szCs w:val="22"/>
                <w:lang w:val="sv-SE"/>
              </w:rPr>
              <w:t>zdravilom Glivec</w:t>
            </w:r>
            <w:r w:rsidR="00F77D03" w:rsidRPr="004A59B1">
              <w:rPr>
                <w:rFonts w:ascii="Times New Roman" w:hAnsi="Times New Roman"/>
                <w:color w:val="000000"/>
                <w:sz w:val="22"/>
                <w:szCs w:val="22"/>
                <w:lang w:val="sv-SE"/>
              </w:rPr>
              <w:t xml:space="preserve"> z zmanjšanim odmerkom 26</w:t>
            </w:r>
            <w:r w:rsidR="000672A2" w:rsidRPr="004A59B1">
              <w:rPr>
                <w:rFonts w:ascii="Times New Roman" w:hAnsi="Times New Roman"/>
                <w:color w:val="000000"/>
                <w:sz w:val="22"/>
                <w:szCs w:val="22"/>
                <w:lang w:val="sv-SE"/>
              </w:rPr>
              <w:t>0 mg</w:t>
            </w:r>
            <w:r w:rsidR="00F77D03" w:rsidRPr="004A59B1">
              <w:rPr>
                <w:rFonts w:ascii="Times New Roman" w:hAnsi="Times New Roman"/>
                <w:color w:val="000000"/>
                <w:sz w:val="22"/>
                <w:szCs w:val="22"/>
                <w:lang w:val="sv-SE"/>
              </w:rPr>
              <w:t>/m</w:t>
            </w:r>
            <w:r w:rsidR="00F77D03" w:rsidRPr="004A59B1">
              <w:rPr>
                <w:rFonts w:ascii="Times New Roman" w:hAnsi="Times New Roman"/>
                <w:color w:val="000000"/>
                <w:sz w:val="22"/>
                <w:szCs w:val="22"/>
                <w:vertAlign w:val="superscript"/>
                <w:lang w:val="sv-SE"/>
              </w:rPr>
              <w:t>2</w:t>
            </w:r>
            <w:r w:rsidR="000672A2" w:rsidRPr="004A59B1">
              <w:rPr>
                <w:rFonts w:ascii="Times New Roman" w:hAnsi="Times New Roman"/>
                <w:color w:val="000000"/>
                <w:sz w:val="22"/>
                <w:szCs w:val="22"/>
                <w:lang w:val="sv-SE"/>
              </w:rPr>
              <w:t>.</w:t>
            </w:r>
          </w:p>
        </w:tc>
      </w:tr>
      <w:tr w:rsidR="00444D75" w:rsidRPr="003B6568" w14:paraId="529797A0" w14:textId="77777777" w:rsidTr="00AA1FD3">
        <w:trPr>
          <w:cantSplit/>
        </w:trPr>
        <w:tc>
          <w:tcPr>
            <w:tcW w:w="2376" w:type="dxa"/>
            <w:tcBorders>
              <w:bottom w:val="nil"/>
            </w:tcBorders>
          </w:tcPr>
          <w:p w14:paraId="52979798" w14:textId="77777777" w:rsidR="00444D75" w:rsidRPr="004A59B1" w:rsidRDefault="00444D75" w:rsidP="009C1193">
            <w:pPr>
              <w:pStyle w:val="EndnoteText"/>
              <w:widowControl w:val="0"/>
              <w:tabs>
                <w:tab w:val="clear" w:pos="567"/>
              </w:tabs>
              <w:rPr>
                <w:color w:val="000000"/>
                <w:szCs w:val="22"/>
                <w:lang w:val="sv-SE"/>
              </w:rPr>
            </w:pPr>
            <w:r w:rsidRPr="004A59B1">
              <w:rPr>
                <w:color w:val="000000"/>
                <w:szCs w:val="22"/>
                <w:lang w:val="sv-SE"/>
              </w:rPr>
              <w:lastRenderedPageBreak/>
              <w:t xml:space="preserve">pospešena faza </w:t>
            </w:r>
            <w:r w:rsidR="00677326" w:rsidRPr="004A59B1">
              <w:rPr>
                <w:color w:val="000000"/>
                <w:szCs w:val="22"/>
                <w:lang w:val="sv-SE"/>
              </w:rPr>
              <w:t>KML</w:t>
            </w:r>
            <w:r w:rsidRPr="004A59B1">
              <w:rPr>
                <w:color w:val="000000"/>
                <w:szCs w:val="22"/>
                <w:lang w:val="sv-SE"/>
              </w:rPr>
              <w:t xml:space="preserve"> in blastna kriza</w:t>
            </w:r>
            <w:r w:rsidR="00E50FF3" w:rsidRPr="004A59B1">
              <w:rPr>
                <w:color w:val="000000"/>
                <w:szCs w:val="22"/>
                <w:lang w:val="sv-SE"/>
              </w:rPr>
              <w:t xml:space="preserve"> in Ph+ ALL</w:t>
            </w:r>
            <w:r w:rsidRPr="004A59B1">
              <w:rPr>
                <w:color w:val="000000"/>
                <w:szCs w:val="22"/>
                <w:lang w:val="sv-SE"/>
              </w:rPr>
              <w:t xml:space="preserve"> (začetni odmerek 600 mg)</w:t>
            </w:r>
          </w:p>
        </w:tc>
        <w:tc>
          <w:tcPr>
            <w:tcW w:w="2400" w:type="dxa"/>
            <w:tcBorders>
              <w:bottom w:val="nil"/>
            </w:tcBorders>
          </w:tcPr>
          <w:p w14:paraId="52979799" w14:textId="77777777" w:rsidR="00444D75" w:rsidRPr="004A59B1" w:rsidRDefault="00AF0BE7" w:rsidP="009C1193">
            <w:pPr>
              <w:pStyle w:val="Table"/>
              <w:keepNext w:val="0"/>
              <w:keepLines w:val="0"/>
              <w:widowControl w:val="0"/>
              <w:spacing w:before="0" w:after="0"/>
              <w:rPr>
                <w:rFonts w:ascii="Times New Roman" w:hAnsi="Times New Roman"/>
                <w:color w:val="000000"/>
                <w:sz w:val="22"/>
                <w:szCs w:val="22"/>
                <w:lang w:val="it-IT"/>
              </w:rPr>
            </w:pPr>
            <w:r w:rsidRPr="004A59B1">
              <w:rPr>
                <w:rFonts w:ascii="Times New Roman" w:hAnsi="Times New Roman"/>
                <w:color w:val="000000"/>
                <w:sz w:val="22"/>
                <w:szCs w:val="22"/>
                <w:vertAlign w:val="superscript"/>
                <w:lang w:val="it-IT"/>
              </w:rPr>
              <w:t>a</w:t>
            </w:r>
            <w:r w:rsidRPr="004A59B1">
              <w:rPr>
                <w:rFonts w:ascii="Times New Roman" w:hAnsi="Times New Roman"/>
                <w:color w:val="000000"/>
                <w:sz w:val="22"/>
                <w:szCs w:val="22"/>
                <w:lang w:val="it-IT"/>
              </w:rPr>
              <w:t>A</w:t>
            </w:r>
            <w:r w:rsidR="004B33C9" w:rsidRPr="004A59B1">
              <w:rPr>
                <w:rFonts w:ascii="Times New Roman" w:hAnsi="Times New Roman"/>
                <w:color w:val="000000"/>
                <w:sz w:val="22"/>
                <w:szCs w:val="22"/>
                <w:lang w:val="it-IT"/>
              </w:rPr>
              <w:t>NC</w:t>
            </w:r>
            <w:r w:rsidRPr="004A59B1">
              <w:rPr>
                <w:rFonts w:ascii="Times New Roman" w:hAnsi="Times New Roman"/>
                <w:color w:val="000000"/>
                <w:sz w:val="22"/>
                <w:szCs w:val="22"/>
                <w:lang w:val="it-IT"/>
              </w:rPr>
              <w:t xml:space="preserve"> </w:t>
            </w:r>
            <w:r w:rsidR="00444D75" w:rsidRPr="004A59B1">
              <w:rPr>
                <w:rFonts w:ascii="Times New Roman" w:hAnsi="Times New Roman"/>
                <w:color w:val="000000"/>
                <w:sz w:val="22"/>
                <w:szCs w:val="22"/>
                <w:lang w:val="it-IT"/>
              </w:rPr>
              <w:t>&lt; 0,5 x 10</w:t>
            </w:r>
            <w:r w:rsidR="00444D75" w:rsidRPr="004A59B1">
              <w:rPr>
                <w:rFonts w:ascii="Times New Roman" w:hAnsi="Times New Roman"/>
                <w:color w:val="000000"/>
                <w:sz w:val="22"/>
                <w:szCs w:val="22"/>
                <w:vertAlign w:val="superscript"/>
                <w:lang w:val="it-IT"/>
              </w:rPr>
              <w:t>9</w:t>
            </w:r>
            <w:r w:rsidR="00444D75" w:rsidRPr="004A59B1">
              <w:rPr>
                <w:rFonts w:ascii="Times New Roman" w:hAnsi="Times New Roman"/>
                <w:color w:val="000000"/>
                <w:sz w:val="22"/>
                <w:szCs w:val="22"/>
                <w:lang w:val="it-IT"/>
              </w:rPr>
              <w:t>/l</w:t>
            </w:r>
          </w:p>
          <w:p w14:paraId="5297979A" w14:textId="77777777" w:rsidR="00444D75" w:rsidRPr="004A59B1" w:rsidRDefault="00444D75" w:rsidP="009C1193">
            <w:pPr>
              <w:pStyle w:val="Table"/>
              <w:keepNext w:val="0"/>
              <w:keepLines w:val="0"/>
              <w:widowControl w:val="0"/>
              <w:spacing w:before="0" w:after="0"/>
              <w:rPr>
                <w:rFonts w:ascii="Times New Roman" w:hAnsi="Times New Roman"/>
                <w:color w:val="000000"/>
                <w:sz w:val="22"/>
                <w:szCs w:val="22"/>
                <w:lang w:val="it-IT"/>
              </w:rPr>
            </w:pPr>
            <w:r w:rsidRPr="004A59B1">
              <w:rPr>
                <w:rFonts w:ascii="Times New Roman" w:hAnsi="Times New Roman"/>
                <w:color w:val="000000"/>
                <w:sz w:val="22"/>
                <w:szCs w:val="22"/>
                <w:lang w:val="it-IT"/>
              </w:rPr>
              <w:t>in/ali</w:t>
            </w:r>
          </w:p>
          <w:p w14:paraId="5297979B" w14:textId="77777777" w:rsidR="00444D75" w:rsidRPr="004A59B1" w:rsidRDefault="00DE7EB6" w:rsidP="009C1193">
            <w:pPr>
              <w:pStyle w:val="EndnoteText"/>
              <w:widowControl w:val="0"/>
              <w:tabs>
                <w:tab w:val="clear" w:pos="567"/>
              </w:tabs>
              <w:rPr>
                <w:color w:val="000000"/>
                <w:szCs w:val="22"/>
                <w:lang w:val="it-IT"/>
              </w:rPr>
            </w:pPr>
            <w:r w:rsidRPr="004A59B1">
              <w:rPr>
                <w:color w:val="000000"/>
                <w:szCs w:val="22"/>
                <w:lang w:val="it-IT"/>
              </w:rPr>
              <w:t xml:space="preserve">koncentracija </w:t>
            </w:r>
            <w:r w:rsidR="00444D75" w:rsidRPr="004A59B1">
              <w:rPr>
                <w:color w:val="000000"/>
                <w:szCs w:val="22"/>
                <w:lang w:val="it-IT"/>
              </w:rPr>
              <w:t>trombocitov &lt; 10 x 10</w:t>
            </w:r>
            <w:r w:rsidR="00444D75" w:rsidRPr="004A59B1">
              <w:rPr>
                <w:color w:val="000000"/>
                <w:szCs w:val="22"/>
                <w:vertAlign w:val="superscript"/>
                <w:lang w:val="it-IT"/>
              </w:rPr>
              <w:t>9</w:t>
            </w:r>
            <w:r w:rsidR="00444D75" w:rsidRPr="004A59B1">
              <w:rPr>
                <w:color w:val="000000"/>
                <w:szCs w:val="22"/>
                <w:lang w:val="it-IT"/>
              </w:rPr>
              <w:t>/l</w:t>
            </w:r>
          </w:p>
        </w:tc>
        <w:tc>
          <w:tcPr>
            <w:tcW w:w="4404" w:type="dxa"/>
            <w:tcBorders>
              <w:bottom w:val="nil"/>
            </w:tcBorders>
          </w:tcPr>
          <w:p w14:paraId="5297979C" w14:textId="77777777" w:rsidR="00444D75" w:rsidRPr="004A59B1" w:rsidRDefault="00043C17" w:rsidP="009C1193">
            <w:pPr>
              <w:pStyle w:val="Table"/>
              <w:keepNext w:val="0"/>
              <w:keepLines w:val="0"/>
              <w:widowControl w:val="0"/>
              <w:tabs>
                <w:tab w:val="clear" w:pos="284"/>
              </w:tabs>
              <w:spacing w:before="0" w:after="0"/>
              <w:ind w:left="469" w:hanging="469"/>
              <w:rPr>
                <w:rFonts w:ascii="Times New Roman" w:hAnsi="Times New Roman"/>
                <w:color w:val="000000"/>
                <w:sz w:val="22"/>
                <w:szCs w:val="22"/>
                <w:lang w:val="it-IT"/>
              </w:rPr>
            </w:pPr>
            <w:r w:rsidRPr="004A59B1">
              <w:rPr>
                <w:rFonts w:ascii="Times New Roman" w:hAnsi="Times New Roman"/>
                <w:color w:val="000000"/>
                <w:sz w:val="22"/>
                <w:szCs w:val="22"/>
                <w:lang w:val="it-IT"/>
              </w:rPr>
              <w:t>1.</w:t>
            </w:r>
            <w:r w:rsidRPr="004A59B1">
              <w:rPr>
                <w:rFonts w:ascii="Times New Roman" w:hAnsi="Times New Roman"/>
                <w:color w:val="000000"/>
                <w:sz w:val="22"/>
                <w:szCs w:val="22"/>
                <w:lang w:val="it-IT"/>
              </w:rPr>
              <w:tab/>
            </w:r>
            <w:r w:rsidR="00444D75" w:rsidRPr="004A59B1">
              <w:rPr>
                <w:rFonts w:ascii="Times New Roman" w:hAnsi="Times New Roman"/>
                <w:color w:val="000000"/>
                <w:sz w:val="22"/>
                <w:szCs w:val="22"/>
                <w:lang w:val="it-IT"/>
              </w:rPr>
              <w:t>Preverite, ali je citopenija povezana z levkemijo (aspirat ali biopsija kostnega mozga).</w:t>
            </w:r>
          </w:p>
          <w:p w14:paraId="5297979D" w14:textId="77777777" w:rsidR="00444D75" w:rsidRPr="004A59B1" w:rsidRDefault="00043C17" w:rsidP="009C1193">
            <w:pPr>
              <w:pStyle w:val="Table"/>
              <w:keepNext w:val="0"/>
              <w:keepLines w:val="0"/>
              <w:widowControl w:val="0"/>
              <w:tabs>
                <w:tab w:val="clear" w:pos="284"/>
              </w:tabs>
              <w:spacing w:before="0" w:after="0"/>
              <w:ind w:left="469" w:hanging="469"/>
              <w:rPr>
                <w:rFonts w:ascii="Times New Roman" w:hAnsi="Times New Roman"/>
                <w:color w:val="000000"/>
                <w:sz w:val="22"/>
                <w:szCs w:val="22"/>
                <w:lang w:val="it-IT"/>
              </w:rPr>
            </w:pPr>
            <w:r w:rsidRPr="004A59B1">
              <w:rPr>
                <w:rFonts w:ascii="Times New Roman" w:hAnsi="Times New Roman"/>
                <w:color w:val="000000"/>
                <w:sz w:val="22"/>
                <w:szCs w:val="22"/>
                <w:lang w:val="it-IT"/>
              </w:rPr>
              <w:t>2.</w:t>
            </w:r>
            <w:r w:rsidRPr="004A59B1">
              <w:rPr>
                <w:rFonts w:ascii="Times New Roman" w:hAnsi="Times New Roman"/>
                <w:color w:val="000000"/>
                <w:sz w:val="22"/>
                <w:szCs w:val="22"/>
                <w:lang w:val="it-IT"/>
              </w:rPr>
              <w:tab/>
            </w:r>
            <w:r w:rsidR="00444D75" w:rsidRPr="004A59B1">
              <w:rPr>
                <w:rFonts w:ascii="Times New Roman" w:hAnsi="Times New Roman"/>
                <w:color w:val="000000"/>
                <w:sz w:val="22"/>
                <w:szCs w:val="22"/>
                <w:lang w:val="it-IT"/>
              </w:rPr>
              <w:t xml:space="preserve">Če citopenija ni povezana z levkemijo, zmanjšajte odmerek </w:t>
            </w:r>
            <w:r w:rsidR="00D81193" w:rsidRPr="004A59B1">
              <w:rPr>
                <w:rFonts w:ascii="Times New Roman" w:hAnsi="Times New Roman"/>
                <w:color w:val="000000"/>
                <w:sz w:val="22"/>
                <w:szCs w:val="22"/>
                <w:lang w:val="it-IT"/>
              </w:rPr>
              <w:t>zdravila Glivec</w:t>
            </w:r>
            <w:r w:rsidR="00444D75" w:rsidRPr="004A59B1">
              <w:rPr>
                <w:rFonts w:ascii="Times New Roman" w:hAnsi="Times New Roman"/>
                <w:color w:val="000000"/>
                <w:sz w:val="22"/>
                <w:szCs w:val="22"/>
                <w:lang w:val="it-IT"/>
              </w:rPr>
              <w:t xml:space="preserve"> na 400 mg.</w:t>
            </w:r>
          </w:p>
          <w:p w14:paraId="5297979E" w14:textId="77777777" w:rsidR="00444D75" w:rsidRPr="004A59B1" w:rsidRDefault="00043C17" w:rsidP="009C1193">
            <w:pPr>
              <w:pStyle w:val="Table"/>
              <w:keepNext w:val="0"/>
              <w:keepLines w:val="0"/>
              <w:widowControl w:val="0"/>
              <w:tabs>
                <w:tab w:val="clear" w:pos="284"/>
              </w:tabs>
              <w:spacing w:before="0" w:after="0"/>
              <w:ind w:left="469" w:hanging="469"/>
              <w:rPr>
                <w:rFonts w:ascii="Times New Roman" w:hAnsi="Times New Roman"/>
                <w:color w:val="000000"/>
                <w:sz w:val="22"/>
                <w:szCs w:val="22"/>
                <w:lang w:val="it-IT"/>
              </w:rPr>
            </w:pPr>
            <w:r w:rsidRPr="004A59B1">
              <w:rPr>
                <w:rFonts w:ascii="Times New Roman" w:hAnsi="Times New Roman"/>
                <w:color w:val="000000"/>
                <w:sz w:val="22"/>
                <w:szCs w:val="22"/>
                <w:lang w:val="it-IT"/>
              </w:rPr>
              <w:t>3.</w:t>
            </w:r>
            <w:r w:rsidRPr="004A59B1">
              <w:rPr>
                <w:rFonts w:ascii="Times New Roman" w:hAnsi="Times New Roman"/>
                <w:color w:val="000000"/>
                <w:sz w:val="22"/>
                <w:szCs w:val="22"/>
                <w:lang w:val="it-IT"/>
              </w:rPr>
              <w:tab/>
            </w:r>
            <w:r w:rsidR="00444D75" w:rsidRPr="004A59B1">
              <w:rPr>
                <w:rFonts w:ascii="Times New Roman" w:hAnsi="Times New Roman"/>
                <w:color w:val="000000"/>
                <w:sz w:val="22"/>
                <w:szCs w:val="22"/>
                <w:lang w:val="it-IT"/>
              </w:rPr>
              <w:t>Če citopenija</w:t>
            </w:r>
            <w:r w:rsidR="00E43096" w:rsidRPr="004A59B1">
              <w:rPr>
                <w:rFonts w:ascii="Times New Roman" w:hAnsi="Times New Roman"/>
                <w:color w:val="000000"/>
                <w:sz w:val="22"/>
                <w:szCs w:val="22"/>
                <w:lang w:val="it-IT"/>
              </w:rPr>
              <w:t xml:space="preserve"> vztraja</w:t>
            </w:r>
            <w:r w:rsidR="00444D75" w:rsidRPr="004A59B1">
              <w:rPr>
                <w:rFonts w:ascii="Times New Roman" w:hAnsi="Times New Roman"/>
                <w:color w:val="000000"/>
                <w:sz w:val="22"/>
                <w:szCs w:val="22"/>
                <w:lang w:val="it-IT"/>
              </w:rPr>
              <w:t xml:space="preserve"> 2 tedna, odmerek zmanjšajte na 300 mg.</w:t>
            </w:r>
          </w:p>
          <w:p w14:paraId="5297979F" w14:textId="77777777" w:rsidR="00444D75" w:rsidRPr="004A59B1" w:rsidRDefault="00043C17" w:rsidP="009C1193">
            <w:pPr>
              <w:pStyle w:val="EndnoteText"/>
              <w:widowControl w:val="0"/>
              <w:tabs>
                <w:tab w:val="clear" w:pos="567"/>
              </w:tabs>
              <w:ind w:left="469" w:hanging="469"/>
              <w:rPr>
                <w:color w:val="000000"/>
                <w:szCs w:val="22"/>
                <w:lang w:val="it-IT"/>
              </w:rPr>
            </w:pPr>
            <w:r w:rsidRPr="004A59B1">
              <w:rPr>
                <w:color w:val="000000"/>
                <w:szCs w:val="22"/>
                <w:lang w:val="it-IT"/>
              </w:rPr>
              <w:t>4.</w:t>
            </w:r>
            <w:r w:rsidRPr="004A59B1">
              <w:rPr>
                <w:color w:val="000000"/>
                <w:szCs w:val="22"/>
                <w:lang w:val="it-IT"/>
              </w:rPr>
              <w:tab/>
            </w:r>
            <w:r w:rsidR="00444D75" w:rsidRPr="004A59B1">
              <w:rPr>
                <w:color w:val="000000"/>
                <w:szCs w:val="22"/>
                <w:lang w:val="it-IT"/>
              </w:rPr>
              <w:t xml:space="preserve">Če citopenija vztraja 4 tedne in še vedno ni povezana z levkemijo, prekinite zdravljenje z </w:t>
            </w:r>
            <w:r w:rsidR="00D81193" w:rsidRPr="004A59B1">
              <w:rPr>
                <w:color w:val="000000"/>
                <w:szCs w:val="22"/>
                <w:lang w:val="it-IT"/>
              </w:rPr>
              <w:t>zdravilom Glivec</w:t>
            </w:r>
            <w:r w:rsidR="00444D75" w:rsidRPr="004A59B1">
              <w:rPr>
                <w:color w:val="000000"/>
                <w:szCs w:val="22"/>
                <w:lang w:val="it-IT"/>
              </w:rPr>
              <w:t>, dokler ni A</w:t>
            </w:r>
            <w:r w:rsidR="004B33C9" w:rsidRPr="004A59B1">
              <w:rPr>
                <w:color w:val="000000"/>
                <w:szCs w:val="22"/>
                <w:lang w:val="it-IT"/>
              </w:rPr>
              <w:t>NC</w:t>
            </w:r>
            <w:r w:rsidR="00444D75" w:rsidRPr="004A59B1">
              <w:rPr>
                <w:color w:val="000000"/>
                <w:szCs w:val="22"/>
                <w:lang w:val="it-IT"/>
              </w:rPr>
              <w:t xml:space="preserve"> </w:t>
            </w:r>
            <w:r w:rsidR="00444D75" w:rsidRPr="004A59B1">
              <w:rPr>
                <w:color w:val="000000"/>
                <w:szCs w:val="22"/>
              </w:rPr>
              <w:sym w:font="Symbol" w:char="F0B3"/>
            </w:r>
            <w:r w:rsidR="00444D75" w:rsidRPr="004A59B1">
              <w:rPr>
                <w:color w:val="000000"/>
                <w:szCs w:val="22"/>
                <w:lang w:val="it-IT"/>
              </w:rPr>
              <w:t> 1 x 10</w:t>
            </w:r>
            <w:r w:rsidR="00444D75" w:rsidRPr="004A59B1">
              <w:rPr>
                <w:color w:val="000000"/>
                <w:szCs w:val="22"/>
                <w:vertAlign w:val="superscript"/>
                <w:lang w:val="it-IT"/>
              </w:rPr>
              <w:t>9</w:t>
            </w:r>
            <w:r w:rsidR="00444D75" w:rsidRPr="004A59B1">
              <w:rPr>
                <w:color w:val="000000"/>
                <w:szCs w:val="22"/>
                <w:lang w:val="it-IT"/>
              </w:rPr>
              <w:t xml:space="preserve">/l in </w:t>
            </w:r>
            <w:r w:rsidR="00DE7EB6" w:rsidRPr="004A59B1">
              <w:rPr>
                <w:color w:val="000000"/>
                <w:szCs w:val="22"/>
                <w:lang w:val="it-IT"/>
              </w:rPr>
              <w:t xml:space="preserve">koncentracija </w:t>
            </w:r>
            <w:r w:rsidR="00444D75" w:rsidRPr="004A59B1">
              <w:rPr>
                <w:color w:val="000000"/>
                <w:szCs w:val="22"/>
                <w:lang w:val="it-IT"/>
              </w:rPr>
              <w:t>trombocit</w:t>
            </w:r>
            <w:r w:rsidR="00DE7EB6" w:rsidRPr="004A59B1">
              <w:rPr>
                <w:color w:val="000000"/>
                <w:szCs w:val="22"/>
                <w:lang w:val="it-IT"/>
              </w:rPr>
              <w:t>ov</w:t>
            </w:r>
            <w:r w:rsidR="00444D75" w:rsidRPr="004A59B1">
              <w:rPr>
                <w:color w:val="000000"/>
                <w:szCs w:val="22"/>
                <w:lang w:val="it-IT"/>
              </w:rPr>
              <w:t xml:space="preserve"> </w:t>
            </w:r>
            <w:r w:rsidR="00444D75" w:rsidRPr="004A59B1">
              <w:rPr>
                <w:color w:val="000000"/>
                <w:szCs w:val="22"/>
              </w:rPr>
              <w:sym w:font="Symbol" w:char="F0B3"/>
            </w:r>
            <w:r w:rsidR="00444D75" w:rsidRPr="004A59B1">
              <w:rPr>
                <w:color w:val="000000"/>
                <w:szCs w:val="22"/>
                <w:lang w:val="it-IT"/>
              </w:rPr>
              <w:t> 20 x 10</w:t>
            </w:r>
            <w:r w:rsidR="00444D75" w:rsidRPr="004A59B1">
              <w:rPr>
                <w:color w:val="000000"/>
                <w:szCs w:val="22"/>
                <w:vertAlign w:val="superscript"/>
                <w:lang w:val="it-IT"/>
              </w:rPr>
              <w:t>9</w:t>
            </w:r>
            <w:r w:rsidR="00444D75" w:rsidRPr="004A59B1">
              <w:rPr>
                <w:color w:val="000000"/>
                <w:szCs w:val="22"/>
                <w:lang w:val="it-IT"/>
              </w:rPr>
              <w:t>/l, nato spet začnite zdravljenje z odmerkom 300 mg.</w:t>
            </w:r>
          </w:p>
        </w:tc>
      </w:tr>
      <w:tr w:rsidR="00AB1252" w:rsidRPr="003B6568" w14:paraId="529797A9" w14:textId="77777777" w:rsidTr="00AA1FD3">
        <w:trPr>
          <w:cantSplit/>
        </w:trPr>
        <w:tc>
          <w:tcPr>
            <w:tcW w:w="2376" w:type="dxa"/>
            <w:tcBorders>
              <w:bottom w:val="nil"/>
            </w:tcBorders>
          </w:tcPr>
          <w:p w14:paraId="529797A1" w14:textId="77777777" w:rsidR="00AB1252" w:rsidRPr="004A59B1" w:rsidRDefault="00AB1252" w:rsidP="009C1193">
            <w:pPr>
              <w:pStyle w:val="EndnoteText"/>
              <w:widowControl w:val="0"/>
              <w:tabs>
                <w:tab w:val="clear" w:pos="567"/>
              </w:tabs>
              <w:rPr>
                <w:color w:val="000000"/>
                <w:szCs w:val="22"/>
                <w:lang w:val="it-IT"/>
              </w:rPr>
            </w:pPr>
            <w:r w:rsidRPr="004A59B1">
              <w:rPr>
                <w:color w:val="000000"/>
                <w:szCs w:val="22"/>
                <w:lang w:val="it-IT"/>
              </w:rPr>
              <w:t xml:space="preserve">pospešena faza </w:t>
            </w:r>
            <w:r w:rsidR="00677326" w:rsidRPr="004A59B1">
              <w:rPr>
                <w:color w:val="000000"/>
                <w:szCs w:val="22"/>
                <w:lang w:val="it-IT"/>
              </w:rPr>
              <w:t>KML</w:t>
            </w:r>
            <w:r w:rsidRPr="004A59B1">
              <w:rPr>
                <w:color w:val="000000"/>
                <w:szCs w:val="22"/>
                <w:lang w:val="it-IT"/>
              </w:rPr>
              <w:t xml:space="preserve"> in blastna kriza pri pediatričnih bolnikih (začetni odmerek 340 mg/m</w:t>
            </w:r>
            <w:r w:rsidRPr="004A59B1">
              <w:rPr>
                <w:color w:val="000000"/>
                <w:szCs w:val="22"/>
                <w:vertAlign w:val="superscript"/>
                <w:lang w:val="it-IT"/>
              </w:rPr>
              <w:t>2</w:t>
            </w:r>
            <w:r w:rsidRPr="004A59B1">
              <w:rPr>
                <w:color w:val="000000"/>
                <w:szCs w:val="22"/>
                <w:lang w:val="it-IT"/>
              </w:rPr>
              <w:t>)</w:t>
            </w:r>
          </w:p>
        </w:tc>
        <w:tc>
          <w:tcPr>
            <w:tcW w:w="2400" w:type="dxa"/>
            <w:tcBorders>
              <w:bottom w:val="nil"/>
            </w:tcBorders>
          </w:tcPr>
          <w:p w14:paraId="529797A2" w14:textId="77777777" w:rsidR="00AB1252" w:rsidRPr="004A59B1" w:rsidRDefault="00AB1252" w:rsidP="009C1193">
            <w:pPr>
              <w:pStyle w:val="Table"/>
              <w:keepNext w:val="0"/>
              <w:keepLines w:val="0"/>
              <w:widowControl w:val="0"/>
              <w:spacing w:before="0" w:after="0"/>
              <w:rPr>
                <w:rFonts w:ascii="Times New Roman" w:hAnsi="Times New Roman"/>
                <w:color w:val="000000"/>
                <w:sz w:val="22"/>
                <w:szCs w:val="22"/>
                <w:lang w:val="it-IT"/>
              </w:rPr>
            </w:pPr>
            <w:r w:rsidRPr="004A59B1">
              <w:rPr>
                <w:rFonts w:ascii="Times New Roman" w:hAnsi="Times New Roman"/>
                <w:color w:val="000000"/>
                <w:sz w:val="22"/>
                <w:szCs w:val="22"/>
                <w:vertAlign w:val="superscript"/>
                <w:lang w:val="it-IT"/>
              </w:rPr>
              <w:t>a</w:t>
            </w:r>
            <w:r w:rsidRPr="004A59B1">
              <w:rPr>
                <w:rFonts w:ascii="Times New Roman" w:hAnsi="Times New Roman"/>
                <w:color w:val="000000"/>
                <w:sz w:val="22"/>
                <w:szCs w:val="22"/>
                <w:lang w:val="it-IT"/>
              </w:rPr>
              <w:t>A</w:t>
            </w:r>
            <w:r w:rsidR="004B33C9" w:rsidRPr="004A59B1">
              <w:rPr>
                <w:rFonts w:ascii="Times New Roman" w:hAnsi="Times New Roman"/>
                <w:color w:val="000000"/>
                <w:sz w:val="22"/>
                <w:szCs w:val="22"/>
                <w:lang w:val="it-IT"/>
              </w:rPr>
              <w:t>NC</w:t>
            </w:r>
            <w:r w:rsidRPr="004A59B1">
              <w:rPr>
                <w:rFonts w:ascii="Times New Roman" w:hAnsi="Times New Roman"/>
                <w:color w:val="000000"/>
                <w:sz w:val="22"/>
                <w:szCs w:val="22"/>
                <w:lang w:val="it-IT"/>
              </w:rPr>
              <w:t xml:space="preserve"> &lt; 0,5 x 10</w:t>
            </w:r>
            <w:r w:rsidRPr="004A59B1">
              <w:rPr>
                <w:rFonts w:ascii="Times New Roman" w:hAnsi="Times New Roman"/>
                <w:color w:val="000000"/>
                <w:sz w:val="22"/>
                <w:szCs w:val="22"/>
                <w:vertAlign w:val="superscript"/>
                <w:lang w:val="it-IT"/>
              </w:rPr>
              <w:t>9</w:t>
            </w:r>
            <w:r w:rsidRPr="004A59B1">
              <w:rPr>
                <w:rFonts w:ascii="Times New Roman" w:hAnsi="Times New Roman"/>
                <w:color w:val="000000"/>
                <w:sz w:val="22"/>
                <w:szCs w:val="22"/>
                <w:lang w:val="it-IT"/>
              </w:rPr>
              <w:t>/l</w:t>
            </w:r>
          </w:p>
          <w:p w14:paraId="529797A3" w14:textId="77777777" w:rsidR="00AB1252" w:rsidRPr="004A59B1" w:rsidRDefault="00AB1252" w:rsidP="009C1193">
            <w:pPr>
              <w:pStyle w:val="Table"/>
              <w:keepNext w:val="0"/>
              <w:keepLines w:val="0"/>
              <w:widowControl w:val="0"/>
              <w:spacing w:before="0" w:after="0"/>
              <w:rPr>
                <w:rFonts w:ascii="Times New Roman" w:hAnsi="Times New Roman"/>
                <w:color w:val="000000"/>
                <w:sz w:val="22"/>
                <w:szCs w:val="22"/>
                <w:lang w:val="it-IT"/>
              </w:rPr>
            </w:pPr>
            <w:r w:rsidRPr="004A59B1">
              <w:rPr>
                <w:rFonts w:ascii="Times New Roman" w:hAnsi="Times New Roman"/>
                <w:color w:val="000000"/>
                <w:sz w:val="22"/>
                <w:szCs w:val="22"/>
                <w:lang w:val="it-IT"/>
              </w:rPr>
              <w:t>in/ali</w:t>
            </w:r>
          </w:p>
          <w:p w14:paraId="529797A4" w14:textId="77777777" w:rsidR="00AB1252" w:rsidRPr="004A59B1" w:rsidDel="000659A8" w:rsidRDefault="00DE7EB6" w:rsidP="009C1193">
            <w:pPr>
              <w:pStyle w:val="Table"/>
              <w:keepNext w:val="0"/>
              <w:keepLines w:val="0"/>
              <w:widowControl w:val="0"/>
              <w:spacing w:before="0" w:after="0"/>
              <w:rPr>
                <w:rFonts w:ascii="Times New Roman" w:hAnsi="Times New Roman"/>
                <w:color w:val="000000"/>
                <w:sz w:val="22"/>
                <w:szCs w:val="22"/>
                <w:vertAlign w:val="superscript"/>
                <w:lang w:val="it-IT"/>
              </w:rPr>
            </w:pPr>
            <w:r w:rsidRPr="004A59B1">
              <w:rPr>
                <w:rFonts w:ascii="Times New Roman" w:hAnsi="Times New Roman"/>
                <w:color w:val="000000"/>
                <w:sz w:val="22"/>
                <w:szCs w:val="22"/>
                <w:lang w:val="it-IT"/>
              </w:rPr>
              <w:t>koncentracija</w:t>
            </w:r>
            <w:r w:rsidRPr="004A59B1">
              <w:rPr>
                <w:color w:val="000000"/>
                <w:szCs w:val="22"/>
                <w:lang w:val="it-IT"/>
              </w:rPr>
              <w:t xml:space="preserve"> </w:t>
            </w:r>
            <w:r w:rsidR="00AB1252" w:rsidRPr="004A59B1">
              <w:rPr>
                <w:rFonts w:ascii="Times New Roman" w:hAnsi="Times New Roman"/>
                <w:color w:val="000000"/>
                <w:sz w:val="22"/>
                <w:szCs w:val="22"/>
                <w:lang w:val="it-IT"/>
              </w:rPr>
              <w:t>trombocitov &lt; 10 x 10</w:t>
            </w:r>
            <w:r w:rsidR="00AB1252" w:rsidRPr="004A59B1">
              <w:rPr>
                <w:rFonts w:ascii="Times New Roman" w:hAnsi="Times New Roman"/>
                <w:color w:val="000000"/>
                <w:sz w:val="22"/>
                <w:szCs w:val="22"/>
                <w:vertAlign w:val="superscript"/>
                <w:lang w:val="it-IT"/>
              </w:rPr>
              <w:t>9</w:t>
            </w:r>
            <w:r w:rsidR="00AB1252" w:rsidRPr="004A59B1">
              <w:rPr>
                <w:rFonts w:ascii="Times New Roman" w:hAnsi="Times New Roman"/>
                <w:color w:val="000000"/>
                <w:sz w:val="22"/>
                <w:szCs w:val="22"/>
                <w:lang w:val="it-IT"/>
              </w:rPr>
              <w:t>/l</w:t>
            </w:r>
          </w:p>
        </w:tc>
        <w:tc>
          <w:tcPr>
            <w:tcW w:w="4404" w:type="dxa"/>
            <w:tcBorders>
              <w:bottom w:val="nil"/>
            </w:tcBorders>
          </w:tcPr>
          <w:p w14:paraId="529797A5" w14:textId="77777777" w:rsidR="00AB1252" w:rsidRPr="004A59B1" w:rsidRDefault="00043C17" w:rsidP="009C1193">
            <w:pPr>
              <w:pStyle w:val="Table"/>
              <w:keepNext w:val="0"/>
              <w:keepLines w:val="0"/>
              <w:widowControl w:val="0"/>
              <w:tabs>
                <w:tab w:val="clear" w:pos="284"/>
              </w:tabs>
              <w:spacing w:before="0" w:after="0"/>
              <w:ind w:left="469" w:hanging="469"/>
              <w:rPr>
                <w:rFonts w:ascii="Times New Roman" w:hAnsi="Times New Roman"/>
                <w:color w:val="000000"/>
                <w:sz w:val="22"/>
                <w:szCs w:val="22"/>
                <w:lang w:val="it-IT"/>
              </w:rPr>
            </w:pPr>
            <w:r w:rsidRPr="004A59B1">
              <w:rPr>
                <w:rFonts w:ascii="Times New Roman" w:hAnsi="Times New Roman"/>
                <w:color w:val="000000"/>
                <w:sz w:val="22"/>
                <w:szCs w:val="22"/>
                <w:lang w:val="it-IT"/>
              </w:rPr>
              <w:t>1.</w:t>
            </w:r>
            <w:r w:rsidRPr="004A59B1">
              <w:rPr>
                <w:rFonts w:ascii="Times New Roman" w:hAnsi="Times New Roman"/>
                <w:color w:val="000000"/>
                <w:sz w:val="22"/>
                <w:szCs w:val="22"/>
                <w:lang w:val="it-IT"/>
              </w:rPr>
              <w:tab/>
            </w:r>
            <w:r w:rsidR="00AB1252" w:rsidRPr="004A59B1">
              <w:rPr>
                <w:rFonts w:ascii="Times New Roman" w:hAnsi="Times New Roman"/>
                <w:color w:val="000000"/>
                <w:sz w:val="22"/>
                <w:szCs w:val="22"/>
                <w:lang w:val="it-IT"/>
              </w:rPr>
              <w:t>Preverite, ali je citopenija povezana z levkemijo (aspirat ali biopsija kostnega mozga).</w:t>
            </w:r>
          </w:p>
          <w:p w14:paraId="529797A6" w14:textId="77777777" w:rsidR="00AB1252" w:rsidRPr="004A59B1" w:rsidRDefault="00043C17" w:rsidP="009C1193">
            <w:pPr>
              <w:pStyle w:val="Table"/>
              <w:keepNext w:val="0"/>
              <w:keepLines w:val="0"/>
              <w:widowControl w:val="0"/>
              <w:tabs>
                <w:tab w:val="clear" w:pos="284"/>
              </w:tabs>
              <w:spacing w:before="0" w:after="0"/>
              <w:ind w:left="469" w:hanging="469"/>
              <w:rPr>
                <w:rFonts w:ascii="Times New Roman" w:hAnsi="Times New Roman"/>
                <w:color w:val="000000"/>
                <w:sz w:val="22"/>
                <w:szCs w:val="22"/>
                <w:lang w:val="it-IT"/>
              </w:rPr>
            </w:pPr>
            <w:r w:rsidRPr="004A59B1">
              <w:rPr>
                <w:rFonts w:ascii="Times New Roman" w:hAnsi="Times New Roman"/>
                <w:color w:val="000000"/>
                <w:sz w:val="22"/>
                <w:szCs w:val="22"/>
                <w:lang w:val="it-IT"/>
              </w:rPr>
              <w:t>2.</w:t>
            </w:r>
            <w:r w:rsidRPr="004A59B1">
              <w:rPr>
                <w:rFonts w:ascii="Times New Roman" w:hAnsi="Times New Roman"/>
                <w:color w:val="000000"/>
                <w:sz w:val="22"/>
                <w:szCs w:val="22"/>
                <w:lang w:val="it-IT"/>
              </w:rPr>
              <w:tab/>
            </w:r>
            <w:r w:rsidR="00AB1252" w:rsidRPr="004A59B1">
              <w:rPr>
                <w:rFonts w:ascii="Times New Roman" w:hAnsi="Times New Roman"/>
                <w:color w:val="000000"/>
                <w:sz w:val="22"/>
                <w:szCs w:val="22"/>
                <w:lang w:val="it-IT"/>
              </w:rPr>
              <w:t xml:space="preserve">Če citopenija ni povezana z levkemijo, zmanjšajte odmerek </w:t>
            </w:r>
            <w:r w:rsidR="00D81193" w:rsidRPr="004A59B1">
              <w:rPr>
                <w:rFonts w:ascii="Times New Roman" w:hAnsi="Times New Roman"/>
                <w:color w:val="000000"/>
                <w:sz w:val="22"/>
                <w:szCs w:val="22"/>
                <w:lang w:val="it-IT"/>
              </w:rPr>
              <w:t>zdravila Glivec</w:t>
            </w:r>
            <w:r w:rsidR="00AB1252" w:rsidRPr="004A59B1">
              <w:rPr>
                <w:rFonts w:ascii="Times New Roman" w:hAnsi="Times New Roman"/>
                <w:color w:val="000000"/>
                <w:sz w:val="22"/>
                <w:szCs w:val="22"/>
                <w:lang w:val="it-IT"/>
              </w:rPr>
              <w:t xml:space="preserve"> na 260 mg/m</w:t>
            </w:r>
            <w:r w:rsidR="00AB1252" w:rsidRPr="004A59B1">
              <w:rPr>
                <w:rFonts w:ascii="Times New Roman" w:hAnsi="Times New Roman"/>
                <w:color w:val="000000"/>
                <w:sz w:val="22"/>
                <w:szCs w:val="22"/>
                <w:vertAlign w:val="superscript"/>
                <w:lang w:val="it-IT"/>
              </w:rPr>
              <w:t>2</w:t>
            </w:r>
            <w:r w:rsidR="00AB1252" w:rsidRPr="004A59B1">
              <w:rPr>
                <w:rFonts w:ascii="Times New Roman" w:hAnsi="Times New Roman"/>
                <w:color w:val="000000"/>
                <w:sz w:val="22"/>
                <w:szCs w:val="22"/>
                <w:lang w:val="it-IT"/>
              </w:rPr>
              <w:t>.</w:t>
            </w:r>
          </w:p>
          <w:p w14:paraId="529797A7" w14:textId="77777777" w:rsidR="00AB1252" w:rsidRPr="004A59B1" w:rsidRDefault="00043C17" w:rsidP="009C1193">
            <w:pPr>
              <w:pStyle w:val="Table"/>
              <w:keepNext w:val="0"/>
              <w:keepLines w:val="0"/>
              <w:widowControl w:val="0"/>
              <w:tabs>
                <w:tab w:val="clear" w:pos="284"/>
              </w:tabs>
              <w:spacing w:before="0" w:after="0"/>
              <w:ind w:left="469" w:hanging="469"/>
              <w:rPr>
                <w:rFonts w:ascii="Times New Roman" w:hAnsi="Times New Roman"/>
                <w:color w:val="000000"/>
                <w:sz w:val="22"/>
                <w:szCs w:val="22"/>
                <w:lang w:val="it-IT"/>
              </w:rPr>
            </w:pPr>
            <w:r w:rsidRPr="004A59B1">
              <w:rPr>
                <w:rFonts w:ascii="Times New Roman" w:hAnsi="Times New Roman"/>
                <w:color w:val="000000"/>
                <w:sz w:val="22"/>
                <w:szCs w:val="22"/>
                <w:lang w:val="it-IT"/>
              </w:rPr>
              <w:t>3.</w:t>
            </w:r>
            <w:r w:rsidRPr="004A59B1">
              <w:rPr>
                <w:rFonts w:ascii="Times New Roman" w:hAnsi="Times New Roman"/>
                <w:color w:val="000000"/>
                <w:sz w:val="22"/>
                <w:szCs w:val="22"/>
                <w:lang w:val="it-IT"/>
              </w:rPr>
              <w:tab/>
            </w:r>
            <w:r w:rsidR="00AB1252" w:rsidRPr="004A59B1">
              <w:rPr>
                <w:rFonts w:ascii="Times New Roman" w:hAnsi="Times New Roman"/>
                <w:color w:val="000000"/>
                <w:sz w:val="22"/>
                <w:szCs w:val="22"/>
                <w:lang w:val="it-IT"/>
              </w:rPr>
              <w:t xml:space="preserve">Če citopenija </w:t>
            </w:r>
            <w:r w:rsidR="00E43096" w:rsidRPr="004A59B1">
              <w:rPr>
                <w:rFonts w:ascii="Times New Roman" w:hAnsi="Times New Roman"/>
                <w:color w:val="000000"/>
                <w:sz w:val="22"/>
                <w:szCs w:val="22"/>
                <w:lang w:val="it-IT"/>
              </w:rPr>
              <w:t>vztraja</w:t>
            </w:r>
            <w:r w:rsidR="00AB1252" w:rsidRPr="004A59B1">
              <w:rPr>
                <w:rFonts w:ascii="Times New Roman" w:hAnsi="Times New Roman"/>
                <w:color w:val="000000"/>
                <w:sz w:val="22"/>
                <w:szCs w:val="22"/>
                <w:lang w:val="it-IT"/>
              </w:rPr>
              <w:t xml:space="preserve"> 2 tedna, odmerek zmanjšajte na 200 mg/m</w:t>
            </w:r>
            <w:r w:rsidR="00AB1252" w:rsidRPr="004A59B1">
              <w:rPr>
                <w:rFonts w:ascii="Times New Roman" w:hAnsi="Times New Roman"/>
                <w:color w:val="000000"/>
                <w:sz w:val="22"/>
                <w:szCs w:val="22"/>
                <w:vertAlign w:val="superscript"/>
                <w:lang w:val="it-IT"/>
              </w:rPr>
              <w:t>2</w:t>
            </w:r>
            <w:r w:rsidR="00AB1252" w:rsidRPr="004A59B1">
              <w:rPr>
                <w:rFonts w:ascii="Times New Roman" w:hAnsi="Times New Roman"/>
                <w:color w:val="000000"/>
                <w:sz w:val="22"/>
                <w:szCs w:val="22"/>
                <w:lang w:val="it-IT"/>
              </w:rPr>
              <w:t>.</w:t>
            </w:r>
          </w:p>
          <w:p w14:paraId="529797A8" w14:textId="77777777" w:rsidR="00AB1252" w:rsidRPr="004A59B1" w:rsidRDefault="00043C17" w:rsidP="009C1193">
            <w:pPr>
              <w:pStyle w:val="Table"/>
              <w:keepNext w:val="0"/>
              <w:keepLines w:val="0"/>
              <w:widowControl w:val="0"/>
              <w:tabs>
                <w:tab w:val="clear" w:pos="284"/>
              </w:tabs>
              <w:spacing w:before="0" w:after="0"/>
              <w:ind w:left="469" w:hanging="469"/>
              <w:rPr>
                <w:rFonts w:ascii="Times New Roman" w:hAnsi="Times New Roman"/>
                <w:color w:val="000000"/>
                <w:sz w:val="22"/>
                <w:szCs w:val="22"/>
                <w:lang w:val="it-IT"/>
              </w:rPr>
            </w:pPr>
            <w:r w:rsidRPr="004A59B1">
              <w:rPr>
                <w:rFonts w:ascii="Times New Roman" w:hAnsi="Times New Roman"/>
                <w:color w:val="000000"/>
                <w:sz w:val="22"/>
                <w:szCs w:val="22"/>
                <w:lang w:val="it-IT"/>
              </w:rPr>
              <w:t>4.</w:t>
            </w:r>
            <w:r w:rsidRPr="004A59B1">
              <w:rPr>
                <w:rFonts w:ascii="Times New Roman" w:hAnsi="Times New Roman"/>
                <w:color w:val="000000"/>
                <w:sz w:val="22"/>
                <w:szCs w:val="22"/>
                <w:lang w:val="it-IT"/>
              </w:rPr>
              <w:tab/>
            </w:r>
            <w:r w:rsidR="00AB1252" w:rsidRPr="004A59B1">
              <w:rPr>
                <w:rFonts w:ascii="Times New Roman" w:hAnsi="Times New Roman"/>
                <w:color w:val="000000"/>
                <w:sz w:val="22"/>
                <w:szCs w:val="22"/>
                <w:lang w:val="it-IT"/>
              </w:rPr>
              <w:t xml:space="preserve">Če citopenija vztraja 4 tedne in še vedno ni povezana z levkemijo, prekinite zdravljenje z </w:t>
            </w:r>
            <w:r w:rsidR="00D81193" w:rsidRPr="004A59B1">
              <w:rPr>
                <w:rFonts w:ascii="Times New Roman" w:hAnsi="Times New Roman"/>
                <w:color w:val="000000"/>
                <w:sz w:val="22"/>
                <w:szCs w:val="22"/>
                <w:lang w:val="it-IT"/>
              </w:rPr>
              <w:t>zdravilom Glivec</w:t>
            </w:r>
            <w:r w:rsidR="00AB1252" w:rsidRPr="004A59B1">
              <w:rPr>
                <w:rFonts w:ascii="Times New Roman" w:hAnsi="Times New Roman"/>
                <w:color w:val="000000"/>
                <w:sz w:val="22"/>
                <w:szCs w:val="22"/>
                <w:lang w:val="it-IT"/>
              </w:rPr>
              <w:t>, dokler ni A</w:t>
            </w:r>
            <w:r w:rsidR="004B33C9" w:rsidRPr="004A59B1">
              <w:rPr>
                <w:rFonts w:ascii="Times New Roman" w:hAnsi="Times New Roman"/>
                <w:color w:val="000000"/>
                <w:sz w:val="22"/>
                <w:szCs w:val="22"/>
                <w:lang w:val="it-IT"/>
              </w:rPr>
              <w:t>NC</w:t>
            </w:r>
            <w:r w:rsidR="00AB1252" w:rsidRPr="004A59B1">
              <w:rPr>
                <w:rFonts w:ascii="Times New Roman" w:hAnsi="Times New Roman"/>
                <w:color w:val="000000"/>
                <w:sz w:val="22"/>
                <w:szCs w:val="22"/>
                <w:lang w:val="it-IT"/>
              </w:rPr>
              <w:t xml:space="preserve"> </w:t>
            </w:r>
            <w:r w:rsidR="00AB1252" w:rsidRPr="004A59B1">
              <w:rPr>
                <w:rFonts w:ascii="Times New Roman" w:hAnsi="Times New Roman"/>
                <w:color w:val="000000"/>
                <w:sz w:val="22"/>
                <w:szCs w:val="22"/>
              </w:rPr>
              <w:sym w:font="Symbol" w:char="F0B3"/>
            </w:r>
            <w:r w:rsidR="00AB1252" w:rsidRPr="004A59B1">
              <w:rPr>
                <w:rFonts w:ascii="Times New Roman" w:hAnsi="Times New Roman"/>
                <w:color w:val="000000"/>
                <w:sz w:val="22"/>
                <w:szCs w:val="22"/>
                <w:lang w:val="it-IT"/>
              </w:rPr>
              <w:t> 1 x 10</w:t>
            </w:r>
            <w:r w:rsidR="00AB1252" w:rsidRPr="004A59B1">
              <w:rPr>
                <w:rFonts w:ascii="Times New Roman" w:hAnsi="Times New Roman"/>
                <w:color w:val="000000"/>
                <w:sz w:val="22"/>
                <w:szCs w:val="22"/>
                <w:vertAlign w:val="superscript"/>
                <w:lang w:val="it-IT"/>
              </w:rPr>
              <w:t>9</w:t>
            </w:r>
            <w:r w:rsidR="00AB1252" w:rsidRPr="004A59B1">
              <w:rPr>
                <w:rFonts w:ascii="Times New Roman" w:hAnsi="Times New Roman"/>
                <w:color w:val="000000"/>
                <w:sz w:val="22"/>
                <w:szCs w:val="22"/>
                <w:lang w:val="it-IT"/>
              </w:rPr>
              <w:t xml:space="preserve">/l in </w:t>
            </w:r>
            <w:r w:rsidR="00DE7EB6" w:rsidRPr="004A59B1">
              <w:rPr>
                <w:rFonts w:ascii="Times New Roman" w:hAnsi="Times New Roman"/>
                <w:color w:val="000000"/>
                <w:sz w:val="22"/>
                <w:szCs w:val="22"/>
                <w:lang w:val="it-IT"/>
              </w:rPr>
              <w:t>koncentracija</w:t>
            </w:r>
            <w:r w:rsidR="00DE7EB6" w:rsidRPr="004A59B1">
              <w:rPr>
                <w:color w:val="000000"/>
                <w:szCs w:val="22"/>
                <w:lang w:val="it-IT"/>
              </w:rPr>
              <w:t xml:space="preserve"> </w:t>
            </w:r>
            <w:r w:rsidR="00AB1252" w:rsidRPr="004A59B1">
              <w:rPr>
                <w:rFonts w:ascii="Times New Roman" w:hAnsi="Times New Roman"/>
                <w:color w:val="000000"/>
                <w:sz w:val="22"/>
                <w:szCs w:val="22"/>
                <w:lang w:val="it-IT"/>
              </w:rPr>
              <w:t>trombocit</w:t>
            </w:r>
            <w:r w:rsidR="00DE7EB6" w:rsidRPr="004A59B1">
              <w:rPr>
                <w:rFonts w:ascii="Times New Roman" w:hAnsi="Times New Roman"/>
                <w:color w:val="000000"/>
                <w:sz w:val="22"/>
                <w:szCs w:val="22"/>
                <w:lang w:val="it-IT"/>
              </w:rPr>
              <w:t>ov</w:t>
            </w:r>
            <w:r w:rsidR="00AB1252" w:rsidRPr="004A59B1">
              <w:rPr>
                <w:rFonts w:ascii="Times New Roman" w:hAnsi="Times New Roman"/>
                <w:color w:val="000000"/>
                <w:sz w:val="22"/>
                <w:szCs w:val="22"/>
                <w:lang w:val="it-IT"/>
              </w:rPr>
              <w:t xml:space="preserve"> </w:t>
            </w:r>
            <w:r w:rsidR="00AB1252" w:rsidRPr="004A59B1">
              <w:rPr>
                <w:rFonts w:ascii="Times New Roman" w:hAnsi="Times New Roman"/>
                <w:color w:val="000000"/>
                <w:sz w:val="22"/>
                <w:szCs w:val="22"/>
              </w:rPr>
              <w:sym w:font="Symbol" w:char="F0B3"/>
            </w:r>
            <w:r w:rsidR="00AB1252" w:rsidRPr="004A59B1">
              <w:rPr>
                <w:rFonts w:ascii="Times New Roman" w:hAnsi="Times New Roman"/>
                <w:color w:val="000000"/>
                <w:sz w:val="22"/>
                <w:szCs w:val="22"/>
                <w:lang w:val="it-IT"/>
              </w:rPr>
              <w:t> 20 x 10</w:t>
            </w:r>
            <w:r w:rsidR="00AB1252" w:rsidRPr="004A59B1">
              <w:rPr>
                <w:rFonts w:ascii="Times New Roman" w:hAnsi="Times New Roman"/>
                <w:color w:val="000000"/>
                <w:sz w:val="22"/>
                <w:szCs w:val="22"/>
                <w:vertAlign w:val="superscript"/>
                <w:lang w:val="it-IT"/>
              </w:rPr>
              <w:t>9</w:t>
            </w:r>
            <w:r w:rsidR="00AB1252" w:rsidRPr="004A59B1">
              <w:rPr>
                <w:rFonts w:ascii="Times New Roman" w:hAnsi="Times New Roman"/>
                <w:color w:val="000000"/>
                <w:sz w:val="22"/>
                <w:szCs w:val="22"/>
                <w:lang w:val="it-IT"/>
              </w:rPr>
              <w:t>/l, nato spet začnite zdravljenje z odmerkom 200 mg/m</w:t>
            </w:r>
            <w:r w:rsidR="00AB1252" w:rsidRPr="004A59B1">
              <w:rPr>
                <w:rFonts w:ascii="Times New Roman" w:hAnsi="Times New Roman"/>
                <w:color w:val="000000"/>
                <w:sz w:val="22"/>
                <w:szCs w:val="22"/>
                <w:vertAlign w:val="superscript"/>
                <w:lang w:val="it-IT"/>
              </w:rPr>
              <w:t>2</w:t>
            </w:r>
            <w:r w:rsidR="00AB1252" w:rsidRPr="004A59B1">
              <w:rPr>
                <w:rFonts w:ascii="Times New Roman" w:hAnsi="Times New Roman"/>
                <w:color w:val="000000"/>
                <w:sz w:val="22"/>
                <w:szCs w:val="22"/>
                <w:lang w:val="it-IT"/>
              </w:rPr>
              <w:t>.</w:t>
            </w:r>
          </w:p>
        </w:tc>
      </w:tr>
      <w:tr w:rsidR="00AB1252" w:rsidRPr="003B6568" w14:paraId="529797B2" w14:textId="77777777" w:rsidTr="00AA1FD3">
        <w:trPr>
          <w:cantSplit/>
        </w:trPr>
        <w:tc>
          <w:tcPr>
            <w:tcW w:w="2376" w:type="dxa"/>
            <w:tcBorders>
              <w:bottom w:val="nil"/>
            </w:tcBorders>
          </w:tcPr>
          <w:p w14:paraId="529797AA" w14:textId="77777777" w:rsidR="00AB1252" w:rsidRPr="004A59B1" w:rsidRDefault="00AB1252" w:rsidP="009C1193">
            <w:pPr>
              <w:pStyle w:val="Table"/>
              <w:widowControl w:val="0"/>
              <w:rPr>
                <w:rFonts w:ascii="Times New Roman" w:hAnsi="Times New Roman"/>
                <w:color w:val="000000"/>
                <w:sz w:val="22"/>
                <w:szCs w:val="22"/>
                <w:lang w:val="en-GB"/>
              </w:rPr>
            </w:pPr>
            <w:r w:rsidRPr="004A59B1">
              <w:rPr>
                <w:rFonts w:ascii="Times New Roman" w:hAnsi="Times New Roman"/>
                <w:color w:val="000000"/>
                <w:sz w:val="22"/>
                <w:szCs w:val="22"/>
                <w:lang w:val="en-GB"/>
              </w:rPr>
              <w:t>DFSP</w:t>
            </w:r>
          </w:p>
          <w:p w14:paraId="529797AB" w14:textId="77777777" w:rsidR="00AB1252" w:rsidRPr="004A59B1" w:rsidRDefault="00AB1252" w:rsidP="009C1193">
            <w:pPr>
              <w:pStyle w:val="EndnoteText"/>
              <w:keepNext/>
              <w:keepLines/>
              <w:widowControl w:val="0"/>
              <w:tabs>
                <w:tab w:val="clear" w:pos="567"/>
              </w:tabs>
              <w:rPr>
                <w:color w:val="000000"/>
                <w:szCs w:val="22"/>
              </w:rPr>
            </w:pPr>
            <w:r w:rsidRPr="004A59B1">
              <w:rPr>
                <w:color w:val="000000"/>
                <w:szCs w:val="22"/>
              </w:rPr>
              <w:t>(ob odmerku 800 mg)</w:t>
            </w:r>
          </w:p>
        </w:tc>
        <w:tc>
          <w:tcPr>
            <w:tcW w:w="2400" w:type="dxa"/>
            <w:tcBorders>
              <w:bottom w:val="nil"/>
            </w:tcBorders>
          </w:tcPr>
          <w:p w14:paraId="529797AC" w14:textId="77777777" w:rsidR="00AB1252" w:rsidRPr="004A59B1" w:rsidRDefault="00AB1252" w:rsidP="009C1193">
            <w:pPr>
              <w:pStyle w:val="Table"/>
              <w:widowControl w:val="0"/>
              <w:rPr>
                <w:rFonts w:ascii="Times New Roman" w:hAnsi="Times New Roman"/>
                <w:color w:val="000000"/>
                <w:sz w:val="22"/>
                <w:szCs w:val="22"/>
                <w:lang w:val="it-IT"/>
              </w:rPr>
            </w:pPr>
            <w:r w:rsidRPr="004A59B1">
              <w:rPr>
                <w:rFonts w:ascii="Times New Roman" w:hAnsi="Times New Roman"/>
                <w:color w:val="000000"/>
                <w:sz w:val="22"/>
                <w:szCs w:val="22"/>
                <w:lang w:val="it-IT"/>
              </w:rPr>
              <w:t>A</w:t>
            </w:r>
            <w:r w:rsidR="004B33C9" w:rsidRPr="004A59B1">
              <w:rPr>
                <w:rFonts w:ascii="Times New Roman" w:hAnsi="Times New Roman"/>
                <w:color w:val="000000"/>
                <w:sz w:val="22"/>
                <w:szCs w:val="22"/>
                <w:lang w:val="it-IT"/>
              </w:rPr>
              <w:t>NC</w:t>
            </w:r>
            <w:r w:rsidRPr="004A59B1">
              <w:rPr>
                <w:rFonts w:ascii="Times New Roman" w:hAnsi="Times New Roman"/>
                <w:color w:val="000000"/>
                <w:sz w:val="22"/>
                <w:szCs w:val="22"/>
                <w:lang w:val="it-IT"/>
              </w:rPr>
              <w:t xml:space="preserve"> &lt; 1,0 x 10</w:t>
            </w:r>
            <w:r w:rsidRPr="004A59B1">
              <w:rPr>
                <w:rFonts w:ascii="Times New Roman" w:hAnsi="Times New Roman"/>
                <w:color w:val="000000"/>
                <w:sz w:val="22"/>
                <w:szCs w:val="22"/>
                <w:vertAlign w:val="superscript"/>
                <w:lang w:val="it-IT"/>
              </w:rPr>
              <w:t>9</w:t>
            </w:r>
            <w:r w:rsidRPr="004A59B1">
              <w:rPr>
                <w:rFonts w:ascii="Times New Roman" w:hAnsi="Times New Roman"/>
                <w:color w:val="000000"/>
                <w:sz w:val="22"/>
                <w:szCs w:val="22"/>
                <w:lang w:val="it-IT"/>
              </w:rPr>
              <w:t>/l</w:t>
            </w:r>
          </w:p>
          <w:p w14:paraId="529797AD" w14:textId="77777777" w:rsidR="00AB1252" w:rsidRPr="004A59B1" w:rsidRDefault="00AB1252" w:rsidP="009C1193">
            <w:pPr>
              <w:pStyle w:val="Table"/>
              <w:widowControl w:val="0"/>
              <w:rPr>
                <w:rFonts w:ascii="Times New Roman" w:hAnsi="Times New Roman"/>
                <w:color w:val="000000"/>
                <w:sz w:val="22"/>
                <w:szCs w:val="22"/>
                <w:lang w:val="it-IT"/>
              </w:rPr>
            </w:pPr>
            <w:r w:rsidRPr="004A59B1">
              <w:rPr>
                <w:rFonts w:ascii="Times New Roman" w:hAnsi="Times New Roman"/>
                <w:color w:val="000000"/>
                <w:sz w:val="22"/>
                <w:szCs w:val="22"/>
                <w:lang w:val="it-IT"/>
              </w:rPr>
              <w:t>in/ali</w:t>
            </w:r>
          </w:p>
          <w:p w14:paraId="529797AE" w14:textId="77777777" w:rsidR="00AB1252" w:rsidRPr="004A59B1" w:rsidRDefault="00DE7EB6" w:rsidP="009C1193">
            <w:pPr>
              <w:pStyle w:val="Table"/>
              <w:widowControl w:val="0"/>
              <w:spacing w:before="0" w:after="0"/>
              <w:rPr>
                <w:rFonts w:ascii="Times New Roman" w:hAnsi="Times New Roman"/>
                <w:color w:val="000000"/>
                <w:sz w:val="22"/>
                <w:szCs w:val="22"/>
                <w:vertAlign w:val="superscript"/>
                <w:lang w:val="it-IT"/>
              </w:rPr>
            </w:pPr>
            <w:r w:rsidRPr="004A59B1">
              <w:rPr>
                <w:rFonts w:ascii="Times New Roman" w:hAnsi="Times New Roman"/>
                <w:color w:val="000000"/>
                <w:sz w:val="22"/>
                <w:szCs w:val="22"/>
                <w:lang w:val="it-IT"/>
              </w:rPr>
              <w:t>koncentracija</w:t>
            </w:r>
            <w:r w:rsidRPr="004A59B1">
              <w:rPr>
                <w:color w:val="000000"/>
                <w:szCs w:val="22"/>
                <w:lang w:val="it-IT"/>
              </w:rPr>
              <w:t xml:space="preserve"> </w:t>
            </w:r>
            <w:r w:rsidR="00AB1252" w:rsidRPr="004A59B1">
              <w:rPr>
                <w:rFonts w:ascii="Times New Roman" w:hAnsi="Times New Roman"/>
                <w:color w:val="000000"/>
                <w:sz w:val="22"/>
                <w:szCs w:val="22"/>
                <w:lang w:val="it-IT"/>
              </w:rPr>
              <w:t>trombocitov &lt; 50 x 10</w:t>
            </w:r>
            <w:r w:rsidR="00AB1252" w:rsidRPr="004A59B1">
              <w:rPr>
                <w:rFonts w:ascii="Times New Roman" w:hAnsi="Times New Roman"/>
                <w:color w:val="000000"/>
                <w:sz w:val="22"/>
                <w:szCs w:val="22"/>
                <w:vertAlign w:val="superscript"/>
                <w:lang w:val="it-IT"/>
              </w:rPr>
              <w:t>9</w:t>
            </w:r>
            <w:r w:rsidR="00AB1252" w:rsidRPr="004A59B1">
              <w:rPr>
                <w:rFonts w:ascii="Times New Roman" w:hAnsi="Times New Roman"/>
                <w:color w:val="000000"/>
                <w:sz w:val="22"/>
                <w:szCs w:val="22"/>
                <w:lang w:val="it-IT"/>
              </w:rPr>
              <w:t>/l</w:t>
            </w:r>
          </w:p>
        </w:tc>
        <w:tc>
          <w:tcPr>
            <w:tcW w:w="4404" w:type="dxa"/>
            <w:tcBorders>
              <w:bottom w:val="nil"/>
            </w:tcBorders>
          </w:tcPr>
          <w:p w14:paraId="529797AF" w14:textId="77777777" w:rsidR="00AB1252" w:rsidRPr="004A59B1" w:rsidRDefault="00043C17" w:rsidP="009C1193">
            <w:pPr>
              <w:pStyle w:val="Table"/>
              <w:widowControl w:val="0"/>
              <w:tabs>
                <w:tab w:val="clear" w:pos="284"/>
              </w:tabs>
              <w:spacing w:before="0" w:after="0"/>
              <w:ind w:left="469" w:hanging="469"/>
              <w:rPr>
                <w:rFonts w:ascii="Times New Roman" w:hAnsi="Times New Roman"/>
                <w:color w:val="000000"/>
                <w:sz w:val="22"/>
                <w:szCs w:val="22"/>
                <w:lang w:val="sv-SE"/>
              </w:rPr>
            </w:pPr>
            <w:r w:rsidRPr="004A59B1">
              <w:rPr>
                <w:rFonts w:ascii="Times New Roman" w:hAnsi="Times New Roman"/>
                <w:color w:val="000000"/>
                <w:sz w:val="22"/>
                <w:szCs w:val="22"/>
                <w:lang w:val="sv-SE"/>
              </w:rPr>
              <w:t>1.</w:t>
            </w:r>
            <w:r w:rsidRPr="004A59B1">
              <w:rPr>
                <w:rFonts w:ascii="Times New Roman" w:hAnsi="Times New Roman"/>
                <w:color w:val="000000"/>
                <w:sz w:val="22"/>
                <w:szCs w:val="22"/>
                <w:lang w:val="sv-SE"/>
              </w:rPr>
              <w:tab/>
            </w:r>
            <w:r w:rsidR="00AB1252" w:rsidRPr="004A59B1">
              <w:rPr>
                <w:rFonts w:ascii="Times New Roman" w:hAnsi="Times New Roman"/>
                <w:color w:val="000000"/>
                <w:sz w:val="22"/>
                <w:szCs w:val="22"/>
                <w:lang w:val="sv-SE"/>
              </w:rPr>
              <w:t xml:space="preserve">Prekinite zdravljenje z </w:t>
            </w:r>
            <w:r w:rsidR="00D81193" w:rsidRPr="004A59B1">
              <w:rPr>
                <w:rFonts w:ascii="Times New Roman" w:hAnsi="Times New Roman"/>
                <w:color w:val="000000"/>
                <w:sz w:val="22"/>
                <w:szCs w:val="22"/>
                <w:lang w:val="sv-SE"/>
              </w:rPr>
              <w:t>zdravilom Glivec</w:t>
            </w:r>
            <w:r w:rsidR="00AB1252" w:rsidRPr="004A59B1">
              <w:rPr>
                <w:rFonts w:ascii="Times New Roman" w:hAnsi="Times New Roman"/>
                <w:color w:val="000000"/>
                <w:sz w:val="22"/>
                <w:szCs w:val="22"/>
                <w:lang w:val="sv-SE"/>
              </w:rPr>
              <w:t>, dokler ni A</w:t>
            </w:r>
            <w:r w:rsidR="004B33C9" w:rsidRPr="004A59B1">
              <w:rPr>
                <w:rFonts w:ascii="Times New Roman" w:hAnsi="Times New Roman"/>
                <w:color w:val="000000"/>
                <w:sz w:val="22"/>
                <w:szCs w:val="22"/>
                <w:lang w:val="sv-SE"/>
              </w:rPr>
              <w:t>NC</w:t>
            </w:r>
            <w:r w:rsidR="00AB1252" w:rsidRPr="004A59B1">
              <w:rPr>
                <w:rFonts w:ascii="Times New Roman" w:hAnsi="Times New Roman"/>
                <w:color w:val="000000"/>
                <w:sz w:val="22"/>
                <w:szCs w:val="22"/>
                <w:lang w:val="sv-SE"/>
              </w:rPr>
              <w:t xml:space="preserve"> </w:t>
            </w:r>
            <w:r w:rsidR="00AB1252" w:rsidRPr="004A59B1">
              <w:rPr>
                <w:rFonts w:ascii="Times New Roman" w:hAnsi="Times New Roman"/>
                <w:color w:val="000000"/>
                <w:sz w:val="22"/>
                <w:szCs w:val="22"/>
                <w:lang w:val="en-GB"/>
              </w:rPr>
              <w:sym w:font="Symbol" w:char="F0B3"/>
            </w:r>
            <w:r w:rsidR="00AB1252" w:rsidRPr="004A59B1">
              <w:rPr>
                <w:rFonts w:ascii="Times New Roman" w:hAnsi="Times New Roman"/>
                <w:color w:val="000000"/>
                <w:sz w:val="22"/>
                <w:szCs w:val="22"/>
                <w:lang w:val="sv-SE"/>
              </w:rPr>
              <w:t> 1,5 x 10</w:t>
            </w:r>
            <w:r w:rsidR="00AB1252" w:rsidRPr="004A59B1">
              <w:rPr>
                <w:rFonts w:ascii="Times New Roman" w:hAnsi="Times New Roman"/>
                <w:color w:val="000000"/>
                <w:sz w:val="22"/>
                <w:szCs w:val="22"/>
                <w:vertAlign w:val="superscript"/>
                <w:lang w:val="sv-SE"/>
              </w:rPr>
              <w:t>9</w:t>
            </w:r>
            <w:r w:rsidR="00AB1252" w:rsidRPr="004A59B1">
              <w:rPr>
                <w:rFonts w:ascii="Times New Roman" w:hAnsi="Times New Roman"/>
                <w:color w:val="000000"/>
                <w:sz w:val="22"/>
                <w:szCs w:val="22"/>
                <w:lang w:val="sv-SE"/>
              </w:rPr>
              <w:t xml:space="preserve">/l in </w:t>
            </w:r>
            <w:r w:rsidR="00DE7EB6" w:rsidRPr="004A59B1">
              <w:rPr>
                <w:rFonts w:ascii="Times New Roman" w:hAnsi="Times New Roman"/>
                <w:color w:val="000000"/>
                <w:sz w:val="22"/>
                <w:szCs w:val="22"/>
                <w:lang w:val="sv-SE"/>
              </w:rPr>
              <w:t>koncentracija</w:t>
            </w:r>
            <w:r w:rsidR="00DE7EB6" w:rsidRPr="004A59B1">
              <w:rPr>
                <w:color w:val="000000"/>
                <w:szCs w:val="22"/>
                <w:lang w:val="sv-SE"/>
              </w:rPr>
              <w:t xml:space="preserve"> </w:t>
            </w:r>
            <w:r w:rsidR="00AB1252" w:rsidRPr="004A59B1">
              <w:rPr>
                <w:rFonts w:ascii="Times New Roman" w:hAnsi="Times New Roman"/>
                <w:color w:val="000000"/>
                <w:sz w:val="22"/>
                <w:szCs w:val="22"/>
                <w:lang w:val="sv-SE"/>
              </w:rPr>
              <w:t>trombocit</w:t>
            </w:r>
            <w:r w:rsidR="00DE7EB6" w:rsidRPr="004A59B1">
              <w:rPr>
                <w:rFonts w:ascii="Times New Roman" w:hAnsi="Times New Roman"/>
                <w:color w:val="000000"/>
                <w:sz w:val="22"/>
                <w:szCs w:val="22"/>
                <w:lang w:val="sv-SE"/>
              </w:rPr>
              <w:t>ov</w:t>
            </w:r>
            <w:r w:rsidR="00AB1252" w:rsidRPr="004A59B1">
              <w:rPr>
                <w:rFonts w:ascii="Times New Roman" w:hAnsi="Times New Roman"/>
                <w:color w:val="000000"/>
                <w:sz w:val="22"/>
                <w:szCs w:val="22"/>
                <w:lang w:val="sv-SE"/>
              </w:rPr>
              <w:t xml:space="preserve"> </w:t>
            </w:r>
            <w:r w:rsidR="00AB1252" w:rsidRPr="004A59B1">
              <w:rPr>
                <w:rFonts w:ascii="Times New Roman" w:hAnsi="Times New Roman"/>
                <w:color w:val="000000"/>
                <w:sz w:val="22"/>
                <w:szCs w:val="22"/>
                <w:lang w:val="en-GB"/>
              </w:rPr>
              <w:sym w:font="Symbol" w:char="F0B3"/>
            </w:r>
            <w:r w:rsidR="00AB1252" w:rsidRPr="004A59B1">
              <w:rPr>
                <w:rFonts w:ascii="Times New Roman" w:hAnsi="Times New Roman"/>
                <w:color w:val="000000"/>
                <w:sz w:val="22"/>
                <w:szCs w:val="22"/>
                <w:lang w:val="sv-SE"/>
              </w:rPr>
              <w:t> 75 x 10</w:t>
            </w:r>
            <w:r w:rsidR="00AB1252" w:rsidRPr="004A59B1">
              <w:rPr>
                <w:rFonts w:ascii="Times New Roman" w:hAnsi="Times New Roman"/>
                <w:color w:val="000000"/>
                <w:sz w:val="22"/>
                <w:szCs w:val="22"/>
                <w:vertAlign w:val="superscript"/>
                <w:lang w:val="sv-SE"/>
              </w:rPr>
              <w:t>9</w:t>
            </w:r>
            <w:r w:rsidR="00AB1252" w:rsidRPr="004A59B1">
              <w:rPr>
                <w:rFonts w:ascii="Times New Roman" w:hAnsi="Times New Roman"/>
                <w:color w:val="000000"/>
                <w:sz w:val="22"/>
                <w:szCs w:val="22"/>
                <w:lang w:val="sv-SE"/>
              </w:rPr>
              <w:t>/l.</w:t>
            </w:r>
          </w:p>
          <w:p w14:paraId="529797B0" w14:textId="77777777" w:rsidR="00AB1252" w:rsidRPr="004A59B1" w:rsidRDefault="00043C17" w:rsidP="009C1193">
            <w:pPr>
              <w:pStyle w:val="Table"/>
              <w:widowControl w:val="0"/>
              <w:tabs>
                <w:tab w:val="clear" w:pos="284"/>
              </w:tabs>
              <w:spacing w:before="0" w:after="0"/>
              <w:ind w:left="469" w:hanging="469"/>
              <w:rPr>
                <w:rFonts w:ascii="Times New Roman" w:hAnsi="Times New Roman"/>
                <w:color w:val="000000"/>
                <w:sz w:val="22"/>
                <w:szCs w:val="22"/>
                <w:lang w:val="sv-SE"/>
              </w:rPr>
            </w:pPr>
            <w:r w:rsidRPr="004A59B1">
              <w:rPr>
                <w:rFonts w:ascii="Times New Roman" w:hAnsi="Times New Roman"/>
                <w:color w:val="000000"/>
                <w:sz w:val="22"/>
                <w:szCs w:val="22"/>
                <w:lang w:val="sv-SE"/>
              </w:rPr>
              <w:t>2.</w:t>
            </w:r>
            <w:r w:rsidRPr="004A59B1">
              <w:rPr>
                <w:rFonts w:ascii="Times New Roman" w:hAnsi="Times New Roman"/>
                <w:color w:val="000000"/>
                <w:sz w:val="22"/>
                <w:szCs w:val="22"/>
                <w:lang w:val="sv-SE"/>
              </w:rPr>
              <w:tab/>
            </w:r>
            <w:r w:rsidR="00AB1252" w:rsidRPr="004A59B1">
              <w:rPr>
                <w:rFonts w:ascii="Times New Roman" w:hAnsi="Times New Roman"/>
                <w:color w:val="000000"/>
                <w:sz w:val="22"/>
                <w:szCs w:val="22"/>
                <w:lang w:val="sv-SE"/>
              </w:rPr>
              <w:t xml:space="preserve">Spet začnite zdravljenje z </w:t>
            </w:r>
            <w:r w:rsidR="00D81193" w:rsidRPr="004A59B1">
              <w:rPr>
                <w:rFonts w:ascii="Times New Roman" w:hAnsi="Times New Roman"/>
                <w:color w:val="000000"/>
                <w:sz w:val="22"/>
                <w:szCs w:val="22"/>
                <w:lang w:val="sv-SE"/>
              </w:rPr>
              <w:t>zdravilom Glivec</w:t>
            </w:r>
            <w:r w:rsidR="00AB1252" w:rsidRPr="004A59B1">
              <w:rPr>
                <w:rFonts w:ascii="Times New Roman" w:hAnsi="Times New Roman"/>
                <w:color w:val="000000"/>
                <w:sz w:val="22"/>
                <w:szCs w:val="22"/>
                <w:lang w:val="sv-SE"/>
              </w:rPr>
              <w:t xml:space="preserve"> z odmerkom 600 mg.</w:t>
            </w:r>
          </w:p>
          <w:p w14:paraId="529797B1" w14:textId="77777777" w:rsidR="00AB1252" w:rsidRPr="004A59B1" w:rsidRDefault="00043C17" w:rsidP="009C1193">
            <w:pPr>
              <w:pStyle w:val="Table"/>
              <w:widowControl w:val="0"/>
              <w:tabs>
                <w:tab w:val="clear" w:pos="284"/>
              </w:tabs>
              <w:spacing w:before="0" w:after="0"/>
              <w:ind w:left="469" w:hanging="469"/>
              <w:rPr>
                <w:rFonts w:ascii="Times New Roman" w:hAnsi="Times New Roman"/>
                <w:color w:val="000000"/>
                <w:sz w:val="22"/>
                <w:szCs w:val="22"/>
                <w:lang w:val="sv-SE"/>
              </w:rPr>
            </w:pPr>
            <w:r w:rsidRPr="004A59B1">
              <w:rPr>
                <w:rFonts w:ascii="Times New Roman" w:hAnsi="Times New Roman"/>
                <w:color w:val="000000"/>
                <w:sz w:val="22"/>
                <w:szCs w:val="22"/>
                <w:lang w:val="sv-SE"/>
              </w:rPr>
              <w:t>3.</w:t>
            </w:r>
            <w:r w:rsidRPr="004A59B1">
              <w:rPr>
                <w:rFonts w:ascii="Times New Roman" w:hAnsi="Times New Roman"/>
                <w:color w:val="000000"/>
                <w:sz w:val="22"/>
                <w:szCs w:val="22"/>
                <w:lang w:val="sv-SE"/>
              </w:rPr>
              <w:tab/>
            </w:r>
            <w:r w:rsidR="00AB1252" w:rsidRPr="004A59B1">
              <w:rPr>
                <w:rFonts w:ascii="Times New Roman" w:hAnsi="Times New Roman"/>
                <w:color w:val="000000"/>
                <w:sz w:val="22"/>
                <w:szCs w:val="22"/>
                <w:lang w:val="sv-SE"/>
              </w:rPr>
              <w:t>Če se pojav/a A</w:t>
            </w:r>
            <w:r w:rsidR="004B33C9" w:rsidRPr="004A59B1">
              <w:rPr>
                <w:rFonts w:ascii="Times New Roman" w:hAnsi="Times New Roman"/>
                <w:color w:val="000000"/>
                <w:sz w:val="22"/>
                <w:szCs w:val="22"/>
                <w:lang w:val="sv-SE"/>
              </w:rPr>
              <w:t>NC</w:t>
            </w:r>
            <w:r w:rsidR="00AB1252" w:rsidRPr="004A59B1">
              <w:rPr>
                <w:rFonts w:ascii="Times New Roman" w:hAnsi="Times New Roman"/>
                <w:color w:val="000000"/>
                <w:sz w:val="22"/>
                <w:szCs w:val="22"/>
                <w:lang w:val="sv-SE"/>
              </w:rPr>
              <w:t xml:space="preserve"> </w:t>
            </w:r>
            <w:r w:rsidR="00AB1252" w:rsidRPr="004A59B1">
              <w:rPr>
                <w:rFonts w:ascii="Times New Roman" w:hAnsi="Times New Roman"/>
                <w:color w:val="000000"/>
                <w:sz w:val="22"/>
                <w:szCs w:val="22"/>
                <w:lang w:val="de-CH"/>
              </w:rPr>
              <w:sym w:font="Symbol" w:char="F03C"/>
            </w:r>
            <w:r w:rsidR="00AB1252" w:rsidRPr="004A59B1">
              <w:rPr>
                <w:rFonts w:ascii="Times New Roman" w:hAnsi="Times New Roman"/>
                <w:color w:val="000000"/>
                <w:sz w:val="22"/>
                <w:szCs w:val="22"/>
                <w:lang w:val="sv-SE"/>
              </w:rPr>
              <w:t> 1,0 x 10</w:t>
            </w:r>
            <w:r w:rsidR="00AB1252" w:rsidRPr="004A59B1">
              <w:rPr>
                <w:rFonts w:ascii="Times New Roman" w:hAnsi="Times New Roman"/>
                <w:color w:val="000000"/>
                <w:sz w:val="22"/>
                <w:szCs w:val="22"/>
                <w:vertAlign w:val="superscript"/>
                <w:lang w:val="sv-SE"/>
              </w:rPr>
              <w:t>9</w:t>
            </w:r>
            <w:r w:rsidR="00AB1252" w:rsidRPr="004A59B1">
              <w:rPr>
                <w:rFonts w:ascii="Times New Roman" w:hAnsi="Times New Roman"/>
                <w:color w:val="000000"/>
                <w:sz w:val="22"/>
                <w:szCs w:val="22"/>
                <w:lang w:val="sv-SE"/>
              </w:rPr>
              <w:t xml:space="preserve">/l in/ali </w:t>
            </w:r>
            <w:r w:rsidR="00DE7EB6" w:rsidRPr="004A59B1">
              <w:rPr>
                <w:rFonts w:ascii="Times New Roman" w:hAnsi="Times New Roman"/>
                <w:color w:val="000000"/>
                <w:sz w:val="22"/>
                <w:szCs w:val="22"/>
                <w:lang w:val="sv-SE"/>
              </w:rPr>
              <w:t>koncentracija</w:t>
            </w:r>
            <w:r w:rsidR="00DE7EB6" w:rsidRPr="004A59B1">
              <w:rPr>
                <w:color w:val="000000"/>
                <w:szCs w:val="22"/>
                <w:lang w:val="sv-SE"/>
              </w:rPr>
              <w:t xml:space="preserve"> </w:t>
            </w:r>
            <w:r w:rsidR="00AB1252" w:rsidRPr="004A59B1">
              <w:rPr>
                <w:rFonts w:ascii="Times New Roman" w:hAnsi="Times New Roman"/>
                <w:color w:val="000000"/>
                <w:sz w:val="22"/>
                <w:szCs w:val="22"/>
                <w:lang w:val="sv-SE"/>
              </w:rPr>
              <w:t xml:space="preserve">trombocitov </w:t>
            </w:r>
            <w:r w:rsidR="00AB1252" w:rsidRPr="004A59B1">
              <w:rPr>
                <w:rFonts w:ascii="Times New Roman" w:hAnsi="Times New Roman"/>
                <w:color w:val="000000"/>
                <w:sz w:val="22"/>
                <w:szCs w:val="22"/>
                <w:lang w:val="de-CH"/>
              </w:rPr>
              <w:sym w:font="Symbol" w:char="F03C"/>
            </w:r>
            <w:r w:rsidR="00AB1252" w:rsidRPr="004A59B1">
              <w:rPr>
                <w:rFonts w:ascii="Times New Roman" w:hAnsi="Times New Roman"/>
                <w:color w:val="000000"/>
                <w:sz w:val="22"/>
                <w:szCs w:val="22"/>
                <w:lang w:val="sv-SE"/>
              </w:rPr>
              <w:t> 50 x 10</w:t>
            </w:r>
            <w:r w:rsidR="00AB1252" w:rsidRPr="004A59B1">
              <w:rPr>
                <w:rFonts w:ascii="Times New Roman" w:hAnsi="Times New Roman"/>
                <w:color w:val="000000"/>
                <w:sz w:val="22"/>
                <w:szCs w:val="22"/>
                <w:vertAlign w:val="superscript"/>
                <w:lang w:val="sv-SE"/>
              </w:rPr>
              <w:t>9</w:t>
            </w:r>
            <w:r w:rsidR="00AB1252" w:rsidRPr="004A59B1">
              <w:rPr>
                <w:rFonts w:ascii="Times New Roman" w:hAnsi="Times New Roman"/>
                <w:color w:val="000000"/>
                <w:sz w:val="22"/>
                <w:szCs w:val="22"/>
                <w:lang w:val="sv-SE"/>
              </w:rPr>
              <w:t xml:space="preserve">/l ponovi/ta, ponovite točko 1 in spet začnite zdravljenje z </w:t>
            </w:r>
            <w:r w:rsidR="00D81193" w:rsidRPr="004A59B1">
              <w:rPr>
                <w:rFonts w:ascii="Times New Roman" w:hAnsi="Times New Roman"/>
                <w:color w:val="000000"/>
                <w:sz w:val="22"/>
                <w:szCs w:val="22"/>
                <w:lang w:val="sv-SE"/>
              </w:rPr>
              <w:t>zdravilom Glivec</w:t>
            </w:r>
            <w:r w:rsidR="00AB1252" w:rsidRPr="004A59B1">
              <w:rPr>
                <w:rFonts w:ascii="Times New Roman" w:hAnsi="Times New Roman"/>
                <w:color w:val="000000"/>
                <w:sz w:val="22"/>
                <w:szCs w:val="22"/>
                <w:lang w:val="sv-SE"/>
              </w:rPr>
              <w:t xml:space="preserve"> z zmanjšanim odmerkom 400 mg.</w:t>
            </w:r>
          </w:p>
        </w:tc>
      </w:tr>
      <w:tr w:rsidR="00AB1252" w:rsidRPr="004A59B1" w14:paraId="529797B4" w14:textId="77777777" w:rsidTr="00AA1FD3">
        <w:trPr>
          <w:cantSplit/>
        </w:trPr>
        <w:tc>
          <w:tcPr>
            <w:tcW w:w="9180" w:type="dxa"/>
            <w:gridSpan w:val="3"/>
            <w:tcBorders>
              <w:bottom w:val="nil"/>
            </w:tcBorders>
          </w:tcPr>
          <w:p w14:paraId="529797B3" w14:textId="77777777" w:rsidR="00AB1252" w:rsidRPr="004A59B1" w:rsidRDefault="00AB1252" w:rsidP="009C1193">
            <w:pPr>
              <w:pStyle w:val="EndnoteText"/>
              <w:keepNext/>
              <w:keepLines/>
              <w:widowControl w:val="0"/>
              <w:tabs>
                <w:tab w:val="clear" w:pos="567"/>
              </w:tabs>
              <w:rPr>
                <w:color w:val="000000"/>
                <w:szCs w:val="22"/>
                <w:lang w:val="sv-SE"/>
              </w:rPr>
            </w:pPr>
            <w:r w:rsidRPr="004A59B1">
              <w:rPr>
                <w:color w:val="000000"/>
                <w:szCs w:val="22"/>
                <w:lang w:val="sv-SE"/>
              </w:rPr>
              <w:t>A</w:t>
            </w:r>
            <w:r w:rsidR="004B33C9" w:rsidRPr="004A59B1">
              <w:rPr>
                <w:color w:val="000000"/>
                <w:szCs w:val="22"/>
                <w:lang w:val="sv-SE"/>
              </w:rPr>
              <w:t>NC</w:t>
            </w:r>
            <w:r w:rsidRPr="004A59B1">
              <w:rPr>
                <w:color w:val="000000"/>
                <w:szCs w:val="22"/>
                <w:lang w:val="sv-SE"/>
              </w:rPr>
              <w:t xml:space="preserve"> = absolutn</w:t>
            </w:r>
            <w:r w:rsidR="004B33C9" w:rsidRPr="004A59B1">
              <w:rPr>
                <w:color w:val="000000"/>
                <w:szCs w:val="22"/>
                <w:lang w:val="sv-SE"/>
              </w:rPr>
              <w:t xml:space="preserve">o število </w:t>
            </w:r>
            <w:r w:rsidRPr="004A59B1">
              <w:rPr>
                <w:color w:val="000000"/>
                <w:szCs w:val="22"/>
                <w:lang w:val="sv-SE"/>
              </w:rPr>
              <w:t>nevtrofilcev</w:t>
            </w:r>
            <w:r w:rsidR="004B33C9" w:rsidRPr="004A59B1">
              <w:rPr>
                <w:color w:val="000000"/>
                <w:szCs w:val="22"/>
                <w:lang w:val="sv-SE"/>
              </w:rPr>
              <w:t xml:space="preserve"> (</w:t>
            </w:r>
            <w:r w:rsidR="004B33C9" w:rsidRPr="00304E94">
              <w:rPr>
                <w:i/>
                <w:color w:val="000000"/>
                <w:szCs w:val="22"/>
                <w:lang w:val="sv-SE"/>
              </w:rPr>
              <w:t>absolute neutrophil count</w:t>
            </w:r>
            <w:r w:rsidR="004B33C9" w:rsidRPr="004A59B1">
              <w:rPr>
                <w:color w:val="000000"/>
                <w:szCs w:val="22"/>
                <w:lang w:val="sv-SE"/>
              </w:rPr>
              <w:t>)</w:t>
            </w:r>
          </w:p>
        </w:tc>
      </w:tr>
      <w:tr w:rsidR="00AB1252" w:rsidRPr="004A59B1" w14:paraId="529797B6" w14:textId="77777777" w:rsidTr="00AA1FD3">
        <w:trPr>
          <w:cantSplit/>
        </w:trPr>
        <w:tc>
          <w:tcPr>
            <w:tcW w:w="9180" w:type="dxa"/>
            <w:gridSpan w:val="3"/>
            <w:tcBorders>
              <w:top w:val="nil"/>
            </w:tcBorders>
          </w:tcPr>
          <w:p w14:paraId="529797B5" w14:textId="77777777" w:rsidR="00AB1252" w:rsidRPr="004A59B1" w:rsidRDefault="00AB1252" w:rsidP="009C1193">
            <w:pPr>
              <w:pStyle w:val="EndnoteText"/>
              <w:keepNext/>
              <w:keepLines/>
              <w:widowControl w:val="0"/>
              <w:tabs>
                <w:tab w:val="clear" w:pos="567"/>
              </w:tabs>
              <w:rPr>
                <w:color w:val="000000"/>
                <w:szCs w:val="22"/>
                <w:lang w:val="pl-PL"/>
              </w:rPr>
            </w:pPr>
            <w:r w:rsidRPr="004A59B1">
              <w:rPr>
                <w:color w:val="000000"/>
                <w:szCs w:val="22"/>
                <w:vertAlign w:val="superscript"/>
                <w:lang w:val="pl-PL"/>
              </w:rPr>
              <w:t>a</w:t>
            </w:r>
            <w:r w:rsidRPr="004A59B1">
              <w:rPr>
                <w:color w:val="000000"/>
                <w:szCs w:val="22"/>
                <w:lang w:val="pl-PL"/>
              </w:rPr>
              <w:t xml:space="preserve"> do katere pride po najmanj 1 mesecu zdravljenja</w:t>
            </w:r>
          </w:p>
        </w:tc>
      </w:tr>
    </w:tbl>
    <w:p w14:paraId="529797B7" w14:textId="77777777" w:rsidR="00444D75" w:rsidRPr="004A59B1" w:rsidRDefault="00444D75" w:rsidP="009C1193">
      <w:pPr>
        <w:pStyle w:val="EndnoteText"/>
        <w:widowControl w:val="0"/>
        <w:tabs>
          <w:tab w:val="clear" w:pos="567"/>
        </w:tabs>
        <w:rPr>
          <w:color w:val="000000"/>
          <w:szCs w:val="22"/>
          <w:lang w:val="pl-PL"/>
        </w:rPr>
      </w:pPr>
    </w:p>
    <w:p w14:paraId="529797B8" w14:textId="77777777" w:rsidR="00577F21" w:rsidRPr="004A59B1" w:rsidRDefault="00577F21" w:rsidP="009C1193">
      <w:pPr>
        <w:pStyle w:val="EndnoteText"/>
        <w:keepNext/>
        <w:widowControl w:val="0"/>
        <w:tabs>
          <w:tab w:val="clear" w:pos="567"/>
        </w:tabs>
        <w:rPr>
          <w:color w:val="000000"/>
          <w:szCs w:val="22"/>
          <w:u w:val="single"/>
          <w:lang w:val="pl-PL"/>
        </w:rPr>
      </w:pPr>
      <w:r w:rsidRPr="004A59B1">
        <w:rPr>
          <w:color w:val="000000"/>
          <w:szCs w:val="22"/>
          <w:u w:val="single"/>
          <w:lang w:val="pl-PL"/>
        </w:rPr>
        <w:t>Posebne skupine bolnikov</w:t>
      </w:r>
    </w:p>
    <w:p w14:paraId="529797B9" w14:textId="77777777" w:rsidR="00444D75" w:rsidRPr="004A59B1" w:rsidRDefault="00444D75" w:rsidP="009C1193">
      <w:pPr>
        <w:pStyle w:val="EndnoteText"/>
        <w:widowControl w:val="0"/>
        <w:tabs>
          <w:tab w:val="clear" w:pos="567"/>
        </w:tabs>
        <w:rPr>
          <w:color w:val="000000"/>
          <w:szCs w:val="22"/>
          <w:lang w:val="pl-PL"/>
        </w:rPr>
      </w:pPr>
      <w:r w:rsidRPr="004A59B1">
        <w:rPr>
          <w:i/>
          <w:color w:val="000000"/>
          <w:szCs w:val="22"/>
          <w:lang w:val="pl-PL"/>
        </w:rPr>
        <w:t>Uporaba v pediatriji:</w:t>
      </w:r>
      <w:r w:rsidRPr="004A59B1">
        <w:rPr>
          <w:color w:val="000000"/>
          <w:szCs w:val="22"/>
          <w:lang w:val="pl-PL"/>
        </w:rPr>
        <w:t xml:space="preserve"> </w:t>
      </w:r>
      <w:r w:rsidR="00F3525A" w:rsidRPr="004A59B1">
        <w:rPr>
          <w:color w:val="000000"/>
          <w:szCs w:val="22"/>
          <w:lang w:val="pl-PL"/>
        </w:rPr>
        <w:t>Izkušenj p</w:t>
      </w:r>
      <w:r w:rsidR="00404A91" w:rsidRPr="004A59B1">
        <w:rPr>
          <w:color w:val="000000"/>
          <w:szCs w:val="22"/>
          <w:lang w:val="pl-PL"/>
        </w:rPr>
        <w:t xml:space="preserve">ri otrocih s </w:t>
      </w:r>
      <w:r w:rsidR="00677326" w:rsidRPr="004A59B1">
        <w:rPr>
          <w:color w:val="000000"/>
          <w:szCs w:val="22"/>
          <w:lang w:val="pl-PL"/>
        </w:rPr>
        <w:t>KML</w:t>
      </w:r>
      <w:r w:rsidR="00404A91" w:rsidRPr="004A59B1">
        <w:rPr>
          <w:color w:val="000000"/>
          <w:szCs w:val="22"/>
          <w:lang w:val="pl-PL"/>
        </w:rPr>
        <w:t>, mlajših od 2</w:t>
      </w:r>
      <w:r w:rsidR="00C80401" w:rsidRPr="004A59B1">
        <w:rPr>
          <w:color w:val="000000"/>
          <w:szCs w:val="22"/>
          <w:lang w:val="pl-PL"/>
        </w:rPr>
        <w:t> </w:t>
      </w:r>
      <w:r w:rsidR="00404A91" w:rsidRPr="004A59B1">
        <w:rPr>
          <w:color w:val="000000"/>
          <w:szCs w:val="22"/>
          <w:lang w:val="pl-PL"/>
        </w:rPr>
        <w:t>let,</w:t>
      </w:r>
      <w:r w:rsidR="00371797" w:rsidRPr="004A59B1">
        <w:rPr>
          <w:color w:val="000000"/>
          <w:szCs w:val="22"/>
          <w:lang w:val="pl-PL"/>
        </w:rPr>
        <w:t xml:space="preserve"> in pri otrocih s Ph+ALL, mlajših od 1 leta,</w:t>
      </w:r>
      <w:r w:rsidR="00404A91" w:rsidRPr="004A59B1">
        <w:rPr>
          <w:color w:val="000000"/>
          <w:szCs w:val="22"/>
          <w:lang w:val="pl-PL"/>
        </w:rPr>
        <w:t xml:space="preserve"> ni (glejte poglavje 5.1). </w:t>
      </w:r>
      <w:r w:rsidR="00F3525A" w:rsidRPr="004A59B1">
        <w:rPr>
          <w:color w:val="000000"/>
          <w:szCs w:val="22"/>
          <w:lang w:val="pl-PL"/>
        </w:rPr>
        <w:t>Izkuš</w:t>
      </w:r>
      <w:r w:rsidR="00551057" w:rsidRPr="004A59B1">
        <w:rPr>
          <w:color w:val="000000"/>
          <w:szCs w:val="22"/>
          <w:lang w:val="pl-PL"/>
        </w:rPr>
        <w:t>e</w:t>
      </w:r>
      <w:r w:rsidR="00F3525A" w:rsidRPr="004A59B1">
        <w:rPr>
          <w:color w:val="000000"/>
          <w:szCs w:val="22"/>
          <w:lang w:val="pl-PL"/>
        </w:rPr>
        <w:t>nj p</w:t>
      </w:r>
      <w:r w:rsidR="00404A91" w:rsidRPr="004A59B1">
        <w:rPr>
          <w:color w:val="000000"/>
          <w:szCs w:val="22"/>
          <w:lang w:val="pl-PL"/>
        </w:rPr>
        <w:t xml:space="preserve">ri otrocih </w:t>
      </w:r>
      <w:r w:rsidR="00371797" w:rsidRPr="004A59B1">
        <w:rPr>
          <w:color w:val="000000"/>
          <w:szCs w:val="22"/>
          <w:lang w:val="pl-PL"/>
        </w:rPr>
        <w:t>z MDS/MPD, DFSP, GIST in s HES/CEL</w:t>
      </w:r>
      <w:r w:rsidR="00371797" w:rsidRPr="004A59B1" w:rsidDel="00371797">
        <w:rPr>
          <w:color w:val="000000"/>
          <w:szCs w:val="22"/>
          <w:lang w:val="pl-PL"/>
        </w:rPr>
        <w:t xml:space="preserve"> </w:t>
      </w:r>
      <w:r w:rsidR="00551057" w:rsidRPr="004A59B1">
        <w:rPr>
          <w:color w:val="000000"/>
          <w:szCs w:val="22"/>
          <w:lang w:val="pl-PL"/>
        </w:rPr>
        <w:t>je zelo malo</w:t>
      </w:r>
      <w:r w:rsidR="00404A91" w:rsidRPr="004A59B1">
        <w:rPr>
          <w:color w:val="000000"/>
          <w:szCs w:val="22"/>
          <w:lang w:val="pl-PL"/>
        </w:rPr>
        <w:t>.</w:t>
      </w:r>
    </w:p>
    <w:p w14:paraId="529797BA" w14:textId="77777777" w:rsidR="009E7AAB" w:rsidRPr="004A59B1" w:rsidRDefault="009E7AAB" w:rsidP="009C1193">
      <w:pPr>
        <w:widowControl w:val="0"/>
        <w:rPr>
          <w:color w:val="000000"/>
          <w:szCs w:val="22"/>
          <w:lang w:val="pl-PL"/>
        </w:rPr>
      </w:pPr>
    </w:p>
    <w:p w14:paraId="529797BB" w14:textId="77777777" w:rsidR="009E7AAB" w:rsidRPr="004A59B1" w:rsidRDefault="009E7AAB" w:rsidP="009C1193">
      <w:pPr>
        <w:widowControl w:val="0"/>
        <w:rPr>
          <w:color w:val="000000"/>
          <w:szCs w:val="22"/>
          <w:lang w:val="pl-PL"/>
        </w:rPr>
      </w:pPr>
      <w:r w:rsidRPr="004A59B1">
        <w:rPr>
          <w:color w:val="000000"/>
          <w:szCs w:val="22"/>
          <w:lang w:val="pl-PL"/>
        </w:rPr>
        <w:t>Varnost in učinkovitost imatiniba pri otrocih, ki imajo MDS/MPD, DFSP, GIST ali HES/CEL in so stari manj kot 18</w:t>
      </w:r>
      <w:r w:rsidRPr="004A59B1">
        <w:rPr>
          <w:lang w:val="pl-PL"/>
        </w:rPr>
        <w:t> let, nis</w:t>
      </w:r>
      <w:r w:rsidR="00B87CFD" w:rsidRPr="004A59B1">
        <w:rPr>
          <w:lang w:val="pl-PL"/>
        </w:rPr>
        <w:t>ta</w:t>
      </w:r>
      <w:r w:rsidRPr="004A59B1">
        <w:rPr>
          <w:lang w:val="pl-PL"/>
        </w:rPr>
        <w:t xml:space="preserve"> </w:t>
      </w:r>
      <w:r w:rsidR="00B87CFD" w:rsidRPr="004A59B1">
        <w:rPr>
          <w:lang w:val="pl-PL"/>
        </w:rPr>
        <w:t xml:space="preserve">bili </w:t>
      </w:r>
      <w:r w:rsidRPr="004A59B1">
        <w:rPr>
          <w:lang w:val="pl-PL"/>
        </w:rPr>
        <w:t>dokaza</w:t>
      </w:r>
      <w:r w:rsidR="00B87CFD" w:rsidRPr="004A59B1">
        <w:rPr>
          <w:lang w:val="pl-PL"/>
        </w:rPr>
        <w:t>n</w:t>
      </w:r>
      <w:r w:rsidRPr="004A59B1">
        <w:rPr>
          <w:lang w:val="pl-PL"/>
        </w:rPr>
        <w:t xml:space="preserve">i v kliničnih </w:t>
      </w:r>
      <w:r w:rsidR="00845A0D" w:rsidRPr="004A59B1">
        <w:rPr>
          <w:lang w:val="pl-PL"/>
        </w:rPr>
        <w:t>preskušanjih</w:t>
      </w:r>
      <w:r w:rsidRPr="004A59B1">
        <w:rPr>
          <w:lang w:val="pl-PL"/>
        </w:rPr>
        <w:t xml:space="preserve">. Trenutno </w:t>
      </w:r>
      <w:r w:rsidR="00B87CFD" w:rsidRPr="004A59B1">
        <w:rPr>
          <w:lang w:val="pl-PL"/>
        </w:rPr>
        <w:t>razpoložljivi</w:t>
      </w:r>
      <w:r w:rsidRPr="004A59B1">
        <w:rPr>
          <w:lang w:val="pl-PL"/>
        </w:rPr>
        <w:t xml:space="preserve"> objavljeni podatki so povzeti v poglavj</w:t>
      </w:r>
      <w:r w:rsidR="00B87CFD" w:rsidRPr="004A59B1">
        <w:rPr>
          <w:lang w:val="pl-PL"/>
        </w:rPr>
        <w:t>u</w:t>
      </w:r>
      <w:r w:rsidRPr="004A59B1">
        <w:rPr>
          <w:lang w:val="pl-PL"/>
        </w:rPr>
        <w:t xml:space="preserve"> </w:t>
      </w:r>
      <w:r w:rsidRPr="004A59B1">
        <w:rPr>
          <w:color w:val="000000"/>
          <w:szCs w:val="22"/>
          <w:lang w:val="pl-PL"/>
        </w:rPr>
        <w:t xml:space="preserve">5.1, </w:t>
      </w:r>
      <w:r w:rsidR="00B87CFD" w:rsidRPr="004A59B1">
        <w:rPr>
          <w:color w:val="000000"/>
          <w:szCs w:val="22"/>
          <w:lang w:val="pl-PL"/>
        </w:rPr>
        <w:t xml:space="preserve">vendar </w:t>
      </w:r>
      <w:r w:rsidRPr="004A59B1">
        <w:rPr>
          <w:color w:val="000000"/>
          <w:szCs w:val="22"/>
          <w:lang w:val="pl-PL"/>
        </w:rPr>
        <w:t xml:space="preserve">priporočil </w:t>
      </w:r>
      <w:r w:rsidR="00B87CFD" w:rsidRPr="004A59B1">
        <w:rPr>
          <w:color w:val="000000"/>
          <w:szCs w:val="22"/>
          <w:lang w:val="pl-PL"/>
        </w:rPr>
        <w:t>o</w:t>
      </w:r>
      <w:r w:rsidRPr="004A59B1">
        <w:rPr>
          <w:color w:val="000000"/>
          <w:szCs w:val="22"/>
          <w:lang w:val="pl-PL"/>
        </w:rPr>
        <w:t xml:space="preserve"> odmerjanj</w:t>
      </w:r>
      <w:r w:rsidR="00B87CFD" w:rsidRPr="004A59B1">
        <w:rPr>
          <w:color w:val="000000"/>
          <w:szCs w:val="22"/>
          <w:lang w:val="pl-PL"/>
        </w:rPr>
        <w:t>u</w:t>
      </w:r>
      <w:r w:rsidRPr="004A59B1">
        <w:rPr>
          <w:color w:val="000000"/>
          <w:szCs w:val="22"/>
          <w:lang w:val="pl-PL"/>
        </w:rPr>
        <w:t xml:space="preserve"> ni mogoče dati.</w:t>
      </w:r>
    </w:p>
    <w:p w14:paraId="529797BC" w14:textId="77777777" w:rsidR="00444D75" w:rsidRPr="004A59B1" w:rsidRDefault="00444D75" w:rsidP="009C1193">
      <w:pPr>
        <w:pStyle w:val="EndnoteText"/>
        <w:widowControl w:val="0"/>
        <w:tabs>
          <w:tab w:val="clear" w:pos="567"/>
        </w:tabs>
        <w:rPr>
          <w:color w:val="000000"/>
          <w:szCs w:val="22"/>
          <w:lang w:val="pl-PL"/>
        </w:rPr>
      </w:pPr>
    </w:p>
    <w:p w14:paraId="529797BD" w14:textId="77777777" w:rsidR="00444D75" w:rsidRPr="004A59B1" w:rsidRDefault="00444D75" w:rsidP="009C1193">
      <w:pPr>
        <w:pStyle w:val="EndnoteText"/>
        <w:widowControl w:val="0"/>
        <w:tabs>
          <w:tab w:val="clear" w:pos="567"/>
        </w:tabs>
        <w:rPr>
          <w:color w:val="000000"/>
          <w:szCs w:val="22"/>
          <w:lang w:val="pt-PT"/>
        </w:rPr>
      </w:pPr>
      <w:r w:rsidRPr="004A59B1">
        <w:rPr>
          <w:i/>
          <w:color w:val="000000"/>
          <w:szCs w:val="22"/>
          <w:lang w:val="pt-PT"/>
        </w:rPr>
        <w:t>Insuficienca jeter:</w:t>
      </w:r>
      <w:r w:rsidRPr="004A59B1">
        <w:rPr>
          <w:color w:val="000000"/>
          <w:szCs w:val="22"/>
          <w:lang w:val="pt-PT"/>
        </w:rPr>
        <w:t xml:space="preserve"> Imatinib se presnavlja predvsem v jetrih. Bolniki z blago, zmerno ali težko disfunkcijo jeter naj prejmejo najmanjši priporočeni odmerek 400 mg na dan. Če bolnik odmerk</w:t>
      </w:r>
      <w:r w:rsidR="00601AE1" w:rsidRPr="004A59B1">
        <w:rPr>
          <w:color w:val="000000"/>
          <w:szCs w:val="22"/>
          <w:lang w:val="pt-PT"/>
        </w:rPr>
        <w:t>a ne prenaša, ga je mogoče</w:t>
      </w:r>
      <w:r w:rsidRPr="004A59B1">
        <w:rPr>
          <w:color w:val="000000"/>
          <w:szCs w:val="22"/>
          <w:lang w:val="pt-PT"/>
        </w:rPr>
        <w:t xml:space="preserve"> zmanjša</w:t>
      </w:r>
      <w:r w:rsidR="00601AE1" w:rsidRPr="004A59B1">
        <w:rPr>
          <w:color w:val="000000"/>
          <w:szCs w:val="22"/>
          <w:lang w:val="pt-PT"/>
        </w:rPr>
        <w:t>ti</w:t>
      </w:r>
      <w:r w:rsidRPr="004A59B1">
        <w:rPr>
          <w:color w:val="000000"/>
          <w:szCs w:val="22"/>
          <w:lang w:val="pt-PT"/>
        </w:rPr>
        <w:t xml:space="preserve"> (glejte poglavja 4.4, 4.8 in 5.2).</w:t>
      </w:r>
    </w:p>
    <w:p w14:paraId="529797BE" w14:textId="77777777" w:rsidR="00444D75" w:rsidRPr="004A59B1" w:rsidRDefault="00444D75" w:rsidP="009C1193">
      <w:pPr>
        <w:pStyle w:val="EndnoteText"/>
        <w:widowControl w:val="0"/>
        <w:tabs>
          <w:tab w:val="clear" w:pos="567"/>
        </w:tabs>
        <w:rPr>
          <w:color w:val="000000"/>
          <w:szCs w:val="22"/>
          <w:lang w:val="pt-PT"/>
        </w:rPr>
      </w:pPr>
    </w:p>
    <w:p w14:paraId="529797BF" w14:textId="77777777" w:rsidR="00444D75" w:rsidRPr="004A59B1" w:rsidRDefault="00444D75" w:rsidP="009C1193">
      <w:pPr>
        <w:pStyle w:val="TextChar"/>
        <w:keepNext/>
        <w:keepLines/>
        <w:widowControl w:val="0"/>
        <w:spacing w:before="0"/>
        <w:jc w:val="left"/>
        <w:rPr>
          <w:color w:val="000000"/>
          <w:sz w:val="22"/>
          <w:szCs w:val="22"/>
        </w:rPr>
      </w:pPr>
      <w:r w:rsidRPr="004A59B1">
        <w:rPr>
          <w:color w:val="000000"/>
          <w:sz w:val="22"/>
          <w:szCs w:val="22"/>
        </w:rPr>
        <w:lastRenderedPageBreak/>
        <w:t>Razvrstitev disfunkcije jeter</w:t>
      </w:r>
      <w:r w:rsidR="00BA2253" w:rsidRPr="004A59B1">
        <w:rPr>
          <w:color w:val="000000"/>
          <w:sz w:val="22"/>
          <w:szCs w:val="22"/>
        </w:rPr>
        <w:t>:</w:t>
      </w:r>
    </w:p>
    <w:p w14:paraId="529797C0" w14:textId="77777777" w:rsidR="00444D75" w:rsidRPr="004A59B1" w:rsidRDefault="00444D75" w:rsidP="009C1193">
      <w:pPr>
        <w:pStyle w:val="TextChar"/>
        <w:keepNext/>
        <w:keepLines/>
        <w:widowControl w:val="0"/>
        <w:spacing w:before="0"/>
        <w:jc w:val="left"/>
        <w:rPr>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8"/>
        <w:gridCol w:w="5763"/>
      </w:tblGrid>
      <w:tr w:rsidR="00444D75" w:rsidRPr="004A59B1" w14:paraId="529797C3" w14:textId="77777777" w:rsidTr="009C1193">
        <w:trPr>
          <w:cantSplit/>
        </w:trPr>
        <w:tc>
          <w:tcPr>
            <w:tcW w:w="3369" w:type="dxa"/>
          </w:tcPr>
          <w:p w14:paraId="529797C1" w14:textId="77777777" w:rsidR="00444D75" w:rsidRPr="004A59B1" w:rsidRDefault="00444D75" w:rsidP="009C1193">
            <w:pPr>
              <w:pStyle w:val="TextChar"/>
              <w:keepNext/>
              <w:keepLines/>
              <w:widowControl w:val="0"/>
              <w:spacing w:before="0"/>
              <w:jc w:val="left"/>
              <w:rPr>
                <w:color w:val="000000"/>
                <w:sz w:val="22"/>
                <w:szCs w:val="22"/>
                <w:lang w:val="en-GB"/>
              </w:rPr>
            </w:pPr>
            <w:r w:rsidRPr="004A59B1">
              <w:rPr>
                <w:color w:val="000000"/>
                <w:sz w:val="22"/>
                <w:szCs w:val="22"/>
              </w:rPr>
              <w:t>Disfunkcija jeter</w:t>
            </w:r>
          </w:p>
        </w:tc>
        <w:tc>
          <w:tcPr>
            <w:tcW w:w="5918" w:type="dxa"/>
          </w:tcPr>
          <w:p w14:paraId="529797C2" w14:textId="77777777" w:rsidR="00444D75" w:rsidRPr="004A59B1" w:rsidRDefault="00444D75" w:rsidP="009C1193">
            <w:pPr>
              <w:pStyle w:val="TextChar"/>
              <w:keepNext/>
              <w:keepLines/>
              <w:widowControl w:val="0"/>
              <w:spacing w:before="0"/>
              <w:jc w:val="left"/>
              <w:rPr>
                <w:color w:val="000000"/>
                <w:sz w:val="22"/>
                <w:szCs w:val="22"/>
                <w:lang w:val="en-GB"/>
              </w:rPr>
            </w:pPr>
            <w:r w:rsidRPr="004A59B1">
              <w:rPr>
                <w:color w:val="000000"/>
                <w:sz w:val="22"/>
                <w:szCs w:val="22"/>
              </w:rPr>
              <w:t>Testi jetrnih funkcij</w:t>
            </w:r>
          </w:p>
        </w:tc>
      </w:tr>
      <w:tr w:rsidR="00444D75" w:rsidRPr="004A59B1" w14:paraId="529797C7" w14:textId="77777777" w:rsidTr="009C1193">
        <w:trPr>
          <w:cantSplit/>
        </w:trPr>
        <w:tc>
          <w:tcPr>
            <w:tcW w:w="3369" w:type="dxa"/>
          </w:tcPr>
          <w:p w14:paraId="529797C4" w14:textId="77777777" w:rsidR="00444D75" w:rsidRPr="004A59B1" w:rsidRDefault="00444D75" w:rsidP="009C1193">
            <w:pPr>
              <w:pStyle w:val="TextChar"/>
              <w:keepNext/>
              <w:keepLines/>
              <w:widowControl w:val="0"/>
              <w:spacing w:before="0"/>
              <w:jc w:val="left"/>
              <w:rPr>
                <w:color w:val="000000"/>
                <w:sz w:val="22"/>
                <w:szCs w:val="22"/>
                <w:lang w:val="en-GB"/>
              </w:rPr>
            </w:pPr>
            <w:r w:rsidRPr="004A59B1">
              <w:rPr>
                <w:color w:val="000000"/>
                <w:sz w:val="22"/>
                <w:szCs w:val="22"/>
              </w:rPr>
              <w:t>blaga</w:t>
            </w:r>
          </w:p>
        </w:tc>
        <w:tc>
          <w:tcPr>
            <w:tcW w:w="5918" w:type="dxa"/>
          </w:tcPr>
          <w:p w14:paraId="529797C5" w14:textId="77777777" w:rsidR="00444D75" w:rsidRPr="004A59B1" w:rsidRDefault="00444D75" w:rsidP="009C1193">
            <w:pPr>
              <w:keepNext/>
              <w:keepLines/>
              <w:widowControl w:val="0"/>
              <w:spacing w:line="240" w:lineRule="auto"/>
              <w:rPr>
                <w:snapToGrid w:val="0"/>
                <w:color w:val="000000"/>
                <w:szCs w:val="22"/>
              </w:rPr>
            </w:pPr>
            <w:r w:rsidRPr="004A59B1">
              <w:rPr>
                <w:snapToGrid w:val="0"/>
                <w:color w:val="000000"/>
                <w:szCs w:val="22"/>
              </w:rPr>
              <w:t>celotni bilirubin: = 1,5 </w:t>
            </w:r>
            <w:r w:rsidR="00510D3D" w:rsidRPr="004A59B1">
              <w:rPr>
                <w:color w:val="000000"/>
                <w:szCs w:val="22"/>
              </w:rPr>
              <w:t>IULN</w:t>
            </w:r>
          </w:p>
          <w:p w14:paraId="529797C6" w14:textId="77777777" w:rsidR="00444D75" w:rsidRPr="004A59B1" w:rsidRDefault="00444D75" w:rsidP="009C1193">
            <w:pPr>
              <w:pStyle w:val="TextChar"/>
              <w:keepNext/>
              <w:keepLines/>
              <w:widowControl w:val="0"/>
              <w:spacing w:before="0"/>
              <w:jc w:val="left"/>
              <w:rPr>
                <w:color w:val="000000"/>
                <w:sz w:val="22"/>
                <w:szCs w:val="22"/>
                <w:lang w:val="en-GB"/>
              </w:rPr>
            </w:pPr>
            <w:r w:rsidRPr="004A59B1">
              <w:rPr>
                <w:snapToGrid w:val="0"/>
                <w:color w:val="000000"/>
                <w:sz w:val="22"/>
                <w:szCs w:val="22"/>
                <w:lang w:val="en-GB"/>
              </w:rPr>
              <w:t>AST: &gt; </w:t>
            </w:r>
            <w:r w:rsidR="00510D3D" w:rsidRPr="004A59B1">
              <w:rPr>
                <w:color w:val="000000"/>
                <w:szCs w:val="22"/>
                <w:lang w:val="en-GB"/>
              </w:rPr>
              <w:t>IULN</w:t>
            </w:r>
            <w:r w:rsidRPr="004A59B1">
              <w:rPr>
                <w:snapToGrid w:val="0"/>
                <w:color w:val="000000"/>
                <w:sz w:val="22"/>
                <w:szCs w:val="22"/>
                <w:lang w:val="en-GB"/>
              </w:rPr>
              <w:t xml:space="preserve"> (lahko je normalna ali &lt; </w:t>
            </w:r>
            <w:r w:rsidR="00510D3D" w:rsidRPr="004A59B1">
              <w:rPr>
                <w:color w:val="000000"/>
                <w:szCs w:val="22"/>
                <w:lang w:val="en-GB"/>
              </w:rPr>
              <w:t>IULN</w:t>
            </w:r>
            <w:r w:rsidRPr="004A59B1">
              <w:rPr>
                <w:snapToGrid w:val="0"/>
                <w:color w:val="000000"/>
                <w:sz w:val="22"/>
                <w:szCs w:val="22"/>
                <w:lang w:val="en-GB"/>
              </w:rPr>
              <w:t>, če je celotni bilirubin &gt; </w:t>
            </w:r>
            <w:r w:rsidR="00510D3D" w:rsidRPr="004A59B1">
              <w:rPr>
                <w:color w:val="000000"/>
                <w:szCs w:val="22"/>
                <w:lang w:val="en-GB"/>
              </w:rPr>
              <w:t>IULN</w:t>
            </w:r>
            <w:r w:rsidRPr="004A59B1">
              <w:rPr>
                <w:snapToGrid w:val="0"/>
                <w:color w:val="000000"/>
                <w:sz w:val="22"/>
                <w:szCs w:val="22"/>
                <w:lang w:val="en-GB"/>
              </w:rPr>
              <w:t>)</w:t>
            </w:r>
          </w:p>
        </w:tc>
      </w:tr>
      <w:tr w:rsidR="00444D75" w:rsidRPr="003B6568" w14:paraId="529797CB" w14:textId="77777777" w:rsidTr="009C1193">
        <w:trPr>
          <w:cantSplit/>
        </w:trPr>
        <w:tc>
          <w:tcPr>
            <w:tcW w:w="3369" w:type="dxa"/>
          </w:tcPr>
          <w:p w14:paraId="529797C8" w14:textId="77777777" w:rsidR="00444D75" w:rsidRPr="004A59B1" w:rsidRDefault="00444D75" w:rsidP="009C1193">
            <w:pPr>
              <w:pStyle w:val="TextChar"/>
              <w:keepNext/>
              <w:keepLines/>
              <w:widowControl w:val="0"/>
              <w:spacing w:before="0"/>
              <w:jc w:val="left"/>
              <w:rPr>
                <w:color w:val="000000"/>
                <w:sz w:val="22"/>
                <w:szCs w:val="22"/>
                <w:lang w:val="en-GB"/>
              </w:rPr>
            </w:pPr>
            <w:r w:rsidRPr="004A59B1">
              <w:rPr>
                <w:color w:val="000000"/>
                <w:sz w:val="22"/>
                <w:szCs w:val="22"/>
              </w:rPr>
              <w:t>zmerna</w:t>
            </w:r>
          </w:p>
        </w:tc>
        <w:tc>
          <w:tcPr>
            <w:tcW w:w="5918" w:type="dxa"/>
          </w:tcPr>
          <w:p w14:paraId="529797C9" w14:textId="77777777" w:rsidR="00444D75" w:rsidRPr="002227FB" w:rsidRDefault="00444D75" w:rsidP="009C1193">
            <w:pPr>
              <w:keepNext/>
              <w:keepLines/>
              <w:widowControl w:val="0"/>
              <w:spacing w:line="240" w:lineRule="auto"/>
              <w:rPr>
                <w:snapToGrid w:val="0"/>
                <w:color w:val="000000"/>
                <w:szCs w:val="22"/>
                <w:lang w:val="de-CH"/>
              </w:rPr>
            </w:pPr>
            <w:r w:rsidRPr="002227FB">
              <w:rPr>
                <w:snapToGrid w:val="0"/>
                <w:color w:val="000000"/>
                <w:szCs w:val="22"/>
                <w:lang w:val="de-CH"/>
              </w:rPr>
              <w:t>celotni bilirubin: &gt; 1,5</w:t>
            </w:r>
            <w:r w:rsidRPr="002227FB">
              <w:rPr>
                <w:color w:val="000000"/>
                <w:szCs w:val="22"/>
                <w:lang w:val="de-CH"/>
              </w:rPr>
              <w:t>–</w:t>
            </w:r>
            <w:r w:rsidRPr="002227FB">
              <w:rPr>
                <w:snapToGrid w:val="0"/>
                <w:color w:val="000000"/>
                <w:szCs w:val="22"/>
                <w:lang w:val="de-CH"/>
              </w:rPr>
              <w:t>3,0 </w:t>
            </w:r>
            <w:r w:rsidR="00510D3D" w:rsidRPr="002227FB">
              <w:rPr>
                <w:color w:val="000000"/>
                <w:szCs w:val="22"/>
                <w:lang w:val="de-CH"/>
              </w:rPr>
              <w:t>IULN</w:t>
            </w:r>
          </w:p>
          <w:p w14:paraId="529797CA" w14:textId="77777777" w:rsidR="00444D75" w:rsidRPr="002227FB" w:rsidRDefault="00444D75" w:rsidP="009C1193">
            <w:pPr>
              <w:pStyle w:val="TextChar"/>
              <w:keepNext/>
              <w:keepLines/>
              <w:widowControl w:val="0"/>
              <w:spacing w:before="0"/>
              <w:jc w:val="left"/>
              <w:rPr>
                <w:color w:val="000000"/>
                <w:sz w:val="22"/>
                <w:szCs w:val="22"/>
                <w:lang w:val="de-CH"/>
              </w:rPr>
            </w:pPr>
            <w:r w:rsidRPr="002227FB">
              <w:rPr>
                <w:snapToGrid w:val="0"/>
                <w:color w:val="000000"/>
                <w:sz w:val="22"/>
                <w:szCs w:val="22"/>
                <w:lang w:val="de-CH"/>
              </w:rPr>
              <w:t xml:space="preserve">AST: kakršnakoli </w:t>
            </w:r>
          </w:p>
        </w:tc>
      </w:tr>
      <w:tr w:rsidR="00444D75" w:rsidRPr="003B6568" w14:paraId="529797CF" w14:textId="77777777" w:rsidTr="009C1193">
        <w:trPr>
          <w:cantSplit/>
        </w:trPr>
        <w:tc>
          <w:tcPr>
            <w:tcW w:w="3369" w:type="dxa"/>
          </w:tcPr>
          <w:p w14:paraId="529797CC" w14:textId="77777777" w:rsidR="00444D75" w:rsidRPr="004A59B1" w:rsidRDefault="00444D75" w:rsidP="009C1193">
            <w:pPr>
              <w:pStyle w:val="TextChar"/>
              <w:keepNext/>
              <w:keepLines/>
              <w:widowControl w:val="0"/>
              <w:spacing w:before="0"/>
              <w:jc w:val="left"/>
              <w:rPr>
                <w:color w:val="000000"/>
                <w:sz w:val="22"/>
                <w:szCs w:val="22"/>
                <w:lang w:val="en-GB"/>
              </w:rPr>
            </w:pPr>
            <w:r w:rsidRPr="004A59B1">
              <w:rPr>
                <w:color w:val="000000"/>
                <w:sz w:val="22"/>
                <w:szCs w:val="22"/>
              </w:rPr>
              <w:t>težka</w:t>
            </w:r>
          </w:p>
        </w:tc>
        <w:tc>
          <w:tcPr>
            <w:tcW w:w="5918" w:type="dxa"/>
          </w:tcPr>
          <w:p w14:paraId="529797CD" w14:textId="77777777" w:rsidR="00444D75" w:rsidRPr="002227FB" w:rsidRDefault="00444D75" w:rsidP="009C1193">
            <w:pPr>
              <w:keepNext/>
              <w:keepLines/>
              <w:widowControl w:val="0"/>
              <w:spacing w:line="240" w:lineRule="auto"/>
              <w:rPr>
                <w:snapToGrid w:val="0"/>
                <w:color w:val="000000"/>
                <w:szCs w:val="22"/>
                <w:lang w:val="de-CH"/>
              </w:rPr>
            </w:pPr>
            <w:r w:rsidRPr="002227FB">
              <w:rPr>
                <w:snapToGrid w:val="0"/>
                <w:color w:val="000000"/>
                <w:szCs w:val="22"/>
                <w:lang w:val="de-CH"/>
              </w:rPr>
              <w:t>celotni bilirubin: &gt; 3</w:t>
            </w:r>
            <w:r w:rsidRPr="002227FB">
              <w:rPr>
                <w:color w:val="000000"/>
                <w:szCs w:val="22"/>
                <w:lang w:val="de-CH"/>
              </w:rPr>
              <w:t>–</w:t>
            </w:r>
            <w:r w:rsidRPr="002227FB">
              <w:rPr>
                <w:snapToGrid w:val="0"/>
                <w:color w:val="000000"/>
                <w:szCs w:val="22"/>
                <w:lang w:val="de-CH"/>
              </w:rPr>
              <w:t>10 </w:t>
            </w:r>
            <w:r w:rsidR="00510D3D" w:rsidRPr="002227FB">
              <w:rPr>
                <w:color w:val="000000"/>
                <w:szCs w:val="22"/>
                <w:lang w:val="de-CH"/>
              </w:rPr>
              <w:t>IULN</w:t>
            </w:r>
          </w:p>
          <w:p w14:paraId="529797CE" w14:textId="77777777" w:rsidR="00444D75" w:rsidRPr="002227FB" w:rsidRDefault="00444D75" w:rsidP="009C1193">
            <w:pPr>
              <w:pStyle w:val="TextChar"/>
              <w:keepNext/>
              <w:keepLines/>
              <w:widowControl w:val="0"/>
              <w:spacing w:before="0"/>
              <w:jc w:val="left"/>
              <w:rPr>
                <w:color w:val="000000"/>
                <w:sz w:val="22"/>
                <w:szCs w:val="22"/>
                <w:lang w:val="de-CH"/>
              </w:rPr>
            </w:pPr>
            <w:r w:rsidRPr="002227FB">
              <w:rPr>
                <w:snapToGrid w:val="0"/>
                <w:color w:val="000000"/>
                <w:sz w:val="22"/>
                <w:szCs w:val="22"/>
                <w:lang w:val="de-CH"/>
              </w:rPr>
              <w:t>AST: kakršnakoli</w:t>
            </w:r>
          </w:p>
        </w:tc>
      </w:tr>
    </w:tbl>
    <w:p w14:paraId="529797D0" w14:textId="77777777" w:rsidR="00444D75" w:rsidRPr="004A59B1" w:rsidRDefault="00510D3D" w:rsidP="009C1193">
      <w:pPr>
        <w:pStyle w:val="TextChar"/>
        <w:keepNext/>
        <w:keepLines/>
        <w:widowControl w:val="0"/>
        <w:spacing w:before="0"/>
        <w:jc w:val="left"/>
        <w:rPr>
          <w:color w:val="000000"/>
          <w:sz w:val="22"/>
          <w:szCs w:val="22"/>
          <w:lang w:val="it-IT"/>
        </w:rPr>
      </w:pPr>
      <w:r w:rsidRPr="004A59B1">
        <w:rPr>
          <w:color w:val="000000"/>
          <w:szCs w:val="22"/>
          <w:lang w:val="it-IT"/>
        </w:rPr>
        <w:t>IULN</w:t>
      </w:r>
      <w:r w:rsidR="007C5CEE" w:rsidRPr="004A59B1">
        <w:rPr>
          <w:color w:val="000000"/>
          <w:sz w:val="22"/>
          <w:szCs w:val="22"/>
          <w:lang w:val="it-IT"/>
        </w:rPr>
        <w:t xml:space="preserve"> </w:t>
      </w:r>
      <w:r w:rsidR="00444D75" w:rsidRPr="004A59B1">
        <w:rPr>
          <w:color w:val="000000"/>
          <w:sz w:val="22"/>
          <w:szCs w:val="22"/>
          <w:lang w:val="it-IT"/>
        </w:rPr>
        <w:t>= zgornja meja normalnih vrednosti</w:t>
      </w:r>
      <w:r w:rsidRPr="004A59B1">
        <w:rPr>
          <w:color w:val="000000"/>
          <w:sz w:val="22"/>
          <w:szCs w:val="22"/>
          <w:lang w:val="it-IT"/>
        </w:rPr>
        <w:t>, specifična</w:t>
      </w:r>
      <w:r w:rsidR="00444D75" w:rsidRPr="004A59B1">
        <w:rPr>
          <w:color w:val="000000"/>
          <w:sz w:val="22"/>
          <w:szCs w:val="22"/>
          <w:lang w:val="it-IT"/>
        </w:rPr>
        <w:t xml:space="preserve"> za ustanovo</w:t>
      </w:r>
    </w:p>
    <w:p w14:paraId="529797D1" w14:textId="77777777" w:rsidR="00444D75" w:rsidRPr="004A59B1" w:rsidRDefault="00444D75" w:rsidP="009C1193">
      <w:pPr>
        <w:pStyle w:val="EndnoteText"/>
        <w:keepNext/>
        <w:keepLines/>
        <w:widowControl w:val="0"/>
        <w:tabs>
          <w:tab w:val="clear" w:pos="567"/>
        </w:tabs>
        <w:rPr>
          <w:color w:val="000000"/>
          <w:szCs w:val="22"/>
          <w:lang w:val="it-IT"/>
        </w:rPr>
      </w:pPr>
      <w:r w:rsidRPr="004A59B1">
        <w:rPr>
          <w:rFonts w:eastAsia="MS Mincho"/>
          <w:bCs/>
          <w:color w:val="000000"/>
          <w:szCs w:val="22"/>
          <w:lang w:val="it-IT" w:eastAsia="ja-JP"/>
        </w:rPr>
        <w:t xml:space="preserve">AST = </w:t>
      </w:r>
      <w:r w:rsidRPr="004A59B1">
        <w:rPr>
          <w:color w:val="000000"/>
          <w:szCs w:val="22"/>
          <w:lang w:val="it-IT"/>
        </w:rPr>
        <w:t>aspartat</w:t>
      </w:r>
      <w:r w:rsidR="00D36856" w:rsidRPr="004A59B1">
        <w:rPr>
          <w:color w:val="000000"/>
          <w:szCs w:val="22"/>
          <w:lang w:val="it-IT"/>
        </w:rPr>
        <w:t>-</w:t>
      </w:r>
      <w:r w:rsidRPr="004A59B1">
        <w:rPr>
          <w:color w:val="000000"/>
          <w:szCs w:val="22"/>
          <w:lang w:val="it-IT"/>
        </w:rPr>
        <w:t>aminotransferaza</w:t>
      </w:r>
    </w:p>
    <w:p w14:paraId="529797D2" w14:textId="77777777" w:rsidR="00444D75" w:rsidRPr="004A59B1" w:rsidRDefault="00444D75" w:rsidP="009C1193">
      <w:pPr>
        <w:pStyle w:val="EndnoteText"/>
        <w:widowControl w:val="0"/>
        <w:tabs>
          <w:tab w:val="clear" w:pos="567"/>
        </w:tabs>
        <w:rPr>
          <w:color w:val="000000"/>
          <w:szCs w:val="22"/>
          <w:lang w:val="it-IT"/>
        </w:rPr>
      </w:pPr>
    </w:p>
    <w:p w14:paraId="529797D3" w14:textId="77777777" w:rsidR="00444D75" w:rsidRPr="004A59B1" w:rsidRDefault="00444D75" w:rsidP="009C1193">
      <w:pPr>
        <w:pStyle w:val="Text"/>
        <w:widowControl w:val="0"/>
        <w:spacing w:before="0"/>
        <w:jc w:val="left"/>
        <w:rPr>
          <w:color w:val="000000"/>
          <w:sz w:val="22"/>
          <w:szCs w:val="22"/>
          <w:lang w:val="it-IT"/>
        </w:rPr>
      </w:pPr>
      <w:r w:rsidRPr="004A59B1">
        <w:rPr>
          <w:i/>
          <w:color w:val="000000"/>
          <w:sz w:val="22"/>
          <w:szCs w:val="22"/>
          <w:lang w:val="it-IT"/>
        </w:rPr>
        <w:t>Insuficienca ledvic:</w:t>
      </w:r>
      <w:r w:rsidRPr="004A59B1">
        <w:rPr>
          <w:color w:val="000000"/>
          <w:sz w:val="22"/>
          <w:szCs w:val="22"/>
          <w:lang w:val="it-IT"/>
        </w:rPr>
        <w:t xml:space="preserve"> </w:t>
      </w:r>
      <w:r w:rsidR="00285C4F" w:rsidRPr="004A59B1">
        <w:rPr>
          <w:color w:val="000000"/>
          <w:sz w:val="22"/>
          <w:szCs w:val="22"/>
          <w:lang w:val="it-IT"/>
        </w:rPr>
        <w:t xml:space="preserve">Bolniki </w:t>
      </w:r>
      <w:r w:rsidR="00FC7D64" w:rsidRPr="004A59B1">
        <w:rPr>
          <w:color w:val="000000"/>
          <w:sz w:val="22"/>
          <w:szCs w:val="22"/>
          <w:lang w:val="it-IT"/>
        </w:rPr>
        <w:t>s poslabšanim</w:t>
      </w:r>
      <w:r w:rsidR="00285C4F" w:rsidRPr="004A59B1">
        <w:rPr>
          <w:color w:val="000000"/>
          <w:sz w:val="22"/>
          <w:szCs w:val="22"/>
          <w:lang w:val="it-IT"/>
        </w:rPr>
        <w:t xml:space="preserve"> delovanjem ledvic </w:t>
      </w:r>
      <w:r w:rsidR="000348F9" w:rsidRPr="004A59B1">
        <w:rPr>
          <w:color w:val="000000"/>
          <w:sz w:val="22"/>
          <w:szCs w:val="22"/>
          <w:lang w:val="it-IT"/>
        </w:rPr>
        <w:t>ali bolniki na dializi</w:t>
      </w:r>
      <w:r w:rsidR="00FD5E64" w:rsidRPr="004A59B1">
        <w:rPr>
          <w:color w:val="000000"/>
          <w:sz w:val="22"/>
          <w:szCs w:val="22"/>
          <w:lang w:val="it-IT"/>
        </w:rPr>
        <w:t xml:space="preserve"> </w:t>
      </w:r>
      <w:r w:rsidR="00285C4F" w:rsidRPr="004A59B1">
        <w:rPr>
          <w:color w:val="000000"/>
          <w:sz w:val="22"/>
          <w:szCs w:val="22"/>
          <w:lang w:val="it-IT"/>
        </w:rPr>
        <w:t xml:space="preserve">naj za začetni odmerek prejmejo najmanjši priporočeni odmerek 400 mg na dan. </w:t>
      </w:r>
      <w:r w:rsidRPr="004A59B1">
        <w:rPr>
          <w:color w:val="000000"/>
          <w:sz w:val="22"/>
          <w:szCs w:val="22"/>
          <w:lang w:val="it-IT"/>
        </w:rPr>
        <w:t xml:space="preserve">Vendar pri </w:t>
      </w:r>
      <w:r w:rsidR="00285C4F" w:rsidRPr="004A59B1">
        <w:rPr>
          <w:color w:val="000000"/>
          <w:sz w:val="22"/>
          <w:szCs w:val="22"/>
          <w:lang w:val="it-IT"/>
        </w:rPr>
        <w:t xml:space="preserve">teh bolnikih </w:t>
      </w:r>
      <w:r w:rsidRPr="004A59B1">
        <w:rPr>
          <w:color w:val="000000"/>
          <w:sz w:val="22"/>
          <w:szCs w:val="22"/>
          <w:lang w:val="it-IT"/>
        </w:rPr>
        <w:t>priporočamo previdnost.</w:t>
      </w:r>
      <w:r w:rsidR="00285C4F" w:rsidRPr="004A59B1">
        <w:rPr>
          <w:color w:val="000000"/>
          <w:sz w:val="22"/>
          <w:szCs w:val="22"/>
          <w:lang w:val="it-IT"/>
        </w:rPr>
        <w:t xml:space="preserve"> Odmerek je mogoče </w:t>
      </w:r>
      <w:r w:rsidR="00DE7EB6" w:rsidRPr="004A59B1">
        <w:rPr>
          <w:color w:val="000000"/>
          <w:sz w:val="22"/>
          <w:szCs w:val="22"/>
          <w:lang w:val="it-IT"/>
        </w:rPr>
        <w:t>zmanjšati</w:t>
      </w:r>
      <w:r w:rsidR="00285C4F" w:rsidRPr="004A59B1">
        <w:rPr>
          <w:color w:val="000000"/>
          <w:sz w:val="22"/>
          <w:szCs w:val="22"/>
          <w:lang w:val="it-IT"/>
        </w:rPr>
        <w:t>, če ga bolnik ne prenaša dobro</w:t>
      </w:r>
      <w:r w:rsidR="005A0149" w:rsidRPr="004A59B1">
        <w:rPr>
          <w:color w:val="000000"/>
          <w:sz w:val="22"/>
          <w:szCs w:val="22"/>
          <w:lang w:val="it-IT"/>
        </w:rPr>
        <w:t>. Če bolnik odmerek dobro prenaša, ga je mogoče</w:t>
      </w:r>
      <w:r w:rsidR="00285C4F" w:rsidRPr="004A59B1">
        <w:rPr>
          <w:color w:val="000000"/>
          <w:sz w:val="22"/>
          <w:szCs w:val="22"/>
          <w:lang w:val="it-IT"/>
        </w:rPr>
        <w:t xml:space="preserve"> v primer</w:t>
      </w:r>
      <w:r w:rsidR="005A0149" w:rsidRPr="004A59B1">
        <w:rPr>
          <w:color w:val="000000"/>
          <w:sz w:val="22"/>
          <w:szCs w:val="22"/>
          <w:lang w:val="it-IT"/>
        </w:rPr>
        <w:t>u</w:t>
      </w:r>
      <w:r w:rsidR="00285C4F" w:rsidRPr="004A59B1">
        <w:rPr>
          <w:color w:val="000000"/>
          <w:sz w:val="22"/>
          <w:szCs w:val="22"/>
          <w:lang w:val="it-IT"/>
        </w:rPr>
        <w:t xml:space="preserve"> nezadostnega učinka </w:t>
      </w:r>
      <w:r w:rsidR="005A0149" w:rsidRPr="004A59B1">
        <w:rPr>
          <w:color w:val="000000"/>
          <w:sz w:val="22"/>
          <w:szCs w:val="22"/>
          <w:lang w:val="it-IT"/>
        </w:rPr>
        <w:t xml:space="preserve">povečati </w:t>
      </w:r>
      <w:r w:rsidR="00285C4F" w:rsidRPr="004A59B1">
        <w:rPr>
          <w:color w:val="000000"/>
          <w:sz w:val="22"/>
          <w:szCs w:val="22"/>
          <w:lang w:val="it-IT"/>
        </w:rPr>
        <w:t>(glejte poglavji 4.4 in 5.2).</w:t>
      </w:r>
    </w:p>
    <w:p w14:paraId="529797D4" w14:textId="77777777" w:rsidR="00444D75" w:rsidRPr="004A59B1" w:rsidRDefault="00444D75" w:rsidP="009C1193">
      <w:pPr>
        <w:pStyle w:val="EndnoteText"/>
        <w:widowControl w:val="0"/>
        <w:tabs>
          <w:tab w:val="clear" w:pos="567"/>
        </w:tabs>
        <w:rPr>
          <w:color w:val="000000"/>
          <w:szCs w:val="22"/>
          <w:lang w:val="it-IT"/>
        </w:rPr>
      </w:pPr>
    </w:p>
    <w:p w14:paraId="529797D5" w14:textId="77777777" w:rsidR="00444D75" w:rsidRPr="004A59B1" w:rsidRDefault="00444D75" w:rsidP="009C1193">
      <w:pPr>
        <w:pStyle w:val="EndnoteText"/>
        <w:widowControl w:val="0"/>
        <w:tabs>
          <w:tab w:val="clear" w:pos="567"/>
        </w:tabs>
        <w:rPr>
          <w:color w:val="000000"/>
          <w:szCs w:val="22"/>
          <w:lang w:val="it-IT"/>
        </w:rPr>
      </w:pPr>
      <w:r w:rsidRPr="004A59B1">
        <w:rPr>
          <w:i/>
          <w:color w:val="000000"/>
          <w:szCs w:val="22"/>
          <w:lang w:val="it-IT"/>
        </w:rPr>
        <w:t xml:space="preserve">Starejši </w:t>
      </w:r>
      <w:r w:rsidR="00D3661C" w:rsidRPr="004A59B1">
        <w:rPr>
          <w:i/>
          <w:color w:val="000000"/>
          <w:szCs w:val="22"/>
          <w:lang w:val="it-IT"/>
        </w:rPr>
        <w:t>ljudje</w:t>
      </w:r>
      <w:r w:rsidRPr="004A59B1">
        <w:rPr>
          <w:i/>
          <w:color w:val="000000"/>
          <w:szCs w:val="22"/>
          <w:lang w:val="it-IT"/>
        </w:rPr>
        <w:t>:</w:t>
      </w:r>
      <w:r w:rsidRPr="004A59B1">
        <w:rPr>
          <w:color w:val="000000"/>
          <w:szCs w:val="22"/>
          <w:lang w:val="it-IT"/>
        </w:rPr>
        <w:t xml:space="preserve"> Farmakokinetike imatiniba pri starejših </w:t>
      </w:r>
      <w:r w:rsidR="00D3661C" w:rsidRPr="004A59B1">
        <w:rPr>
          <w:color w:val="000000"/>
          <w:szCs w:val="22"/>
          <w:lang w:val="it-IT"/>
        </w:rPr>
        <w:t>ljudeh</w:t>
      </w:r>
      <w:r w:rsidRPr="004A59B1">
        <w:rPr>
          <w:color w:val="000000"/>
          <w:szCs w:val="22"/>
          <w:lang w:val="it-IT"/>
        </w:rPr>
        <w:t xml:space="preserve"> niso posebej proučili. Pri odraslih bolnikih v kliničnih preskušanjih, v katerih je bilo več kot 20 % bolnikov starih 65 let ali več, ni bilo pomembnih farmakokinetičnih razlik, povezanih s starostjo. Pri starejših </w:t>
      </w:r>
      <w:r w:rsidR="00D3661C" w:rsidRPr="004A59B1">
        <w:rPr>
          <w:color w:val="000000"/>
          <w:szCs w:val="22"/>
          <w:lang w:val="it-IT"/>
        </w:rPr>
        <w:t>ljudeh</w:t>
      </w:r>
      <w:r w:rsidRPr="004A59B1">
        <w:rPr>
          <w:color w:val="000000"/>
          <w:szCs w:val="22"/>
          <w:lang w:val="it-IT"/>
        </w:rPr>
        <w:t xml:space="preserve"> niso potrebna posebna priporočila glede odmerjanja.</w:t>
      </w:r>
    </w:p>
    <w:p w14:paraId="529797D6" w14:textId="77777777" w:rsidR="00444D75" w:rsidRPr="004A59B1" w:rsidRDefault="00444D75" w:rsidP="009C1193">
      <w:pPr>
        <w:pStyle w:val="EndnoteText"/>
        <w:widowControl w:val="0"/>
        <w:tabs>
          <w:tab w:val="clear" w:pos="567"/>
        </w:tabs>
        <w:rPr>
          <w:color w:val="000000"/>
          <w:szCs w:val="22"/>
          <w:lang w:val="it-IT"/>
        </w:rPr>
      </w:pPr>
    </w:p>
    <w:p w14:paraId="529797D7" w14:textId="77777777" w:rsidR="00444D75" w:rsidRPr="004A59B1" w:rsidRDefault="00444D75" w:rsidP="009C1193">
      <w:pPr>
        <w:keepNext/>
        <w:widowControl w:val="0"/>
        <w:tabs>
          <w:tab w:val="clear" w:pos="567"/>
        </w:tabs>
        <w:spacing w:line="240" w:lineRule="auto"/>
        <w:ind w:left="567" w:hanging="567"/>
        <w:rPr>
          <w:color w:val="000000"/>
          <w:szCs w:val="22"/>
          <w:lang w:val="it-IT"/>
        </w:rPr>
      </w:pPr>
      <w:r w:rsidRPr="004A59B1">
        <w:rPr>
          <w:b/>
          <w:color w:val="000000"/>
          <w:szCs w:val="22"/>
          <w:lang w:val="it-IT"/>
        </w:rPr>
        <w:t>4.3</w:t>
      </w:r>
      <w:r w:rsidRPr="004A59B1">
        <w:rPr>
          <w:b/>
          <w:color w:val="000000"/>
          <w:szCs w:val="22"/>
          <w:lang w:val="it-IT"/>
        </w:rPr>
        <w:tab/>
        <w:t>Kontraindikacije</w:t>
      </w:r>
    </w:p>
    <w:p w14:paraId="529797D8" w14:textId="77777777" w:rsidR="00444D75" w:rsidRPr="004A59B1" w:rsidRDefault="00444D75" w:rsidP="009C1193">
      <w:pPr>
        <w:pStyle w:val="EndnoteText"/>
        <w:keepNext/>
        <w:widowControl w:val="0"/>
        <w:tabs>
          <w:tab w:val="clear" w:pos="567"/>
        </w:tabs>
        <w:rPr>
          <w:color w:val="000000"/>
          <w:szCs w:val="22"/>
          <w:lang w:val="it-IT"/>
        </w:rPr>
      </w:pPr>
    </w:p>
    <w:p w14:paraId="529797D9" w14:textId="77777777" w:rsidR="00444D75" w:rsidRPr="004A59B1" w:rsidRDefault="00444D75" w:rsidP="009C1193">
      <w:pPr>
        <w:pStyle w:val="EndnoteText"/>
        <w:widowControl w:val="0"/>
        <w:tabs>
          <w:tab w:val="clear" w:pos="567"/>
        </w:tabs>
        <w:rPr>
          <w:color w:val="000000"/>
          <w:szCs w:val="22"/>
          <w:lang w:val="it-IT"/>
        </w:rPr>
      </w:pPr>
      <w:r w:rsidRPr="004A59B1">
        <w:rPr>
          <w:color w:val="000000"/>
          <w:szCs w:val="22"/>
          <w:lang w:val="it-IT"/>
        </w:rPr>
        <w:t xml:space="preserve">Preobčutljivost </w:t>
      </w:r>
      <w:r w:rsidR="00706E09" w:rsidRPr="004A59B1">
        <w:rPr>
          <w:color w:val="000000"/>
          <w:szCs w:val="22"/>
          <w:lang w:val="it-IT"/>
        </w:rPr>
        <w:t>n</w:t>
      </w:r>
      <w:r w:rsidRPr="004A59B1">
        <w:rPr>
          <w:color w:val="000000"/>
          <w:szCs w:val="22"/>
          <w:lang w:val="it-IT"/>
        </w:rPr>
        <w:t>a učinkovino ali katero</w:t>
      </w:r>
      <w:r w:rsidR="00D3661C" w:rsidRPr="004A59B1">
        <w:rPr>
          <w:color w:val="000000"/>
          <w:szCs w:val="22"/>
          <w:lang w:val="it-IT"/>
        </w:rPr>
        <w:t xml:space="preserve"> </w:t>
      </w:r>
      <w:r w:rsidRPr="004A59B1">
        <w:rPr>
          <w:color w:val="000000"/>
          <w:szCs w:val="22"/>
          <w:lang w:val="it-IT"/>
        </w:rPr>
        <w:t>koli pomožno snov</w:t>
      </w:r>
      <w:r w:rsidR="00706E09" w:rsidRPr="004A59B1">
        <w:rPr>
          <w:color w:val="000000"/>
          <w:szCs w:val="22"/>
          <w:lang w:val="it-IT"/>
        </w:rPr>
        <w:t>, navedeno v poglavj</w:t>
      </w:r>
      <w:r w:rsidR="006619F4" w:rsidRPr="004A59B1">
        <w:rPr>
          <w:color w:val="000000"/>
          <w:szCs w:val="22"/>
          <w:lang w:val="it-IT"/>
        </w:rPr>
        <w:t>u</w:t>
      </w:r>
      <w:r w:rsidR="00706E09" w:rsidRPr="004A59B1">
        <w:rPr>
          <w:color w:val="000000"/>
          <w:szCs w:val="22"/>
          <w:lang w:val="it-IT"/>
        </w:rPr>
        <w:t xml:space="preserve"> 6.1</w:t>
      </w:r>
      <w:r w:rsidRPr="004A59B1">
        <w:rPr>
          <w:color w:val="000000"/>
          <w:szCs w:val="22"/>
          <w:lang w:val="it-IT"/>
        </w:rPr>
        <w:t>.</w:t>
      </w:r>
    </w:p>
    <w:p w14:paraId="529797DA" w14:textId="77777777" w:rsidR="00444D75" w:rsidRPr="004A59B1" w:rsidRDefault="00444D75" w:rsidP="009C1193">
      <w:pPr>
        <w:pStyle w:val="EndnoteText"/>
        <w:widowControl w:val="0"/>
        <w:tabs>
          <w:tab w:val="clear" w:pos="567"/>
        </w:tabs>
        <w:rPr>
          <w:color w:val="000000"/>
          <w:szCs w:val="22"/>
          <w:lang w:val="it-IT"/>
        </w:rPr>
      </w:pPr>
    </w:p>
    <w:p w14:paraId="529797DB" w14:textId="77777777" w:rsidR="00444D75" w:rsidRPr="004A59B1" w:rsidRDefault="00444D75" w:rsidP="009C1193">
      <w:pPr>
        <w:keepNext/>
        <w:widowControl w:val="0"/>
        <w:tabs>
          <w:tab w:val="clear" w:pos="567"/>
        </w:tabs>
        <w:spacing w:line="240" w:lineRule="auto"/>
        <w:ind w:left="567" w:hanging="567"/>
        <w:rPr>
          <w:color w:val="000000"/>
          <w:szCs w:val="22"/>
          <w:lang w:val="it-IT"/>
        </w:rPr>
      </w:pPr>
      <w:r w:rsidRPr="004A59B1">
        <w:rPr>
          <w:b/>
          <w:color w:val="000000"/>
          <w:szCs w:val="22"/>
          <w:lang w:val="it-IT"/>
        </w:rPr>
        <w:t>4.4</w:t>
      </w:r>
      <w:r w:rsidRPr="004A59B1">
        <w:rPr>
          <w:b/>
          <w:color w:val="000000"/>
          <w:szCs w:val="22"/>
          <w:lang w:val="it-IT"/>
        </w:rPr>
        <w:tab/>
        <w:t>Posebna opozorila in previdnostni ukrepi</w:t>
      </w:r>
    </w:p>
    <w:p w14:paraId="529797DC" w14:textId="77777777" w:rsidR="00444D75" w:rsidRPr="004A59B1" w:rsidRDefault="00444D75" w:rsidP="009C1193">
      <w:pPr>
        <w:pStyle w:val="EndnoteText"/>
        <w:keepNext/>
        <w:widowControl w:val="0"/>
        <w:tabs>
          <w:tab w:val="clear" w:pos="567"/>
        </w:tabs>
        <w:rPr>
          <w:color w:val="000000"/>
          <w:szCs w:val="22"/>
          <w:lang w:val="it-IT"/>
        </w:rPr>
      </w:pPr>
    </w:p>
    <w:p w14:paraId="529797DD" w14:textId="77777777" w:rsidR="00444D75" w:rsidRPr="004A59B1" w:rsidRDefault="00444D75" w:rsidP="009C1193">
      <w:pPr>
        <w:pStyle w:val="EndnoteText"/>
        <w:widowControl w:val="0"/>
        <w:tabs>
          <w:tab w:val="clear" w:pos="567"/>
          <w:tab w:val="left" w:pos="7655"/>
        </w:tabs>
        <w:rPr>
          <w:color w:val="000000"/>
          <w:szCs w:val="22"/>
          <w:lang w:val="it-IT"/>
        </w:rPr>
      </w:pPr>
      <w:r w:rsidRPr="004A59B1">
        <w:rPr>
          <w:color w:val="000000"/>
          <w:szCs w:val="22"/>
          <w:lang w:val="it-IT"/>
        </w:rPr>
        <w:t xml:space="preserve">Ob sočasni uporabi </w:t>
      </w:r>
      <w:r w:rsidR="00D81193" w:rsidRPr="004A59B1">
        <w:rPr>
          <w:color w:val="000000"/>
          <w:szCs w:val="22"/>
          <w:lang w:val="it-IT"/>
        </w:rPr>
        <w:t>zdravila Glivec</w:t>
      </w:r>
      <w:r w:rsidRPr="004A59B1">
        <w:rPr>
          <w:color w:val="000000"/>
          <w:szCs w:val="22"/>
          <w:lang w:val="it-IT"/>
        </w:rPr>
        <w:t xml:space="preserve"> z drugimi zdravili obstaja možnost njihovega medsebojnega delovanja.</w:t>
      </w:r>
      <w:r w:rsidR="005A0149" w:rsidRPr="004A59B1">
        <w:rPr>
          <w:color w:val="000000"/>
          <w:szCs w:val="22"/>
          <w:lang w:val="it-IT"/>
        </w:rPr>
        <w:t xml:space="preserve"> Previdnost je potrebna p</w:t>
      </w:r>
      <w:r w:rsidR="00A51C91" w:rsidRPr="004A59B1">
        <w:rPr>
          <w:color w:val="000000"/>
          <w:szCs w:val="22"/>
          <w:lang w:val="sl-SI"/>
        </w:rPr>
        <w:t>ri uporabi zdravila Glivec z zaviralci pr</w:t>
      </w:r>
      <w:r w:rsidR="00E45E9D" w:rsidRPr="004A59B1">
        <w:rPr>
          <w:color w:val="000000"/>
          <w:szCs w:val="22"/>
          <w:lang w:val="sl-SI"/>
        </w:rPr>
        <w:t>oteaze, azolnimi antimikotiki,</w:t>
      </w:r>
      <w:r w:rsidR="00A51C91" w:rsidRPr="004A59B1">
        <w:rPr>
          <w:color w:val="000000"/>
          <w:szCs w:val="22"/>
          <w:lang w:val="sl-SI"/>
        </w:rPr>
        <w:t xml:space="preserve"> določenimi makrolidi (glejte poglavje 4.5), </w:t>
      </w:r>
      <w:r w:rsidR="005A0149" w:rsidRPr="004A59B1">
        <w:rPr>
          <w:color w:val="000000"/>
          <w:szCs w:val="22"/>
          <w:lang w:val="sl-SI"/>
        </w:rPr>
        <w:t>s substrati CYP3A4 z ozkim terapevtskim oknom (na primer s ciklosporinom</w:t>
      </w:r>
      <w:r w:rsidR="00A51C91" w:rsidRPr="004A59B1">
        <w:rPr>
          <w:color w:val="000000"/>
          <w:szCs w:val="22"/>
          <w:lang w:val="sl-SI"/>
        </w:rPr>
        <w:t>,</w:t>
      </w:r>
      <w:r w:rsidR="005A0149" w:rsidRPr="004A59B1">
        <w:rPr>
          <w:color w:val="000000"/>
          <w:szCs w:val="22"/>
          <w:lang w:val="sl-SI"/>
        </w:rPr>
        <w:t xml:space="preserve"> pimozidom</w:t>
      </w:r>
      <w:r w:rsidR="00A51C91" w:rsidRPr="004A59B1">
        <w:rPr>
          <w:color w:val="000000"/>
          <w:szCs w:val="22"/>
          <w:lang w:val="sl-SI"/>
        </w:rPr>
        <w:t>, takrolimusom, sirolimusom, ergotaminom, diergotaminom, fentanilom, alfentanilom, terfenadinom, bortezomibom, docetakselom, kinidinom</w:t>
      </w:r>
      <w:r w:rsidR="005A0149" w:rsidRPr="004A59B1">
        <w:rPr>
          <w:color w:val="000000"/>
          <w:szCs w:val="22"/>
          <w:lang w:val="sl-SI"/>
        </w:rPr>
        <w:t xml:space="preserve">) ali </w:t>
      </w:r>
      <w:r w:rsidR="005A0149" w:rsidRPr="004A59B1">
        <w:rPr>
          <w:lang w:val="it-IT"/>
        </w:rPr>
        <w:t>z varfarinom in drugimi derivati kumarina (glejte poglavje 4.5).</w:t>
      </w:r>
    </w:p>
    <w:p w14:paraId="529797DE" w14:textId="77777777" w:rsidR="00444D75" w:rsidRPr="004A59B1" w:rsidRDefault="00444D75" w:rsidP="009C1193">
      <w:pPr>
        <w:pStyle w:val="EndnoteText"/>
        <w:widowControl w:val="0"/>
        <w:tabs>
          <w:tab w:val="clear" w:pos="567"/>
          <w:tab w:val="left" w:pos="7655"/>
        </w:tabs>
        <w:rPr>
          <w:color w:val="000000"/>
          <w:szCs w:val="22"/>
          <w:lang w:val="it-IT"/>
        </w:rPr>
      </w:pPr>
    </w:p>
    <w:p w14:paraId="529797DF" w14:textId="77777777" w:rsidR="00444D75" w:rsidRPr="004A59B1" w:rsidRDefault="00444D75" w:rsidP="009C1193">
      <w:pPr>
        <w:pStyle w:val="EndnoteText"/>
        <w:widowControl w:val="0"/>
        <w:tabs>
          <w:tab w:val="clear" w:pos="567"/>
          <w:tab w:val="left" w:pos="7655"/>
        </w:tabs>
        <w:rPr>
          <w:color w:val="000000"/>
          <w:szCs w:val="22"/>
          <w:lang w:val="it-IT"/>
        </w:rPr>
      </w:pPr>
      <w:r w:rsidRPr="004A59B1">
        <w:rPr>
          <w:color w:val="000000"/>
          <w:szCs w:val="22"/>
          <w:lang w:val="it-IT"/>
        </w:rPr>
        <w:t xml:space="preserve">Sočasna uporaba imatiniba in zdravil, ki inducirajo CYP3A4 (na primer deksametazon, fenitoin, karbamazepin, rifampicin, fenobarbital ali </w:t>
      </w:r>
      <w:r w:rsidRPr="004A59B1">
        <w:rPr>
          <w:i/>
          <w:color w:val="000000"/>
          <w:szCs w:val="22"/>
          <w:lang w:val="it-IT"/>
        </w:rPr>
        <w:t>Hypericum perforatum</w:t>
      </w:r>
      <w:r w:rsidRPr="004A59B1">
        <w:rPr>
          <w:color w:val="000000"/>
          <w:szCs w:val="22"/>
          <w:lang w:val="it-IT"/>
        </w:rPr>
        <w:t>, znan tudi kot šentjanževka)</w:t>
      </w:r>
      <w:r w:rsidR="00D501C1" w:rsidRPr="004A59B1">
        <w:rPr>
          <w:color w:val="000000"/>
          <w:szCs w:val="22"/>
          <w:lang w:val="it-IT"/>
        </w:rPr>
        <w:t>,</w:t>
      </w:r>
      <w:r w:rsidRPr="004A59B1">
        <w:rPr>
          <w:color w:val="000000"/>
          <w:szCs w:val="22"/>
          <w:lang w:val="it-IT"/>
        </w:rPr>
        <w:t xml:space="preserve"> lahko pomembno zmanjša izpostavljenost </w:t>
      </w:r>
      <w:r w:rsidR="00D81193" w:rsidRPr="004A59B1">
        <w:rPr>
          <w:color w:val="000000"/>
          <w:szCs w:val="22"/>
          <w:lang w:val="it-IT"/>
        </w:rPr>
        <w:t>zdravilu Glivec</w:t>
      </w:r>
      <w:r w:rsidRPr="004A59B1">
        <w:rPr>
          <w:color w:val="000000"/>
          <w:szCs w:val="22"/>
          <w:lang w:val="it-IT"/>
        </w:rPr>
        <w:t>, kar potencialno poveča tveganje za neuspešnost zdravljenja. Zato se je treba sočasni uporabi močnih induktorjev CYP3A4 in imatiniba izogibati (glejte poglavje 4.5).</w:t>
      </w:r>
    </w:p>
    <w:p w14:paraId="529797E0" w14:textId="77777777" w:rsidR="00451785" w:rsidRPr="004A59B1" w:rsidRDefault="00451785" w:rsidP="009C1193">
      <w:pPr>
        <w:pStyle w:val="EndnoteText"/>
        <w:widowControl w:val="0"/>
        <w:tabs>
          <w:tab w:val="clear" w:pos="567"/>
          <w:tab w:val="left" w:pos="7655"/>
        </w:tabs>
        <w:rPr>
          <w:color w:val="000000"/>
          <w:szCs w:val="22"/>
          <w:lang w:val="it-IT"/>
        </w:rPr>
      </w:pPr>
    </w:p>
    <w:p w14:paraId="529797E1" w14:textId="77777777" w:rsidR="00706E09" w:rsidRPr="004A59B1" w:rsidRDefault="00706E09" w:rsidP="009C1193">
      <w:pPr>
        <w:pStyle w:val="EndnoteText"/>
        <w:keepNext/>
        <w:widowControl w:val="0"/>
        <w:tabs>
          <w:tab w:val="clear" w:pos="567"/>
          <w:tab w:val="left" w:pos="7655"/>
        </w:tabs>
        <w:rPr>
          <w:color w:val="000000"/>
          <w:szCs w:val="22"/>
          <w:u w:val="single"/>
          <w:lang w:val="it-IT"/>
        </w:rPr>
      </w:pPr>
      <w:r w:rsidRPr="004A59B1">
        <w:rPr>
          <w:color w:val="000000"/>
          <w:szCs w:val="22"/>
          <w:u w:val="single"/>
          <w:lang w:val="it-IT"/>
        </w:rPr>
        <w:t>Hipotiroidizem</w:t>
      </w:r>
    </w:p>
    <w:p w14:paraId="529797E2" w14:textId="77777777" w:rsidR="00444D75" w:rsidRPr="004A59B1" w:rsidRDefault="00451785" w:rsidP="009C1193">
      <w:pPr>
        <w:pStyle w:val="EndnoteText"/>
        <w:widowControl w:val="0"/>
        <w:tabs>
          <w:tab w:val="clear" w:pos="567"/>
          <w:tab w:val="left" w:pos="7655"/>
        </w:tabs>
        <w:rPr>
          <w:color w:val="000000"/>
          <w:szCs w:val="22"/>
          <w:lang w:val="it-IT"/>
        </w:rPr>
      </w:pPr>
      <w:r w:rsidRPr="004A59B1">
        <w:rPr>
          <w:color w:val="000000"/>
          <w:szCs w:val="22"/>
          <w:lang w:val="it-IT"/>
        </w:rPr>
        <w:t xml:space="preserve">Pri bolnikih, ki so med zdravljenjem z </w:t>
      </w:r>
      <w:r w:rsidR="00563D98" w:rsidRPr="004A59B1">
        <w:rPr>
          <w:color w:val="000000"/>
          <w:szCs w:val="22"/>
          <w:lang w:val="it-IT"/>
        </w:rPr>
        <w:t xml:space="preserve">zdravilom </w:t>
      </w:r>
      <w:r w:rsidRPr="004A59B1">
        <w:rPr>
          <w:color w:val="000000"/>
          <w:szCs w:val="22"/>
          <w:lang w:val="it-IT"/>
        </w:rPr>
        <w:t>Glivec prejemali nadomestno zdravljenje z levotiroksinom po tiroidektomiji, so poročali o kliničnih primerih hipotiroidizma</w:t>
      </w:r>
      <w:r w:rsidR="000A68B6" w:rsidRPr="004A59B1">
        <w:rPr>
          <w:color w:val="000000"/>
          <w:szCs w:val="22"/>
          <w:lang w:val="it-IT"/>
        </w:rPr>
        <w:t xml:space="preserve"> </w:t>
      </w:r>
      <w:r w:rsidR="000A68B6" w:rsidRPr="004A59B1">
        <w:rPr>
          <w:iCs/>
          <w:color w:val="000000"/>
          <w:szCs w:val="24"/>
          <w:lang w:val="it-IT"/>
        </w:rPr>
        <w:t>(glejte poglavje 4.5)</w:t>
      </w:r>
      <w:r w:rsidRPr="004A59B1">
        <w:rPr>
          <w:color w:val="000000"/>
          <w:szCs w:val="22"/>
          <w:lang w:val="it-IT"/>
        </w:rPr>
        <w:t xml:space="preserve">. Pri takih bolnikih je treba skrbno spremljati vrednosti </w:t>
      </w:r>
      <w:r w:rsidR="00823778" w:rsidRPr="004A59B1">
        <w:rPr>
          <w:color w:val="000000"/>
          <w:szCs w:val="22"/>
          <w:lang w:val="it-IT"/>
        </w:rPr>
        <w:t>tiroideo stimulirajočega hormona (</w:t>
      </w:r>
      <w:r w:rsidRPr="004A59B1">
        <w:rPr>
          <w:color w:val="000000"/>
          <w:szCs w:val="22"/>
          <w:lang w:val="it-IT"/>
        </w:rPr>
        <w:t>TSH</w:t>
      </w:r>
      <w:r w:rsidR="00823778" w:rsidRPr="004A59B1">
        <w:rPr>
          <w:color w:val="000000"/>
          <w:szCs w:val="22"/>
          <w:lang w:val="it-IT"/>
        </w:rPr>
        <w:t>)</w:t>
      </w:r>
      <w:r w:rsidRPr="004A59B1">
        <w:rPr>
          <w:color w:val="000000"/>
          <w:szCs w:val="22"/>
          <w:lang w:val="it-IT"/>
        </w:rPr>
        <w:t>.</w:t>
      </w:r>
    </w:p>
    <w:p w14:paraId="529797E3" w14:textId="77777777" w:rsidR="00471C7A" w:rsidRPr="004A59B1" w:rsidRDefault="00471C7A" w:rsidP="009C1193">
      <w:pPr>
        <w:pStyle w:val="EndnoteText"/>
        <w:widowControl w:val="0"/>
        <w:tabs>
          <w:tab w:val="clear" w:pos="567"/>
          <w:tab w:val="left" w:pos="7655"/>
        </w:tabs>
        <w:rPr>
          <w:color w:val="000000"/>
          <w:szCs w:val="22"/>
          <w:lang w:val="it-IT"/>
        </w:rPr>
      </w:pPr>
    </w:p>
    <w:p w14:paraId="529797E4" w14:textId="77777777" w:rsidR="00706E09" w:rsidRPr="004A59B1" w:rsidRDefault="00706E09" w:rsidP="009C1193">
      <w:pPr>
        <w:pStyle w:val="EndnoteText"/>
        <w:keepNext/>
        <w:widowControl w:val="0"/>
        <w:tabs>
          <w:tab w:val="clear" w:pos="567"/>
          <w:tab w:val="left" w:pos="7655"/>
        </w:tabs>
        <w:rPr>
          <w:color w:val="000000"/>
          <w:szCs w:val="22"/>
          <w:u w:val="single"/>
          <w:lang w:val="it-IT"/>
        </w:rPr>
      </w:pPr>
      <w:r w:rsidRPr="004A59B1">
        <w:rPr>
          <w:color w:val="000000"/>
          <w:szCs w:val="22"/>
          <w:u w:val="single"/>
          <w:lang w:val="it-IT"/>
        </w:rPr>
        <w:t>Hepatotoksičnost</w:t>
      </w:r>
    </w:p>
    <w:p w14:paraId="529797E5" w14:textId="77777777" w:rsidR="00444D75" w:rsidRPr="004A59B1" w:rsidRDefault="00444D75" w:rsidP="009C1193">
      <w:pPr>
        <w:pStyle w:val="EndnoteText"/>
        <w:widowControl w:val="0"/>
        <w:tabs>
          <w:tab w:val="clear" w:pos="567"/>
        </w:tabs>
        <w:rPr>
          <w:color w:val="000000"/>
          <w:szCs w:val="22"/>
          <w:lang w:val="it-IT"/>
        </w:rPr>
      </w:pPr>
      <w:r w:rsidRPr="004A59B1">
        <w:rPr>
          <w:color w:val="000000"/>
          <w:szCs w:val="22"/>
          <w:lang w:val="it-IT"/>
        </w:rPr>
        <w:t xml:space="preserve">Presnova </w:t>
      </w:r>
      <w:r w:rsidR="00D81193" w:rsidRPr="004A59B1">
        <w:rPr>
          <w:color w:val="000000"/>
          <w:szCs w:val="22"/>
          <w:lang w:val="it-IT"/>
        </w:rPr>
        <w:t>zdravila Glivec</w:t>
      </w:r>
      <w:r w:rsidRPr="004A59B1">
        <w:rPr>
          <w:color w:val="000000"/>
          <w:szCs w:val="22"/>
          <w:lang w:val="it-IT"/>
        </w:rPr>
        <w:t xml:space="preserve"> poteka predvsem v jetrih in le 13 % </w:t>
      </w:r>
      <w:r w:rsidR="00D81193" w:rsidRPr="004A59B1">
        <w:rPr>
          <w:color w:val="000000"/>
          <w:szCs w:val="22"/>
          <w:lang w:val="it-IT"/>
        </w:rPr>
        <w:t>zdravila Glivec</w:t>
      </w:r>
      <w:r w:rsidRPr="004A59B1">
        <w:rPr>
          <w:color w:val="000000"/>
          <w:szCs w:val="22"/>
          <w:lang w:val="it-IT"/>
        </w:rPr>
        <w:t xml:space="preserve"> se izloča skozi ledvice. Pri bolnikih z disfunkcijo jeter (blago, zmerno ali težko) je treba skrbno spremljati periferno krvno sliko in jetrne encime (glejte poglavja 4.2, 4.8 in 5.2). Upoštevati je treba, da imajo lahko bolniki z GIST metastaze v jetrih, ki lahko povzročijo okvaro jeter.</w:t>
      </w:r>
    </w:p>
    <w:p w14:paraId="529797E6" w14:textId="77777777" w:rsidR="00C33479" w:rsidRPr="004A59B1" w:rsidRDefault="00C33479" w:rsidP="009C1193">
      <w:pPr>
        <w:pStyle w:val="EndnoteText"/>
        <w:widowControl w:val="0"/>
        <w:tabs>
          <w:tab w:val="clear" w:pos="567"/>
        </w:tabs>
        <w:rPr>
          <w:color w:val="000000"/>
          <w:lang w:val="it-IT"/>
        </w:rPr>
      </w:pPr>
      <w:bookmarkStart w:id="3" w:name="OLE_LINK3"/>
    </w:p>
    <w:p w14:paraId="529797E7" w14:textId="77777777" w:rsidR="00C33479" w:rsidRPr="004A59B1" w:rsidRDefault="0028157B" w:rsidP="009C1193">
      <w:pPr>
        <w:pStyle w:val="EndnoteText"/>
        <w:widowControl w:val="0"/>
        <w:tabs>
          <w:tab w:val="clear" w:pos="567"/>
        </w:tabs>
        <w:rPr>
          <w:color w:val="000000"/>
          <w:szCs w:val="22"/>
          <w:lang w:val="it-IT"/>
        </w:rPr>
      </w:pPr>
      <w:r w:rsidRPr="004A59B1">
        <w:rPr>
          <w:color w:val="000000"/>
          <w:szCs w:val="22"/>
          <w:lang w:val="it-IT" w:eastAsia="es-ES"/>
        </w:rPr>
        <w:t xml:space="preserve">Pri uporabi imatiniba so opažali primere poškodbe jeter, vključno z odpovedjo in nekrozo jeter. Pri uporabi </w:t>
      </w:r>
      <w:r w:rsidR="00C33479" w:rsidRPr="004A59B1">
        <w:rPr>
          <w:color w:val="000000"/>
          <w:lang w:val="it-IT"/>
        </w:rPr>
        <w:t>imatinib</w:t>
      </w:r>
      <w:r w:rsidRPr="004A59B1">
        <w:rPr>
          <w:color w:val="000000"/>
          <w:lang w:val="it-IT"/>
        </w:rPr>
        <w:t>a</w:t>
      </w:r>
      <w:r w:rsidR="00C33479" w:rsidRPr="004A59B1">
        <w:rPr>
          <w:color w:val="000000"/>
          <w:lang w:val="it-IT"/>
        </w:rPr>
        <w:t xml:space="preserve"> v kombinaciji z visokoodmern</w:t>
      </w:r>
      <w:r w:rsidRPr="004A59B1">
        <w:rPr>
          <w:color w:val="000000"/>
          <w:lang w:val="it-IT"/>
        </w:rPr>
        <w:t>imi</w:t>
      </w:r>
      <w:r w:rsidR="00C33479" w:rsidRPr="004A59B1">
        <w:rPr>
          <w:color w:val="000000"/>
          <w:lang w:val="it-IT"/>
        </w:rPr>
        <w:t xml:space="preserve"> kemoterapevtsk</w:t>
      </w:r>
      <w:r w:rsidRPr="004A59B1">
        <w:rPr>
          <w:color w:val="000000"/>
          <w:lang w:val="it-IT"/>
        </w:rPr>
        <w:t>imi</w:t>
      </w:r>
      <w:r w:rsidR="00C33479" w:rsidRPr="004A59B1">
        <w:rPr>
          <w:color w:val="000000"/>
          <w:lang w:val="it-IT"/>
        </w:rPr>
        <w:t xml:space="preserve"> shem</w:t>
      </w:r>
      <w:r w:rsidRPr="004A59B1">
        <w:rPr>
          <w:color w:val="000000"/>
          <w:lang w:val="it-IT"/>
        </w:rPr>
        <w:t>ami</w:t>
      </w:r>
      <w:r w:rsidR="00C33479" w:rsidRPr="004A59B1">
        <w:rPr>
          <w:color w:val="000000"/>
          <w:lang w:val="it-IT"/>
        </w:rPr>
        <w:t xml:space="preserve"> </w:t>
      </w:r>
      <w:bookmarkEnd w:id="3"/>
      <w:r w:rsidRPr="004A59B1">
        <w:rPr>
          <w:color w:val="000000"/>
          <w:lang w:val="it-IT"/>
        </w:rPr>
        <w:t xml:space="preserve">so </w:t>
      </w:r>
      <w:r w:rsidR="002A3D71" w:rsidRPr="004A59B1">
        <w:rPr>
          <w:color w:val="000000"/>
          <w:lang w:val="it-IT"/>
        </w:rPr>
        <w:t>ugotavlja</w:t>
      </w:r>
      <w:r w:rsidR="00F4413C" w:rsidRPr="004A59B1">
        <w:rPr>
          <w:color w:val="000000"/>
          <w:lang w:val="it-IT"/>
        </w:rPr>
        <w:t>l</w:t>
      </w:r>
      <w:r w:rsidR="002A3D71" w:rsidRPr="004A59B1">
        <w:rPr>
          <w:color w:val="000000"/>
          <w:lang w:val="it-IT"/>
        </w:rPr>
        <w:t>i zvečanje obsega</w:t>
      </w:r>
      <w:r w:rsidRPr="004A59B1">
        <w:rPr>
          <w:color w:val="000000"/>
          <w:lang w:val="it-IT"/>
        </w:rPr>
        <w:t xml:space="preserve"> resnih neželenih učinkov na jetrih. </w:t>
      </w:r>
      <w:r w:rsidR="00C33479" w:rsidRPr="004A59B1">
        <w:rPr>
          <w:color w:val="000000"/>
          <w:lang w:val="it-IT"/>
        </w:rPr>
        <w:t xml:space="preserve">Kadar se imatinib uporablja v kombinaciji s </w:t>
      </w:r>
      <w:r w:rsidR="00C33479" w:rsidRPr="004A59B1">
        <w:rPr>
          <w:color w:val="000000"/>
          <w:lang w:val="it-IT"/>
        </w:rPr>
        <w:lastRenderedPageBreak/>
        <w:t xml:space="preserve">kemoterapevtskimi shemami, pri katerih je znana povezava z motnjami delovanja jeter, je treba </w:t>
      </w:r>
      <w:r w:rsidR="002A3D71" w:rsidRPr="004A59B1">
        <w:rPr>
          <w:color w:val="000000"/>
          <w:lang w:val="it-IT"/>
        </w:rPr>
        <w:t>skrbno spremljati delovanje jeter</w:t>
      </w:r>
      <w:r w:rsidR="00C33479" w:rsidRPr="004A59B1">
        <w:rPr>
          <w:color w:val="000000"/>
          <w:lang w:val="it-IT"/>
        </w:rPr>
        <w:t xml:space="preserve"> (glejte poglavji 4.5 in 4.8).</w:t>
      </w:r>
    </w:p>
    <w:p w14:paraId="529797E8" w14:textId="77777777" w:rsidR="00444D75" w:rsidRPr="004A59B1" w:rsidRDefault="00444D75" w:rsidP="009C1193">
      <w:pPr>
        <w:pStyle w:val="EndnoteText"/>
        <w:widowControl w:val="0"/>
        <w:tabs>
          <w:tab w:val="clear" w:pos="567"/>
        </w:tabs>
        <w:rPr>
          <w:color w:val="000000"/>
          <w:szCs w:val="22"/>
          <w:lang w:val="it-IT"/>
        </w:rPr>
      </w:pPr>
    </w:p>
    <w:p w14:paraId="529797E9" w14:textId="77777777" w:rsidR="00706E09" w:rsidRPr="004A59B1" w:rsidRDefault="00706E09" w:rsidP="009C1193">
      <w:pPr>
        <w:pStyle w:val="EndnoteText"/>
        <w:keepNext/>
        <w:widowControl w:val="0"/>
        <w:tabs>
          <w:tab w:val="clear" w:pos="567"/>
          <w:tab w:val="left" w:pos="7655"/>
        </w:tabs>
        <w:rPr>
          <w:color w:val="000000"/>
          <w:szCs w:val="22"/>
          <w:u w:val="single"/>
          <w:lang w:val="it-IT"/>
        </w:rPr>
      </w:pPr>
      <w:r w:rsidRPr="004A59B1">
        <w:rPr>
          <w:color w:val="000000"/>
          <w:szCs w:val="22"/>
          <w:u w:val="single"/>
          <w:lang w:val="it-IT"/>
        </w:rPr>
        <w:t>Retenca tekočine</w:t>
      </w:r>
    </w:p>
    <w:p w14:paraId="529797EA" w14:textId="77777777" w:rsidR="00444D75" w:rsidRPr="004A59B1" w:rsidRDefault="00444D75" w:rsidP="009C1193">
      <w:pPr>
        <w:pStyle w:val="EndnoteText"/>
        <w:widowControl w:val="0"/>
        <w:tabs>
          <w:tab w:val="clear" w:pos="567"/>
        </w:tabs>
        <w:rPr>
          <w:color w:val="000000"/>
          <w:szCs w:val="22"/>
          <w:lang w:val="pl-PL"/>
        </w:rPr>
      </w:pPr>
      <w:r w:rsidRPr="004A59B1">
        <w:rPr>
          <w:color w:val="000000"/>
          <w:szCs w:val="22"/>
          <w:lang w:val="it-IT"/>
        </w:rPr>
        <w:t>Pri približno 2</w:t>
      </w:r>
      <w:r w:rsidR="00451785" w:rsidRPr="004A59B1">
        <w:rPr>
          <w:color w:val="000000"/>
          <w:szCs w:val="22"/>
          <w:lang w:val="it-IT"/>
        </w:rPr>
        <w:t>,5</w:t>
      </w:r>
      <w:r w:rsidRPr="004A59B1">
        <w:rPr>
          <w:color w:val="000000"/>
          <w:szCs w:val="22"/>
          <w:lang w:val="it-IT"/>
        </w:rPr>
        <w:t> % bolnikov</w:t>
      </w:r>
      <w:r w:rsidR="00451785" w:rsidRPr="004A59B1">
        <w:rPr>
          <w:color w:val="000000"/>
          <w:szCs w:val="22"/>
          <w:lang w:val="it-IT"/>
        </w:rPr>
        <w:t xml:space="preserve"> z na novo diagnosticirano </w:t>
      </w:r>
      <w:r w:rsidR="00677326" w:rsidRPr="004A59B1">
        <w:rPr>
          <w:color w:val="000000"/>
          <w:szCs w:val="22"/>
          <w:lang w:val="it-IT"/>
        </w:rPr>
        <w:t>KML</w:t>
      </w:r>
      <w:r w:rsidRPr="004A59B1">
        <w:rPr>
          <w:color w:val="000000"/>
          <w:szCs w:val="22"/>
          <w:lang w:val="it-IT"/>
        </w:rPr>
        <w:t xml:space="preserve">, ki so jemali </w:t>
      </w:r>
      <w:r w:rsidR="003D6822" w:rsidRPr="004A59B1">
        <w:rPr>
          <w:color w:val="000000"/>
          <w:szCs w:val="22"/>
          <w:lang w:val="it-IT"/>
        </w:rPr>
        <w:t xml:space="preserve">zdravilo </w:t>
      </w:r>
      <w:r w:rsidRPr="004A59B1">
        <w:rPr>
          <w:color w:val="000000"/>
          <w:szCs w:val="22"/>
          <w:lang w:val="it-IT"/>
        </w:rPr>
        <w:t xml:space="preserve">Glivec, so poročali o pojavih </w:t>
      </w:r>
      <w:r w:rsidR="00FC7D64" w:rsidRPr="004A59B1">
        <w:rPr>
          <w:color w:val="000000"/>
          <w:szCs w:val="22"/>
          <w:lang w:val="it-IT"/>
        </w:rPr>
        <w:t xml:space="preserve">hude </w:t>
      </w:r>
      <w:r w:rsidRPr="004A59B1">
        <w:rPr>
          <w:color w:val="000000"/>
          <w:szCs w:val="22"/>
          <w:lang w:val="it-IT"/>
        </w:rPr>
        <w:t>retence tekočine (plevralni izliv, edemi, pljučni edem, ascites</w:t>
      </w:r>
      <w:r w:rsidR="00CD287A" w:rsidRPr="004A59B1">
        <w:rPr>
          <w:color w:val="000000"/>
          <w:szCs w:val="22"/>
          <w:lang w:val="it-IT"/>
        </w:rPr>
        <w:t>, površinski edem</w:t>
      </w:r>
      <w:r w:rsidRPr="004A59B1">
        <w:rPr>
          <w:color w:val="000000"/>
          <w:szCs w:val="22"/>
          <w:lang w:val="it-IT"/>
        </w:rPr>
        <w:t xml:space="preserve">). Zato je zelo priporočljivo bolnike redno tehtati. Nepričakovano hitro naraščanje telesne mase je treba skrbno raziskati in </w:t>
      </w:r>
      <w:r w:rsidR="0086271D" w:rsidRPr="004A59B1">
        <w:rPr>
          <w:color w:val="000000"/>
          <w:szCs w:val="22"/>
          <w:lang w:val="it-IT"/>
        </w:rPr>
        <w:t>izvajati</w:t>
      </w:r>
      <w:r w:rsidRPr="004A59B1">
        <w:rPr>
          <w:color w:val="000000"/>
          <w:szCs w:val="22"/>
          <w:lang w:val="it-IT"/>
        </w:rPr>
        <w:t xml:space="preserve"> ustrezne podporne in </w:t>
      </w:r>
      <w:r w:rsidR="0086271D" w:rsidRPr="004A59B1">
        <w:rPr>
          <w:color w:val="000000"/>
          <w:szCs w:val="22"/>
          <w:lang w:val="it-IT"/>
        </w:rPr>
        <w:t>terapevtske</w:t>
      </w:r>
      <w:r w:rsidRPr="004A59B1">
        <w:rPr>
          <w:color w:val="000000"/>
          <w:szCs w:val="22"/>
          <w:lang w:val="it-IT"/>
        </w:rPr>
        <w:t xml:space="preserve"> ukrepe, če je potrebno. V kliničnih preskušanjih so bili ti učinki pogostejši pri starejših </w:t>
      </w:r>
      <w:r w:rsidR="00D3661C" w:rsidRPr="004A59B1">
        <w:rPr>
          <w:color w:val="000000"/>
          <w:szCs w:val="22"/>
          <w:lang w:val="it-IT"/>
        </w:rPr>
        <w:t>ljudeh</w:t>
      </w:r>
      <w:r w:rsidRPr="004A59B1">
        <w:rPr>
          <w:color w:val="000000"/>
          <w:szCs w:val="22"/>
          <w:lang w:val="it-IT"/>
        </w:rPr>
        <w:t xml:space="preserve"> in pri bolnikih z anamnezo bolezni srca. </w:t>
      </w:r>
      <w:r w:rsidRPr="004A59B1">
        <w:rPr>
          <w:color w:val="000000"/>
          <w:szCs w:val="22"/>
          <w:lang w:val="pl-PL"/>
        </w:rPr>
        <w:t>Zato je pri bolnikih z motnjami delovanja srca potrebna previdnost.</w:t>
      </w:r>
    </w:p>
    <w:p w14:paraId="529797EB" w14:textId="77777777" w:rsidR="00444D75" w:rsidRPr="004A59B1" w:rsidRDefault="00444D75" w:rsidP="009C1193">
      <w:pPr>
        <w:pStyle w:val="EndnoteText"/>
        <w:widowControl w:val="0"/>
        <w:tabs>
          <w:tab w:val="clear" w:pos="567"/>
        </w:tabs>
        <w:rPr>
          <w:color w:val="000000"/>
          <w:szCs w:val="22"/>
          <w:lang w:val="pl-PL"/>
        </w:rPr>
      </w:pPr>
    </w:p>
    <w:p w14:paraId="529797EC" w14:textId="77777777" w:rsidR="00706E09" w:rsidRPr="004A59B1" w:rsidRDefault="00706E09" w:rsidP="009C1193">
      <w:pPr>
        <w:pStyle w:val="EndnoteText"/>
        <w:keepNext/>
        <w:widowControl w:val="0"/>
        <w:tabs>
          <w:tab w:val="clear" w:pos="567"/>
          <w:tab w:val="left" w:pos="7655"/>
        </w:tabs>
        <w:rPr>
          <w:color w:val="000000"/>
          <w:szCs w:val="22"/>
          <w:u w:val="single"/>
          <w:lang w:val="pl-PL"/>
        </w:rPr>
      </w:pPr>
      <w:r w:rsidRPr="004A59B1">
        <w:rPr>
          <w:color w:val="000000"/>
          <w:szCs w:val="22"/>
          <w:u w:val="single"/>
          <w:lang w:val="pl-PL"/>
        </w:rPr>
        <w:t xml:space="preserve">Srčni </w:t>
      </w:r>
      <w:r w:rsidRPr="000941D5">
        <w:rPr>
          <w:color w:val="000000"/>
          <w:szCs w:val="22"/>
          <w:u w:val="single"/>
          <w:lang w:val="pl-PL"/>
        </w:rPr>
        <w:t>bolniki</w:t>
      </w:r>
    </w:p>
    <w:p w14:paraId="529797ED" w14:textId="77777777" w:rsidR="00C80123" w:rsidRPr="004A59B1" w:rsidRDefault="00C80123" w:rsidP="009C1193">
      <w:pPr>
        <w:pStyle w:val="EndnoteText"/>
        <w:widowControl w:val="0"/>
        <w:tabs>
          <w:tab w:val="clear" w:pos="567"/>
        </w:tabs>
        <w:rPr>
          <w:color w:val="000000"/>
          <w:lang w:val="pl-PL"/>
        </w:rPr>
      </w:pPr>
      <w:r w:rsidRPr="004A59B1">
        <w:rPr>
          <w:color w:val="000000"/>
          <w:lang w:val="pl-PL"/>
        </w:rPr>
        <w:t>Srčne bolnike</w:t>
      </w:r>
      <w:r w:rsidR="009C4AC4" w:rsidRPr="004A59B1">
        <w:rPr>
          <w:color w:val="000000"/>
          <w:lang w:val="pl-PL"/>
        </w:rPr>
        <w:t>,</w:t>
      </w:r>
      <w:r w:rsidRPr="004A59B1">
        <w:rPr>
          <w:color w:val="000000"/>
          <w:lang w:val="pl-PL"/>
        </w:rPr>
        <w:t xml:space="preserve"> bolnike z dejavniki tveganja za </w:t>
      </w:r>
      <w:r w:rsidR="00B66599" w:rsidRPr="004A59B1">
        <w:rPr>
          <w:color w:val="000000"/>
          <w:lang w:val="pl-PL"/>
        </w:rPr>
        <w:t xml:space="preserve">srčno popuščanje </w:t>
      </w:r>
      <w:r w:rsidR="009C4AC4" w:rsidRPr="004A59B1">
        <w:rPr>
          <w:color w:val="000000"/>
          <w:lang w:val="pl-PL"/>
        </w:rPr>
        <w:t xml:space="preserve">ali bolnike z anamnezo ledvične odpovedi </w:t>
      </w:r>
      <w:r w:rsidRPr="004A59B1">
        <w:rPr>
          <w:color w:val="000000"/>
          <w:lang w:val="pl-PL"/>
        </w:rPr>
        <w:t xml:space="preserve">je potrebno skrbno opazovati. </w:t>
      </w:r>
      <w:r w:rsidR="00957293" w:rsidRPr="004A59B1">
        <w:rPr>
          <w:color w:val="000000"/>
          <w:lang w:val="pl-PL"/>
        </w:rPr>
        <w:t xml:space="preserve">Bolnika z znaki </w:t>
      </w:r>
      <w:r w:rsidRPr="004A59B1">
        <w:rPr>
          <w:color w:val="000000"/>
          <w:lang w:val="pl-PL"/>
        </w:rPr>
        <w:t>ali simptom</w:t>
      </w:r>
      <w:r w:rsidR="00957293" w:rsidRPr="004A59B1">
        <w:rPr>
          <w:color w:val="000000"/>
          <w:lang w:val="pl-PL"/>
        </w:rPr>
        <w:t>i</w:t>
      </w:r>
      <w:r w:rsidRPr="004A59B1">
        <w:rPr>
          <w:color w:val="000000"/>
          <w:lang w:val="pl-PL"/>
        </w:rPr>
        <w:t xml:space="preserve">, ki kažejo na </w:t>
      </w:r>
      <w:r w:rsidR="00B66599" w:rsidRPr="004A59B1">
        <w:rPr>
          <w:color w:val="000000"/>
          <w:lang w:val="pl-PL"/>
        </w:rPr>
        <w:t xml:space="preserve">srčno popuščanje </w:t>
      </w:r>
      <w:r w:rsidR="009C4AC4" w:rsidRPr="004A59B1">
        <w:rPr>
          <w:color w:val="000000"/>
          <w:lang w:val="pl-PL"/>
        </w:rPr>
        <w:t>ali</w:t>
      </w:r>
      <w:r w:rsidR="00B66599" w:rsidRPr="004A59B1">
        <w:rPr>
          <w:color w:val="000000"/>
          <w:lang w:val="pl-PL"/>
        </w:rPr>
        <w:t xml:space="preserve"> odpoved</w:t>
      </w:r>
      <w:r w:rsidR="009C4AC4" w:rsidRPr="004A59B1">
        <w:rPr>
          <w:color w:val="000000"/>
          <w:lang w:val="pl-PL"/>
        </w:rPr>
        <w:t xml:space="preserve"> ledvic</w:t>
      </w:r>
      <w:r w:rsidR="00957293" w:rsidRPr="004A59B1">
        <w:rPr>
          <w:color w:val="000000"/>
          <w:lang w:val="pl-PL"/>
        </w:rPr>
        <w:t>, je treba pregledati in zdraviti.</w:t>
      </w:r>
    </w:p>
    <w:p w14:paraId="529797EE" w14:textId="77777777" w:rsidR="00C80123" w:rsidRPr="004A59B1" w:rsidRDefault="00C80123" w:rsidP="009C1193">
      <w:pPr>
        <w:pStyle w:val="Text"/>
        <w:widowControl w:val="0"/>
        <w:spacing w:before="0"/>
        <w:jc w:val="left"/>
        <w:rPr>
          <w:color w:val="000000"/>
          <w:sz w:val="22"/>
          <w:szCs w:val="22"/>
          <w:lang w:val="pl-PL"/>
        </w:rPr>
      </w:pPr>
    </w:p>
    <w:p w14:paraId="529797EF" w14:textId="77777777" w:rsidR="00F23C6F" w:rsidRPr="004A59B1" w:rsidRDefault="005B6BA4" w:rsidP="009C1193">
      <w:pPr>
        <w:pStyle w:val="EndnoteText"/>
        <w:widowControl w:val="0"/>
        <w:tabs>
          <w:tab w:val="clear" w:pos="567"/>
        </w:tabs>
        <w:rPr>
          <w:color w:val="000000"/>
          <w:szCs w:val="22"/>
          <w:lang w:val="pl-PL"/>
        </w:rPr>
      </w:pPr>
      <w:r w:rsidRPr="004A59B1">
        <w:rPr>
          <w:color w:val="000000"/>
          <w:szCs w:val="22"/>
          <w:lang w:val="pl-PL"/>
        </w:rPr>
        <w:t xml:space="preserve">Pri bolnikih s hipereozinofilnim sindromom </w:t>
      </w:r>
      <w:r w:rsidRPr="004A59B1">
        <w:rPr>
          <w:snapToGrid w:val="0"/>
          <w:color w:val="000000"/>
          <w:szCs w:val="22"/>
          <w:lang w:val="pl-PL" w:eastAsia="de-DE"/>
        </w:rPr>
        <w:t xml:space="preserve">(HES) </w:t>
      </w:r>
      <w:r w:rsidR="00940B8D" w:rsidRPr="004A59B1">
        <w:rPr>
          <w:snapToGrid w:val="0"/>
          <w:color w:val="000000"/>
          <w:szCs w:val="22"/>
          <w:lang w:val="pl-PL" w:eastAsia="de-DE"/>
        </w:rPr>
        <w:t>z okultno infil</w:t>
      </w:r>
      <w:r w:rsidR="00E45E9D" w:rsidRPr="004A59B1">
        <w:rPr>
          <w:snapToGrid w:val="0"/>
          <w:color w:val="000000"/>
          <w:szCs w:val="22"/>
          <w:lang w:val="pl-PL" w:eastAsia="de-DE"/>
        </w:rPr>
        <w:t>tracijo HES celic v srčni mišici</w:t>
      </w:r>
      <w:r w:rsidR="00F23C6F" w:rsidRPr="004A59B1">
        <w:rPr>
          <w:snapToGrid w:val="0"/>
          <w:color w:val="000000"/>
          <w:szCs w:val="22"/>
          <w:lang w:val="pl-PL" w:eastAsia="de-DE"/>
        </w:rPr>
        <w:t xml:space="preserve"> </w:t>
      </w:r>
      <w:r w:rsidRPr="004A59B1">
        <w:rPr>
          <w:snapToGrid w:val="0"/>
          <w:color w:val="000000"/>
          <w:szCs w:val="22"/>
          <w:lang w:val="pl-PL" w:eastAsia="de-DE"/>
        </w:rPr>
        <w:t xml:space="preserve">je v posameznih primerih v povezavi </w:t>
      </w:r>
      <w:r w:rsidR="00E45E9D" w:rsidRPr="004A59B1">
        <w:rPr>
          <w:snapToGrid w:val="0"/>
          <w:color w:val="000000"/>
          <w:szCs w:val="22"/>
          <w:lang w:val="pl-PL" w:eastAsia="de-DE"/>
        </w:rPr>
        <w:t>z degranulacijo</w:t>
      </w:r>
      <w:r w:rsidR="00F23C6F" w:rsidRPr="004A59B1">
        <w:rPr>
          <w:snapToGrid w:val="0"/>
          <w:color w:val="000000"/>
          <w:szCs w:val="22"/>
          <w:lang w:val="pl-PL" w:eastAsia="de-DE"/>
        </w:rPr>
        <w:t xml:space="preserve"> HES celic ob</w:t>
      </w:r>
      <w:r w:rsidRPr="004A59B1">
        <w:rPr>
          <w:snapToGrid w:val="0"/>
          <w:color w:val="000000"/>
          <w:szCs w:val="22"/>
          <w:lang w:val="pl-PL" w:eastAsia="de-DE"/>
        </w:rPr>
        <w:t xml:space="preserve"> uvedb</w:t>
      </w:r>
      <w:r w:rsidR="00F23C6F" w:rsidRPr="004A59B1">
        <w:rPr>
          <w:snapToGrid w:val="0"/>
          <w:color w:val="000000"/>
          <w:szCs w:val="22"/>
          <w:lang w:val="pl-PL" w:eastAsia="de-DE"/>
        </w:rPr>
        <w:t>i</w:t>
      </w:r>
      <w:r w:rsidRPr="004A59B1">
        <w:rPr>
          <w:snapToGrid w:val="0"/>
          <w:color w:val="000000"/>
          <w:szCs w:val="22"/>
          <w:lang w:val="pl-PL" w:eastAsia="de-DE"/>
        </w:rPr>
        <w:t xml:space="preserve"> zdravljenja z imatinibom prišlo do kardiogenega šoka/disfunkcije levega prekata.</w:t>
      </w:r>
      <w:r w:rsidRPr="004A59B1">
        <w:rPr>
          <w:color w:val="000000"/>
          <w:szCs w:val="22"/>
          <w:lang w:val="pl-PL"/>
        </w:rPr>
        <w:t xml:space="preserve"> Stanje je opisano kot reverzibilno ob uporabi steroidov</w:t>
      </w:r>
      <w:r w:rsidR="00A865B6" w:rsidRPr="004A59B1">
        <w:rPr>
          <w:color w:val="000000"/>
          <w:szCs w:val="22"/>
          <w:lang w:val="pl-PL"/>
        </w:rPr>
        <w:t xml:space="preserve"> s sistemskim delovanjem</w:t>
      </w:r>
      <w:r w:rsidRPr="004A59B1">
        <w:rPr>
          <w:color w:val="000000"/>
          <w:szCs w:val="22"/>
          <w:lang w:val="pl-PL"/>
        </w:rPr>
        <w:t xml:space="preserve">, podpori krvnemu obtoku in začasni odtegnitvi imatiniba. Ker so občasno poročali o </w:t>
      </w:r>
      <w:r w:rsidR="000D61F3" w:rsidRPr="004A59B1">
        <w:rPr>
          <w:color w:val="000000"/>
          <w:szCs w:val="22"/>
          <w:lang w:val="pl-PL"/>
        </w:rPr>
        <w:t xml:space="preserve">s srcem povezanih </w:t>
      </w:r>
      <w:r w:rsidRPr="004A59B1">
        <w:rPr>
          <w:color w:val="000000"/>
          <w:szCs w:val="22"/>
          <w:lang w:val="pl-PL"/>
        </w:rPr>
        <w:t xml:space="preserve">neželenih dogodkih </w:t>
      </w:r>
      <w:r w:rsidR="000D61F3" w:rsidRPr="004A59B1">
        <w:rPr>
          <w:color w:val="000000"/>
          <w:szCs w:val="22"/>
          <w:lang w:val="pl-PL"/>
        </w:rPr>
        <w:t xml:space="preserve">z imatinibom, je treba pri </w:t>
      </w:r>
      <w:r w:rsidR="004D02C9" w:rsidRPr="004A59B1">
        <w:rPr>
          <w:color w:val="000000"/>
          <w:szCs w:val="22"/>
          <w:lang w:val="pl-PL"/>
        </w:rPr>
        <w:t xml:space="preserve">populaciji </w:t>
      </w:r>
      <w:r w:rsidR="000D61F3" w:rsidRPr="004A59B1">
        <w:rPr>
          <w:color w:val="000000"/>
          <w:szCs w:val="22"/>
          <w:lang w:val="pl-PL"/>
        </w:rPr>
        <w:t>bolnik</w:t>
      </w:r>
      <w:r w:rsidR="004D02C9" w:rsidRPr="004A59B1">
        <w:rPr>
          <w:color w:val="000000"/>
          <w:szCs w:val="22"/>
          <w:lang w:val="pl-PL"/>
        </w:rPr>
        <w:t>ov</w:t>
      </w:r>
      <w:r w:rsidR="000D61F3" w:rsidRPr="004A59B1">
        <w:rPr>
          <w:color w:val="000000"/>
          <w:szCs w:val="22"/>
          <w:lang w:val="pl-PL"/>
        </w:rPr>
        <w:t xml:space="preserve"> s HES/CEL</w:t>
      </w:r>
      <w:r w:rsidR="00C761C0" w:rsidRPr="004A59B1">
        <w:rPr>
          <w:color w:val="000000"/>
          <w:szCs w:val="22"/>
          <w:lang w:val="pl-PL"/>
        </w:rPr>
        <w:t xml:space="preserve"> </w:t>
      </w:r>
      <w:r w:rsidR="000D61F3" w:rsidRPr="004A59B1">
        <w:rPr>
          <w:color w:val="000000"/>
          <w:szCs w:val="22"/>
          <w:lang w:val="pl-PL"/>
        </w:rPr>
        <w:t>pred uvedbo zdravljenja pretehtati razmerje med koristjo in tveganjem.</w:t>
      </w:r>
    </w:p>
    <w:p w14:paraId="529797F0" w14:textId="77777777" w:rsidR="00F23C6F" w:rsidRPr="004A59B1" w:rsidRDefault="00F23C6F" w:rsidP="009C1193">
      <w:pPr>
        <w:pStyle w:val="EndnoteText"/>
        <w:widowControl w:val="0"/>
        <w:tabs>
          <w:tab w:val="clear" w:pos="567"/>
        </w:tabs>
        <w:rPr>
          <w:color w:val="000000"/>
          <w:szCs w:val="22"/>
          <w:lang w:val="pl-PL"/>
        </w:rPr>
      </w:pPr>
    </w:p>
    <w:p w14:paraId="529797F1" w14:textId="77777777" w:rsidR="005B6BA4" w:rsidRPr="004A59B1" w:rsidRDefault="005B6BA4" w:rsidP="009C1193">
      <w:pPr>
        <w:pStyle w:val="EndnoteText"/>
        <w:widowControl w:val="0"/>
        <w:tabs>
          <w:tab w:val="clear" w:pos="567"/>
        </w:tabs>
        <w:rPr>
          <w:color w:val="000000"/>
          <w:szCs w:val="22"/>
          <w:lang w:val="pl-PL"/>
        </w:rPr>
      </w:pPr>
      <w:r w:rsidRPr="004A59B1">
        <w:rPr>
          <w:snapToGrid w:val="0"/>
          <w:color w:val="000000"/>
          <w:szCs w:val="22"/>
          <w:lang w:val="pl-PL" w:eastAsia="de-DE"/>
        </w:rPr>
        <w:t xml:space="preserve">Mielodisplastične/mieloproliferativne bolezni </w:t>
      </w:r>
      <w:r w:rsidR="000D61F3" w:rsidRPr="004A59B1">
        <w:rPr>
          <w:snapToGrid w:val="0"/>
          <w:color w:val="000000"/>
          <w:szCs w:val="22"/>
          <w:lang w:val="pl-PL" w:eastAsia="de-DE"/>
        </w:rPr>
        <w:t xml:space="preserve">s </w:t>
      </w:r>
      <w:r w:rsidR="00812E86" w:rsidRPr="004A59B1">
        <w:rPr>
          <w:snapToGrid w:val="0"/>
          <w:color w:val="000000"/>
          <w:szCs w:val="22"/>
          <w:lang w:val="pl-PL" w:eastAsia="de-DE"/>
        </w:rPr>
        <w:t>preureditvijo</w:t>
      </w:r>
      <w:r w:rsidR="000D61F3" w:rsidRPr="004A59B1">
        <w:rPr>
          <w:snapToGrid w:val="0"/>
          <w:color w:val="000000"/>
          <w:szCs w:val="22"/>
          <w:lang w:val="pl-PL" w:eastAsia="de-DE"/>
        </w:rPr>
        <w:t xml:space="preserve"> gena za </w:t>
      </w:r>
      <w:r w:rsidR="00C761C0" w:rsidRPr="004A59B1">
        <w:rPr>
          <w:snapToGrid w:val="0"/>
          <w:color w:val="000000"/>
          <w:szCs w:val="22"/>
          <w:lang w:val="pl-PL" w:eastAsia="de-DE"/>
        </w:rPr>
        <w:t xml:space="preserve">PDGFR </w:t>
      </w:r>
      <w:r w:rsidRPr="004A59B1">
        <w:rPr>
          <w:snapToGrid w:val="0"/>
          <w:color w:val="000000"/>
          <w:szCs w:val="22"/>
          <w:lang w:val="pl-PL" w:eastAsia="de-DE"/>
        </w:rPr>
        <w:t xml:space="preserve">so lahko povezane z </w:t>
      </w:r>
      <w:r w:rsidR="00FC7D64" w:rsidRPr="004A59B1">
        <w:rPr>
          <w:snapToGrid w:val="0"/>
          <w:color w:val="000000"/>
          <w:szCs w:val="22"/>
          <w:lang w:val="pl-PL" w:eastAsia="de-DE"/>
        </w:rPr>
        <w:t xml:space="preserve">velikimi </w:t>
      </w:r>
      <w:r w:rsidRPr="004A59B1">
        <w:rPr>
          <w:snapToGrid w:val="0"/>
          <w:color w:val="000000"/>
          <w:szCs w:val="22"/>
          <w:lang w:val="pl-PL" w:eastAsia="de-DE"/>
        </w:rPr>
        <w:t xml:space="preserve">koncentracijami eozinofilcev. Zato je pri bolnikih </w:t>
      </w:r>
      <w:r w:rsidR="00C761C0" w:rsidRPr="004A59B1">
        <w:rPr>
          <w:snapToGrid w:val="0"/>
          <w:color w:val="000000"/>
          <w:szCs w:val="22"/>
          <w:lang w:val="pl-PL" w:eastAsia="de-DE"/>
        </w:rPr>
        <w:t xml:space="preserve">s HES/CEL in bolnikih </w:t>
      </w:r>
      <w:r w:rsidRPr="004A59B1">
        <w:rPr>
          <w:snapToGrid w:val="0"/>
          <w:color w:val="000000"/>
          <w:szCs w:val="22"/>
          <w:lang w:val="pl-PL" w:eastAsia="de-DE"/>
        </w:rPr>
        <w:t xml:space="preserve">z </w:t>
      </w:r>
      <w:r w:rsidR="00A55982" w:rsidRPr="004A59B1">
        <w:rPr>
          <w:snapToGrid w:val="0"/>
          <w:color w:val="000000"/>
          <w:szCs w:val="22"/>
          <w:lang w:val="pl-PL" w:eastAsia="de-DE"/>
        </w:rPr>
        <w:t xml:space="preserve">velikimi </w:t>
      </w:r>
      <w:r w:rsidRPr="004A59B1">
        <w:rPr>
          <w:snapToGrid w:val="0"/>
          <w:color w:val="000000"/>
          <w:szCs w:val="22"/>
          <w:lang w:val="pl-PL" w:eastAsia="de-DE"/>
        </w:rPr>
        <w:t>koncentracijami eozinofilcev v po</w:t>
      </w:r>
      <w:r w:rsidR="00C761C0" w:rsidRPr="004A59B1">
        <w:rPr>
          <w:snapToGrid w:val="0"/>
          <w:color w:val="000000"/>
          <w:szCs w:val="22"/>
          <w:lang w:val="pl-PL" w:eastAsia="de-DE"/>
        </w:rPr>
        <w:t>v</w:t>
      </w:r>
      <w:r w:rsidRPr="004A59B1">
        <w:rPr>
          <w:snapToGrid w:val="0"/>
          <w:color w:val="000000"/>
          <w:szCs w:val="22"/>
          <w:lang w:val="pl-PL" w:eastAsia="de-DE"/>
        </w:rPr>
        <w:t xml:space="preserve">ezavi z </w:t>
      </w:r>
      <w:r w:rsidR="00A865B6" w:rsidRPr="004A59B1">
        <w:rPr>
          <w:snapToGrid w:val="0"/>
          <w:color w:val="000000"/>
          <w:szCs w:val="22"/>
          <w:lang w:val="pl-PL" w:eastAsia="de-DE"/>
        </w:rPr>
        <w:t>MDS/MPD</w:t>
      </w:r>
      <w:r w:rsidRPr="004A59B1">
        <w:rPr>
          <w:color w:val="000000"/>
          <w:szCs w:val="22"/>
          <w:lang w:val="pl-PL"/>
        </w:rPr>
        <w:t xml:space="preserve"> </w:t>
      </w:r>
      <w:r w:rsidR="00C761C0" w:rsidRPr="004A59B1">
        <w:rPr>
          <w:color w:val="000000"/>
          <w:szCs w:val="22"/>
          <w:lang w:val="pl-PL"/>
        </w:rPr>
        <w:t xml:space="preserve">pred uporabo imatiniba </w:t>
      </w:r>
      <w:r w:rsidRPr="004A59B1">
        <w:rPr>
          <w:color w:val="000000"/>
          <w:szCs w:val="22"/>
          <w:lang w:val="pl-PL"/>
        </w:rPr>
        <w:t xml:space="preserve">potrebno razmisliti o </w:t>
      </w:r>
      <w:r w:rsidR="00C761C0" w:rsidRPr="004A59B1">
        <w:rPr>
          <w:color w:val="000000"/>
          <w:szCs w:val="22"/>
          <w:lang w:val="pl-PL"/>
        </w:rPr>
        <w:t xml:space="preserve">pregledu pri specialistu kardiologu, </w:t>
      </w:r>
      <w:r w:rsidRPr="004A59B1">
        <w:rPr>
          <w:color w:val="000000"/>
          <w:szCs w:val="22"/>
          <w:lang w:val="pl-PL"/>
        </w:rPr>
        <w:t xml:space="preserve">izvedbi ehokardiograma in določitvi serumskega troponina. V primeru nenormalnega izvida katere od teh preiskav je potrebno razmisliti o </w:t>
      </w:r>
      <w:r w:rsidR="00C761C0" w:rsidRPr="004A59B1">
        <w:rPr>
          <w:color w:val="000000"/>
          <w:szCs w:val="22"/>
          <w:lang w:val="pl-PL"/>
        </w:rPr>
        <w:t xml:space="preserve">kontrolnem pregledu pri kardiologu in </w:t>
      </w:r>
      <w:r w:rsidRPr="004A59B1">
        <w:rPr>
          <w:color w:val="000000"/>
          <w:szCs w:val="22"/>
          <w:lang w:val="pl-PL"/>
        </w:rPr>
        <w:t>sočasni profilaktični uporabi steroidov</w:t>
      </w:r>
      <w:r w:rsidR="00A865B6" w:rsidRPr="004A59B1">
        <w:rPr>
          <w:color w:val="000000"/>
          <w:szCs w:val="22"/>
          <w:lang w:val="pl-PL"/>
        </w:rPr>
        <w:t xml:space="preserve"> s sistemskim delovanjem</w:t>
      </w:r>
      <w:r w:rsidRPr="004A59B1">
        <w:rPr>
          <w:color w:val="000000"/>
          <w:szCs w:val="22"/>
          <w:lang w:val="pl-PL"/>
        </w:rPr>
        <w:t xml:space="preserve"> (1</w:t>
      </w:r>
      <w:r w:rsidR="00DC4BEF" w:rsidRPr="004A59B1">
        <w:rPr>
          <w:color w:val="000000"/>
          <w:szCs w:val="22"/>
          <w:lang w:val="pl-PL"/>
        </w:rPr>
        <w:noBreakHyphen/>
      </w:r>
      <w:r w:rsidRPr="004A59B1">
        <w:rPr>
          <w:color w:val="000000"/>
          <w:szCs w:val="22"/>
          <w:lang w:val="pl-PL"/>
        </w:rPr>
        <w:t xml:space="preserve">2 mg/kg) </w:t>
      </w:r>
      <w:r w:rsidR="00A865B6" w:rsidRPr="004A59B1">
        <w:rPr>
          <w:color w:val="000000"/>
          <w:szCs w:val="22"/>
          <w:lang w:val="pl-PL"/>
        </w:rPr>
        <w:t xml:space="preserve">ob uvedbi zdravljenja z imatinibom, </w:t>
      </w:r>
      <w:r w:rsidRPr="004A59B1">
        <w:rPr>
          <w:color w:val="000000"/>
          <w:szCs w:val="22"/>
          <w:lang w:val="pl-PL"/>
        </w:rPr>
        <w:t xml:space="preserve">v obdobju enega </w:t>
      </w:r>
      <w:r w:rsidR="00C761C0" w:rsidRPr="004A59B1">
        <w:rPr>
          <w:color w:val="000000"/>
          <w:szCs w:val="22"/>
          <w:lang w:val="pl-PL"/>
        </w:rPr>
        <w:t>do</w:t>
      </w:r>
      <w:r w:rsidRPr="004A59B1">
        <w:rPr>
          <w:color w:val="000000"/>
          <w:szCs w:val="22"/>
          <w:lang w:val="pl-PL"/>
        </w:rPr>
        <w:t xml:space="preserve"> dveh tednov.</w:t>
      </w:r>
    </w:p>
    <w:p w14:paraId="529797F2" w14:textId="77777777" w:rsidR="00C80123" w:rsidRPr="004A59B1" w:rsidRDefault="00C80123" w:rsidP="009C1193">
      <w:pPr>
        <w:pStyle w:val="EndnoteText"/>
        <w:widowControl w:val="0"/>
        <w:tabs>
          <w:tab w:val="clear" w:pos="567"/>
        </w:tabs>
        <w:rPr>
          <w:color w:val="000000"/>
          <w:szCs w:val="22"/>
          <w:lang w:val="pl-PL"/>
        </w:rPr>
      </w:pPr>
    </w:p>
    <w:p w14:paraId="529797F3" w14:textId="77777777" w:rsidR="00706E09" w:rsidRPr="004A59B1" w:rsidRDefault="00706E09" w:rsidP="009C1193">
      <w:pPr>
        <w:pStyle w:val="EndnoteText"/>
        <w:keepNext/>
        <w:widowControl w:val="0"/>
        <w:tabs>
          <w:tab w:val="clear" w:pos="567"/>
          <w:tab w:val="left" w:pos="7655"/>
        </w:tabs>
        <w:rPr>
          <w:color w:val="000000"/>
          <w:szCs w:val="22"/>
          <w:u w:val="single"/>
          <w:lang w:val="pl-PL"/>
        </w:rPr>
      </w:pPr>
      <w:r w:rsidRPr="000941D5">
        <w:rPr>
          <w:color w:val="000000"/>
          <w:szCs w:val="22"/>
          <w:u w:val="single"/>
          <w:lang w:val="pl-PL"/>
        </w:rPr>
        <w:t>Gastrointestinalne</w:t>
      </w:r>
      <w:r w:rsidRPr="004A59B1">
        <w:rPr>
          <w:color w:val="000000"/>
          <w:szCs w:val="22"/>
          <w:u w:val="single"/>
          <w:lang w:val="pl-PL"/>
        </w:rPr>
        <w:t xml:space="preserve"> krvavitve</w:t>
      </w:r>
    </w:p>
    <w:p w14:paraId="529797F4" w14:textId="77777777" w:rsidR="00077420" w:rsidRPr="004A59B1" w:rsidRDefault="003E56E2" w:rsidP="009C1193">
      <w:pPr>
        <w:pStyle w:val="EndnoteText"/>
        <w:widowControl w:val="0"/>
        <w:tabs>
          <w:tab w:val="clear" w:pos="567"/>
        </w:tabs>
        <w:rPr>
          <w:snapToGrid w:val="0"/>
          <w:szCs w:val="22"/>
          <w:lang w:val="pl-PL"/>
        </w:rPr>
      </w:pPr>
      <w:r w:rsidRPr="004A59B1">
        <w:rPr>
          <w:color w:val="000000"/>
          <w:szCs w:val="22"/>
          <w:lang w:val="pl-PL"/>
        </w:rPr>
        <w:t>V študiji pri bolnikih z neresektabilnimi in/ali metastatskimi</w:t>
      </w:r>
      <w:r w:rsidRPr="004A59B1" w:rsidDel="006C7E4C">
        <w:rPr>
          <w:color w:val="000000"/>
          <w:szCs w:val="22"/>
          <w:lang w:val="pl-PL"/>
        </w:rPr>
        <w:t xml:space="preserve"> </w:t>
      </w:r>
      <w:r w:rsidRPr="004A59B1">
        <w:rPr>
          <w:color w:val="000000"/>
          <w:szCs w:val="22"/>
          <w:lang w:val="pl-PL"/>
        </w:rPr>
        <w:t>GIST</w:t>
      </w:r>
      <w:r w:rsidR="00444D75" w:rsidRPr="004A59B1">
        <w:rPr>
          <w:color w:val="000000"/>
          <w:szCs w:val="22"/>
          <w:lang w:val="pl-PL"/>
        </w:rPr>
        <w:t xml:space="preserve"> so poročali tako o gastrointestinalnih kot o intratumorskih krvavitvah (glejte poglavje 4.8</w:t>
      </w:r>
      <w:r w:rsidR="00444D75" w:rsidRPr="004A59B1">
        <w:rPr>
          <w:snapToGrid w:val="0"/>
          <w:color w:val="000000"/>
          <w:szCs w:val="22"/>
          <w:lang w:val="pl-PL"/>
        </w:rPr>
        <w:t xml:space="preserve">). </w:t>
      </w:r>
      <w:r w:rsidR="00444D75" w:rsidRPr="004A59B1">
        <w:rPr>
          <w:color w:val="000000"/>
          <w:szCs w:val="22"/>
          <w:lang w:val="pl-PL"/>
        </w:rPr>
        <w:t xml:space="preserve">Na podlagi razpoložljivih podatkov niso ugotovili nikakršnih </w:t>
      </w:r>
      <w:r w:rsidR="00BE128B" w:rsidRPr="004A59B1">
        <w:rPr>
          <w:color w:val="000000"/>
          <w:szCs w:val="22"/>
          <w:lang w:val="pl-PL"/>
        </w:rPr>
        <w:t xml:space="preserve">predispozicijskih </w:t>
      </w:r>
      <w:r w:rsidR="00444D75" w:rsidRPr="004A59B1">
        <w:rPr>
          <w:color w:val="000000"/>
          <w:szCs w:val="22"/>
          <w:lang w:val="pl-PL"/>
        </w:rPr>
        <w:t>dejavnikov (na primer velikost tumorja, lokacija tumorja, motnje koagulacije), ki bi pri bolnikih z GIST povečali tveganje katere od teh dveh vrst krvavitev</w:t>
      </w:r>
      <w:r w:rsidR="00444D75" w:rsidRPr="004A59B1">
        <w:rPr>
          <w:snapToGrid w:val="0"/>
          <w:color w:val="000000"/>
          <w:szCs w:val="22"/>
          <w:lang w:val="pl-PL"/>
        </w:rPr>
        <w:t xml:space="preserve">. </w:t>
      </w:r>
      <w:r w:rsidR="00444D75" w:rsidRPr="004A59B1">
        <w:rPr>
          <w:color w:val="000000"/>
          <w:szCs w:val="22"/>
          <w:lang w:val="pl-PL"/>
        </w:rPr>
        <w:t>Ker sta povečana vaskularnost in nagnjenje h krvavitvam del narave in kliničnega poteka GIST, je treba pri vseh bolnikih uporabiti standardne prakse in postopke za spremljanje in zdravljenje krvavitev</w:t>
      </w:r>
      <w:r w:rsidR="00444D75" w:rsidRPr="004A59B1">
        <w:rPr>
          <w:snapToGrid w:val="0"/>
          <w:color w:val="000000"/>
          <w:szCs w:val="22"/>
          <w:lang w:val="pl-PL"/>
        </w:rPr>
        <w:t>.</w:t>
      </w:r>
    </w:p>
    <w:p w14:paraId="529797F5" w14:textId="77777777" w:rsidR="00077420" w:rsidRPr="004A59B1" w:rsidRDefault="00077420" w:rsidP="009C1193">
      <w:pPr>
        <w:pStyle w:val="EndnoteText"/>
        <w:widowControl w:val="0"/>
        <w:tabs>
          <w:tab w:val="clear" w:pos="567"/>
        </w:tabs>
        <w:rPr>
          <w:lang w:val="pl-PL"/>
        </w:rPr>
      </w:pPr>
    </w:p>
    <w:p w14:paraId="529797F6" w14:textId="77777777" w:rsidR="00444D75" w:rsidRPr="004A59B1" w:rsidRDefault="00077420" w:rsidP="009C1193">
      <w:pPr>
        <w:pStyle w:val="EndnoteText"/>
        <w:widowControl w:val="0"/>
        <w:tabs>
          <w:tab w:val="clear" w:pos="567"/>
        </w:tabs>
        <w:rPr>
          <w:strike/>
          <w:color w:val="000000"/>
          <w:szCs w:val="22"/>
          <w:lang w:val="pl-PL"/>
        </w:rPr>
      </w:pPr>
      <w:r w:rsidRPr="004A59B1">
        <w:rPr>
          <w:lang w:val="pl-PL"/>
        </w:rPr>
        <w:t xml:space="preserve">Poleg tega so </w:t>
      </w:r>
      <w:r w:rsidR="00523DE7" w:rsidRPr="004A59B1">
        <w:rPr>
          <w:lang w:val="pl-PL"/>
        </w:rPr>
        <w:t xml:space="preserve">v okviru </w:t>
      </w:r>
      <w:r w:rsidR="00646630" w:rsidRPr="004A59B1">
        <w:rPr>
          <w:lang w:val="pl-PL"/>
        </w:rPr>
        <w:t xml:space="preserve">izkušenj </w:t>
      </w:r>
      <w:r w:rsidR="002559DC" w:rsidRPr="004A59B1">
        <w:rPr>
          <w:lang w:val="pl-PL"/>
        </w:rPr>
        <w:t xml:space="preserve">v obdobju trženja zdravila </w:t>
      </w:r>
      <w:r w:rsidR="00646630" w:rsidRPr="004A59B1">
        <w:rPr>
          <w:lang w:val="pl-PL"/>
        </w:rPr>
        <w:t xml:space="preserve">pri bolnikih s KML, ALL in drugimi boleznimi </w:t>
      </w:r>
      <w:r w:rsidRPr="004A59B1">
        <w:rPr>
          <w:lang w:val="pl-PL"/>
        </w:rPr>
        <w:t xml:space="preserve">poročali o </w:t>
      </w:r>
      <w:r w:rsidR="00D50435" w:rsidRPr="004A59B1">
        <w:rPr>
          <w:lang w:val="pl-PL"/>
        </w:rPr>
        <w:t>žilnih ekta</w:t>
      </w:r>
      <w:r w:rsidR="00646630" w:rsidRPr="004A59B1">
        <w:rPr>
          <w:lang w:val="pl-PL"/>
        </w:rPr>
        <w:t>z</w:t>
      </w:r>
      <w:r w:rsidR="00D50435" w:rsidRPr="004A59B1">
        <w:rPr>
          <w:lang w:val="pl-PL"/>
        </w:rPr>
        <w:t>ijah antruma želodca (</w:t>
      </w:r>
      <w:r w:rsidR="00523DE7" w:rsidRPr="004A59B1">
        <w:rPr>
          <w:lang w:val="pl-PL"/>
        </w:rPr>
        <w:t xml:space="preserve">GAVE - </w:t>
      </w:r>
      <w:r w:rsidR="00D50435" w:rsidRPr="004A59B1">
        <w:rPr>
          <w:i/>
          <w:lang w:val="pl-PL"/>
        </w:rPr>
        <w:t>gastric antral vascular ectasia</w:t>
      </w:r>
      <w:r w:rsidRPr="004A59B1">
        <w:rPr>
          <w:lang w:val="pl-PL"/>
        </w:rPr>
        <w:t xml:space="preserve">), </w:t>
      </w:r>
      <w:r w:rsidR="00D50435" w:rsidRPr="004A59B1">
        <w:rPr>
          <w:lang w:val="pl-PL"/>
        </w:rPr>
        <w:t xml:space="preserve">redkem vzroku gastrointestinalne krvavitve </w:t>
      </w:r>
      <w:r w:rsidRPr="004A59B1">
        <w:rPr>
          <w:lang w:val="pl-PL"/>
        </w:rPr>
        <w:t>(</w:t>
      </w:r>
      <w:r w:rsidR="00646630" w:rsidRPr="004A59B1">
        <w:rPr>
          <w:lang w:val="pl-PL"/>
        </w:rPr>
        <w:t>glejte poglavje</w:t>
      </w:r>
      <w:r w:rsidR="00A36546" w:rsidRPr="004A59B1">
        <w:rPr>
          <w:lang w:val="pl-PL"/>
        </w:rPr>
        <w:t> </w:t>
      </w:r>
      <w:r w:rsidRPr="004A59B1">
        <w:rPr>
          <w:lang w:val="pl-PL"/>
        </w:rPr>
        <w:t xml:space="preserve">4.8). </w:t>
      </w:r>
      <w:r w:rsidR="00646630" w:rsidRPr="004A59B1">
        <w:rPr>
          <w:lang w:val="pl-PL"/>
        </w:rPr>
        <w:t>Če je treba, velja razmisliti o prekinitvi zdravljenja z zdravilom Glivec.</w:t>
      </w:r>
    </w:p>
    <w:p w14:paraId="529797F7" w14:textId="77777777" w:rsidR="007D727A" w:rsidRPr="004A59B1" w:rsidRDefault="007D727A" w:rsidP="009C1193">
      <w:pPr>
        <w:pStyle w:val="EndnoteText"/>
        <w:widowControl w:val="0"/>
        <w:tabs>
          <w:tab w:val="clear" w:pos="567"/>
        </w:tabs>
        <w:rPr>
          <w:snapToGrid w:val="0"/>
          <w:color w:val="000000"/>
          <w:szCs w:val="22"/>
          <w:lang w:val="pl-PL"/>
        </w:rPr>
      </w:pPr>
    </w:p>
    <w:p w14:paraId="529797F8" w14:textId="77777777" w:rsidR="00706E09" w:rsidRPr="004A59B1" w:rsidRDefault="00706E09" w:rsidP="009C1193">
      <w:pPr>
        <w:pStyle w:val="EndnoteText"/>
        <w:keepNext/>
        <w:widowControl w:val="0"/>
        <w:tabs>
          <w:tab w:val="clear" w:pos="567"/>
          <w:tab w:val="left" w:pos="7655"/>
        </w:tabs>
        <w:rPr>
          <w:snapToGrid w:val="0"/>
          <w:color w:val="000000"/>
          <w:szCs w:val="22"/>
          <w:u w:val="single"/>
          <w:lang w:val="pl-PL"/>
        </w:rPr>
      </w:pPr>
      <w:r w:rsidRPr="004A59B1">
        <w:rPr>
          <w:snapToGrid w:val="0"/>
          <w:color w:val="000000"/>
          <w:szCs w:val="22"/>
          <w:u w:val="single"/>
          <w:lang w:val="pl-PL"/>
        </w:rPr>
        <w:t xml:space="preserve">Sindrom </w:t>
      </w:r>
      <w:r w:rsidRPr="000941D5">
        <w:rPr>
          <w:color w:val="000000"/>
          <w:szCs w:val="22"/>
          <w:u w:val="single"/>
          <w:lang w:val="pl-PL"/>
        </w:rPr>
        <w:t>tumorske</w:t>
      </w:r>
      <w:r w:rsidRPr="004A59B1">
        <w:rPr>
          <w:snapToGrid w:val="0"/>
          <w:color w:val="000000"/>
          <w:szCs w:val="22"/>
          <w:u w:val="single"/>
          <w:lang w:val="pl-PL"/>
        </w:rPr>
        <w:t xml:space="preserve"> lize</w:t>
      </w:r>
    </w:p>
    <w:p w14:paraId="529797F9" w14:textId="77777777" w:rsidR="007D727A" w:rsidRPr="00850486" w:rsidRDefault="00260C72" w:rsidP="009C1193">
      <w:pPr>
        <w:pStyle w:val="EndnoteText"/>
        <w:widowControl w:val="0"/>
        <w:tabs>
          <w:tab w:val="clear" w:pos="567"/>
        </w:tabs>
        <w:rPr>
          <w:snapToGrid w:val="0"/>
          <w:color w:val="000000"/>
          <w:szCs w:val="22"/>
          <w:lang w:val="pl-PL"/>
        </w:rPr>
      </w:pPr>
      <w:r w:rsidRPr="004A59B1">
        <w:rPr>
          <w:snapToGrid w:val="0"/>
          <w:color w:val="000000"/>
          <w:szCs w:val="22"/>
          <w:lang w:val="pl-PL"/>
        </w:rPr>
        <w:t>Zaradi možnosti, da pride do sindroma tumorske lize, je pre</w:t>
      </w:r>
      <w:r w:rsidR="00952161" w:rsidRPr="004A59B1">
        <w:rPr>
          <w:snapToGrid w:val="0"/>
          <w:color w:val="000000"/>
          <w:szCs w:val="22"/>
          <w:lang w:val="pl-PL"/>
        </w:rPr>
        <w:t>d</w:t>
      </w:r>
      <w:r w:rsidRPr="004A59B1">
        <w:rPr>
          <w:snapToGrid w:val="0"/>
          <w:color w:val="000000"/>
          <w:szCs w:val="22"/>
          <w:lang w:val="pl-PL"/>
        </w:rPr>
        <w:t xml:space="preserve"> začetkom zdravljenja z zdravilom Glivec </w:t>
      </w:r>
      <w:r w:rsidRPr="00850486">
        <w:rPr>
          <w:snapToGrid w:val="0"/>
          <w:color w:val="000000"/>
          <w:szCs w:val="22"/>
          <w:lang w:val="pl-PL"/>
        </w:rPr>
        <w:t xml:space="preserve">priporočeno odpraviti klinično pomembno dehidriranost in </w:t>
      </w:r>
      <w:r w:rsidR="00A55982" w:rsidRPr="00850486">
        <w:rPr>
          <w:snapToGrid w:val="0"/>
          <w:color w:val="000000"/>
          <w:szCs w:val="22"/>
          <w:lang w:val="pl-PL"/>
        </w:rPr>
        <w:t xml:space="preserve">veliko </w:t>
      </w:r>
      <w:r w:rsidRPr="00850486">
        <w:rPr>
          <w:snapToGrid w:val="0"/>
          <w:color w:val="000000"/>
          <w:szCs w:val="22"/>
          <w:lang w:val="pl-PL"/>
        </w:rPr>
        <w:t>koncentracijo sečne</w:t>
      </w:r>
      <w:r w:rsidR="00952161" w:rsidRPr="00850486">
        <w:rPr>
          <w:snapToGrid w:val="0"/>
          <w:color w:val="000000"/>
          <w:szCs w:val="22"/>
          <w:lang w:val="pl-PL"/>
        </w:rPr>
        <w:t xml:space="preserve"> kisline</w:t>
      </w:r>
      <w:r w:rsidRPr="00850486">
        <w:rPr>
          <w:snapToGrid w:val="0"/>
          <w:color w:val="000000"/>
          <w:szCs w:val="22"/>
          <w:lang w:val="pl-PL"/>
        </w:rPr>
        <w:t xml:space="preserve"> </w:t>
      </w:r>
      <w:r w:rsidR="007D727A" w:rsidRPr="00850486">
        <w:rPr>
          <w:snapToGrid w:val="0"/>
          <w:color w:val="000000"/>
          <w:szCs w:val="22"/>
          <w:lang w:val="pl-PL"/>
        </w:rPr>
        <w:t>(</w:t>
      </w:r>
      <w:r w:rsidRPr="00850486">
        <w:rPr>
          <w:snapToGrid w:val="0"/>
          <w:color w:val="000000"/>
          <w:szCs w:val="22"/>
          <w:lang w:val="pl-PL"/>
        </w:rPr>
        <w:t xml:space="preserve">glejte poglavje </w:t>
      </w:r>
      <w:r w:rsidR="007D727A" w:rsidRPr="00850486">
        <w:rPr>
          <w:snapToGrid w:val="0"/>
          <w:color w:val="000000"/>
          <w:szCs w:val="22"/>
          <w:lang w:val="pl-PL"/>
        </w:rPr>
        <w:t>4.8).</w:t>
      </w:r>
    </w:p>
    <w:p w14:paraId="529797FA" w14:textId="77777777" w:rsidR="00690621" w:rsidRPr="000C2E42" w:rsidRDefault="00690621" w:rsidP="009C1193">
      <w:pPr>
        <w:pStyle w:val="EndnoteText"/>
        <w:widowControl w:val="0"/>
        <w:tabs>
          <w:tab w:val="clear" w:pos="567"/>
        </w:tabs>
        <w:rPr>
          <w:snapToGrid w:val="0"/>
          <w:color w:val="000000"/>
          <w:szCs w:val="22"/>
          <w:lang w:val="pl-PL"/>
        </w:rPr>
      </w:pPr>
    </w:p>
    <w:p w14:paraId="529797FB" w14:textId="77777777" w:rsidR="00690621" w:rsidRPr="000941D5" w:rsidRDefault="00690621" w:rsidP="009C1193">
      <w:pPr>
        <w:pStyle w:val="EndnoteText"/>
        <w:keepNext/>
        <w:widowControl w:val="0"/>
        <w:tabs>
          <w:tab w:val="clear" w:pos="567"/>
          <w:tab w:val="left" w:pos="7655"/>
        </w:tabs>
        <w:rPr>
          <w:szCs w:val="22"/>
          <w:lang w:val="pl-PL"/>
        </w:rPr>
      </w:pPr>
      <w:r w:rsidRPr="000941D5">
        <w:rPr>
          <w:color w:val="000000"/>
          <w:szCs w:val="22"/>
          <w:u w:val="single"/>
          <w:lang w:val="pl-PL"/>
        </w:rPr>
        <w:t>Reaktivacija</w:t>
      </w:r>
      <w:r w:rsidRPr="000C2E42">
        <w:rPr>
          <w:snapToGrid w:val="0"/>
          <w:color w:val="000000"/>
          <w:szCs w:val="22"/>
          <w:u w:val="single"/>
          <w:lang w:val="pl-PL"/>
        </w:rPr>
        <w:t xml:space="preserve"> hepatitisa B</w:t>
      </w:r>
    </w:p>
    <w:p w14:paraId="529797FC" w14:textId="77777777" w:rsidR="00690621" w:rsidRPr="000C2E42" w:rsidRDefault="00690621" w:rsidP="009C1193">
      <w:pPr>
        <w:pStyle w:val="EndnoteText"/>
        <w:widowControl w:val="0"/>
        <w:tabs>
          <w:tab w:val="clear" w:pos="567"/>
        </w:tabs>
        <w:rPr>
          <w:snapToGrid w:val="0"/>
          <w:color w:val="000000"/>
          <w:szCs w:val="22"/>
          <w:lang w:val="pl-PL"/>
        </w:rPr>
      </w:pPr>
      <w:r w:rsidRPr="00850486">
        <w:rPr>
          <w:snapToGrid w:val="0"/>
          <w:color w:val="000000"/>
          <w:szCs w:val="22"/>
          <w:lang w:val="pl-PL"/>
        </w:rPr>
        <w:t xml:space="preserve">Reaktivacija hepatitisa B pri bolnikih, ki so kronični prenašalci tega virusa, se je pojavila, potem ko so ti bolniki prejeli zaviralce BCR-ABL tirozin-kinaze. V nekaterih primerih je prišlo do akutne odpovedi jeter ali fulminantnega hepatitisa in posledično do presaditve jeter </w:t>
      </w:r>
      <w:r w:rsidRPr="000C2E42">
        <w:rPr>
          <w:snapToGrid w:val="0"/>
          <w:color w:val="000000"/>
          <w:szCs w:val="22"/>
          <w:lang w:val="pl-PL"/>
        </w:rPr>
        <w:t>ali smrtnega izida.</w:t>
      </w:r>
    </w:p>
    <w:p w14:paraId="529797FD" w14:textId="77777777" w:rsidR="00690621" w:rsidRPr="000C2E42" w:rsidRDefault="00690621" w:rsidP="009C1193">
      <w:pPr>
        <w:pStyle w:val="EndnoteText"/>
        <w:widowControl w:val="0"/>
        <w:tabs>
          <w:tab w:val="clear" w:pos="567"/>
        </w:tabs>
        <w:rPr>
          <w:snapToGrid w:val="0"/>
          <w:color w:val="000000"/>
          <w:szCs w:val="22"/>
          <w:lang w:val="pl-PL"/>
        </w:rPr>
      </w:pPr>
    </w:p>
    <w:p w14:paraId="529797FE" w14:textId="77777777" w:rsidR="00444D75" w:rsidRDefault="00690621" w:rsidP="009C1193">
      <w:pPr>
        <w:pStyle w:val="EndnoteText"/>
        <w:widowControl w:val="0"/>
        <w:tabs>
          <w:tab w:val="clear" w:pos="567"/>
        </w:tabs>
        <w:rPr>
          <w:snapToGrid w:val="0"/>
          <w:color w:val="000000"/>
          <w:szCs w:val="22"/>
          <w:lang w:val="pl-PL"/>
        </w:rPr>
      </w:pPr>
      <w:r w:rsidRPr="000C2E42">
        <w:rPr>
          <w:snapToGrid w:val="0"/>
          <w:color w:val="000000"/>
          <w:szCs w:val="22"/>
          <w:lang w:val="pl-PL"/>
        </w:rPr>
        <w:t xml:space="preserve">Bolnike je treba pred začetkom zdravljenja z zdravilom Glivec testirati glede okužbe z virusom hepatitisa B. Pri bolnikih s pozitivno serologijo na hepatitis B (vključno z bolniki z aktivno boleznijo) </w:t>
      </w:r>
      <w:r w:rsidRPr="000C2E42">
        <w:rPr>
          <w:snapToGrid w:val="0"/>
          <w:color w:val="000000"/>
          <w:szCs w:val="22"/>
          <w:lang w:val="pl-PL"/>
        </w:rPr>
        <w:lastRenderedPageBreak/>
        <w:t>in bolnikih, pri katerih se med zdravljenjem test glede okužbe z virusom hepatitisa B izkaže za pozitivnega, se je treba pred začetkom zdravljenja posvetovati s strokovnjaki za obolenja jeter in zdravljenje hepatitisa B. Pri prenašalcih virusa hepatitisa B, pri katerih je potrebno zdravljenje z zdravilom Glivec, je treba med zdravljenjem in nekaj mesecev po njegovem zaključku skrbno spremljati pojav znakov in simptomov aktivne okužbe z virusom hepatitisa B (glejte poglavje</w:t>
      </w:r>
      <w:r w:rsidR="00850486">
        <w:rPr>
          <w:snapToGrid w:val="0"/>
          <w:color w:val="000000"/>
          <w:szCs w:val="22"/>
          <w:lang w:val="pl-PL"/>
        </w:rPr>
        <w:t> </w:t>
      </w:r>
      <w:r w:rsidRPr="00850486">
        <w:rPr>
          <w:snapToGrid w:val="0"/>
          <w:color w:val="000000"/>
          <w:szCs w:val="22"/>
          <w:lang w:val="pl-PL"/>
        </w:rPr>
        <w:t>4.8).</w:t>
      </w:r>
    </w:p>
    <w:p w14:paraId="529797FF" w14:textId="77777777" w:rsidR="0092074C" w:rsidRDefault="0092074C" w:rsidP="009C1193">
      <w:pPr>
        <w:pStyle w:val="EndnoteText"/>
        <w:widowControl w:val="0"/>
        <w:tabs>
          <w:tab w:val="clear" w:pos="567"/>
        </w:tabs>
        <w:rPr>
          <w:snapToGrid w:val="0"/>
          <w:color w:val="000000"/>
          <w:szCs w:val="22"/>
          <w:lang w:val="pl-PL"/>
        </w:rPr>
      </w:pPr>
    </w:p>
    <w:p w14:paraId="52979800" w14:textId="77777777" w:rsidR="0092074C" w:rsidRDefault="0092074C" w:rsidP="009C1193">
      <w:pPr>
        <w:pStyle w:val="EndnoteText"/>
        <w:keepNext/>
        <w:widowControl w:val="0"/>
        <w:tabs>
          <w:tab w:val="clear" w:pos="567"/>
        </w:tabs>
        <w:rPr>
          <w:snapToGrid w:val="0"/>
          <w:color w:val="000000"/>
          <w:szCs w:val="22"/>
          <w:u w:val="single"/>
          <w:lang w:val="pl-PL"/>
        </w:rPr>
      </w:pPr>
      <w:r w:rsidRPr="0017492F">
        <w:rPr>
          <w:snapToGrid w:val="0"/>
          <w:color w:val="000000"/>
          <w:szCs w:val="22"/>
          <w:u w:val="single"/>
          <w:lang w:val="pl-PL"/>
        </w:rPr>
        <w:t>Fototoksičnost</w:t>
      </w:r>
    </w:p>
    <w:p w14:paraId="52979801" w14:textId="77777777" w:rsidR="0092074C" w:rsidRDefault="00542910" w:rsidP="009C1193">
      <w:pPr>
        <w:pStyle w:val="EndnoteText"/>
        <w:widowControl w:val="0"/>
        <w:tabs>
          <w:tab w:val="clear" w:pos="567"/>
        </w:tabs>
        <w:rPr>
          <w:color w:val="000000"/>
          <w:szCs w:val="22"/>
          <w:lang w:val="pl-PL"/>
        </w:rPr>
      </w:pPr>
      <w:r>
        <w:rPr>
          <w:color w:val="000000"/>
          <w:szCs w:val="22"/>
          <w:lang w:val="pl-PL"/>
        </w:rPr>
        <w:t>Z</w:t>
      </w:r>
      <w:r w:rsidR="00B5178A">
        <w:rPr>
          <w:color w:val="000000"/>
          <w:szCs w:val="22"/>
          <w:lang w:val="pl-PL"/>
        </w:rPr>
        <w:t xml:space="preserve">dravljenje z imatinibom </w:t>
      </w:r>
      <w:r>
        <w:rPr>
          <w:color w:val="000000"/>
          <w:szCs w:val="22"/>
          <w:lang w:val="pl-PL"/>
        </w:rPr>
        <w:t xml:space="preserve">je </w:t>
      </w:r>
      <w:r w:rsidR="00B5178A">
        <w:rPr>
          <w:color w:val="000000"/>
          <w:szCs w:val="22"/>
          <w:lang w:val="pl-PL"/>
        </w:rPr>
        <w:t xml:space="preserve">lahko </w:t>
      </w:r>
      <w:r w:rsidR="00D42137">
        <w:rPr>
          <w:color w:val="000000"/>
          <w:szCs w:val="22"/>
          <w:lang w:val="pl-PL"/>
        </w:rPr>
        <w:t>povezano s</w:t>
      </w:r>
      <w:r w:rsidR="002B2665">
        <w:rPr>
          <w:color w:val="000000"/>
          <w:szCs w:val="22"/>
          <w:lang w:val="pl-PL"/>
        </w:rPr>
        <w:t xml:space="preserve"> </w:t>
      </w:r>
      <w:r w:rsidR="00D42137">
        <w:rPr>
          <w:color w:val="000000"/>
          <w:szCs w:val="22"/>
          <w:lang w:val="pl-PL"/>
        </w:rPr>
        <w:t xml:space="preserve">pojavom </w:t>
      </w:r>
      <w:r w:rsidR="002B2665">
        <w:rPr>
          <w:color w:val="000000"/>
          <w:szCs w:val="22"/>
          <w:lang w:val="pl-PL"/>
        </w:rPr>
        <w:t>fototoksičnost</w:t>
      </w:r>
      <w:r w:rsidR="00D42137">
        <w:rPr>
          <w:color w:val="000000"/>
          <w:szCs w:val="22"/>
          <w:lang w:val="pl-PL"/>
        </w:rPr>
        <w:t>i</w:t>
      </w:r>
      <w:r w:rsidR="00B5178A">
        <w:rPr>
          <w:color w:val="000000"/>
          <w:szCs w:val="22"/>
          <w:lang w:val="pl-PL"/>
        </w:rPr>
        <w:t xml:space="preserve">, </w:t>
      </w:r>
      <w:r>
        <w:rPr>
          <w:color w:val="000000"/>
          <w:szCs w:val="22"/>
          <w:lang w:val="pl-PL"/>
        </w:rPr>
        <w:t xml:space="preserve">zato </w:t>
      </w:r>
      <w:r w:rsidR="00B5178A">
        <w:rPr>
          <w:color w:val="000000"/>
          <w:szCs w:val="22"/>
          <w:lang w:val="pl-PL"/>
        </w:rPr>
        <w:t>se je treba</w:t>
      </w:r>
      <w:r w:rsidR="0092074C">
        <w:rPr>
          <w:color w:val="000000"/>
          <w:szCs w:val="22"/>
          <w:lang w:val="pl-PL"/>
        </w:rPr>
        <w:t xml:space="preserve"> </w:t>
      </w:r>
      <w:r w:rsidR="00D42137">
        <w:rPr>
          <w:color w:val="000000"/>
          <w:szCs w:val="22"/>
          <w:lang w:val="pl-PL"/>
        </w:rPr>
        <w:t xml:space="preserve">izogibati </w:t>
      </w:r>
      <w:r w:rsidR="00B5178A">
        <w:rPr>
          <w:color w:val="000000"/>
          <w:szCs w:val="22"/>
          <w:lang w:val="pl-PL"/>
        </w:rPr>
        <w:t>izpostavljenosti direktni sončni svetlobi</w:t>
      </w:r>
      <w:r>
        <w:rPr>
          <w:color w:val="000000"/>
          <w:szCs w:val="22"/>
          <w:lang w:val="pl-PL"/>
        </w:rPr>
        <w:t xml:space="preserve"> </w:t>
      </w:r>
      <w:r w:rsidR="0092074C">
        <w:rPr>
          <w:color w:val="000000"/>
          <w:szCs w:val="22"/>
          <w:lang w:val="pl-PL"/>
        </w:rPr>
        <w:t xml:space="preserve">oziroma </w:t>
      </w:r>
      <w:r w:rsidR="00B5178A">
        <w:rPr>
          <w:color w:val="000000"/>
          <w:szCs w:val="22"/>
          <w:lang w:val="pl-PL"/>
        </w:rPr>
        <w:t xml:space="preserve">jo čimbolj </w:t>
      </w:r>
      <w:r w:rsidR="0092074C">
        <w:rPr>
          <w:color w:val="000000"/>
          <w:szCs w:val="22"/>
          <w:lang w:val="pl-PL"/>
        </w:rPr>
        <w:t>omejiti</w:t>
      </w:r>
      <w:r w:rsidR="00B5178A">
        <w:rPr>
          <w:color w:val="000000"/>
          <w:szCs w:val="22"/>
          <w:lang w:val="pl-PL"/>
        </w:rPr>
        <w:t>.</w:t>
      </w:r>
      <w:r w:rsidR="0092074C">
        <w:rPr>
          <w:color w:val="000000"/>
          <w:szCs w:val="22"/>
          <w:lang w:val="pl-PL"/>
        </w:rPr>
        <w:t xml:space="preserve"> Bolnikom je treba </w:t>
      </w:r>
      <w:r w:rsidR="002B2665">
        <w:rPr>
          <w:color w:val="000000"/>
          <w:szCs w:val="22"/>
          <w:lang w:val="pl-PL"/>
        </w:rPr>
        <w:t xml:space="preserve">naročiti, naj se poslužujejo </w:t>
      </w:r>
      <w:r w:rsidR="0092074C">
        <w:rPr>
          <w:color w:val="000000"/>
          <w:szCs w:val="22"/>
          <w:lang w:val="pl-PL"/>
        </w:rPr>
        <w:t>ukrepov, kot so zaščita</w:t>
      </w:r>
      <w:r w:rsidR="00B5178A">
        <w:rPr>
          <w:color w:val="000000"/>
          <w:szCs w:val="22"/>
          <w:lang w:val="pl-PL"/>
        </w:rPr>
        <w:t xml:space="preserve"> z</w:t>
      </w:r>
      <w:r w:rsidR="0092074C">
        <w:rPr>
          <w:color w:val="000000"/>
          <w:szCs w:val="22"/>
          <w:lang w:val="pl-PL"/>
        </w:rPr>
        <w:t xml:space="preserve"> oblačil</w:t>
      </w:r>
      <w:r w:rsidR="00B5178A">
        <w:rPr>
          <w:color w:val="000000"/>
          <w:szCs w:val="22"/>
          <w:lang w:val="pl-PL"/>
        </w:rPr>
        <w:t>i</w:t>
      </w:r>
      <w:r w:rsidR="0092074C">
        <w:rPr>
          <w:color w:val="000000"/>
          <w:szCs w:val="22"/>
          <w:lang w:val="pl-PL"/>
        </w:rPr>
        <w:t xml:space="preserve"> in </w:t>
      </w:r>
      <w:r w:rsidR="00B5178A">
        <w:rPr>
          <w:color w:val="000000"/>
          <w:szCs w:val="22"/>
          <w:lang w:val="pl-PL"/>
        </w:rPr>
        <w:t xml:space="preserve">uporaba </w:t>
      </w:r>
      <w:r w:rsidR="0092074C">
        <w:rPr>
          <w:color w:val="000000"/>
          <w:szCs w:val="22"/>
          <w:lang w:val="pl-PL"/>
        </w:rPr>
        <w:t>zaščitne kreme z visokim zaščitnim faktorjem (SPF – sun protection</w:t>
      </w:r>
      <w:r w:rsidR="002B2665">
        <w:rPr>
          <w:color w:val="000000"/>
          <w:szCs w:val="22"/>
          <w:lang w:val="pl-PL"/>
        </w:rPr>
        <w:t xml:space="preserve"> factor).</w:t>
      </w:r>
    </w:p>
    <w:p w14:paraId="52979802" w14:textId="77777777" w:rsidR="00292008" w:rsidRDefault="00292008" w:rsidP="009C1193">
      <w:pPr>
        <w:pStyle w:val="EndnoteText"/>
        <w:widowControl w:val="0"/>
        <w:tabs>
          <w:tab w:val="clear" w:pos="567"/>
        </w:tabs>
        <w:rPr>
          <w:color w:val="000000"/>
          <w:szCs w:val="22"/>
          <w:lang w:val="pl-PL"/>
        </w:rPr>
      </w:pPr>
    </w:p>
    <w:p w14:paraId="52979803" w14:textId="77777777" w:rsidR="00292008" w:rsidRDefault="00292008" w:rsidP="009C1193">
      <w:pPr>
        <w:pStyle w:val="EndnoteText"/>
        <w:keepNext/>
        <w:widowControl w:val="0"/>
        <w:tabs>
          <w:tab w:val="clear" w:pos="567"/>
          <w:tab w:val="left" w:pos="7655"/>
        </w:tabs>
        <w:rPr>
          <w:color w:val="000000"/>
          <w:szCs w:val="22"/>
          <w:u w:val="single"/>
          <w:lang w:val="pl-PL"/>
        </w:rPr>
      </w:pPr>
      <w:r>
        <w:rPr>
          <w:color w:val="000000"/>
          <w:szCs w:val="22"/>
          <w:u w:val="single"/>
          <w:lang w:val="pl-PL"/>
        </w:rPr>
        <w:t>Trombotična mikroangiopatija</w:t>
      </w:r>
    </w:p>
    <w:p w14:paraId="52979804" w14:textId="77777777" w:rsidR="00292008" w:rsidRPr="0017492F" w:rsidRDefault="00292008" w:rsidP="009C1193">
      <w:pPr>
        <w:pStyle w:val="EndnoteText"/>
        <w:widowControl w:val="0"/>
        <w:tabs>
          <w:tab w:val="clear" w:pos="567"/>
          <w:tab w:val="left" w:pos="7655"/>
        </w:tabs>
        <w:rPr>
          <w:color w:val="000000"/>
          <w:szCs w:val="22"/>
          <w:lang w:val="pl-PL"/>
        </w:rPr>
      </w:pPr>
      <w:r>
        <w:rPr>
          <w:color w:val="000000"/>
          <w:szCs w:val="22"/>
          <w:lang w:val="pl-PL"/>
        </w:rPr>
        <w:t xml:space="preserve">Zaviralce tirozin kinaze </w:t>
      </w:r>
      <w:r w:rsidR="003C366A">
        <w:rPr>
          <w:color w:val="000000"/>
          <w:szCs w:val="22"/>
          <w:lang w:val="pl-PL"/>
        </w:rPr>
        <w:t xml:space="preserve">BCR-ABL </w:t>
      </w:r>
      <w:r>
        <w:rPr>
          <w:color w:val="000000"/>
          <w:szCs w:val="22"/>
          <w:lang w:val="pl-PL"/>
        </w:rPr>
        <w:t>povezujejo z razvoj</w:t>
      </w:r>
      <w:r w:rsidR="00AF4913">
        <w:rPr>
          <w:color w:val="000000"/>
          <w:szCs w:val="22"/>
          <w:lang w:val="pl-PL"/>
        </w:rPr>
        <w:t xml:space="preserve">em trombotične mikroangiopatije, o posameznih primerih so poročali </w:t>
      </w:r>
      <w:r>
        <w:rPr>
          <w:color w:val="000000"/>
          <w:szCs w:val="22"/>
          <w:lang w:val="pl-PL"/>
        </w:rPr>
        <w:t>tudi pri uporabi zdravila Glivec (glejte poglavje</w:t>
      </w:r>
      <w:r w:rsidR="008A59A4">
        <w:rPr>
          <w:color w:val="000000"/>
          <w:szCs w:val="22"/>
          <w:lang w:val="pl-PL"/>
        </w:rPr>
        <w:t> </w:t>
      </w:r>
      <w:r>
        <w:rPr>
          <w:color w:val="000000"/>
          <w:szCs w:val="22"/>
          <w:lang w:val="pl-PL"/>
        </w:rPr>
        <w:t>4.8). Če se pri bolniku, ki prejema zdravilo Glivec, pojavijo laboratorijski ali klinični znaki trombotične mikroangiopatije</w:t>
      </w:r>
      <w:r w:rsidR="00171B81">
        <w:rPr>
          <w:color w:val="000000"/>
          <w:szCs w:val="22"/>
          <w:lang w:val="pl-PL"/>
        </w:rPr>
        <w:t>,</w:t>
      </w:r>
      <w:r>
        <w:rPr>
          <w:color w:val="000000"/>
          <w:szCs w:val="22"/>
          <w:lang w:val="pl-PL"/>
        </w:rPr>
        <w:t xml:space="preserve"> je treba zdravljenje prekiniti in izvesti temeljit</w:t>
      </w:r>
      <w:r w:rsidR="00AF4913">
        <w:rPr>
          <w:color w:val="000000"/>
          <w:szCs w:val="22"/>
          <w:lang w:val="pl-PL"/>
        </w:rPr>
        <w:t>o oceno</w:t>
      </w:r>
      <w:r>
        <w:rPr>
          <w:color w:val="000000"/>
          <w:szCs w:val="22"/>
          <w:lang w:val="pl-PL"/>
        </w:rPr>
        <w:t xml:space="preserve"> pojava trombotične mikroangiopatije, vključno z aktivnostjo </w:t>
      </w:r>
      <w:r w:rsidRPr="008A59A4">
        <w:rPr>
          <w:color w:val="000000"/>
          <w:szCs w:val="22"/>
          <w:lang w:val="pl-PL"/>
        </w:rPr>
        <w:t>ADAMTS13 in določanjem protiteles proti ADAMTS13. V primeru, da je koncentracija protiteles proti ADAMTS13 zvišana, aktivnost ADAMTS13 pa nizka, se zdravljenja z zdravilom Glivec ne sme nadaljevati.</w:t>
      </w:r>
    </w:p>
    <w:p w14:paraId="52979805" w14:textId="77777777" w:rsidR="00690621" w:rsidRPr="000C2E42" w:rsidRDefault="00690621" w:rsidP="009C1193">
      <w:pPr>
        <w:pStyle w:val="EndnoteText"/>
        <w:widowControl w:val="0"/>
        <w:tabs>
          <w:tab w:val="clear" w:pos="567"/>
        </w:tabs>
        <w:rPr>
          <w:strike/>
          <w:color w:val="000000"/>
          <w:szCs w:val="22"/>
          <w:lang w:val="pl-PL"/>
        </w:rPr>
      </w:pPr>
    </w:p>
    <w:p w14:paraId="52979806" w14:textId="77777777" w:rsidR="00444D75" w:rsidRPr="000C2E42" w:rsidRDefault="00444D75" w:rsidP="009C1193">
      <w:pPr>
        <w:pStyle w:val="EndnoteText"/>
        <w:keepNext/>
        <w:widowControl w:val="0"/>
        <w:tabs>
          <w:tab w:val="clear" w:pos="567"/>
          <w:tab w:val="left" w:pos="7655"/>
        </w:tabs>
        <w:rPr>
          <w:color w:val="000000"/>
          <w:szCs w:val="22"/>
          <w:u w:val="single"/>
          <w:lang w:val="pl-PL"/>
        </w:rPr>
      </w:pPr>
      <w:r w:rsidRPr="000941D5">
        <w:rPr>
          <w:color w:val="000000"/>
          <w:szCs w:val="22"/>
          <w:u w:val="single"/>
          <w:lang w:val="pl-PL"/>
        </w:rPr>
        <w:t>Laboratorijske</w:t>
      </w:r>
      <w:r w:rsidRPr="000C2E42">
        <w:rPr>
          <w:color w:val="000000"/>
          <w:szCs w:val="22"/>
          <w:u w:val="single"/>
          <w:lang w:val="pl-PL"/>
        </w:rPr>
        <w:t xml:space="preserve"> preiskave</w:t>
      </w:r>
    </w:p>
    <w:p w14:paraId="52979807" w14:textId="77777777" w:rsidR="00444D75" w:rsidRPr="004A59B1" w:rsidRDefault="00444D75" w:rsidP="009C1193">
      <w:pPr>
        <w:pStyle w:val="EndnoteText"/>
        <w:widowControl w:val="0"/>
        <w:tabs>
          <w:tab w:val="clear" w:pos="567"/>
        </w:tabs>
        <w:rPr>
          <w:color w:val="000000"/>
          <w:szCs w:val="22"/>
          <w:lang w:val="pl-PL"/>
        </w:rPr>
      </w:pPr>
      <w:r w:rsidRPr="000C2E42">
        <w:rPr>
          <w:color w:val="000000"/>
          <w:szCs w:val="22"/>
          <w:lang w:val="pl-PL"/>
        </w:rPr>
        <w:t xml:space="preserve">Med zdravljenjem z </w:t>
      </w:r>
      <w:r w:rsidR="00D81193" w:rsidRPr="000C2E42">
        <w:rPr>
          <w:color w:val="000000"/>
          <w:szCs w:val="22"/>
          <w:lang w:val="pl-PL"/>
        </w:rPr>
        <w:t>zdravilom Glivec</w:t>
      </w:r>
      <w:r w:rsidRPr="000C2E42">
        <w:rPr>
          <w:color w:val="000000"/>
          <w:szCs w:val="22"/>
          <w:lang w:val="pl-PL"/>
        </w:rPr>
        <w:t xml:space="preserve"> je treba redno opravljati kompletne hemograme. Zdravljenje</w:t>
      </w:r>
      <w:r w:rsidRPr="004A59B1">
        <w:rPr>
          <w:color w:val="000000"/>
          <w:szCs w:val="22"/>
          <w:lang w:val="pl-PL"/>
        </w:rPr>
        <w:t xml:space="preserve"> bolnikov s </w:t>
      </w:r>
      <w:r w:rsidR="00677326" w:rsidRPr="004A59B1">
        <w:rPr>
          <w:color w:val="000000"/>
          <w:szCs w:val="22"/>
          <w:lang w:val="pl-PL"/>
        </w:rPr>
        <w:t>KML</w:t>
      </w:r>
      <w:r w:rsidRPr="004A59B1">
        <w:rPr>
          <w:color w:val="000000"/>
          <w:szCs w:val="22"/>
          <w:lang w:val="pl-PL"/>
        </w:rPr>
        <w:t xml:space="preserve"> z </w:t>
      </w:r>
      <w:r w:rsidR="00D81193" w:rsidRPr="004A59B1">
        <w:rPr>
          <w:color w:val="000000"/>
          <w:szCs w:val="22"/>
          <w:lang w:val="pl-PL"/>
        </w:rPr>
        <w:t>zdravilom Glivec</w:t>
      </w:r>
      <w:r w:rsidRPr="004A59B1">
        <w:rPr>
          <w:color w:val="000000"/>
          <w:szCs w:val="22"/>
          <w:lang w:val="pl-PL"/>
        </w:rPr>
        <w:t xml:space="preserve"> je povezano z nevtropenijo ali </w:t>
      </w:r>
      <w:r w:rsidR="00D501C1" w:rsidRPr="004A59B1">
        <w:rPr>
          <w:color w:val="000000"/>
          <w:szCs w:val="22"/>
          <w:lang w:val="pl-PL"/>
        </w:rPr>
        <w:t xml:space="preserve">s </w:t>
      </w:r>
      <w:r w:rsidRPr="004A59B1">
        <w:rPr>
          <w:color w:val="000000"/>
          <w:szCs w:val="22"/>
          <w:lang w:val="pl-PL"/>
        </w:rPr>
        <w:t xml:space="preserve">trombocitopenijo. Vendar je pojavljanje teh citopenij verjetno v zvezi s stadijem bolezni, ki jo zdravimo. Pogostejše so pri bolnikih s pospešeno fazo </w:t>
      </w:r>
      <w:r w:rsidR="00677326" w:rsidRPr="004A59B1">
        <w:rPr>
          <w:color w:val="000000"/>
          <w:szCs w:val="22"/>
          <w:lang w:val="pl-PL"/>
        </w:rPr>
        <w:t>KML</w:t>
      </w:r>
      <w:r w:rsidRPr="004A59B1">
        <w:rPr>
          <w:color w:val="000000"/>
          <w:szCs w:val="22"/>
          <w:lang w:val="pl-PL"/>
        </w:rPr>
        <w:t xml:space="preserve"> ali blastno krizo kot pri bolnikih s kronično fazo </w:t>
      </w:r>
      <w:r w:rsidR="00677326" w:rsidRPr="004A59B1">
        <w:rPr>
          <w:color w:val="000000"/>
          <w:szCs w:val="22"/>
          <w:lang w:val="pl-PL"/>
        </w:rPr>
        <w:t>KML</w:t>
      </w:r>
      <w:r w:rsidRPr="004A59B1">
        <w:rPr>
          <w:color w:val="000000"/>
          <w:szCs w:val="22"/>
          <w:lang w:val="pl-PL"/>
        </w:rPr>
        <w:t xml:space="preserve">. Zdravljenje z </w:t>
      </w:r>
      <w:r w:rsidR="00D81193" w:rsidRPr="004A59B1">
        <w:rPr>
          <w:color w:val="000000"/>
          <w:szCs w:val="22"/>
          <w:lang w:val="pl-PL"/>
        </w:rPr>
        <w:t>zdravilom Glivec</w:t>
      </w:r>
      <w:r w:rsidRPr="004A59B1">
        <w:rPr>
          <w:color w:val="000000"/>
          <w:szCs w:val="22"/>
          <w:lang w:val="pl-PL"/>
        </w:rPr>
        <w:t xml:space="preserve"> lahko prekinemo ali odmerek zmanjšamo, kot je priporočeno v poglavju 4.2.</w:t>
      </w:r>
    </w:p>
    <w:p w14:paraId="52979808" w14:textId="77777777" w:rsidR="00444D75" w:rsidRPr="004A59B1" w:rsidRDefault="00444D75" w:rsidP="009C1193">
      <w:pPr>
        <w:pStyle w:val="EndnoteText"/>
        <w:widowControl w:val="0"/>
        <w:tabs>
          <w:tab w:val="clear" w:pos="567"/>
        </w:tabs>
        <w:rPr>
          <w:color w:val="000000"/>
          <w:szCs w:val="22"/>
          <w:lang w:val="pl-PL"/>
        </w:rPr>
      </w:pPr>
    </w:p>
    <w:p w14:paraId="52979809" w14:textId="77777777" w:rsidR="00444D75" w:rsidRPr="004A59B1" w:rsidRDefault="00444D75" w:rsidP="009C1193">
      <w:pPr>
        <w:pStyle w:val="EndnoteText"/>
        <w:widowControl w:val="0"/>
        <w:tabs>
          <w:tab w:val="clear" w:pos="567"/>
        </w:tabs>
        <w:rPr>
          <w:color w:val="000000"/>
          <w:szCs w:val="22"/>
          <w:lang w:val="pl-PL"/>
        </w:rPr>
      </w:pPr>
      <w:r w:rsidRPr="004A59B1">
        <w:rPr>
          <w:color w:val="000000"/>
          <w:szCs w:val="22"/>
          <w:lang w:val="pl-PL"/>
        </w:rPr>
        <w:t>Delovanje jeter (</w:t>
      </w:r>
      <w:r w:rsidR="00DE7EB6" w:rsidRPr="004A59B1">
        <w:rPr>
          <w:color w:val="000000"/>
          <w:szCs w:val="22"/>
          <w:lang w:val="pl-PL"/>
        </w:rPr>
        <w:t>aminotransferaze</w:t>
      </w:r>
      <w:r w:rsidRPr="004A59B1">
        <w:rPr>
          <w:color w:val="000000"/>
          <w:szCs w:val="22"/>
          <w:lang w:val="pl-PL"/>
        </w:rPr>
        <w:t xml:space="preserve">, bilirubin, alkalna fosfataza) je treba pri bolnikih, ki dobivajo </w:t>
      </w:r>
      <w:r w:rsidR="003D6822" w:rsidRPr="004A59B1">
        <w:rPr>
          <w:color w:val="000000"/>
          <w:szCs w:val="22"/>
          <w:lang w:val="pl-PL"/>
        </w:rPr>
        <w:t xml:space="preserve">zdravilo </w:t>
      </w:r>
      <w:r w:rsidRPr="004A59B1">
        <w:rPr>
          <w:color w:val="000000"/>
          <w:szCs w:val="22"/>
          <w:lang w:val="pl-PL"/>
        </w:rPr>
        <w:t>Glivec, redno spremljati.</w:t>
      </w:r>
    </w:p>
    <w:p w14:paraId="5297980A" w14:textId="77777777" w:rsidR="00444D75" w:rsidRPr="004A59B1" w:rsidRDefault="00444D75" w:rsidP="009C1193">
      <w:pPr>
        <w:pStyle w:val="EndnoteText"/>
        <w:widowControl w:val="0"/>
        <w:tabs>
          <w:tab w:val="clear" w:pos="567"/>
        </w:tabs>
        <w:rPr>
          <w:color w:val="000000"/>
          <w:szCs w:val="22"/>
          <w:lang w:val="pl-PL"/>
        </w:rPr>
      </w:pPr>
    </w:p>
    <w:p w14:paraId="5297980B" w14:textId="77777777" w:rsidR="00444D75" w:rsidRDefault="00CC1D57" w:rsidP="009C1193">
      <w:pPr>
        <w:pStyle w:val="EndnoteText"/>
        <w:widowControl w:val="0"/>
        <w:tabs>
          <w:tab w:val="clear" w:pos="567"/>
        </w:tabs>
        <w:rPr>
          <w:color w:val="000000"/>
          <w:lang w:val="pl-PL"/>
        </w:rPr>
      </w:pPr>
      <w:r w:rsidRPr="004A59B1">
        <w:rPr>
          <w:color w:val="000000"/>
          <w:lang w:val="pl-PL"/>
        </w:rPr>
        <w:t xml:space="preserve">Kaže, da je pri bolnikih z okvarjenim delovanjem ledvic izpostavljenost imatinibu v plazmi višja kot pri bolnikih z normalnim delovanjem ledvic, verjetno zato, ker je pri </w:t>
      </w:r>
      <w:r w:rsidR="00CD287A" w:rsidRPr="004A59B1">
        <w:rPr>
          <w:color w:val="000000"/>
          <w:lang w:val="pl-PL"/>
        </w:rPr>
        <w:t>teh bo</w:t>
      </w:r>
      <w:r w:rsidRPr="004A59B1">
        <w:rPr>
          <w:color w:val="000000"/>
          <w:lang w:val="pl-PL"/>
        </w:rPr>
        <w:t>lnikih zvišana vrednost alfa kislega glikoproteina (AGP</w:t>
      </w:r>
      <w:r w:rsidR="00604B01" w:rsidRPr="004A59B1">
        <w:rPr>
          <w:color w:val="000000"/>
          <w:lang w:val="pl-PL"/>
        </w:rPr>
        <w:t xml:space="preserve"> </w:t>
      </w:r>
      <w:r w:rsidR="00A865B6" w:rsidRPr="004A59B1">
        <w:rPr>
          <w:color w:val="000000"/>
          <w:lang w:val="pl-PL"/>
        </w:rPr>
        <w:t>-</w:t>
      </w:r>
      <w:r w:rsidR="00604B01" w:rsidRPr="004A59B1">
        <w:rPr>
          <w:color w:val="000000"/>
          <w:lang w:val="pl-PL"/>
        </w:rPr>
        <w:t xml:space="preserve"> </w:t>
      </w:r>
      <w:r w:rsidRPr="00304E94">
        <w:rPr>
          <w:i/>
          <w:color w:val="000000"/>
          <w:lang w:val="pl-PL"/>
        </w:rPr>
        <w:t>alpha-acid glycoprotein</w:t>
      </w:r>
      <w:r w:rsidRPr="004A59B1">
        <w:rPr>
          <w:color w:val="000000"/>
          <w:lang w:val="pl-PL"/>
        </w:rPr>
        <w:t>) v plazmi, protein</w:t>
      </w:r>
      <w:r w:rsidR="00A865B6" w:rsidRPr="004A59B1">
        <w:rPr>
          <w:color w:val="000000"/>
          <w:lang w:val="pl-PL"/>
        </w:rPr>
        <w:t>a</w:t>
      </w:r>
      <w:r w:rsidRPr="004A59B1">
        <w:rPr>
          <w:color w:val="000000"/>
          <w:lang w:val="pl-PL"/>
        </w:rPr>
        <w:t>, ki veže imatinib.</w:t>
      </w:r>
      <w:r w:rsidR="00CD287A" w:rsidRPr="004A59B1">
        <w:rPr>
          <w:color w:val="000000"/>
          <w:lang w:val="pl-PL"/>
        </w:rPr>
        <w:t xml:space="preserve"> Bolniki z okvarjenim delovanjem ledvic </w:t>
      </w:r>
      <w:r w:rsidR="00CD287A" w:rsidRPr="004A59B1">
        <w:rPr>
          <w:color w:val="000000"/>
          <w:szCs w:val="22"/>
          <w:lang w:val="pl-PL"/>
        </w:rPr>
        <w:t>naj prejmejo najmanjši priporočeni začetni odmerek</w:t>
      </w:r>
      <w:r w:rsidR="00CD287A" w:rsidRPr="004A59B1">
        <w:rPr>
          <w:color w:val="000000"/>
          <w:lang w:val="pl-PL"/>
        </w:rPr>
        <w:t xml:space="preserve">. Pri zdravljenju bolnikov </w:t>
      </w:r>
      <w:r w:rsidR="00CD287A" w:rsidRPr="004A59B1">
        <w:rPr>
          <w:color w:val="000000"/>
          <w:szCs w:val="22"/>
          <w:lang w:val="pl-PL"/>
        </w:rPr>
        <w:t xml:space="preserve">s hudo okvarjenim delovanjem ledvic je potrebna previdnost. Odmerek je mogoče </w:t>
      </w:r>
      <w:r w:rsidR="00CF7C31" w:rsidRPr="004A59B1">
        <w:rPr>
          <w:color w:val="000000"/>
          <w:szCs w:val="22"/>
          <w:lang w:val="pl-PL"/>
        </w:rPr>
        <w:t>zmanjšati</w:t>
      </w:r>
      <w:r w:rsidR="00CD287A" w:rsidRPr="004A59B1">
        <w:rPr>
          <w:color w:val="000000"/>
          <w:szCs w:val="22"/>
          <w:lang w:val="pl-PL"/>
        </w:rPr>
        <w:t>, če ga bolnik ne prenaša dobro</w:t>
      </w:r>
      <w:r w:rsidR="006E7FB3" w:rsidRPr="004A59B1">
        <w:rPr>
          <w:color w:val="000000"/>
          <w:szCs w:val="22"/>
          <w:lang w:val="pl-PL"/>
        </w:rPr>
        <w:t xml:space="preserve"> </w:t>
      </w:r>
      <w:r w:rsidR="00CD287A" w:rsidRPr="004A59B1">
        <w:rPr>
          <w:color w:val="000000"/>
          <w:lang w:val="pl-PL"/>
        </w:rPr>
        <w:t>(</w:t>
      </w:r>
      <w:r w:rsidR="006E7FB3" w:rsidRPr="004A59B1">
        <w:rPr>
          <w:color w:val="000000"/>
          <w:lang w:val="pl-PL"/>
        </w:rPr>
        <w:t>glejte poglavji</w:t>
      </w:r>
      <w:r w:rsidR="00CD287A" w:rsidRPr="004A59B1">
        <w:rPr>
          <w:color w:val="000000"/>
          <w:lang w:val="pl-PL"/>
        </w:rPr>
        <w:t xml:space="preserve"> 4.2</w:t>
      </w:r>
      <w:r w:rsidR="006E7FB3" w:rsidRPr="004A59B1">
        <w:rPr>
          <w:color w:val="000000"/>
          <w:lang w:val="pl-PL"/>
        </w:rPr>
        <w:t xml:space="preserve"> in</w:t>
      </w:r>
      <w:r w:rsidR="00CD287A" w:rsidRPr="004A59B1">
        <w:rPr>
          <w:color w:val="000000"/>
          <w:lang w:val="pl-PL"/>
        </w:rPr>
        <w:t xml:space="preserve"> 5.2).</w:t>
      </w:r>
    </w:p>
    <w:p w14:paraId="5297980C" w14:textId="77777777" w:rsidR="00226F17" w:rsidRDefault="00226F17" w:rsidP="009C1193">
      <w:pPr>
        <w:pStyle w:val="EndnoteText"/>
        <w:widowControl w:val="0"/>
        <w:tabs>
          <w:tab w:val="clear" w:pos="567"/>
        </w:tabs>
        <w:rPr>
          <w:color w:val="000000"/>
          <w:lang w:val="pl-PL"/>
        </w:rPr>
      </w:pPr>
    </w:p>
    <w:p w14:paraId="5297980D" w14:textId="77777777" w:rsidR="00226F17" w:rsidRPr="004A59B1" w:rsidRDefault="00226F17" w:rsidP="009C1193">
      <w:pPr>
        <w:pStyle w:val="EndnoteText"/>
        <w:widowControl w:val="0"/>
        <w:tabs>
          <w:tab w:val="clear" w:pos="567"/>
        </w:tabs>
        <w:rPr>
          <w:color w:val="000000"/>
          <w:szCs w:val="22"/>
          <w:lang w:val="pl-PL"/>
        </w:rPr>
      </w:pPr>
      <w:r>
        <w:rPr>
          <w:color w:val="000000"/>
          <w:szCs w:val="22"/>
          <w:lang w:val="pl-PL"/>
        </w:rPr>
        <w:t>Dolgotrajno zdravljenje z imatinibom je lahko povezano s klinično pomembnim zmanjšanjem ledvične funkcije.</w:t>
      </w:r>
      <w:r w:rsidR="00572846">
        <w:rPr>
          <w:color w:val="000000"/>
          <w:szCs w:val="22"/>
          <w:lang w:val="pl-PL"/>
        </w:rPr>
        <w:t xml:space="preserve"> Delovanje ledvic je zato treba </w:t>
      </w:r>
      <w:r w:rsidR="0034667D">
        <w:rPr>
          <w:color w:val="000000"/>
          <w:szCs w:val="22"/>
          <w:lang w:val="pl-PL"/>
        </w:rPr>
        <w:t>oceniti</w:t>
      </w:r>
      <w:r w:rsidR="00572846">
        <w:rPr>
          <w:color w:val="000000"/>
          <w:szCs w:val="22"/>
          <w:lang w:val="pl-PL"/>
        </w:rPr>
        <w:t xml:space="preserve"> pred začetkom zdravljenja z imatinibom in ga nato </w:t>
      </w:r>
      <w:r w:rsidR="00177FA1">
        <w:rPr>
          <w:color w:val="000000"/>
          <w:szCs w:val="22"/>
          <w:lang w:val="pl-PL"/>
        </w:rPr>
        <w:t xml:space="preserve">skrbno </w:t>
      </w:r>
      <w:r w:rsidR="00572846">
        <w:rPr>
          <w:color w:val="000000"/>
          <w:szCs w:val="22"/>
          <w:lang w:val="pl-PL"/>
        </w:rPr>
        <w:t>spremljati tekom zdravljenja</w:t>
      </w:r>
      <w:r w:rsidR="00177FA1">
        <w:rPr>
          <w:color w:val="000000"/>
          <w:szCs w:val="22"/>
          <w:lang w:val="pl-PL"/>
        </w:rPr>
        <w:t>,</w:t>
      </w:r>
      <w:r w:rsidR="00572846">
        <w:rPr>
          <w:color w:val="000000"/>
          <w:szCs w:val="22"/>
          <w:lang w:val="pl-PL"/>
        </w:rPr>
        <w:t xml:space="preserve"> še </w:t>
      </w:r>
      <w:r w:rsidR="00177FA1">
        <w:rPr>
          <w:color w:val="000000"/>
          <w:szCs w:val="22"/>
          <w:lang w:val="pl-PL"/>
        </w:rPr>
        <w:t>posebno</w:t>
      </w:r>
      <w:r w:rsidR="00572846">
        <w:rPr>
          <w:color w:val="000000"/>
          <w:szCs w:val="22"/>
          <w:lang w:val="pl-PL"/>
        </w:rPr>
        <w:t xml:space="preserve"> </w:t>
      </w:r>
      <w:r w:rsidR="00177FA1">
        <w:rPr>
          <w:color w:val="000000"/>
          <w:szCs w:val="22"/>
          <w:lang w:val="pl-PL"/>
        </w:rPr>
        <w:t>pozorno</w:t>
      </w:r>
      <w:r w:rsidR="0034667D">
        <w:rPr>
          <w:color w:val="000000"/>
          <w:szCs w:val="22"/>
          <w:lang w:val="pl-PL"/>
        </w:rPr>
        <w:t xml:space="preserve"> je treba</w:t>
      </w:r>
      <w:r w:rsidR="00177FA1">
        <w:rPr>
          <w:color w:val="000000"/>
          <w:szCs w:val="22"/>
          <w:lang w:val="pl-PL"/>
        </w:rPr>
        <w:t xml:space="preserve"> spremljati bolnike</w:t>
      </w:r>
      <w:r w:rsidR="00572846">
        <w:rPr>
          <w:color w:val="000000"/>
          <w:szCs w:val="22"/>
          <w:lang w:val="pl-PL"/>
        </w:rPr>
        <w:t xml:space="preserve"> z dejavniki tveganja za poslabšanje ledvične funkcije. </w:t>
      </w:r>
      <w:r w:rsidR="00572846" w:rsidRPr="00373659">
        <w:rPr>
          <w:color w:val="000000"/>
          <w:szCs w:val="22"/>
          <w:lang w:val="pl-PL"/>
        </w:rPr>
        <w:t xml:space="preserve">Če </w:t>
      </w:r>
      <w:r w:rsidR="001D4A91" w:rsidRPr="00373659">
        <w:rPr>
          <w:color w:val="000000"/>
          <w:szCs w:val="22"/>
          <w:lang w:val="pl-PL"/>
        </w:rPr>
        <w:t>je ugotovljeno</w:t>
      </w:r>
      <w:r w:rsidR="00572846" w:rsidRPr="00373659">
        <w:rPr>
          <w:color w:val="000000"/>
          <w:szCs w:val="22"/>
          <w:lang w:val="pl-PL"/>
        </w:rPr>
        <w:t xml:space="preserve"> poslabšanje ledvične funkcije</w:t>
      </w:r>
      <w:r w:rsidR="00F737A0" w:rsidRPr="00373659">
        <w:rPr>
          <w:color w:val="000000"/>
          <w:szCs w:val="22"/>
          <w:lang w:val="pl-PL"/>
        </w:rPr>
        <w:t>,</w:t>
      </w:r>
      <w:r w:rsidR="00572846" w:rsidRPr="00373659">
        <w:rPr>
          <w:color w:val="000000"/>
          <w:szCs w:val="22"/>
          <w:lang w:val="pl-PL"/>
        </w:rPr>
        <w:t xml:space="preserve"> je </w:t>
      </w:r>
      <w:r w:rsidR="001D4A91" w:rsidRPr="00373659">
        <w:rPr>
          <w:color w:val="000000"/>
          <w:szCs w:val="22"/>
          <w:lang w:val="pl-PL"/>
        </w:rPr>
        <w:t>treba</w:t>
      </w:r>
      <w:r w:rsidR="00572846">
        <w:rPr>
          <w:color w:val="000000"/>
          <w:szCs w:val="22"/>
          <w:lang w:val="pl-PL"/>
        </w:rPr>
        <w:t xml:space="preserve"> uvesti ustrezne ukrepe in predpisati zdravljenje v skladu s standardnimi smernicami zdravljenja.</w:t>
      </w:r>
    </w:p>
    <w:p w14:paraId="5297980E" w14:textId="77777777" w:rsidR="00EB7DCC" w:rsidRPr="004A59B1" w:rsidRDefault="00EB7DCC" w:rsidP="009C1193">
      <w:pPr>
        <w:pStyle w:val="EndnoteText"/>
        <w:widowControl w:val="0"/>
        <w:tabs>
          <w:tab w:val="clear" w:pos="567"/>
        </w:tabs>
        <w:rPr>
          <w:color w:val="000000"/>
          <w:szCs w:val="22"/>
          <w:lang w:val="pl-PL"/>
        </w:rPr>
      </w:pPr>
    </w:p>
    <w:p w14:paraId="5297980F" w14:textId="77777777" w:rsidR="00EB7DCC" w:rsidRPr="0041681F" w:rsidRDefault="00706E09" w:rsidP="009C1193">
      <w:pPr>
        <w:pStyle w:val="EndnoteText"/>
        <w:keepNext/>
        <w:widowControl w:val="0"/>
        <w:tabs>
          <w:tab w:val="clear" w:pos="567"/>
          <w:tab w:val="left" w:pos="7655"/>
        </w:tabs>
        <w:rPr>
          <w:u w:val="single"/>
          <w:lang w:val="pl-PL"/>
        </w:rPr>
      </w:pPr>
      <w:r w:rsidRPr="002E00F3">
        <w:rPr>
          <w:color w:val="000000"/>
          <w:szCs w:val="22"/>
          <w:u w:val="single"/>
          <w:lang w:val="pl-PL"/>
        </w:rPr>
        <w:t>Pediatrična</w:t>
      </w:r>
      <w:r w:rsidRPr="0041681F">
        <w:rPr>
          <w:u w:val="single"/>
          <w:lang w:val="pl-PL"/>
        </w:rPr>
        <w:t xml:space="preserve"> populacija</w:t>
      </w:r>
    </w:p>
    <w:p w14:paraId="52979810" w14:textId="77777777" w:rsidR="00EB7DCC" w:rsidRPr="004A59B1" w:rsidRDefault="00EB7DCC" w:rsidP="009C1193">
      <w:pPr>
        <w:pStyle w:val="EndnoteText"/>
        <w:widowControl w:val="0"/>
        <w:tabs>
          <w:tab w:val="clear" w:pos="567"/>
        </w:tabs>
        <w:rPr>
          <w:color w:val="000000"/>
          <w:szCs w:val="22"/>
          <w:lang w:val="pl-PL"/>
        </w:rPr>
      </w:pPr>
      <w:r w:rsidRPr="004A59B1">
        <w:rPr>
          <w:szCs w:val="22"/>
          <w:lang w:val="pl-PL" w:bidi="kn-IN"/>
        </w:rPr>
        <w:t>Pri otrocih in mladostnikih</w:t>
      </w:r>
      <w:r w:rsidR="001F6702" w:rsidRPr="004A59B1">
        <w:rPr>
          <w:szCs w:val="22"/>
          <w:lang w:val="pl-PL" w:bidi="kn-IN"/>
        </w:rPr>
        <w:t xml:space="preserve"> pred puberteto</w:t>
      </w:r>
      <w:r w:rsidRPr="004A59B1">
        <w:rPr>
          <w:szCs w:val="22"/>
          <w:lang w:val="pl-PL" w:bidi="kn-IN"/>
        </w:rPr>
        <w:t xml:space="preserve">, ki so prejemali imatinib, so poročali o posameznih primerih </w:t>
      </w:r>
      <w:r w:rsidR="001F6702" w:rsidRPr="004A59B1">
        <w:rPr>
          <w:szCs w:val="22"/>
          <w:lang w:val="pl-PL" w:bidi="kn-IN"/>
        </w:rPr>
        <w:t>zaostajanja v</w:t>
      </w:r>
      <w:r w:rsidRPr="004A59B1">
        <w:rPr>
          <w:szCs w:val="22"/>
          <w:lang w:val="pl-PL" w:bidi="kn-IN"/>
        </w:rPr>
        <w:t xml:space="preserve"> rasti</w:t>
      </w:r>
      <w:r w:rsidR="00847543" w:rsidRPr="004A59B1">
        <w:rPr>
          <w:szCs w:val="22"/>
          <w:lang w:val="pl-PL" w:bidi="kn-IN"/>
        </w:rPr>
        <w:t>.</w:t>
      </w:r>
      <w:r w:rsidRPr="004A59B1">
        <w:rPr>
          <w:szCs w:val="22"/>
          <w:lang w:val="pl-PL" w:bidi="kn-IN"/>
        </w:rPr>
        <w:t xml:space="preserve"> </w:t>
      </w:r>
      <w:r w:rsidR="002E00F3">
        <w:rPr>
          <w:szCs w:val="22"/>
          <w:lang w:val="pl-PL" w:bidi="kn-IN"/>
        </w:rPr>
        <w:t xml:space="preserve">V opazovalni študiji pri pediatrični populaciji s kronično mieloično levkemijo so </w:t>
      </w:r>
      <w:r w:rsidR="000B16ED" w:rsidRPr="000B16ED">
        <w:rPr>
          <w:szCs w:val="22"/>
          <w:lang w:val="pl-PL" w:bidi="kn-IN"/>
        </w:rPr>
        <w:t>po 12 in 24</w:t>
      </w:r>
      <w:r w:rsidR="004B52BD">
        <w:rPr>
          <w:szCs w:val="22"/>
          <w:lang w:val="pl-PL" w:bidi="kn-IN"/>
        </w:rPr>
        <w:t> </w:t>
      </w:r>
      <w:r w:rsidR="000B16ED" w:rsidRPr="000B16ED">
        <w:rPr>
          <w:szCs w:val="22"/>
          <w:lang w:val="pl-PL" w:bidi="kn-IN"/>
        </w:rPr>
        <w:t xml:space="preserve">mesecih zdravljenja </w:t>
      </w:r>
      <w:r w:rsidR="002E00F3">
        <w:rPr>
          <w:szCs w:val="22"/>
          <w:lang w:val="pl-PL" w:bidi="kn-IN"/>
        </w:rPr>
        <w:t xml:space="preserve">poročali o </w:t>
      </w:r>
      <w:r w:rsidR="004F1CCC">
        <w:rPr>
          <w:szCs w:val="22"/>
          <w:lang w:val="pl-PL" w:bidi="kn-IN"/>
        </w:rPr>
        <w:t xml:space="preserve">statistično značilnem </w:t>
      </w:r>
      <w:r w:rsidR="002E00F3">
        <w:rPr>
          <w:szCs w:val="22"/>
          <w:lang w:val="pl-PL" w:bidi="kn-IN"/>
        </w:rPr>
        <w:t xml:space="preserve">zmanjšanju </w:t>
      </w:r>
      <w:r w:rsidR="004F1CCC">
        <w:rPr>
          <w:szCs w:val="22"/>
          <w:lang w:val="pl-PL" w:bidi="kn-IN"/>
        </w:rPr>
        <w:t xml:space="preserve">(klinična pomembnost tega zmanjšanja ni znana) </w:t>
      </w:r>
      <w:r w:rsidR="002E00F3">
        <w:rPr>
          <w:szCs w:val="22"/>
          <w:lang w:val="pl-PL" w:bidi="kn-IN"/>
        </w:rPr>
        <w:t xml:space="preserve">v </w:t>
      </w:r>
      <w:r w:rsidR="00BF17C5">
        <w:rPr>
          <w:szCs w:val="22"/>
          <w:lang w:val="pl-PL" w:bidi="kn-IN"/>
        </w:rPr>
        <w:t>vrednostih</w:t>
      </w:r>
      <w:r w:rsidR="002E00F3">
        <w:rPr>
          <w:szCs w:val="22"/>
          <w:lang w:val="pl-PL" w:bidi="kn-IN"/>
        </w:rPr>
        <w:t xml:space="preserve"> standardne</w:t>
      </w:r>
      <w:r w:rsidR="00BF17C5">
        <w:rPr>
          <w:szCs w:val="22"/>
          <w:lang w:val="pl-PL" w:bidi="kn-IN"/>
        </w:rPr>
        <w:t>ga odklona</w:t>
      </w:r>
      <w:r w:rsidR="002E00F3">
        <w:rPr>
          <w:szCs w:val="22"/>
          <w:lang w:val="pl-PL" w:bidi="kn-IN"/>
        </w:rPr>
        <w:t xml:space="preserve"> mediane </w:t>
      </w:r>
      <w:r w:rsidR="007F3467">
        <w:rPr>
          <w:szCs w:val="22"/>
          <w:lang w:val="pl-PL" w:bidi="kn-IN"/>
        </w:rPr>
        <w:t xml:space="preserve">telesne </w:t>
      </w:r>
      <w:r w:rsidR="002E00F3">
        <w:rPr>
          <w:szCs w:val="22"/>
          <w:lang w:val="pl-PL" w:bidi="kn-IN"/>
        </w:rPr>
        <w:t>v</w:t>
      </w:r>
      <w:r w:rsidR="007F3467">
        <w:rPr>
          <w:szCs w:val="22"/>
          <w:lang w:val="pl-PL" w:bidi="kn-IN"/>
        </w:rPr>
        <w:t>išine</w:t>
      </w:r>
      <w:r w:rsidR="002E00F3">
        <w:rPr>
          <w:szCs w:val="22"/>
          <w:lang w:val="pl-PL" w:bidi="kn-IN"/>
        </w:rPr>
        <w:t xml:space="preserve"> pri dveh manjših </w:t>
      </w:r>
      <w:r w:rsidR="00C255A5">
        <w:rPr>
          <w:szCs w:val="22"/>
          <w:lang w:val="pl-PL" w:bidi="kn-IN"/>
        </w:rPr>
        <w:t>podskupinah</w:t>
      </w:r>
      <w:r w:rsidR="00C01CBE">
        <w:rPr>
          <w:szCs w:val="22"/>
          <w:lang w:val="pl-PL" w:bidi="kn-IN"/>
        </w:rPr>
        <w:t>, ne glede na spolno dozorelost in spol</w:t>
      </w:r>
      <w:r w:rsidR="002E00F3">
        <w:rPr>
          <w:szCs w:val="22"/>
          <w:lang w:val="pl-PL" w:bidi="kn-IN"/>
        </w:rPr>
        <w:t xml:space="preserve">. </w:t>
      </w:r>
      <w:r w:rsidR="00C01CBE">
        <w:rPr>
          <w:szCs w:val="22"/>
          <w:lang w:val="pl-PL" w:bidi="kn-IN"/>
        </w:rPr>
        <w:t>P</w:t>
      </w:r>
      <w:r w:rsidRPr="004A59B1">
        <w:rPr>
          <w:szCs w:val="22"/>
          <w:lang w:val="pl-PL" w:bidi="kn-IN"/>
        </w:rPr>
        <w:t xml:space="preserve">ri otrocih, ki prejemajo imatinib, </w:t>
      </w:r>
      <w:r w:rsidR="00C01CBE">
        <w:rPr>
          <w:szCs w:val="22"/>
          <w:lang w:val="pl-PL" w:bidi="kn-IN"/>
        </w:rPr>
        <w:t xml:space="preserve">je </w:t>
      </w:r>
      <w:r w:rsidRPr="004A59B1">
        <w:rPr>
          <w:szCs w:val="22"/>
          <w:lang w:val="pl-PL" w:bidi="kn-IN"/>
        </w:rPr>
        <w:t xml:space="preserve">priporočeno natančno spremljanje njihove rasti </w:t>
      </w:r>
      <w:r w:rsidRPr="004A59B1">
        <w:rPr>
          <w:szCs w:val="22"/>
          <w:lang w:val="pl-PL"/>
        </w:rPr>
        <w:t>(</w:t>
      </w:r>
      <w:r w:rsidR="00462A94" w:rsidRPr="004A59B1">
        <w:rPr>
          <w:szCs w:val="22"/>
          <w:lang w:val="pl-PL"/>
        </w:rPr>
        <w:t xml:space="preserve">glejte poglavje </w:t>
      </w:r>
      <w:r w:rsidRPr="004A59B1">
        <w:rPr>
          <w:szCs w:val="22"/>
          <w:lang w:val="pl-PL"/>
        </w:rPr>
        <w:t>4.8).</w:t>
      </w:r>
    </w:p>
    <w:p w14:paraId="52979811" w14:textId="77777777" w:rsidR="00444D75" w:rsidRPr="004A59B1" w:rsidRDefault="00444D75" w:rsidP="009C1193">
      <w:pPr>
        <w:pStyle w:val="EndnoteText"/>
        <w:widowControl w:val="0"/>
        <w:tabs>
          <w:tab w:val="clear" w:pos="567"/>
        </w:tabs>
        <w:rPr>
          <w:color w:val="000000"/>
          <w:szCs w:val="22"/>
          <w:lang w:val="pl-PL"/>
        </w:rPr>
      </w:pPr>
    </w:p>
    <w:p w14:paraId="52979812" w14:textId="77777777" w:rsidR="00444D75" w:rsidRPr="004A59B1" w:rsidRDefault="00444D75" w:rsidP="009C1193">
      <w:pPr>
        <w:keepNext/>
        <w:widowControl w:val="0"/>
        <w:tabs>
          <w:tab w:val="clear" w:pos="567"/>
        </w:tabs>
        <w:spacing w:line="240" w:lineRule="auto"/>
        <w:ind w:left="567" w:hanging="567"/>
        <w:rPr>
          <w:color w:val="000000"/>
          <w:szCs w:val="22"/>
          <w:lang w:val="pl-PL"/>
        </w:rPr>
      </w:pPr>
      <w:r w:rsidRPr="004A59B1">
        <w:rPr>
          <w:b/>
          <w:color w:val="000000"/>
          <w:szCs w:val="22"/>
          <w:lang w:val="pl-PL"/>
        </w:rPr>
        <w:t>4.5</w:t>
      </w:r>
      <w:r w:rsidRPr="004A59B1">
        <w:rPr>
          <w:b/>
          <w:color w:val="000000"/>
          <w:szCs w:val="22"/>
          <w:lang w:val="pl-PL"/>
        </w:rPr>
        <w:tab/>
        <w:t>Medsebojno delovanje z drugimi zdravili in druge oblike interakcij</w:t>
      </w:r>
    </w:p>
    <w:p w14:paraId="52979813" w14:textId="77777777" w:rsidR="00444D75" w:rsidRPr="004A59B1" w:rsidRDefault="00444D75" w:rsidP="009C1193">
      <w:pPr>
        <w:pStyle w:val="EndnoteText"/>
        <w:keepNext/>
        <w:widowControl w:val="0"/>
        <w:tabs>
          <w:tab w:val="clear" w:pos="567"/>
        </w:tabs>
        <w:rPr>
          <w:color w:val="000000"/>
          <w:szCs w:val="22"/>
          <w:lang w:val="pl-PL"/>
        </w:rPr>
      </w:pPr>
    </w:p>
    <w:p w14:paraId="52979814" w14:textId="77777777" w:rsidR="00444D75" w:rsidRPr="004A59B1" w:rsidRDefault="00510D3D" w:rsidP="009C1193">
      <w:pPr>
        <w:pStyle w:val="EndnoteText"/>
        <w:keepNext/>
        <w:widowControl w:val="0"/>
        <w:tabs>
          <w:tab w:val="clear" w:pos="567"/>
          <w:tab w:val="left" w:pos="7655"/>
        </w:tabs>
        <w:rPr>
          <w:color w:val="000000"/>
          <w:szCs w:val="22"/>
          <w:u w:val="single"/>
          <w:lang w:val="pl-PL"/>
        </w:rPr>
      </w:pPr>
      <w:r w:rsidRPr="004A59B1">
        <w:rPr>
          <w:color w:val="000000"/>
          <w:szCs w:val="22"/>
          <w:u w:val="single"/>
          <w:lang w:val="pl-PL"/>
        </w:rPr>
        <w:t>U</w:t>
      </w:r>
      <w:r w:rsidR="00174845" w:rsidRPr="004A59B1">
        <w:rPr>
          <w:color w:val="000000"/>
          <w:szCs w:val="22"/>
          <w:u w:val="single"/>
          <w:lang w:val="pl-PL"/>
        </w:rPr>
        <w:t>činkovine</w:t>
      </w:r>
      <w:r w:rsidR="00444D75" w:rsidRPr="004A59B1">
        <w:rPr>
          <w:color w:val="000000"/>
          <w:szCs w:val="22"/>
          <w:u w:val="single"/>
          <w:lang w:val="pl-PL"/>
        </w:rPr>
        <w:t xml:space="preserve">, ki </w:t>
      </w:r>
      <w:r w:rsidR="00444D75" w:rsidRPr="000941D5">
        <w:rPr>
          <w:color w:val="000000"/>
          <w:szCs w:val="22"/>
          <w:u w:val="single"/>
          <w:lang w:val="pl-PL"/>
        </w:rPr>
        <w:t>lahko</w:t>
      </w:r>
      <w:r w:rsidR="00444D75" w:rsidRPr="004A59B1">
        <w:rPr>
          <w:color w:val="000000"/>
          <w:szCs w:val="22"/>
          <w:u w:val="single"/>
          <w:lang w:val="pl-PL"/>
        </w:rPr>
        <w:t xml:space="preserve"> </w:t>
      </w:r>
      <w:r w:rsidR="00444D75" w:rsidRPr="004A59B1">
        <w:rPr>
          <w:b/>
          <w:color w:val="000000"/>
          <w:szCs w:val="22"/>
          <w:u w:val="single"/>
          <w:lang w:val="pl-PL"/>
        </w:rPr>
        <w:t>zvišajo</w:t>
      </w:r>
      <w:r w:rsidR="00444D75" w:rsidRPr="004A59B1">
        <w:rPr>
          <w:color w:val="000000"/>
          <w:szCs w:val="22"/>
          <w:u w:val="single"/>
          <w:lang w:val="pl-PL"/>
        </w:rPr>
        <w:t xml:space="preserve"> plazemske koncentracije imatiniba:</w:t>
      </w:r>
    </w:p>
    <w:p w14:paraId="52979815" w14:textId="77777777" w:rsidR="00444D75" w:rsidRPr="004A59B1" w:rsidRDefault="00444D75" w:rsidP="009C1193">
      <w:pPr>
        <w:pStyle w:val="TextChar"/>
        <w:widowControl w:val="0"/>
        <w:spacing w:before="0"/>
        <w:jc w:val="left"/>
        <w:rPr>
          <w:color w:val="000000"/>
          <w:sz w:val="22"/>
          <w:szCs w:val="22"/>
          <w:lang w:val="sl-SI"/>
        </w:rPr>
      </w:pPr>
      <w:r w:rsidRPr="004A59B1">
        <w:rPr>
          <w:color w:val="000000"/>
          <w:sz w:val="22"/>
          <w:szCs w:val="22"/>
          <w:lang w:val="sl-SI"/>
        </w:rPr>
        <w:t xml:space="preserve">Snovi, ki zavirajo aktivnost izoencima CYP3A4 citokroma P450 (na primer </w:t>
      </w:r>
      <w:r w:rsidR="00F23C6F" w:rsidRPr="004A59B1">
        <w:rPr>
          <w:color w:val="000000"/>
          <w:sz w:val="22"/>
          <w:szCs w:val="22"/>
          <w:lang w:val="sl-SI"/>
        </w:rPr>
        <w:t>zaviralci proteaze</w:t>
      </w:r>
      <w:r w:rsidR="009A4070" w:rsidRPr="004A59B1">
        <w:rPr>
          <w:color w:val="000000"/>
          <w:sz w:val="22"/>
          <w:szCs w:val="22"/>
          <w:lang w:val="sl-SI"/>
        </w:rPr>
        <w:t xml:space="preserve">, kot so indinavir, lopinavir/ritonavir, ritonavir, sakvinavir, telaprevir, nelfinavir, boceprevir; azolni </w:t>
      </w:r>
      <w:r w:rsidR="009A4070" w:rsidRPr="004A59B1">
        <w:rPr>
          <w:color w:val="000000"/>
          <w:sz w:val="22"/>
          <w:szCs w:val="22"/>
          <w:lang w:val="sl-SI"/>
        </w:rPr>
        <w:lastRenderedPageBreak/>
        <w:t xml:space="preserve">antimikotiki vključno s </w:t>
      </w:r>
      <w:r w:rsidRPr="004A59B1">
        <w:rPr>
          <w:color w:val="000000"/>
          <w:sz w:val="22"/>
          <w:szCs w:val="22"/>
          <w:lang w:val="sl-SI"/>
        </w:rPr>
        <w:t>ketokonazol</w:t>
      </w:r>
      <w:r w:rsidR="009A4070" w:rsidRPr="004A59B1">
        <w:rPr>
          <w:color w:val="000000"/>
          <w:sz w:val="22"/>
          <w:szCs w:val="22"/>
          <w:lang w:val="sl-SI"/>
        </w:rPr>
        <w:t>om</w:t>
      </w:r>
      <w:r w:rsidRPr="004A59B1">
        <w:rPr>
          <w:color w:val="000000"/>
          <w:sz w:val="22"/>
          <w:szCs w:val="22"/>
          <w:lang w:val="sl-SI"/>
        </w:rPr>
        <w:t>, itrokonazol</w:t>
      </w:r>
      <w:r w:rsidR="009A4070" w:rsidRPr="004A59B1">
        <w:rPr>
          <w:color w:val="000000"/>
          <w:sz w:val="22"/>
          <w:szCs w:val="22"/>
          <w:lang w:val="sl-SI"/>
        </w:rPr>
        <w:t>om</w:t>
      </w:r>
      <w:r w:rsidRPr="004A59B1">
        <w:rPr>
          <w:color w:val="000000"/>
          <w:sz w:val="22"/>
          <w:szCs w:val="22"/>
          <w:lang w:val="sl-SI"/>
        </w:rPr>
        <w:t xml:space="preserve">, </w:t>
      </w:r>
      <w:r w:rsidR="00FF32E7" w:rsidRPr="004A59B1">
        <w:rPr>
          <w:color w:val="000000"/>
          <w:sz w:val="22"/>
          <w:szCs w:val="22"/>
          <w:lang w:val="sl-SI"/>
        </w:rPr>
        <w:t>posakonazolom, vori</w:t>
      </w:r>
      <w:r w:rsidR="009A4070" w:rsidRPr="004A59B1">
        <w:rPr>
          <w:color w:val="000000"/>
          <w:sz w:val="22"/>
          <w:szCs w:val="22"/>
          <w:lang w:val="sl-SI"/>
        </w:rPr>
        <w:t xml:space="preserve">konazolom; določenimi makrolidi kot so </w:t>
      </w:r>
      <w:r w:rsidRPr="004A59B1">
        <w:rPr>
          <w:color w:val="000000"/>
          <w:sz w:val="22"/>
          <w:szCs w:val="22"/>
          <w:lang w:val="sl-SI"/>
        </w:rPr>
        <w:t>eritromicin, klaritromicin</w:t>
      </w:r>
      <w:r w:rsidR="009A4070" w:rsidRPr="004A59B1">
        <w:rPr>
          <w:color w:val="000000"/>
          <w:sz w:val="22"/>
          <w:szCs w:val="22"/>
          <w:lang w:val="sl-SI"/>
        </w:rPr>
        <w:t xml:space="preserve"> in telitromicin</w:t>
      </w:r>
      <w:r w:rsidRPr="004A59B1">
        <w:rPr>
          <w:color w:val="000000"/>
          <w:sz w:val="22"/>
          <w:szCs w:val="22"/>
          <w:lang w:val="sl-SI"/>
        </w:rPr>
        <w:t>), bi lahko zmanjševale presnovo in zviševale koncentracije imatiniba. Pri zdravih osebah se je izpostavljenost imatinibu značilno povečala (povprečna C</w:t>
      </w:r>
      <w:r w:rsidRPr="004A59B1">
        <w:rPr>
          <w:color w:val="000000"/>
          <w:sz w:val="22"/>
          <w:szCs w:val="22"/>
          <w:vertAlign w:val="subscript"/>
          <w:lang w:val="sl-SI"/>
        </w:rPr>
        <w:t>max</w:t>
      </w:r>
      <w:r w:rsidRPr="004A59B1">
        <w:rPr>
          <w:color w:val="000000"/>
          <w:sz w:val="22"/>
          <w:szCs w:val="22"/>
          <w:lang w:val="sl-SI"/>
        </w:rPr>
        <w:t xml:space="preserve"> in AUC imatiniba sta se povečali za 26 % oziroma 40 %), kadar je bil uporabljen z enim samim odmerkom ketokonazola (zaviralec CYP3A4). Pri uporabi </w:t>
      </w:r>
      <w:r w:rsidR="00D81193" w:rsidRPr="004A59B1">
        <w:rPr>
          <w:color w:val="000000"/>
          <w:sz w:val="22"/>
          <w:szCs w:val="22"/>
          <w:lang w:val="sl-SI"/>
        </w:rPr>
        <w:t>zdravila Glivec</w:t>
      </w:r>
      <w:r w:rsidRPr="004A59B1">
        <w:rPr>
          <w:color w:val="000000"/>
          <w:sz w:val="22"/>
          <w:szCs w:val="22"/>
          <w:lang w:val="sl-SI"/>
        </w:rPr>
        <w:t xml:space="preserve"> z zaviralci skupine CYP3A4 je potrebna previdnost.</w:t>
      </w:r>
    </w:p>
    <w:p w14:paraId="52979816" w14:textId="77777777" w:rsidR="00444D75" w:rsidRPr="004A59B1" w:rsidRDefault="00444D75" w:rsidP="009C1193">
      <w:pPr>
        <w:pStyle w:val="TextChar"/>
        <w:widowControl w:val="0"/>
        <w:spacing w:before="0"/>
        <w:jc w:val="left"/>
        <w:rPr>
          <w:color w:val="000000"/>
          <w:sz w:val="22"/>
          <w:szCs w:val="22"/>
          <w:lang w:val="sl-SI"/>
        </w:rPr>
      </w:pPr>
    </w:p>
    <w:p w14:paraId="52979817" w14:textId="77777777" w:rsidR="00444D75" w:rsidRPr="004A59B1" w:rsidRDefault="00510D3D" w:rsidP="009C1193">
      <w:pPr>
        <w:pStyle w:val="EndnoteText"/>
        <w:keepNext/>
        <w:widowControl w:val="0"/>
        <w:tabs>
          <w:tab w:val="clear" w:pos="567"/>
          <w:tab w:val="left" w:pos="7655"/>
        </w:tabs>
        <w:rPr>
          <w:color w:val="000000"/>
          <w:szCs w:val="22"/>
          <w:u w:val="single"/>
          <w:lang w:val="sl-SI"/>
        </w:rPr>
      </w:pPr>
      <w:r w:rsidRPr="004A59B1">
        <w:rPr>
          <w:color w:val="000000"/>
          <w:szCs w:val="22"/>
          <w:u w:val="single"/>
          <w:lang w:val="sl-SI"/>
        </w:rPr>
        <w:t>U</w:t>
      </w:r>
      <w:r w:rsidR="00174845" w:rsidRPr="004A59B1">
        <w:rPr>
          <w:color w:val="000000"/>
          <w:szCs w:val="22"/>
          <w:u w:val="single"/>
          <w:lang w:val="sl-SI"/>
        </w:rPr>
        <w:t>činkovine</w:t>
      </w:r>
      <w:r w:rsidR="00444D75" w:rsidRPr="004A59B1">
        <w:rPr>
          <w:color w:val="000000"/>
          <w:szCs w:val="22"/>
          <w:u w:val="single"/>
          <w:lang w:val="sl-SI"/>
        </w:rPr>
        <w:t xml:space="preserve">, ki </w:t>
      </w:r>
      <w:r w:rsidR="00444D75" w:rsidRPr="000941D5">
        <w:rPr>
          <w:color w:val="000000"/>
          <w:szCs w:val="22"/>
          <w:u w:val="single"/>
          <w:lang w:val="sl-SI"/>
        </w:rPr>
        <w:t>lahko</w:t>
      </w:r>
      <w:r w:rsidR="00444D75" w:rsidRPr="004A59B1">
        <w:rPr>
          <w:color w:val="000000"/>
          <w:szCs w:val="22"/>
          <w:u w:val="single"/>
          <w:lang w:val="sl-SI"/>
        </w:rPr>
        <w:t xml:space="preserve"> </w:t>
      </w:r>
      <w:r w:rsidR="00444D75" w:rsidRPr="004A59B1">
        <w:rPr>
          <w:b/>
          <w:color w:val="000000"/>
          <w:szCs w:val="22"/>
          <w:u w:val="single"/>
          <w:lang w:val="sl-SI"/>
        </w:rPr>
        <w:t>znižajo</w:t>
      </w:r>
      <w:r w:rsidR="00444D75" w:rsidRPr="004A59B1">
        <w:rPr>
          <w:color w:val="000000"/>
          <w:szCs w:val="22"/>
          <w:u w:val="single"/>
          <w:lang w:val="sl-SI"/>
        </w:rPr>
        <w:t xml:space="preserve"> plazemske koncentracije imatiniba:</w:t>
      </w:r>
    </w:p>
    <w:p w14:paraId="52979818" w14:textId="77777777" w:rsidR="00444D75" w:rsidRPr="004A59B1" w:rsidRDefault="00444D75" w:rsidP="009C1193">
      <w:pPr>
        <w:pStyle w:val="TextChar"/>
        <w:widowControl w:val="0"/>
        <w:spacing w:before="0"/>
        <w:jc w:val="left"/>
        <w:rPr>
          <w:color w:val="000000"/>
          <w:sz w:val="22"/>
          <w:szCs w:val="22"/>
          <w:lang w:val="sl-SI"/>
        </w:rPr>
      </w:pPr>
      <w:r w:rsidRPr="004A59B1">
        <w:rPr>
          <w:color w:val="000000"/>
          <w:sz w:val="22"/>
          <w:szCs w:val="22"/>
          <w:lang w:val="sl-SI"/>
        </w:rPr>
        <w:t>Snovi, ki inducirajo aktivnost CYP3A4 (na primer deksametazon, fenitoin, karbamazepin, rifampicin, fenobarbital</w:t>
      </w:r>
      <w:r w:rsidR="008B7650" w:rsidRPr="004A59B1">
        <w:rPr>
          <w:color w:val="000000"/>
          <w:sz w:val="22"/>
          <w:szCs w:val="22"/>
          <w:lang w:val="sl-SI"/>
        </w:rPr>
        <w:t>, fosfenitoin, primidon</w:t>
      </w:r>
      <w:r w:rsidRPr="004A59B1">
        <w:rPr>
          <w:color w:val="000000"/>
          <w:sz w:val="22"/>
          <w:szCs w:val="22"/>
          <w:lang w:val="sl-SI"/>
        </w:rPr>
        <w:t xml:space="preserve"> ali </w:t>
      </w:r>
      <w:r w:rsidRPr="004A59B1">
        <w:rPr>
          <w:i/>
          <w:color w:val="000000"/>
          <w:sz w:val="22"/>
          <w:szCs w:val="22"/>
          <w:lang w:val="sl-SI"/>
        </w:rPr>
        <w:t>Hypericum perforatum</w:t>
      </w:r>
      <w:r w:rsidRPr="004A59B1">
        <w:rPr>
          <w:color w:val="000000"/>
          <w:sz w:val="22"/>
          <w:szCs w:val="22"/>
          <w:lang w:val="sl-SI"/>
        </w:rPr>
        <w:t xml:space="preserve">, znan tudi pod imenom šentjanževka), lahko znatno zmanjša izpostavljenost </w:t>
      </w:r>
      <w:r w:rsidR="00D81193" w:rsidRPr="004A59B1">
        <w:rPr>
          <w:color w:val="000000"/>
          <w:sz w:val="22"/>
          <w:szCs w:val="22"/>
          <w:lang w:val="sl-SI"/>
        </w:rPr>
        <w:t>zdravilu Glivec</w:t>
      </w:r>
      <w:r w:rsidRPr="004A59B1">
        <w:rPr>
          <w:color w:val="000000"/>
          <w:sz w:val="22"/>
          <w:szCs w:val="22"/>
          <w:lang w:val="sl-SI"/>
        </w:rPr>
        <w:t xml:space="preserve"> in s tem potencialno poveča tveganje za neuspešnost zdravljenja. Predzdravljenje z večkratnimi odmerki rifampicina 600 mg, ki jim je sledil en 400</w:t>
      </w:r>
      <w:r w:rsidRPr="004A59B1">
        <w:rPr>
          <w:color w:val="000000"/>
          <w:sz w:val="22"/>
          <w:szCs w:val="22"/>
          <w:lang w:val="sl-SI"/>
        </w:rPr>
        <w:noBreakHyphen/>
        <w:t xml:space="preserve">miligramski odmerek </w:t>
      </w:r>
      <w:r w:rsidR="00D81193" w:rsidRPr="004A59B1">
        <w:rPr>
          <w:color w:val="000000"/>
          <w:sz w:val="22"/>
          <w:szCs w:val="22"/>
          <w:lang w:val="sl-SI"/>
        </w:rPr>
        <w:t>zdravila Glivec</w:t>
      </w:r>
      <w:r w:rsidRPr="004A59B1">
        <w:rPr>
          <w:color w:val="000000"/>
          <w:sz w:val="22"/>
          <w:szCs w:val="22"/>
          <w:lang w:val="sl-SI"/>
        </w:rPr>
        <w:t>, je povzročilo zmanjšanje C</w:t>
      </w:r>
      <w:r w:rsidRPr="004A59B1">
        <w:rPr>
          <w:color w:val="000000"/>
          <w:sz w:val="22"/>
          <w:szCs w:val="22"/>
          <w:vertAlign w:val="subscript"/>
          <w:lang w:val="sl-SI"/>
        </w:rPr>
        <w:t>max</w:t>
      </w:r>
      <w:r w:rsidRPr="004A59B1">
        <w:rPr>
          <w:color w:val="000000"/>
          <w:sz w:val="22"/>
          <w:szCs w:val="22"/>
          <w:lang w:val="sl-SI"/>
        </w:rPr>
        <w:t xml:space="preserve"> oziroma AUC</w:t>
      </w:r>
      <w:r w:rsidRPr="004A59B1">
        <w:rPr>
          <w:color w:val="000000"/>
          <w:sz w:val="22"/>
          <w:szCs w:val="22"/>
          <w:vertAlign w:val="subscript"/>
          <w:lang w:val="sl-SI"/>
        </w:rPr>
        <w:t>(0-∞)</w:t>
      </w:r>
      <w:r w:rsidRPr="004A59B1">
        <w:rPr>
          <w:color w:val="000000"/>
          <w:sz w:val="22"/>
          <w:szCs w:val="22"/>
          <w:lang w:val="sl-SI"/>
        </w:rPr>
        <w:t xml:space="preserve"> za vsaj 54 % oziroma 74 % zadevnih vrednosti brez zdravljenja z rifampicinom. </w:t>
      </w:r>
      <w:r w:rsidR="00153451" w:rsidRPr="004A59B1">
        <w:rPr>
          <w:color w:val="000000"/>
          <w:sz w:val="22"/>
          <w:szCs w:val="22"/>
          <w:lang w:val="sl-SI"/>
        </w:rPr>
        <w:t>Podobne rezultate so opažali pri bolnikih z malignim gliomom, ki so jih zdravili z zdravilom Glivec, sočasno pa so jemali tudi antiepileptična zdravila, ki inducirajo encime</w:t>
      </w:r>
      <w:r w:rsidR="00116FA2" w:rsidRPr="004A59B1">
        <w:rPr>
          <w:color w:val="000000"/>
          <w:sz w:val="22"/>
          <w:szCs w:val="22"/>
          <w:lang w:val="sl-SI"/>
        </w:rPr>
        <w:t>. T</w:t>
      </w:r>
      <w:r w:rsidR="00153451" w:rsidRPr="004A59B1">
        <w:rPr>
          <w:color w:val="000000"/>
          <w:sz w:val="22"/>
          <w:szCs w:val="22"/>
          <w:lang w:val="sl-SI"/>
        </w:rPr>
        <w:t>aka zdravila so k</w:t>
      </w:r>
      <w:r w:rsidR="000630F1" w:rsidRPr="004A59B1">
        <w:rPr>
          <w:color w:val="000000"/>
          <w:sz w:val="22"/>
          <w:szCs w:val="22"/>
          <w:lang w:val="sl-SI"/>
        </w:rPr>
        <w:t xml:space="preserve">arbamazepin, </w:t>
      </w:r>
      <w:r w:rsidR="003E56E2" w:rsidRPr="004A59B1">
        <w:rPr>
          <w:color w:val="000000"/>
          <w:sz w:val="22"/>
          <w:szCs w:val="22"/>
          <w:lang w:val="sl-SI"/>
        </w:rPr>
        <w:t>okskarbazepin</w:t>
      </w:r>
      <w:r w:rsidR="000630F1" w:rsidRPr="004A59B1">
        <w:rPr>
          <w:color w:val="000000"/>
          <w:sz w:val="22"/>
          <w:szCs w:val="22"/>
          <w:lang w:val="sl-SI"/>
        </w:rPr>
        <w:t xml:space="preserve"> in </w:t>
      </w:r>
      <w:r w:rsidR="00153451" w:rsidRPr="004A59B1">
        <w:rPr>
          <w:color w:val="000000"/>
          <w:sz w:val="22"/>
          <w:szCs w:val="22"/>
          <w:lang w:val="sl-SI"/>
        </w:rPr>
        <w:t>fenitoin</w:t>
      </w:r>
      <w:r w:rsidR="000630F1" w:rsidRPr="004A59B1">
        <w:rPr>
          <w:color w:val="000000"/>
          <w:sz w:val="22"/>
          <w:szCs w:val="22"/>
          <w:lang w:val="sl-SI"/>
        </w:rPr>
        <w:t>.</w:t>
      </w:r>
      <w:r w:rsidR="008B7650" w:rsidRPr="004A59B1">
        <w:rPr>
          <w:color w:val="000000"/>
          <w:sz w:val="22"/>
          <w:szCs w:val="22"/>
          <w:lang w:val="sl-SI"/>
        </w:rPr>
        <w:t xml:space="preserve"> </w:t>
      </w:r>
      <w:r w:rsidR="00153451" w:rsidRPr="004A59B1">
        <w:rPr>
          <w:color w:val="000000"/>
          <w:sz w:val="22"/>
          <w:szCs w:val="22"/>
          <w:lang w:val="sl-SI"/>
        </w:rPr>
        <w:t>Pri teh bolnikih se je AUC imatiniba v plazmi zmanjšal za 73</w:t>
      </w:r>
      <w:r w:rsidR="00692C26" w:rsidRPr="004A59B1">
        <w:rPr>
          <w:color w:val="000000"/>
          <w:sz w:val="22"/>
          <w:szCs w:val="22"/>
          <w:lang w:val="sl-SI"/>
        </w:rPr>
        <w:t> </w:t>
      </w:r>
      <w:r w:rsidR="00153451" w:rsidRPr="004A59B1">
        <w:rPr>
          <w:color w:val="000000"/>
          <w:sz w:val="22"/>
          <w:szCs w:val="22"/>
          <w:lang w:val="sl-SI"/>
        </w:rPr>
        <w:t xml:space="preserve">% v primerjavi z bolniki, ki niso jemali antiepileptičnih zdravil, ki inducirajo encime. </w:t>
      </w:r>
      <w:r w:rsidRPr="004A59B1">
        <w:rPr>
          <w:color w:val="000000"/>
          <w:sz w:val="22"/>
          <w:szCs w:val="22"/>
          <w:lang w:val="sl-SI"/>
        </w:rPr>
        <w:t>Sočasni uporabi rifampicina ali drugih močnih induktorjev CYP3A4 in imatiniba se je treba izogibati.</w:t>
      </w:r>
    </w:p>
    <w:p w14:paraId="52979819" w14:textId="77777777" w:rsidR="00444D75" w:rsidRPr="004A59B1" w:rsidRDefault="00444D75" w:rsidP="009C1193">
      <w:pPr>
        <w:pStyle w:val="TextChar"/>
        <w:widowControl w:val="0"/>
        <w:spacing w:before="0"/>
        <w:jc w:val="left"/>
        <w:rPr>
          <w:color w:val="000000"/>
          <w:sz w:val="22"/>
          <w:szCs w:val="22"/>
          <w:lang w:val="sl-SI"/>
        </w:rPr>
      </w:pPr>
    </w:p>
    <w:p w14:paraId="5297981A" w14:textId="77777777" w:rsidR="00444D75" w:rsidRPr="004A59B1" w:rsidRDefault="00510D3D" w:rsidP="009C1193">
      <w:pPr>
        <w:keepNext/>
        <w:widowControl w:val="0"/>
        <w:spacing w:line="240" w:lineRule="auto"/>
        <w:rPr>
          <w:color w:val="000000"/>
          <w:szCs w:val="22"/>
          <w:lang w:val="sl-SI"/>
        </w:rPr>
      </w:pPr>
      <w:r w:rsidRPr="004A59B1">
        <w:rPr>
          <w:b/>
          <w:color w:val="000000"/>
          <w:szCs w:val="22"/>
          <w:lang w:val="sl-SI"/>
        </w:rPr>
        <w:t>U</w:t>
      </w:r>
      <w:r w:rsidR="00174845" w:rsidRPr="004A59B1">
        <w:rPr>
          <w:b/>
          <w:color w:val="000000"/>
          <w:szCs w:val="22"/>
          <w:lang w:val="sl-SI"/>
        </w:rPr>
        <w:t>činkovine</w:t>
      </w:r>
      <w:r w:rsidR="00444D75" w:rsidRPr="004A59B1">
        <w:rPr>
          <w:b/>
          <w:color w:val="000000"/>
          <w:szCs w:val="22"/>
          <w:lang w:val="sl-SI"/>
        </w:rPr>
        <w:t xml:space="preserve">, katerih plazemske koncentracije lahko </w:t>
      </w:r>
      <w:r w:rsidR="003D6822" w:rsidRPr="004A59B1">
        <w:rPr>
          <w:b/>
          <w:color w:val="000000"/>
          <w:szCs w:val="22"/>
          <w:lang w:val="sl-SI"/>
        </w:rPr>
        <w:t xml:space="preserve">zdravilo </w:t>
      </w:r>
      <w:r w:rsidR="00444D75" w:rsidRPr="004A59B1">
        <w:rPr>
          <w:b/>
          <w:color w:val="000000"/>
          <w:szCs w:val="22"/>
          <w:lang w:val="sl-SI"/>
        </w:rPr>
        <w:t>Glivec spremeni</w:t>
      </w:r>
    </w:p>
    <w:p w14:paraId="5297981B" w14:textId="77777777" w:rsidR="00444D75" w:rsidRPr="004A59B1" w:rsidRDefault="00444D75" w:rsidP="009C1193">
      <w:pPr>
        <w:pStyle w:val="TextChar"/>
        <w:widowControl w:val="0"/>
        <w:spacing w:before="0"/>
        <w:jc w:val="left"/>
        <w:rPr>
          <w:color w:val="000000"/>
          <w:sz w:val="22"/>
          <w:szCs w:val="22"/>
          <w:lang w:val="sl-SI"/>
        </w:rPr>
      </w:pPr>
      <w:r w:rsidRPr="004A59B1">
        <w:rPr>
          <w:color w:val="000000"/>
          <w:sz w:val="22"/>
          <w:szCs w:val="22"/>
          <w:lang w:val="sl-SI"/>
        </w:rPr>
        <w:t>Imatinib povečuje povprečn</w:t>
      </w:r>
      <w:r w:rsidR="00FA7B2A" w:rsidRPr="004A59B1">
        <w:rPr>
          <w:color w:val="000000"/>
          <w:sz w:val="22"/>
          <w:szCs w:val="22"/>
          <w:lang w:val="sl-SI"/>
        </w:rPr>
        <w:t>i</w:t>
      </w:r>
      <w:r w:rsidRPr="004A59B1">
        <w:rPr>
          <w:color w:val="000000"/>
          <w:sz w:val="22"/>
          <w:szCs w:val="22"/>
          <w:lang w:val="sl-SI"/>
        </w:rPr>
        <w:t xml:space="preserve"> C</w:t>
      </w:r>
      <w:r w:rsidRPr="004A59B1">
        <w:rPr>
          <w:color w:val="000000"/>
          <w:sz w:val="22"/>
          <w:szCs w:val="22"/>
          <w:vertAlign w:val="subscript"/>
          <w:lang w:val="sl-SI"/>
        </w:rPr>
        <w:t>max</w:t>
      </w:r>
      <w:r w:rsidRPr="004A59B1">
        <w:rPr>
          <w:color w:val="000000"/>
          <w:sz w:val="22"/>
          <w:szCs w:val="22"/>
          <w:lang w:val="sl-SI"/>
        </w:rPr>
        <w:t xml:space="preserve"> in AUC simvastatina (substrat CYP3A4) 2-krat oziroma 3,5-krat, kar kaže na to, da imatinib zavira CYP3A4. Zato je pri uporabi </w:t>
      </w:r>
      <w:r w:rsidR="00D81193" w:rsidRPr="004A59B1">
        <w:rPr>
          <w:color w:val="000000"/>
          <w:sz w:val="22"/>
          <w:szCs w:val="22"/>
          <w:lang w:val="sl-SI"/>
        </w:rPr>
        <w:t>zdravila Glivec</w:t>
      </w:r>
      <w:r w:rsidRPr="004A59B1">
        <w:rPr>
          <w:color w:val="000000"/>
          <w:sz w:val="22"/>
          <w:szCs w:val="22"/>
          <w:lang w:val="sl-SI"/>
        </w:rPr>
        <w:t xml:space="preserve"> skupaj s substrati CYP3A4 z ozko terapevtsko širino (na primer s ciklosporinom</w:t>
      </w:r>
      <w:r w:rsidR="009A4070" w:rsidRPr="004A59B1">
        <w:rPr>
          <w:color w:val="000000"/>
          <w:sz w:val="22"/>
          <w:szCs w:val="22"/>
          <w:lang w:val="sl-SI"/>
        </w:rPr>
        <w:t>,</w:t>
      </w:r>
      <w:r w:rsidRPr="004A59B1">
        <w:rPr>
          <w:color w:val="000000"/>
          <w:sz w:val="22"/>
          <w:szCs w:val="22"/>
          <w:lang w:val="sl-SI"/>
        </w:rPr>
        <w:t xml:space="preserve"> pimozidom</w:t>
      </w:r>
      <w:r w:rsidR="009A4070" w:rsidRPr="004A59B1">
        <w:rPr>
          <w:color w:val="000000"/>
          <w:sz w:val="22"/>
          <w:szCs w:val="22"/>
          <w:lang w:val="sl-SI"/>
        </w:rPr>
        <w:t>, takrolimusom, sirolimusom, ergotaminom, diergotamino</w:t>
      </w:r>
      <w:r w:rsidR="004B5B7A" w:rsidRPr="004A59B1">
        <w:rPr>
          <w:color w:val="000000"/>
          <w:sz w:val="22"/>
          <w:szCs w:val="22"/>
          <w:lang w:val="sl-SI"/>
        </w:rPr>
        <w:t>m</w:t>
      </w:r>
      <w:r w:rsidR="009A4070" w:rsidRPr="004A59B1">
        <w:rPr>
          <w:color w:val="000000"/>
          <w:sz w:val="22"/>
          <w:szCs w:val="22"/>
          <w:lang w:val="sl-SI"/>
        </w:rPr>
        <w:t>, fentanilom, alfentanilom, terfenadinom, bortezomibom, docetakselom in kinidinom</w:t>
      </w:r>
      <w:r w:rsidRPr="004A59B1">
        <w:rPr>
          <w:color w:val="000000"/>
          <w:sz w:val="22"/>
          <w:szCs w:val="22"/>
          <w:lang w:val="sl-SI"/>
        </w:rPr>
        <w:t xml:space="preserve">) priporočljiva previdnost. </w:t>
      </w:r>
      <w:r w:rsidR="003D6822" w:rsidRPr="004A59B1">
        <w:rPr>
          <w:color w:val="000000"/>
          <w:sz w:val="22"/>
          <w:szCs w:val="22"/>
          <w:lang w:val="sl-SI"/>
        </w:rPr>
        <w:t xml:space="preserve">Zdravilo </w:t>
      </w:r>
      <w:r w:rsidRPr="004A59B1">
        <w:rPr>
          <w:color w:val="000000"/>
          <w:sz w:val="22"/>
          <w:szCs w:val="22"/>
          <w:lang w:val="sl-SI"/>
        </w:rPr>
        <w:t xml:space="preserve">Glivec lahko </w:t>
      </w:r>
      <w:r w:rsidR="00FC7D64" w:rsidRPr="004A59B1">
        <w:rPr>
          <w:color w:val="000000"/>
          <w:sz w:val="22"/>
          <w:szCs w:val="22"/>
          <w:lang w:val="sl-SI"/>
        </w:rPr>
        <w:t>zveča</w:t>
      </w:r>
      <w:r w:rsidRPr="004A59B1">
        <w:rPr>
          <w:color w:val="000000"/>
          <w:sz w:val="22"/>
          <w:szCs w:val="22"/>
          <w:lang w:val="sl-SI"/>
        </w:rPr>
        <w:t xml:space="preserve"> plazemske koncentracije drugih zdravil, ki jih presnavlja CYP3A4 (na primer triazolo-benzodiazepinov, dihidropiridinskih </w:t>
      </w:r>
      <w:r w:rsidR="00FA7B2A" w:rsidRPr="004A59B1">
        <w:rPr>
          <w:color w:val="000000"/>
          <w:sz w:val="22"/>
          <w:szCs w:val="22"/>
          <w:lang w:val="sl-SI"/>
        </w:rPr>
        <w:t xml:space="preserve">zaviralcev </w:t>
      </w:r>
      <w:r w:rsidRPr="004A59B1">
        <w:rPr>
          <w:color w:val="000000"/>
          <w:sz w:val="22"/>
          <w:szCs w:val="22"/>
          <w:lang w:val="sl-SI"/>
        </w:rPr>
        <w:t>kalcijevih kanalčkov, nekaterih zaviralcev reduktaze HMG-CoA, tj. statinov, itn.).</w:t>
      </w:r>
    </w:p>
    <w:p w14:paraId="5297981C" w14:textId="77777777" w:rsidR="00444D75" w:rsidRPr="004A59B1" w:rsidRDefault="00444D75" w:rsidP="009C1193">
      <w:pPr>
        <w:pStyle w:val="TextChar"/>
        <w:widowControl w:val="0"/>
        <w:spacing w:before="0"/>
        <w:jc w:val="left"/>
        <w:rPr>
          <w:color w:val="000000"/>
          <w:sz w:val="22"/>
          <w:szCs w:val="22"/>
          <w:lang w:val="sl-SI"/>
        </w:rPr>
      </w:pPr>
    </w:p>
    <w:p w14:paraId="5297981D" w14:textId="77777777" w:rsidR="00444D75" w:rsidRPr="004A59B1" w:rsidRDefault="009A4070" w:rsidP="009C1193">
      <w:pPr>
        <w:pStyle w:val="TextChar"/>
        <w:widowControl w:val="0"/>
        <w:spacing w:before="0"/>
        <w:jc w:val="left"/>
        <w:rPr>
          <w:color w:val="000000"/>
          <w:sz w:val="22"/>
          <w:szCs w:val="22"/>
          <w:lang w:val="sl-SI"/>
        </w:rPr>
      </w:pPr>
      <w:r w:rsidRPr="004A59B1">
        <w:rPr>
          <w:color w:val="000000"/>
          <w:sz w:val="22"/>
          <w:szCs w:val="22"/>
          <w:lang w:val="sl-SI"/>
        </w:rPr>
        <w:t xml:space="preserve">Zaradi znanega povečanega tveganja za krvavitve v povezavi z uporabo imatiniba (na primer </w:t>
      </w:r>
      <w:r w:rsidR="00AA7614" w:rsidRPr="004A59B1">
        <w:rPr>
          <w:color w:val="000000"/>
          <w:sz w:val="22"/>
          <w:szCs w:val="22"/>
          <w:lang w:val="sl-SI"/>
        </w:rPr>
        <w:t>hemoragija</w:t>
      </w:r>
      <w:r w:rsidRPr="004A59B1">
        <w:rPr>
          <w:color w:val="000000"/>
          <w:sz w:val="22"/>
          <w:szCs w:val="22"/>
          <w:lang w:val="sl-SI"/>
        </w:rPr>
        <w:t>)</w:t>
      </w:r>
      <w:r w:rsidR="008F484E" w:rsidRPr="004A59B1">
        <w:rPr>
          <w:color w:val="000000"/>
          <w:sz w:val="22"/>
          <w:szCs w:val="22"/>
          <w:lang w:val="sl-SI"/>
        </w:rPr>
        <w:t xml:space="preserve"> </w:t>
      </w:r>
      <w:r w:rsidR="00444D75" w:rsidRPr="004A59B1">
        <w:rPr>
          <w:color w:val="000000"/>
          <w:sz w:val="22"/>
          <w:szCs w:val="22"/>
          <w:lang w:val="sl-SI"/>
        </w:rPr>
        <w:t>naj bolniki, pri katerih je potrebna antikoagulantna terapija, dobivajo nizkomolekularni ali standardni heparin</w:t>
      </w:r>
      <w:r w:rsidR="008F484E" w:rsidRPr="004A59B1">
        <w:rPr>
          <w:color w:val="000000"/>
          <w:sz w:val="22"/>
          <w:szCs w:val="22"/>
          <w:lang w:val="sl-SI"/>
        </w:rPr>
        <w:t xml:space="preserve"> namesto kumari</w:t>
      </w:r>
      <w:r w:rsidR="00F2161F" w:rsidRPr="004A59B1">
        <w:rPr>
          <w:color w:val="000000"/>
          <w:sz w:val="22"/>
          <w:szCs w:val="22"/>
          <w:lang w:val="sl-SI"/>
        </w:rPr>
        <w:t>n</w:t>
      </w:r>
      <w:r w:rsidR="008F484E" w:rsidRPr="004A59B1">
        <w:rPr>
          <w:color w:val="000000"/>
          <w:sz w:val="22"/>
          <w:szCs w:val="22"/>
          <w:lang w:val="sl-SI"/>
        </w:rPr>
        <w:t>skih derivatov</w:t>
      </w:r>
      <w:r w:rsidR="00F2161F" w:rsidRPr="004A59B1">
        <w:rPr>
          <w:color w:val="000000"/>
          <w:sz w:val="22"/>
          <w:szCs w:val="22"/>
          <w:lang w:val="sl-SI"/>
        </w:rPr>
        <w:t>,</w:t>
      </w:r>
      <w:r w:rsidR="008F484E" w:rsidRPr="004A59B1">
        <w:rPr>
          <w:color w:val="000000"/>
          <w:sz w:val="22"/>
          <w:szCs w:val="22"/>
          <w:lang w:val="sl-SI"/>
        </w:rPr>
        <w:t xml:space="preserve"> kot je varfarin</w:t>
      </w:r>
      <w:r w:rsidR="00444D75" w:rsidRPr="004A59B1">
        <w:rPr>
          <w:color w:val="000000"/>
          <w:sz w:val="22"/>
          <w:szCs w:val="22"/>
          <w:lang w:val="sl-SI"/>
        </w:rPr>
        <w:t>.</w:t>
      </w:r>
    </w:p>
    <w:p w14:paraId="5297981E" w14:textId="77777777" w:rsidR="00444D75" w:rsidRPr="004A59B1" w:rsidRDefault="00444D75" w:rsidP="009C1193">
      <w:pPr>
        <w:pStyle w:val="TextChar"/>
        <w:widowControl w:val="0"/>
        <w:spacing w:before="0"/>
        <w:rPr>
          <w:color w:val="000000"/>
          <w:sz w:val="22"/>
          <w:szCs w:val="22"/>
          <w:lang w:val="sl-SI"/>
        </w:rPr>
      </w:pPr>
    </w:p>
    <w:p w14:paraId="5297981F" w14:textId="77777777" w:rsidR="00444D75" w:rsidRPr="004A59B1" w:rsidRDefault="00444D75" w:rsidP="009C1193">
      <w:pPr>
        <w:pStyle w:val="TextChar"/>
        <w:widowControl w:val="0"/>
        <w:spacing w:before="0"/>
        <w:jc w:val="left"/>
        <w:rPr>
          <w:color w:val="000000"/>
          <w:sz w:val="22"/>
          <w:szCs w:val="22"/>
          <w:lang w:val="sl-SI"/>
        </w:rPr>
      </w:pPr>
      <w:r w:rsidRPr="004A59B1">
        <w:rPr>
          <w:i/>
          <w:color w:val="000000"/>
          <w:sz w:val="22"/>
          <w:szCs w:val="22"/>
          <w:lang w:val="sl-SI"/>
        </w:rPr>
        <w:t>In vitro</w:t>
      </w:r>
      <w:r w:rsidRPr="004A59B1">
        <w:rPr>
          <w:color w:val="000000"/>
          <w:sz w:val="22"/>
          <w:szCs w:val="22"/>
          <w:lang w:val="sl-SI"/>
        </w:rPr>
        <w:t xml:space="preserve"> </w:t>
      </w:r>
      <w:r w:rsidR="003D6822" w:rsidRPr="004A59B1">
        <w:rPr>
          <w:color w:val="000000"/>
          <w:sz w:val="22"/>
          <w:szCs w:val="22"/>
          <w:lang w:val="sl-SI"/>
        </w:rPr>
        <w:t xml:space="preserve">zdravilo </w:t>
      </w:r>
      <w:r w:rsidRPr="004A59B1">
        <w:rPr>
          <w:color w:val="000000"/>
          <w:sz w:val="22"/>
          <w:szCs w:val="22"/>
          <w:lang w:val="sl-SI"/>
        </w:rPr>
        <w:t xml:space="preserve">Glivec zavira aktivnost izoencima CYP2D6 citokroma P450 pri koncentracijah, ki so podobne tistim, ki vplivajo na aktivnost CYP3A4. </w:t>
      </w:r>
      <w:r w:rsidR="00962120" w:rsidRPr="004A59B1">
        <w:rPr>
          <w:color w:val="000000"/>
          <w:sz w:val="22"/>
          <w:szCs w:val="22"/>
          <w:lang w:val="sl-SI"/>
        </w:rPr>
        <w:t xml:space="preserve">Imatinib je v odmerku 400 mg dvakrat </w:t>
      </w:r>
      <w:r w:rsidR="00FC7D64" w:rsidRPr="004A59B1">
        <w:rPr>
          <w:color w:val="000000"/>
          <w:sz w:val="22"/>
          <w:szCs w:val="22"/>
          <w:lang w:val="sl-SI"/>
        </w:rPr>
        <w:t>na dan</w:t>
      </w:r>
      <w:r w:rsidR="00962120" w:rsidRPr="004A59B1">
        <w:rPr>
          <w:color w:val="000000"/>
          <w:sz w:val="22"/>
          <w:szCs w:val="22"/>
          <w:lang w:val="sl-SI"/>
        </w:rPr>
        <w:t xml:space="preserve"> zaviral presnovo metoprolola s CYP2D6, tako da sta se C</w:t>
      </w:r>
      <w:r w:rsidR="00962120" w:rsidRPr="004A59B1">
        <w:rPr>
          <w:color w:val="000000"/>
          <w:sz w:val="22"/>
          <w:szCs w:val="22"/>
          <w:vertAlign w:val="subscript"/>
          <w:lang w:val="sl-SI"/>
        </w:rPr>
        <w:t>max</w:t>
      </w:r>
      <w:r w:rsidR="00962120" w:rsidRPr="004A59B1">
        <w:rPr>
          <w:color w:val="000000"/>
          <w:sz w:val="22"/>
          <w:szCs w:val="22"/>
          <w:lang w:val="sl-SI"/>
        </w:rPr>
        <w:t xml:space="preserve"> in AUC metoprolola povečal</w:t>
      </w:r>
      <w:r w:rsidR="00FA7B2A" w:rsidRPr="004A59B1">
        <w:rPr>
          <w:color w:val="000000"/>
          <w:sz w:val="22"/>
          <w:szCs w:val="22"/>
          <w:lang w:val="sl-SI"/>
        </w:rPr>
        <w:t>i</w:t>
      </w:r>
      <w:r w:rsidR="00962120" w:rsidRPr="004A59B1">
        <w:rPr>
          <w:color w:val="000000"/>
          <w:sz w:val="22"/>
          <w:szCs w:val="22"/>
          <w:lang w:val="sl-SI"/>
        </w:rPr>
        <w:t xml:space="preserve"> za približno 23</w:t>
      </w:r>
      <w:r w:rsidR="00A96226" w:rsidRPr="004A59B1">
        <w:rPr>
          <w:color w:val="000000"/>
          <w:sz w:val="22"/>
          <w:szCs w:val="22"/>
          <w:lang w:val="sl-SI"/>
        </w:rPr>
        <w:t> </w:t>
      </w:r>
      <w:r w:rsidR="00962120" w:rsidRPr="004A59B1">
        <w:rPr>
          <w:color w:val="000000"/>
          <w:sz w:val="22"/>
          <w:szCs w:val="22"/>
          <w:lang w:val="sl-SI"/>
        </w:rPr>
        <w:t>% (90</w:t>
      </w:r>
      <w:r w:rsidR="00A96226" w:rsidRPr="004A59B1">
        <w:rPr>
          <w:color w:val="000000"/>
          <w:sz w:val="22"/>
          <w:szCs w:val="22"/>
          <w:lang w:val="sl-SI"/>
        </w:rPr>
        <w:t> </w:t>
      </w:r>
      <w:r w:rsidR="00962120" w:rsidRPr="004A59B1">
        <w:rPr>
          <w:color w:val="000000"/>
          <w:sz w:val="22"/>
          <w:szCs w:val="22"/>
          <w:lang w:val="sl-SI"/>
        </w:rPr>
        <w:t>% IZ [1,16</w:t>
      </w:r>
      <w:r w:rsidR="00962120" w:rsidRPr="004A59B1">
        <w:rPr>
          <w:color w:val="000000"/>
          <w:sz w:val="22"/>
          <w:szCs w:val="22"/>
          <w:lang w:val="sl-SI"/>
        </w:rPr>
        <w:noBreakHyphen/>
        <w:t>1,30]). Kaže, da pri sočasni uporabi imatiniba s substrati CYP2D6 prilagajanje odmerkov ni potrebno, vendar pa je potrebna previdnost pri substratih CYP2D6 z ozkim terapevtskim oknom</w:t>
      </w:r>
      <w:r w:rsidR="00D86864" w:rsidRPr="004A59B1">
        <w:rPr>
          <w:color w:val="000000"/>
          <w:sz w:val="22"/>
          <w:szCs w:val="22"/>
          <w:lang w:val="sl-SI"/>
        </w:rPr>
        <w:t xml:space="preserve">, kot je metoprolol. Pri bolnikih, ki se zdravijo z metoprololom, je treba razmisliti o kliničnem </w:t>
      </w:r>
      <w:r w:rsidR="00FA7B2A" w:rsidRPr="004A59B1">
        <w:rPr>
          <w:color w:val="000000"/>
          <w:sz w:val="22"/>
          <w:szCs w:val="22"/>
          <w:lang w:val="sl-SI"/>
        </w:rPr>
        <w:t>spremljanju</w:t>
      </w:r>
      <w:r w:rsidR="00D86864" w:rsidRPr="004A59B1">
        <w:rPr>
          <w:color w:val="000000"/>
          <w:sz w:val="22"/>
          <w:szCs w:val="22"/>
          <w:lang w:val="sl-SI"/>
        </w:rPr>
        <w:t>.</w:t>
      </w:r>
    </w:p>
    <w:p w14:paraId="52979820" w14:textId="77777777" w:rsidR="00914F93" w:rsidRPr="004A59B1" w:rsidRDefault="00914F93" w:rsidP="009C1193">
      <w:pPr>
        <w:pStyle w:val="TextChar"/>
        <w:widowControl w:val="0"/>
        <w:spacing w:before="0"/>
        <w:jc w:val="left"/>
        <w:rPr>
          <w:color w:val="000000"/>
          <w:sz w:val="22"/>
          <w:szCs w:val="22"/>
          <w:lang w:val="sl-SI"/>
        </w:rPr>
      </w:pPr>
    </w:p>
    <w:p w14:paraId="52979821" w14:textId="77777777" w:rsidR="00914F93" w:rsidRPr="004A59B1" w:rsidRDefault="00914F93" w:rsidP="009C1193">
      <w:pPr>
        <w:pStyle w:val="TextChar"/>
        <w:widowControl w:val="0"/>
        <w:spacing w:before="0"/>
        <w:jc w:val="left"/>
        <w:rPr>
          <w:color w:val="000000"/>
          <w:sz w:val="22"/>
          <w:szCs w:val="22"/>
          <w:lang w:val="sl-SI"/>
        </w:rPr>
      </w:pPr>
      <w:r w:rsidRPr="004A59B1">
        <w:rPr>
          <w:i/>
          <w:color w:val="000000"/>
          <w:sz w:val="22"/>
          <w:szCs w:val="22"/>
          <w:lang w:val="sl-SI"/>
        </w:rPr>
        <w:t>In vitro</w:t>
      </w:r>
      <w:r w:rsidRPr="004A59B1">
        <w:rPr>
          <w:color w:val="000000"/>
          <w:sz w:val="22"/>
          <w:szCs w:val="22"/>
          <w:lang w:val="sl-SI"/>
        </w:rPr>
        <w:t xml:space="preserve"> zdravilo Glivec zavira paracetamol O-glukuronidacijo </w:t>
      </w:r>
      <w:r w:rsidR="006B7617" w:rsidRPr="004A59B1">
        <w:rPr>
          <w:color w:val="000000"/>
          <w:sz w:val="22"/>
          <w:szCs w:val="22"/>
          <w:lang w:val="sl-SI"/>
        </w:rPr>
        <w:t xml:space="preserve">z </w:t>
      </w:r>
      <w:r w:rsidRPr="004A59B1">
        <w:rPr>
          <w:color w:val="000000"/>
          <w:sz w:val="22"/>
          <w:szCs w:val="22"/>
          <w:lang w:val="sl-SI"/>
        </w:rPr>
        <w:t>vrednost</w:t>
      </w:r>
      <w:r w:rsidR="006B7617" w:rsidRPr="004A59B1">
        <w:rPr>
          <w:color w:val="000000"/>
          <w:sz w:val="22"/>
          <w:szCs w:val="22"/>
          <w:lang w:val="sl-SI"/>
        </w:rPr>
        <w:t>jo</w:t>
      </w:r>
      <w:r w:rsidRPr="004A59B1">
        <w:rPr>
          <w:color w:val="000000"/>
          <w:sz w:val="22"/>
          <w:szCs w:val="22"/>
          <w:lang w:val="sl-SI"/>
        </w:rPr>
        <w:t xml:space="preserve"> Ki 58,5 mikromolov/l.</w:t>
      </w:r>
      <w:r w:rsidR="006B7617" w:rsidRPr="004A59B1">
        <w:rPr>
          <w:color w:val="000000"/>
          <w:sz w:val="22"/>
          <w:szCs w:val="22"/>
          <w:lang w:val="sl-SI"/>
        </w:rPr>
        <w:t xml:space="preserve"> Tega zaviranja</w:t>
      </w:r>
      <w:r w:rsidR="002821D7" w:rsidRPr="004A59B1">
        <w:rPr>
          <w:i/>
          <w:color w:val="000000"/>
          <w:sz w:val="22"/>
          <w:szCs w:val="22"/>
          <w:lang w:val="sl-SI"/>
        </w:rPr>
        <w:t xml:space="preserve"> </w:t>
      </w:r>
      <w:r w:rsidR="00263E97" w:rsidRPr="004A59B1">
        <w:rPr>
          <w:color w:val="000000"/>
          <w:sz w:val="22"/>
          <w:szCs w:val="22"/>
          <w:lang w:val="sl-SI"/>
        </w:rPr>
        <w:t>po uporabi zdravila Glivec 400 mg in paracetamola 1000 mg</w:t>
      </w:r>
      <w:r w:rsidR="00263E97" w:rsidRPr="004A59B1">
        <w:rPr>
          <w:i/>
          <w:color w:val="000000"/>
          <w:sz w:val="22"/>
          <w:szCs w:val="22"/>
          <w:lang w:val="sl-SI"/>
        </w:rPr>
        <w:t xml:space="preserve"> </w:t>
      </w:r>
      <w:r w:rsidR="002821D7" w:rsidRPr="004A59B1">
        <w:rPr>
          <w:i/>
          <w:color w:val="000000"/>
          <w:sz w:val="22"/>
          <w:szCs w:val="22"/>
          <w:lang w:val="sl-SI"/>
        </w:rPr>
        <w:t>in vivo</w:t>
      </w:r>
      <w:r w:rsidR="006B7617" w:rsidRPr="004A59B1">
        <w:rPr>
          <w:color w:val="000000"/>
          <w:sz w:val="22"/>
          <w:szCs w:val="22"/>
          <w:lang w:val="sl-SI"/>
        </w:rPr>
        <w:t xml:space="preserve"> niso opažali. </w:t>
      </w:r>
      <w:r w:rsidR="00CF7C31" w:rsidRPr="004A59B1">
        <w:rPr>
          <w:color w:val="000000"/>
          <w:sz w:val="22"/>
          <w:szCs w:val="22"/>
          <w:lang w:val="sl-SI"/>
        </w:rPr>
        <w:t xml:space="preserve">Večjih </w:t>
      </w:r>
      <w:r w:rsidR="006B7617" w:rsidRPr="004A59B1">
        <w:rPr>
          <w:color w:val="000000"/>
          <w:sz w:val="22"/>
          <w:szCs w:val="22"/>
          <w:lang w:val="sl-SI"/>
        </w:rPr>
        <w:t>odmerkov z</w:t>
      </w:r>
      <w:r w:rsidR="002E5EC8" w:rsidRPr="004A59B1">
        <w:rPr>
          <w:color w:val="000000"/>
          <w:sz w:val="22"/>
          <w:szCs w:val="22"/>
          <w:lang w:val="sl-SI"/>
        </w:rPr>
        <w:t>dravila Glive</w:t>
      </w:r>
      <w:r w:rsidR="006B7617" w:rsidRPr="004A59B1">
        <w:rPr>
          <w:color w:val="000000"/>
          <w:sz w:val="22"/>
          <w:szCs w:val="22"/>
          <w:lang w:val="sl-SI"/>
        </w:rPr>
        <w:t>c in paracetamola niso proučevali.</w:t>
      </w:r>
    </w:p>
    <w:p w14:paraId="52979822" w14:textId="77777777" w:rsidR="00914F93" w:rsidRPr="004A59B1" w:rsidRDefault="00914F93" w:rsidP="009C1193">
      <w:pPr>
        <w:pStyle w:val="TextChar"/>
        <w:widowControl w:val="0"/>
        <w:spacing w:before="0"/>
        <w:jc w:val="left"/>
        <w:rPr>
          <w:color w:val="000000"/>
          <w:sz w:val="22"/>
          <w:szCs w:val="22"/>
          <w:lang w:val="sl-SI"/>
        </w:rPr>
      </w:pPr>
    </w:p>
    <w:p w14:paraId="52979823" w14:textId="77777777" w:rsidR="00914F93" w:rsidRPr="004A59B1" w:rsidRDefault="00914F93" w:rsidP="009C1193">
      <w:pPr>
        <w:pStyle w:val="TextChar"/>
        <w:widowControl w:val="0"/>
        <w:spacing w:before="0"/>
        <w:jc w:val="left"/>
        <w:rPr>
          <w:color w:val="000000"/>
          <w:sz w:val="22"/>
          <w:szCs w:val="22"/>
          <w:lang w:val="sl-SI"/>
        </w:rPr>
      </w:pPr>
      <w:r w:rsidRPr="004A59B1">
        <w:rPr>
          <w:color w:val="000000"/>
          <w:sz w:val="22"/>
          <w:szCs w:val="22"/>
          <w:lang w:val="sl-SI"/>
        </w:rPr>
        <w:t xml:space="preserve">Zato je pri sočasni uporabi </w:t>
      </w:r>
      <w:r w:rsidR="00CF7C31" w:rsidRPr="004A59B1">
        <w:rPr>
          <w:color w:val="000000"/>
          <w:sz w:val="22"/>
          <w:szCs w:val="22"/>
          <w:lang w:val="sl-SI"/>
        </w:rPr>
        <w:t xml:space="preserve">velikih </w:t>
      </w:r>
      <w:r w:rsidR="006B7617" w:rsidRPr="004A59B1">
        <w:rPr>
          <w:color w:val="000000"/>
          <w:sz w:val="22"/>
          <w:szCs w:val="22"/>
          <w:lang w:val="sl-SI"/>
        </w:rPr>
        <w:t xml:space="preserve">odmerkov </w:t>
      </w:r>
      <w:r w:rsidRPr="004A59B1">
        <w:rPr>
          <w:color w:val="000000"/>
          <w:sz w:val="22"/>
          <w:szCs w:val="22"/>
          <w:lang w:val="sl-SI"/>
        </w:rPr>
        <w:t>zdravila Glivec in paracetamola potrebna previdnost.</w:t>
      </w:r>
    </w:p>
    <w:p w14:paraId="52979824" w14:textId="77777777" w:rsidR="00914F93" w:rsidRPr="004A59B1" w:rsidRDefault="00914F93" w:rsidP="009C1193">
      <w:pPr>
        <w:pStyle w:val="TextChar"/>
        <w:widowControl w:val="0"/>
        <w:spacing w:before="0"/>
        <w:jc w:val="left"/>
        <w:rPr>
          <w:color w:val="000000"/>
          <w:sz w:val="22"/>
          <w:szCs w:val="22"/>
          <w:lang w:val="sl-SI"/>
        </w:rPr>
      </w:pPr>
    </w:p>
    <w:p w14:paraId="52979825" w14:textId="77777777" w:rsidR="002629A7" w:rsidRPr="004A59B1" w:rsidRDefault="00914F93" w:rsidP="009C1193">
      <w:pPr>
        <w:widowControl w:val="0"/>
        <w:rPr>
          <w:color w:val="000000"/>
          <w:szCs w:val="22"/>
          <w:lang w:val="sl-SI"/>
        </w:rPr>
      </w:pPr>
      <w:r w:rsidRPr="004A59B1">
        <w:rPr>
          <w:color w:val="000000"/>
          <w:szCs w:val="22"/>
          <w:lang w:val="sl-SI"/>
        </w:rPr>
        <w:t xml:space="preserve">Pri </w:t>
      </w:r>
      <w:r w:rsidR="002629A7" w:rsidRPr="004A59B1">
        <w:rPr>
          <w:color w:val="000000"/>
          <w:szCs w:val="22"/>
          <w:lang w:val="sl-SI"/>
        </w:rPr>
        <w:t xml:space="preserve">bolnikih, ki so po tiroidektomiji prejemali levotiroksin, </w:t>
      </w:r>
      <w:r w:rsidR="00D27A65" w:rsidRPr="004A59B1">
        <w:rPr>
          <w:color w:val="000000"/>
          <w:szCs w:val="22"/>
          <w:lang w:val="sl-SI"/>
        </w:rPr>
        <w:t xml:space="preserve">je </w:t>
      </w:r>
      <w:r w:rsidR="002629A7" w:rsidRPr="004A59B1">
        <w:rPr>
          <w:color w:val="000000"/>
          <w:szCs w:val="22"/>
          <w:lang w:val="sl-SI"/>
        </w:rPr>
        <w:t xml:space="preserve">lahko ob sočasni uporabi zdravila Glivec </w:t>
      </w:r>
      <w:r w:rsidR="00D27A65" w:rsidRPr="004A59B1">
        <w:rPr>
          <w:color w:val="000000"/>
          <w:szCs w:val="22"/>
          <w:lang w:val="sl-SI"/>
        </w:rPr>
        <w:t>izpostavljenost</w:t>
      </w:r>
      <w:r w:rsidR="002629A7" w:rsidRPr="004A59B1">
        <w:rPr>
          <w:color w:val="000000"/>
          <w:szCs w:val="22"/>
          <w:lang w:val="sl-SI"/>
        </w:rPr>
        <w:t xml:space="preserve"> levotiroksinu v plazmi </w:t>
      </w:r>
      <w:r w:rsidR="00D27A65" w:rsidRPr="004A59B1">
        <w:rPr>
          <w:color w:val="000000"/>
          <w:szCs w:val="22"/>
          <w:lang w:val="sl-SI"/>
        </w:rPr>
        <w:t xml:space="preserve">zmanjšana </w:t>
      </w:r>
      <w:r w:rsidR="002629A7" w:rsidRPr="004A59B1">
        <w:rPr>
          <w:iCs/>
          <w:color w:val="000000"/>
          <w:szCs w:val="24"/>
          <w:lang w:val="sl-SI"/>
        </w:rPr>
        <w:t>(glejte poglavje 4.4)</w:t>
      </w:r>
      <w:r w:rsidR="002629A7" w:rsidRPr="004A59B1">
        <w:rPr>
          <w:color w:val="000000"/>
          <w:szCs w:val="22"/>
          <w:lang w:val="sl-SI"/>
        </w:rPr>
        <w:t xml:space="preserve">. Zato je potrebna previdnost. </w:t>
      </w:r>
      <w:r w:rsidR="00D27A65" w:rsidRPr="004A59B1">
        <w:rPr>
          <w:color w:val="000000"/>
          <w:szCs w:val="22"/>
          <w:lang w:val="sl-SI"/>
        </w:rPr>
        <w:t>Vendar pa trenutno m</w:t>
      </w:r>
      <w:r w:rsidR="002629A7" w:rsidRPr="004A59B1">
        <w:rPr>
          <w:color w:val="000000"/>
          <w:szCs w:val="22"/>
          <w:lang w:val="sl-SI"/>
        </w:rPr>
        <w:t xml:space="preserve">ehanizem </w:t>
      </w:r>
      <w:r w:rsidR="00A865B6" w:rsidRPr="004A59B1">
        <w:rPr>
          <w:color w:val="000000"/>
          <w:szCs w:val="22"/>
          <w:lang w:val="sl-SI"/>
        </w:rPr>
        <w:t xml:space="preserve">opažene </w:t>
      </w:r>
      <w:r w:rsidR="002629A7" w:rsidRPr="004A59B1">
        <w:rPr>
          <w:color w:val="000000"/>
          <w:szCs w:val="22"/>
          <w:lang w:val="sl-SI"/>
        </w:rPr>
        <w:t>interakcije</w:t>
      </w:r>
      <w:r w:rsidR="00A865B6" w:rsidRPr="004A59B1">
        <w:rPr>
          <w:color w:val="000000"/>
          <w:szCs w:val="22"/>
          <w:lang w:val="sl-SI"/>
        </w:rPr>
        <w:t xml:space="preserve"> ni znan.</w:t>
      </w:r>
    </w:p>
    <w:p w14:paraId="52979826" w14:textId="77777777" w:rsidR="002629A7" w:rsidRPr="004A59B1" w:rsidRDefault="002629A7" w:rsidP="009C1193">
      <w:pPr>
        <w:pStyle w:val="EndnoteText"/>
        <w:widowControl w:val="0"/>
        <w:tabs>
          <w:tab w:val="clear" w:pos="567"/>
        </w:tabs>
        <w:rPr>
          <w:color w:val="000000"/>
          <w:lang w:val="sl-SI"/>
        </w:rPr>
      </w:pPr>
    </w:p>
    <w:p w14:paraId="52979827" w14:textId="77777777" w:rsidR="00052AAE" w:rsidRPr="004A59B1" w:rsidRDefault="00052AAE" w:rsidP="009C1193">
      <w:pPr>
        <w:pStyle w:val="EndnoteText"/>
        <w:widowControl w:val="0"/>
        <w:tabs>
          <w:tab w:val="clear" w:pos="567"/>
        </w:tabs>
        <w:rPr>
          <w:color w:val="000000"/>
          <w:lang w:val="sl-SI"/>
        </w:rPr>
      </w:pPr>
      <w:r w:rsidRPr="004A59B1">
        <w:rPr>
          <w:color w:val="000000"/>
          <w:lang w:val="sl-SI"/>
        </w:rPr>
        <w:t xml:space="preserve">Kljub temu, da klinične izkušnje s sočasno uporabo </w:t>
      </w:r>
      <w:r w:rsidR="00D81193" w:rsidRPr="004A59B1">
        <w:rPr>
          <w:color w:val="000000"/>
          <w:lang w:val="sl-SI"/>
        </w:rPr>
        <w:t>zdravila Glivec</w:t>
      </w:r>
      <w:r w:rsidRPr="004A59B1">
        <w:rPr>
          <w:color w:val="000000"/>
          <w:lang w:val="sl-SI"/>
        </w:rPr>
        <w:t xml:space="preserve"> in kemoterapije pri bolnikih s Ph+ ALL obstajajo (glejte poglavje 5.1), pa interakcije med imatinibom in posameznimi kemoterapevtskimi shemami niso dobro opredeljene. Lahko pride do večje izraženosti neželenih dogodkov imatinib</w:t>
      </w:r>
      <w:r w:rsidR="00CA5E72" w:rsidRPr="004A59B1">
        <w:rPr>
          <w:color w:val="000000"/>
          <w:lang w:val="sl-SI"/>
        </w:rPr>
        <w:t>a</w:t>
      </w:r>
      <w:r w:rsidRPr="004A59B1">
        <w:rPr>
          <w:color w:val="000000"/>
          <w:lang w:val="sl-SI"/>
        </w:rPr>
        <w:t>, kot so toksičnost za jetra, mielosupresija ali drugi. Poročali so, da bi bila lahko sočasna uporaba L</w:t>
      </w:r>
      <w:r w:rsidRPr="004A59B1">
        <w:rPr>
          <w:color w:val="000000"/>
          <w:lang w:val="sl-SI"/>
        </w:rPr>
        <w:noBreakHyphen/>
        <w:t xml:space="preserve">asparaginaze povezana z bolj izraženo toksičnostjo za jetra (glejte poglavje 4.8). </w:t>
      </w:r>
      <w:r w:rsidRPr="004A59B1">
        <w:rPr>
          <w:color w:val="000000"/>
          <w:lang w:val="sl-SI"/>
        </w:rPr>
        <w:lastRenderedPageBreak/>
        <w:t>Zato je pri uporabi zdravila Glivec v kombinaciji potrebna posebna previdnost.</w:t>
      </w:r>
    </w:p>
    <w:p w14:paraId="52979828" w14:textId="77777777" w:rsidR="00444D75" w:rsidRPr="004A59B1" w:rsidRDefault="00444D75" w:rsidP="009C1193">
      <w:pPr>
        <w:pStyle w:val="EndnoteText"/>
        <w:widowControl w:val="0"/>
        <w:tabs>
          <w:tab w:val="clear" w:pos="567"/>
        </w:tabs>
        <w:rPr>
          <w:color w:val="000000"/>
          <w:szCs w:val="22"/>
          <w:lang w:val="sl-SI"/>
        </w:rPr>
      </w:pPr>
    </w:p>
    <w:p w14:paraId="52979829" w14:textId="77777777" w:rsidR="00444D75" w:rsidRPr="004A59B1" w:rsidRDefault="00444D75" w:rsidP="009C1193">
      <w:pPr>
        <w:keepNext/>
        <w:widowControl w:val="0"/>
        <w:tabs>
          <w:tab w:val="clear" w:pos="567"/>
        </w:tabs>
        <w:spacing w:line="240" w:lineRule="auto"/>
        <w:ind w:left="567" w:hanging="567"/>
        <w:rPr>
          <w:color w:val="000000"/>
          <w:szCs w:val="22"/>
          <w:lang w:val="sl-SI"/>
        </w:rPr>
      </w:pPr>
      <w:r w:rsidRPr="004A59B1">
        <w:rPr>
          <w:b/>
          <w:color w:val="000000"/>
          <w:szCs w:val="22"/>
          <w:lang w:val="sl-SI"/>
        </w:rPr>
        <w:t>4.6</w:t>
      </w:r>
      <w:r w:rsidRPr="004A59B1">
        <w:rPr>
          <w:b/>
          <w:color w:val="000000"/>
          <w:szCs w:val="22"/>
          <w:lang w:val="sl-SI"/>
        </w:rPr>
        <w:tab/>
      </w:r>
      <w:r w:rsidR="00DA3717" w:rsidRPr="004A59B1">
        <w:rPr>
          <w:b/>
          <w:color w:val="000000"/>
          <w:szCs w:val="22"/>
          <w:lang w:val="sl-SI"/>
        </w:rPr>
        <w:t>Plodnost, n</w:t>
      </w:r>
      <w:r w:rsidRPr="004A59B1">
        <w:rPr>
          <w:b/>
          <w:color w:val="000000"/>
          <w:szCs w:val="22"/>
          <w:lang w:val="sl-SI"/>
        </w:rPr>
        <w:t>osečnost in dojenje</w:t>
      </w:r>
    </w:p>
    <w:p w14:paraId="5297982A" w14:textId="77777777" w:rsidR="00444D75" w:rsidRPr="004A59B1" w:rsidRDefault="00444D75" w:rsidP="009C1193">
      <w:pPr>
        <w:pStyle w:val="EndnoteText"/>
        <w:keepNext/>
        <w:widowControl w:val="0"/>
        <w:rPr>
          <w:color w:val="000000"/>
          <w:szCs w:val="22"/>
          <w:lang w:val="sl-SI"/>
        </w:rPr>
      </w:pPr>
    </w:p>
    <w:p w14:paraId="5297982B" w14:textId="77777777" w:rsidR="00DF11AB" w:rsidRPr="004A59B1" w:rsidRDefault="00DF11AB" w:rsidP="009C1193">
      <w:pPr>
        <w:pStyle w:val="EndnoteText"/>
        <w:keepNext/>
        <w:widowControl w:val="0"/>
        <w:tabs>
          <w:tab w:val="clear" w:pos="567"/>
          <w:tab w:val="left" w:pos="7655"/>
        </w:tabs>
        <w:rPr>
          <w:color w:val="000000"/>
          <w:szCs w:val="22"/>
          <w:u w:val="single"/>
          <w:lang w:val="sl-SI"/>
        </w:rPr>
      </w:pPr>
      <w:r w:rsidRPr="004A59B1">
        <w:rPr>
          <w:color w:val="000000"/>
          <w:szCs w:val="22"/>
          <w:u w:val="single"/>
          <w:lang w:val="sl-SI"/>
        </w:rPr>
        <w:t xml:space="preserve">Ženske v </w:t>
      </w:r>
      <w:r w:rsidRPr="000941D5">
        <w:rPr>
          <w:color w:val="000000"/>
          <w:szCs w:val="22"/>
          <w:u w:val="single"/>
          <w:lang w:val="sl-SI"/>
        </w:rPr>
        <w:t>rodni</w:t>
      </w:r>
      <w:r w:rsidRPr="004A59B1">
        <w:rPr>
          <w:color w:val="000000"/>
          <w:szCs w:val="22"/>
          <w:u w:val="single"/>
          <w:lang w:val="sl-SI"/>
        </w:rPr>
        <w:t xml:space="preserve"> dobi</w:t>
      </w:r>
    </w:p>
    <w:p w14:paraId="5297982C" w14:textId="77777777" w:rsidR="00DF11AB" w:rsidRPr="004A59B1" w:rsidRDefault="00DF11AB" w:rsidP="009C1193">
      <w:pPr>
        <w:pStyle w:val="EndnoteText"/>
        <w:widowControl w:val="0"/>
        <w:rPr>
          <w:color w:val="000000"/>
          <w:szCs w:val="22"/>
          <w:lang w:val="sl-SI"/>
        </w:rPr>
      </w:pPr>
      <w:r w:rsidRPr="004A59B1">
        <w:rPr>
          <w:color w:val="000000"/>
          <w:szCs w:val="22"/>
          <w:lang w:val="sl-SI"/>
        </w:rPr>
        <w:t xml:space="preserve">Ženskam v rodni dobi je treba svetovati, naj med zdravljenjem </w:t>
      </w:r>
      <w:r w:rsidR="00AD188A">
        <w:rPr>
          <w:color w:val="000000"/>
          <w:szCs w:val="22"/>
          <w:lang w:val="sl-SI"/>
        </w:rPr>
        <w:t xml:space="preserve">in še najmanj 15 dni po </w:t>
      </w:r>
      <w:r w:rsidR="004F4AE7">
        <w:rPr>
          <w:color w:val="000000"/>
          <w:szCs w:val="22"/>
          <w:lang w:val="sl-SI"/>
        </w:rPr>
        <w:t>koncu</w:t>
      </w:r>
      <w:r w:rsidR="00AD188A">
        <w:rPr>
          <w:color w:val="000000"/>
          <w:szCs w:val="22"/>
          <w:lang w:val="sl-SI"/>
        </w:rPr>
        <w:t xml:space="preserve"> zdravljenja z zdravilom Glivec </w:t>
      </w:r>
      <w:r w:rsidRPr="004A59B1">
        <w:rPr>
          <w:color w:val="000000"/>
          <w:szCs w:val="22"/>
          <w:lang w:val="sl-SI"/>
        </w:rPr>
        <w:t>uporabljajo učinkovito kontracepcijo.</w:t>
      </w:r>
    </w:p>
    <w:p w14:paraId="5297982D" w14:textId="77777777" w:rsidR="00DF11AB" w:rsidRPr="008F282C" w:rsidRDefault="00DF11AB" w:rsidP="009C1193">
      <w:pPr>
        <w:pStyle w:val="EndnoteText"/>
        <w:widowControl w:val="0"/>
        <w:rPr>
          <w:color w:val="000000"/>
          <w:szCs w:val="22"/>
          <w:lang w:val="sl-SI"/>
        </w:rPr>
      </w:pPr>
    </w:p>
    <w:p w14:paraId="5297982E" w14:textId="77777777" w:rsidR="00444D75" w:rsidRPr="004A59B1" w:rsidRDefault="00444D75" w:rsidP="009C1193">
      <w:pPr>
        <w:pStyle w:val="EndnoteText"/>
        <w:keepNext/>
        <w:widowControl w:val="0"/>
        <w:tabs>
          <w:tab w:val="clear" w:pos="567"/>
          <w:tab w:val="left" w:pos="7655"/>
        </w:tabs>
        <w:rPr>
          <w:color w:val="000000"/>
          <w:szCs w:val="22"/>
          <w:u w:val="single"/>
          <w:lang w:val="sl-SI"/>
        </w:rPr>
      </w:pPr>
      <w:r w:rsidRPr="000941D5">
        <w:rPr>
          <w:color w:val="000000"/>
          <w:szCs w:val="22"/>
          <w:u w:val="single"/>
          <w:lang w:val="sl-SI"/>
        </w:rPr>
        <w:t>Nosečnost</w:t>
      </w:r>
    </w:p>
    <w:p w14:paraId="5297982F" w14:textId="77777777" w:rsidR="00706E09" w:rsidRPr="004A59B1" w:rsidRDefault="00FC7D64" w:rsidP="009C1193">
      <w:pPr>
        <w:pStyle w:val="EndnoteText"/>
        <w:widowControl w:val="0"/>
        <w:rPr>
          <w:color w:val="000000"/>
          <w:szCs w:val="22"/>
          <w:lang w:val="sl-SI"/>
        </w:rPr>
      </w:pPr>
      <w:r w:rsidRPr="004A59B1">
        <w:rPr>
          <w:noProof/>
          <w:color w:val="000000"/>
          <w:szCs w:val="22"/>
          <w:lang w:val="sl-SI"/>
        </w:rPr>
        <w:t>Podatkov o uporabi imatiniba pri nosečnicah je malo</w:t>
      </w:r>
      <w:r w:rsidR="00444D75" w:rsidRPr="004A59B1">
        <w:rPr>
          <w:color w:val="000000"/>
          <w:szCs w:val="22"/>
          <w:lang w:val="sl-SI"/>
        </w:rPr>
        <w:t xml:space="preserve">. </w:t>
      </w:r>
      <w:r w:rsidR="00DC7905">
        <w:rPr>
          <w:color w:val="000000"/>
          <w:szCs w:val="22"/>
          <w:lang w:val="sl-SI"/>
        </w:rPr>
        <w:t xml:space="preserve">V obdobju trženja zdravila so poročali o spontanih splavih in prirojenih nepravilnostih pri </w:t>
      </w:r>
      <w:r w:rsidR="00DC7905" w:rsidRPr="00531CB5">
        <w:rPr>
          <w:color w:val="000000"/>
          <w:szCs w:val="22"/>
          <w:lang w:val="sl-SI"/>
        </w:rPr>
        <w:t xml:space="preserve">dojenčkih </w:t>
      </w:r>
      <w:r w:rsidR="00F97D05" w:rsidRPr="00531CB5">
        <w:rPr>
          <w:color w:val="000000"/>
          <w:szCs w:val="22"/>
          <w:lang w:val="sl-SI"/>
        </w:rPr>
        <w:t>mater</w:t>
      </w:r>
      <w:r w:rsidR="00DC7905" w:rsidRPr="00531CB5">
        <w:rPr>
          <w:color w:val="000000"/>
          <w:szCs w:val="22"/>
          <w:lang w:val="sl-SI"/>
        </w:rPr>
        <w:t xml:space="preserve">, ki so </w:t>
      </w:r>
      <w:r w:rsidR="00F97D05" w:rsidRPr="00531CB5">
        <w:rPr>
          <w:color w:val="000000"/>
          <w:szCs w:val="22"/>
          <w:lang w:val="sl-SI"/>
        </w:rPr>
        <w:t xml:space="preserve">med nosečnostjo </w:t>
      </w:r>
      <w:r w:rsidR="00DC7905" w:rsidRPr="00531CB5">
        <w:rPr>
          <w:color w:val="000000"/>
          <w:szCs w:val="22"/>
          <w:lang w:val="sl-SI"/>
        </w:rPr>
        <w:t>prejemale zdravilo Glivec. Š</w:t>
      </w:r>
      <w:r w:rsidR="00444D75" w:rsidRPr="00531CB5">
        <w:rPr>
          <w:color w:val="000000"/>
          <w:szCs w:val="22"/>
          <w:lang w:val="sl-SI"/>
        </w:rPr>
        <w:t xml:space="preserve">tudije na živalih </w:t>
      </w:r>
      <w:r w:rsidR="00DC7905" w:rsidRPr="00531CB5">
        <w:rPr>
          <w:color w:val="000000"/>
          <w:szCs w:val="22"/>
          <w:lang w:val="sl-SI"/>
        </w:rPr>
        <w:t xml:space="preserve">so </w:t>
      </w:r>
      <w:r w:rsidR="00444D75" w:rsidRPr="00531CB5">
        <w:rPr>
          <w:color w:val="000000"/>
          <w:szCs w:val="22"/>
          <w:lang w:val="sl-SI"/>
        </w:rPr>
        <w:t>pokazale</w:t>
      </w:r>
      <w:r w:rsidR="00FA7B2A" w:rsidRPr="00531CB5">
        <w:rPr>
          <w:color w:val="000000"/>
          <w:szCs w:val="22"/>
          <w:lang w:val="sl-SI"/>
        </w:rPr>
        <w:t xml:space="preserve"> škodljiv</w:t>
      </w:r>
      <w:r w:rsidR="00444D75" w:rsidRPr="00531CB5">
        <w:rPr>
          <w:color w:val="000000"/>
          <w:szCs w:val="22"/>
          <w:lang w:val="sl-SI"/>
        </w:rPr>
        <w:t xml:space="preserve"> </w:t>
      </w:r>
      <w:r w:rsidR="00444D75" w:rsidRPr="00697DD5">
        <w:rPr>
          <w:noProof/>
          <w:color w:val="000000"/>
          <w:szCs w:val="22"/>
          <w:lang w:val="sl-SI"/>
        </w:rPr>
        <w:t>vpliv na sposobnost razmnoževanja</w:t>
      </w:r>
      <w:r w:rsidR="00444D75" w:rsidRPr="004A59B1">
        <w:rPr>
          <w:noProof/>
          <w:color w:val="000000"/>
          <w:szCs w:val="22"/>
          <w:lang w:val="sl-SI"/>
        </w:rPr>
        <w:t xml:space="preserve"> </w:t>
      </w:r>
      <w:r w:rsidR="00444D75" w:rsidRPr="004A59B1">
        <w:rPr>
          <w:color w:val="000000"/>
          <w:szCs w:val="22"/>
          <w:lang w:val="sl-SI"/>
        </w:rPr>
        <w:t>(</w:t>
      </w:r>
      <w:r w:rsidR="00444D75" w:rsidRPr="004A59B1">
        <w:rPr>
          <w:noProof/>
          <w:color w:val="000000"/>
          <w:szCs w:val="22"/>
          <w:lang w:val="sl-SI"/>
        </w:rPr>
        <w:t xml:space="preserve">glejte </w:t>
      </w:r>
      <w:r w:rsidR="007179A1" w:rsidRPr="004A59B1">
        <w:rPr>
          <w:noProof/>
          <w:color w:val="000000"/>
          <w:szCs w:val="22"/>
          <w:lang w:val="sl-SI"/>
        </w:rPr>
        <w:t xml:space="preserve">poglavje </w:t>
      </w:r>
      <w:r w:rsidR="00444D75" w:rsidRPr="004A59B1">
        <w:rPr>
          <w:noProof/>
          <w:color w:val="000000"/>
          <w:szCs w:val="22"/>
          <w:lang w:val="sl-SI"/>
        </w:rPr>
        <w:t>5.3</w:t>
      </w:r>
      <w:r w:rsidR="00444D75" w:rsidRPr="004A59B1">
        <w:rPr>
          <w:color w:val="000000"/>
          <w:szCs w:val="22"/>
          <w:lang w:val="sl-SI"/>
        </w:rPr>
        <w:t>)</w:t>
      </w:r>
      <w:r w:rsidR="00FA7B2A" w:rsidRPr="004A59B1">
        <w:rPr>
          <w:color w:val="000000"/>
          <w:szCs w:val="22"/>
          <w:lang w:val="sl-SI"/>
        </w:rPr>
        <w:t>,</w:t>
      </w:r>
      <w:r w:rsidR="00444D75" w:rsidRPr="004A59B1">
        <w:rPr>
          <w:color w:val="000000"/>
          <w:szCs w:val="22"/>
          <w:lang w:val="sl-SI"/>
        </w:rPr>
        <w:t xml:space="preserve"> možno tveganje za plod </w:t>
      </w:r>
      <w:r w:rsidR="00FA7B2A" w:rsidRPr="004A59B1">
        <w:rPr>
          <w:color w:val="000000"/>
          <w:szCs w:val="22"/>
          <w:lang w:val="sl-SI"/>
        </w:rPr>
        <w:t xml:space="preserve">pa </w:t>
      </w:r>
      <w:r w:rsidR="00444D75" w:rsidRPr="004A59B1">
        <w:rPr>
          <w:color w:val="000000"/>
          <w:szCs w:val="22"/>
          <w:lang w:val="sl-SI"/>
        </w:rPr>
        <w:t>ni znano. Zdravila Glivec ne smete uporabljati</w:t>
      </w:r>
      <w:r w:rsidR="00DC7905">
        <w:rPr>
          <w:color w:val="000000"/>
          <w:szCs w:val="22"/>
          <w:lang w:val="sl-SI"/>
        </w:rPr>
        <w:t xml:space="preserve"> </w:t>
      </w:r>
      <w:r w:rsidR="00706E09" w:rsidRPr="004A59B1">
        <w:rPr>
          <w:color w:val="000000"/>
          <w:szCs w:val="22"/>
          <w:lang w:val="sl-SI"/>
        </w:rPr>
        <w:t>pri nosečnicah,</w:t>
      </w:r>
      <w:r w:rsidR="00444D75" w:rsidRPr="004A59B1">
        <w:rPr>
          <w:color w:val="000000"/>
          <w:szCs w:val="22"/>
          <w:lang w:val="sl-SI"/>
        </w:rPr>
        <w:t xml:space="preserve"> razen če je nujno potrebno. Če se uporablja med nosečnostjo, je treba bolnico poučiti o možnih nevarnostih za plod.</w:t>
      </w:r>
    </w:p>
    <w:p w14:paraId="52979830" w14:textId="77777777" w:rsidR="009C4AC4" w:rsidRPr="004A59B1" w:rsidRDefault="009C4AC4" w:rsidP="009C1193">
      <w:pPr>
        <w:pStyle w:val="EndnoteText"/>
        <w:widowControl w:val="0"/>
        <w:rPr>
          <w:color w:val="000000"/>
          <w:szCs w:val="22"/>
          <w:lang w:val="sl-SI"/>
        </w:rPr>
      </w:pPr>
    </w:p>
    <w:p w14:paraId="52979831" w14:textId="77777777" w:rsidR="00444D75" w:rsidRPr="004A59B1" w:rsidRDefault="00444D75" w:rsidP="009C1193">
      <w:pPr>
        <w:pStyle w:val="EndnoteText"/>
        <w:keepNext/>
        <w:widowControl w:val="0"/>
        <w:tabs>
          <w:tab w:val="clear" w:pos="567"/>
          <w:tab w:val="left" w:pos="7655"/>
        </w:tabs>
        <w:rPr>
          <w:color w:val="000000"/>
          <w:szCs w:val="22"/>
          <w:lang w:val="sl-SI"/>
        </w:rPr>
      </w:pPr>
      <w:r w:rsidRPr="000941D5">
        <w:rPr>
          <w:color w:val="000000"/>
          <w:szCs w:val="22"/>
          <w:u w:val="single"/>
          <w:lang w:val="sl-SI"/>
        </w:rPr>
        <w:t>Dojenje</w:t>
      </w:r>
    </w:p>
    <w:p w14:paraId="52979832" w14:textId="215CE1CD" w:rsidR="00444D75" w:rsidRPr="004A59B1" w:rsidRDefault="00E8626A" w:rsidP="009C1193">
      <w:pPr>
        <w:pStyle w:val="EndnoteText"/>
        <w:widowControl w:val="0"/>
        <w:rPr>
          <w:color w:val="000000"/>
          <w:lang w:val="sl-SI"/>
        </w:rPr>
      </w:pPr>
      <w:r w:rsidRPr="004A59B1">
        <w:rPr>
          <w:color w:val="000000"/>
          <w:szCs w:val="22"/>
          <w:lang w:val="sl-SI"/>
        </w:rPr>
        <w:t xml:space="preserve">Podatkov </w:t>
      </w:r>
      <w:r w:rsidR="005678E2" w:rsidRPr="004A59B1">
        <w:rPr>
          <w:color w:val="000000"/>
          <w:szCs w:val="22"/>
          <w:lang w:val="sl-SI"/>
        </w:rPr>
        <w:t xml:space="preserve">o prehajanju imatiniba v materino mleko pri človeku </w:t>
      </w:r>
      <w:r w:rsidRPr="004A59B1">
        <w:rPr>
          <w:color w:val="000000"/>
          <w:szCs w:val="22"/>
          <w:lang w:val="sl-SI"/>
        </w:rPr>
        <w:t>ni veliko</w:t>
      </w:r>
      <w:r w:rsidR="005678E2" w:rsidRPr="004A59B1">
        <w:rPr>
          <w:color w:val="000000"/>
          <w:szCs w:val="22"/>
          <w:lang w:val="sl-SI"/>
        </w:rPr>
        <w:t>. Študij</w:t>
      </w:r>
      <w:r w:rsidR="00FA7B2A" w:rsidRPr="004A59B1">
        <w:rPr>
          <w:color w:val="000000"/>
          <w:szCs w:val="22"/>
          <w:lang w:val="sl-SI"/>
        </w:rPr>
        <w:t>i</w:t>
      </w:r>
      <w:r w:rsidR="005678E2" w:rsidRPr="004A59B1">
        <w:rPr>
          <w:color w:val="000000"/>
          <w:szCs w:val="22"/>
          <w:lang w:val="sl-SI"/>
        </w:rPr>
        <w:t xml:space="preserve"> pri dveh doječih materah </w:t>
      </w:r>
      <w:r w:rsidR="00FA7B2A" w:rsidRPr="004A59B1">
        <w:rPr>
          <w:color w:val="000000"/>
          <w:szCs w:val="22"/>
          <w:lang w:val="sl-SI"/>
        </w:rPr>
        <w:t xml:space="preserve">sta </w:t>
      </w:r>
      <w:r w:rsidR="005678E2" w:rsidRPr="004A59B1">
        <w:rPr>
          <w:color w:val="000000"/>
          <w:szCs w:val="22"/>
          <w:lang w:val="sl-SI"/>
        </w:rPr>
        <w:t>pokazal</w:t>
      </w:r>
      <w:r w:rsidR="00FA7B2A" w:rsidRPr="004A59B1">
        <w:rPr>
          <w:color w:val="000000"/>
          <w:szCs w:val="22"/>
          <w:lang w:val="sl-SI"/>
        </w:rPr>
        <w:t>i</w:t>
      </w:r>
      <w:r w:rsidR="005678E2" w:rsidRPr="004A59B1">
        <w:rPr>
          <w:color w:val="000000"/>
          <w:szCs w:val="22"/>
          <w:lang w:val="sl-SI"/>
        </w:rPr>
        <w:t>, da se t</w:t>
      </w:r>
      <w:r w:rsidR="00590D22" w:rsidRPr="004A59B1">
        <w:rPr>
          <w:color w:val="000000"/>
          <w:lang w:val="sl-SI"/>
        </w:rPr>
        <w:t xml:space="preserve">ako imatinib kot njegov aktivni presnovek pri človeku lahko izločata v materino mleko. </w:t>
      </w:r>
      <w:r w:rsidR="005678E2" w:rsidRPr="004A59B1">
        <w:rPr>
          <w:color w:val="000000"/>
          <w:lang w:val="sl-SI"/>
        </w:rPr>
        <w:t>Pri proučevanju p</w:t>
      </w:r>
      <w:r w:rsidR="00892522" w:rsidRPr="004A59B1">
        <w:rPr>
          <w:color w:val="000000"/>
          <w:lang w:val="sl-SI"/>
        </w:rPr>
        <w:t xml:space="preserve">rehajanja </w:t>
      </w:r>
      <w:r w:rsidR="005678E2" w:rsidRPr="004A59B1">
        <w:rPr>
          <w:color w:val="000000"/>
          <w:lang w:val="sl-SI"/>
        </w:rPr>
        <w:t xml:space="preserve">pri eni doječi materi so za imatinib </w:t>
      </w:r>
      <w:r w:rsidR="00590D22" w:rsidRPr="004A59B1">
        <w:rPr>
          <w:color w:val="000000"/>
          <w:lang w:val="sl-SI"/>
        </w:rPr>
        <w:t>določili razmerje med koncentracijama v mleku in plazmi 0,5, za njegov presnovek pa 0,9, kar kaže, da se presnovek v večji meri izloča v materinem mleku</w:t>
      </w:r>
      <w:r w:rsidR="00316926" w:rsidRPr="004A59B1">
        <w:rPr>
          <w:color w:val="000000"/>
          <w:lang w:val="sl-SI"/>
        </w:rPr>
        <w:t xml:space="preserve"> kot imatinib</w:t>
      </w:r>
      <w:r w:rsidR="00590D22" w:rsidRPr="004A59B1">
        <w:rPr>
          <w:color w:val="000000"/>
          <w:lang w:val="sl-SI"/>
        </w:rPr>
        <w:t xml:space="preserve">. </w:t>
      </w:r>
      <w:r w:rsidR="005D3807" w:rsidRPr="004A59B1">
        <w:rPr>
          <w:color w:val="000000"/>
          <w:lang w:val="sl-SI"/>
        </w:rPr>
        <w:t xml:space="preserve">Pri seštevku koncentracij imatiniba in njegovega presnovka je pri največji zaužiti količini materinega mleka na dan mogoče pričakoviti nizko skupno izpostavljenost dojenčka zdravilu in presnovku </w:t>
      </w:r>
      <w:r w:rsidR="00590D22" w:rsidRPr="004A59B1">
        <w:rPr>
          <w:color w:val="000000"/>
          <w:lang w:val="sl-SI"/>
        </w:rPr>
        <w:t>(~10</w:t>
      </w:r>
      <w:r w:rsidR="005D3807" w:rsidRPr="004A59B1">
        <w:rPr>
          <w:color w:val="000000"/>
          <w:lang w:val="sl-SI"/>
        </w:rPr>
        <w:t> </w:t>
      </w:r>
      <w:r w:rsidR="00590D22" w:rsidRPr="004A59B1">
        <w:rPr>
          <w:color w:val="000000"/>
          <w:lang w:val="sl-SI"/>
        </w:rPr>
        <w:t xml:space="preserve">% </w:t>
      </w:r>
      <w:r w:rsidR="005D3807" w:rsidRPr="004A59B1">
        <w:rPr>
          <w:color w:val="000000"/>
          <w:lang w:val="sl-SI"/>
        </w:rPr>
        <w:t>terapevtskega odmerka)</w:t>
      </w:r>
      <w:r w:rsidR="00590D22" w:rsidRPr="004A59B1">
        <w:rPr>
          <w:color w:val="000000"/>
          <w:lang w:val="sl-SI"/>
        </w:rPr>
        <w:t xml:space="preserve">. </w:t>
      </w:r>
      <w:r w:rsidR="006949BF">
        <w:rPr>
          <w:color w:val="000000"/>
          <w:lang w:val="sl-SI"/>
        </w:rPr>
        <w:t>Ker pa</w:t>
      </w:r>
      <w:r w:rsidR="00316926" w:rsidRPr="004A59B1">
        <w:rPr>
          <w:color w:val="000000"/>
          <w:lang w:val="sl-SI"/>
        </w:rPr>
        <w:t xml:space="preserve"> učinki izpostavljenosti dojenčka </w:t>
      </w:r>
      <w:r w:rsidR="00CF7C31" w:rsidRPr="004A59B1">
        <w:rPr>
          <w:color w:val="000000"/>
          <w:lang w:val="sl-SI"/>
        </w:rPr>
        <w:t xml:space="preserve">majhnim </w:t>
      </w:r>
      <w:r w:rsidR="00316926" w:rsidRPr="004A59B1">
        <w:rPr>
          <w:color w:val="000000"/>
          <w:lang w:val="sl-SI"/>
        </w:rPr>
        <w:t>odmerkom imatiniba niso znani, ženske ne smejo dojiti</w:t>
      </w:r>
      <w:r w:rsidR="006949BF">
        <w:rPr>
          <w:color w:val="000000"/>
          <w:lang w:val="sl-SI"/>
        </w:rPr>
        <w:t xml:space="preserve"> </w:t>
      </w:r>
      <w:r w:rsidR="006949BF" w:rsidRPr="004A59B1">
        <w:rPr>
          <w:color w:val="000000"/>
          <w:szCs w:val="22"/>
          <w:lang w:val="sl-SI"/>
        </w:rPr>
        <w:t xml:space="preserve">med zdravljenjem </w:t>
      </w:r>
      <w:r w:rsidR="006949BF">
        <w:rPr>
          <w:color w:val="000000"/>
          <w:szCs w:val="22"/>
          <w:lang w:val="sl-SI"/>
        </w:rPr>
        <w:t>in še najmanj 15 dni po koncu zdravljenja z zdravilom Glivec</w:t>
      </w:r>
      <w:r w:rsidR="00316926" w:rsidRPr="004A59B1">
        <w:rPr>
          <w:color w:val="000000"/>
          <w:lang w:val="sl-SI"/>
        </w:rPr>
        <w:t>.</w:t>
      </w:r>
    </w:p>
    <w:p w14:paraId="52979833" w14:textId="77777777" w:rsidR="00914F7D" w:rsidRPr="004A59B1" w:rsidRDefault="00914F7D" w:rsidP="009C1193">
      <w:pPr>
        <w:pStyle w:val="EndnoteText"/>
        <w:widowControl w:val="0"/>
        <w:rPr>
          <w:color w:val="000000"/>
          <w:lang w:val="sl-SI"/>
        </w:rPr>
      </w:pPr>
    </w:p>
    <w:p w14:paraId="52979834" w14:textId="77777777" w:rsidR="00914F7D" w:rsidRPr="004A59B1" w:rsidRDefault="00914F7D" w:rsidP="009C1193">
      <w:pPr>
        <w:pStyle w:val="EndnoteText"/>
        <w:keepNext/>
        <w:widowControl w:val="0"/>
        <w:rPr>
          <w:color w:val="000000"/>
          <w:u w:val="single"/>
          <w:lang w:val="sl-SI"/>
        </w:rPr>
      </w:pPr>
      <w:r w:rsidRPr="004A59B1">
        <w:rPr>
          <w:color w:val="000000"/>
          <w:u w:val="single"/>
          <w:lang w:val="sl-SI"/>
        </w:rPr>
        <w:t>Plodnost</w:t>
      </w:r>
    </w:p>
    <w:p w14:paraId="52979835" w14:textId="77777777" w:rsidR="00914F7D" w:rsidRPr="004A59B1" w:rsidRDefault="009A1E2C" w:rsidP="009C1193">
      <w:pPr>
        <w:pStyle w:val="EndnoteText"/>
        <w:widowControl w:val="0"/>
        <w:rPr>
          <w:color w:val="000000"/>
          <w:szCs w:val="22"/>
          <w:lang w:val="sl-SI"/>
        </w:rPr>
      </w:pPr>
      <w:r w:rsidRPr="004A59B1">
        <w:rPr>
          <w:color w:val="000000"/>
          <w:szCs w:val="22"/>
          <w:lang w:val="sl-SI"/>
        </w:rPr>
        <w:t>Pred</w:t>
      </w:r>
      <w:r w:rsidR="009B5FA5" w:rsidRPr="004A59B1">
        <w:rPr>
          <w:color w:val="000000"/>
          <w:szCs w:val="22"/>
          <w:lang w:val="sl-SI"/>
        </w:rPr>
        <w:t>k</w:t>
      </w:r>
      <w:r w:rsidRPr="004A59B1">
        <w:rPr>
          <w:color w:val="000000"/>
          <w:szCs w:val="22"/>
          <w:lang w:val="sl-SI"/>
        </w:rPr>
        <w:t>l</w:t>
      </w:r>
      <w:r w:rsidR="009B5FA5" w:rsidRPr="004A59B1">
        <w:rPr>
          <w:color w:val="000000"/>
          <w:szCs w:val="22"/>
          <w:lang w:val="sl-SI"/>
        </w:rPr>
        <w:t>inične štud</w:t>
      </w:r>
      <w:r w:rsidR="009A4AC1">
        <w:rPr>
          <w:color w:val="000000"/>
          <w:szCs w:val="22"/>
          <w:lang w:val="sl-SI"/>
        </w:rPr>
        <w:t>i</w:t>
      </w:r>
      <w:r w:rsidR="009B5FA5" w:rsidRPr="004A59B1">
        <w:rPr>
          <w:color w:val="000000"/>
          <w:szCs w:val="22"/>
          <w:lang w:val="sl-SI"/>
        </w:rPr>
        <w:t>je niso pokazale vpliva na plodnost pri podganjih samcih in samicah</w:t>
      </w:r>
      <w:r w:rsidR="002B790D">
        <w:rPr>
          <w:color w:val="000000"/>
          <w:szCs w:val="22"/>
          <w:lang w:val="sl-SI"/>
        </w:rPr>
        <w:t>, je pa bil opažen vpliv na nekatere parametre reprodukcije</w:t>
      </w:r>
      <w:r w:rsidR="009B5FA5" w:rsidRPr="004A59B1">
        <w:rPr>
          <w:color w:val="000000"/>
          <w:szCs w:val="22"/>
          <w:lang w:val="sl-SI"/>
        </w:rPr>
        <w:t xml:space="preserve"> (glejte poglavje 5.3). </w:t>
      </w:r>
      <w:r w:rsidR="00914F7D" w:rsidRPr="004A59B1">
        <w:rPr>
          <w:color w:val="000000"/>
          <w:szCs w:val="22"/>
          <w:lang w:val="sl-SI"/>
        </w:rPr>
        <w:t xml:space="preserve">Pri ljudeh niso opravili študij z bolniki, ki prejemajo zdravilo Glivec, da bi preučili vpliv zdravila na plodnost in na </w:t>
      </w:r>
      <w:r w:rsidR="00D92CB7" w:rsidRPr="004A59B1">
        <w:rPr>
          <w:color w:val="000000"/>
          <w:szCs w:val="22"/>
          <w:lang w:val="sl-SI"/>
        </w:rPr>
        <w:t>game</w:t>
      </w:r>
      <w:r w:rsidR="00914F7D" w:rsidRPr="004A59B1">
        <w:rPr>
          <w:color w:val="000000"/>
          <w:szCs w:val="22"/>
          <w:lang w:val="sl-SI"/>
        </w:rPr>
        <w:t xml:space="preserve">togenezo. </w:t>
      </w:r>
      <w:r w:rsidR="00D92CB7" w:rsidRPr="004A59B1">
        <w:rPr>
          <w:color w:val="000000"/>
          <w:szCs w:val="22"/>
          <w:lang w:val="sl-SI"/>
        </w:rPr>
        <w:t>B</w:t>
      </w:r>
      <w:r w:rsidR="00914F7D" w:rsidRPr="004A59B1">
        <w:rPr>
          <w:color w:val="000000"/>
          <w:szCs w:val="22"/>
          <w:lang w:val="sl-SI"/>
        </w:rPr>
        <w:t>olniki, ki jih skrbi glede njihove plodnosti v času zdravljenja z zdravilom Glivec, naj se posvetujejo s svojim zdravnikom.</w:t>
      </w:r>
    </w:p>
    <w:p w14:paraId="52979836" w14:textId="77777777" w:rsidR="00444D75" w:rsidRPr="004A59B1" w:rsidRDefault="00444D75" w:rsidP="009C1193">
      <w:pPr>
        <w:pStyle w:val="EndnoteText"/>
        <w:widowControl w:val="0"/>
        <w:rPr>
          <w:color w:val="000000"/>
          <w:szCs w:val="22"/>
          <w:lang w:val="sl-SI"/>
        </w:rPr>
      </w:pPr>
    </w:p>
    <w:p w14:paraId="52979837" w14:textId="77777777" w:rsidR="00444D75" w:rsidRPr="004A59B1" w:rsidRDefault="00444D75" w:rsidP="009C1193">
      <w:pPr>
        <w:keepNext/>
        <w:widowControl w:val="0"/>
        <w:tabs>
          <w:tab w:val="clear" w:pos="567"/>
        </w:tabs>
        <w:spacing w:line="240" w:lineRule="auto"/>
        <w:ind w:left="567" w:hanging="567"/>
        <w:rPr>
          <w:color w:val="000000"/>
          <w:szCs w:val="22"/>
          <w:lang w:val="sl-SI"/>
        </w:rPr>
      </w:pPr>
      <w:r w:rsidRPr="004A59B1">
        <w:rPr>
          <w:b/>
          <w:color w:val="000000"/>
          <w:szCs w:val="22"/>
          <w:lang w:val="sl-SI"/>
        </w:rPr>
        <w:t>4.7</w:t>
      </w:r>
      <w:r w:rsidRPr="004A59B1">
        <w:rPr>
          <w:b/>
          <w:color w:val="000000"/>
          <w:szCs w:val="22"/>
          <w:lang w:val="sl-SI"/>
        </w:rPr>
        <w:tab/>
        <w:t>Vpliv na sposobnost vožnje in upravljanja stroj</w:t>
      </w:r>
      <w:r w:rsidR="00765473">
        <w:rPr>
          <w:b/>
          <w:color w:val="000000"/>
          <w:szCs w:val="22"/>
          <w:lang w:val="sl-SI"/>
        </w:rPr>
        <w:t>ev</w:t>
      </w:r>
    </w:p>
    <w:p w14:paraId="52979838" w14:textId="77777777" w:rsidR="00444D75" w:rsidRPr="004A59B1" w:rsidRDefault="00444D75" w:rsidP="009C1193">
      <w:pPr>
        <w:pStyle w:val="EndnoteText"/>
        <w:keepNext/>
        <w:widowControl w:val="0"/>
        <w:tabs>
          <w:tab w:val="clear" w:pos="567"/>
        </w:tabs>
        <w:rPr>
          <w:color w:val="000000"/>
          <w:szCs w:val="22"/>
          <w:lang w:val="sl-SI"/>
        </w:rPr>
      </w:pPr>
    </w:p>
    <w:p w14:paraId="52979839" w14:textId="77777777" w:rsidR="00444D75" w:rsidRPr="004A59B1" w:rsidRDefault="008F6625" w:rsidP="009C1193">
      <w:pPr>
        <w:pStyle w:val="EndnoteText"/>
        <w:widowControl w:val="0"/>
        <w:tabs>
          <w:tab w:val="clear" w:pos="567"/>
        </w:tabs>
        <w:rPr>
          <w:snapToGrid w:val="0"/>
          <w:color w:val="000000"/>
          <w:szCs w:val="22"/>
          <w:lang w:val="sl-SI"/>
        </w:rPr>
      </w:pPr>
      <w:r w:rsidRPr="004A59B1">
        <w:rPr>
          <w:color w:val="000000"/>
          <w:szCs w:val="22"/>
          <w:lang w:val="sl-SI"/>
        </w:rPr>
        <w:t>Bolnikom</w:t>
      </w:r>
      <w:r w:rsidR="00914F7D" w:rsidRPr="004A59B1">
        <w:rPr>
          <w:color w:val="000000"/>
          <w:szCs w:val="22"/>
          <w:lang w:val="sl-SI"/>
        </w:rPr>
        <w:t xml:space="preserve"> </w:t>
      </w:r>
      <w:r w:rsidR="00444D75" w:rsidRPr="004A59B1">
        <w:rPr>
          <w:color w:val="000000"/>
          <w:szCs w:val="22"/>
          <w:lang w:val="sl-SI"/>
        </w:rPr>
        <w:t>je treba razložiti, da lahko med zdravljenjem z imatinibom doživijo neželene učinke, na primer vrtoglavost</w:t>
      </w:r>
      <w:r w:rsidR="00914F7D" w:rsidRPr="004A59B1">
        <w:rPr>
          <w:color w:val="000000"/>
          <w:szCs w:val="22"/>
          <w:lang w:val="sl-SI"/>
        </w:rPr>
        <w:t>,</w:t>
      </w:r>
      <w:r w:rsidR="00444D75" w:rsidRPr="004A59B1">
        <w:rPr>
          <w:color w:val="000000"/>
          <w:szCs w:val="22"/>
          <w:lang w:val="sl-SI"/>
        </w:rPr>
        <w:t xml:space="preserve"> meglen vid</w:t>
      </w:r>
      <w:r w:rsidRPr="004A59B1">
        <w:rPr>
          <w:color w:val="000000"/>
          <w:szCs w:val="22"/>
          <w:lang w:val="sl-SI"/>
        </w:rPr>
        <w:t xml:space="preserve"> ali</w:t>
      </w:r>
      <w:r w:rsidR="00914F7D" w:rsidRPr="004A59B1">
        <w:rPr>
          <w:color w:val="000000"/>
          <w:szCs w:val="22"/>
          <w:lang w:val="sl-SI"/>
        </w:rPr>
        <w:t xml:space="preserve"> </w:t>
      </w:r>
      <w:r w:rsidR="00FC7D64" w:rsidRPr="004A59B1">
        <w:rPr>
          <w:color w:val="000000"/>
          <w:szCs w:val="22"/>
          <w:lang w:val="sl-SI"/>
        </w:rPr>
        <w:t>somnolenca</w:t>
      </w:r>
      <w:r w:rsidR="00444D75" w:rsidRPr="004A59B1">
        <w:rPr>
          <w:color w:val="000000"/>
          <w:szCs w:val="22"/>
          <w:lang w:val="sl-SI"/>
        </w:rPr>
        <w:t>. Zato je treba bolnikom, ki vozijo avto ali uporabljajo stroje, priporočiti previdnost</w:t>
      </w:r>
      <w:r w:rsidR="00444D75" w:rsidRPr="004A59B1">
        <w:rPr>
          <w:snapToGrid w:val="0"/>
          <w:color w:val="000000"/>
          <w:szCs w:val="22"/>
          <w:lang w:val="sl-SI"/>
        </w:rPr>
        <w:t>.</w:t>
      </w:r>
    </w:p>
    <w:p w14:paraId="5297983A" w14:textId="77777777" w:rsidR="00444D75" w:rsidRPr="004A59B1" w:rsidRDefault="00444D75" w:rsidP="009C1193">
      <w:pPr>
        <w:pStyle w:val="EndnoteText"/>
        <w:widowControl w:val="0"/>
        <w:tabs>
          <w:tab w:val="clear" w:pos="567"/>
        </w:tabs>
        <w:rPr>
          <w:color w:val="000000"/>
          <w:szCs w:val="22"/>
          <w:lang w:val="sl-SI"/>
        </w:rPr>
      </w:pPr>
    </w:p>
    <w:p w14:paraId="5297983B" w14:textId="77777777" w:rsidR="00444D75" w:rsidRPr="004A59B1" w:rsidRDefault="00444D75" w:rsidP="009C1193">
      <w:pPr>
        <w:keepNext/>
        <w:widowControl w:val="0"/>
        <w:tabs>
          <w:tab w:val="clear" w:pos="567"/>
        </w:tabs>
        <w:spacing w:line="240" w:lineRule="auto"/>
        <w:ind w:left="567" w:hanging="567"/>
        <w:rPr>
          <w:b/>
          <w:color w:val="000000"/>
          <w:szCs w:val="22"/>
          <w:lang w:val="sl-SI"/>
        </w:rPr>
      </w:pPr>
      <w:r w:rsidRPr="004A59B1">
        <w:rPr>
          <w:b/>
          <w:color w:val="000000"/>
          <w:szCs w:val="22"/>
          <w:lang w:val="sl-SI"/>
        </w:rPr>
        <w:t>4.8</w:t>
      </w:r>
      <w:r w:rsidRPr="004A59B1">
        <w:rPr>
          <w:b/>
          <w:color w:val="000000"/>
          <w:szCs w:val="22"/>
          <w:lang w:val="sl-SI"/>
        </w:rPr>
        <w:tab/>
        <w:t>Neželeni učinki</w:t>
      </w:r>
    </w:p>
    <w:p w14:paraId="5297983C" w14:textId="77777777" w:rsidR="00444D75" w:rsidRPr="004A59B1" w:rsidRDefault="00444D75" w:rsidP="009C1193">
      <w:pPr>
        <w:keepNext/>
        <w:widowControl w:val="0"/>
        <w:tabs>
          <w:tab w:val="clear" w:pos="567"/>
        </w:tabs>
        <w:spacing w:line="240" w:lineRule="auto"/>
        <w:rPr>
          <w:color w:val="000000"/>
          <w:szCs w:val="22"/>
          <w:lang w:val="sl-SI"/>
        </w:rPr>
      </w:pPr>
    </w:p>
    <w:p w14:paraId="5297983D" w14:textId="77777777" w:rsidR="00444D75" w:rsidRPr="004A59B1" w:rsidRDefault="00444D75" w:rsidP="009C1193">
      <w:pPr>
        <w:pStyle w:val="TextChar"/>
        <w:widowControl w:val="0"/>
        <w:spacing w:before="0"/>
        <w:jc w:val="left"/>
        <w:rPr>
          <w:color w:val="000000"/>
          <w:sz w:val="22"/>
          <w:szCs w:val="22"/>
          <w:lang w:val="sl-SI"/>
        </w:rPr>
      </w:pPr>
      <w:r w:rsidRPr="004A59B1">
        <w:rPr>
          <w:color w:val="000000"/>
          <w:sz w:val="22"/>
          <w:szCs w:val="22"/>
          <w:lang w:val="sl-SI"/>
        </w:rPr>
        <w:t xml:space="preserve">Bolniki z napredovalimi stadiji </w:t>
      </w:r>
      <w:r w:rsidR="00D33C8C" w:rsidRPr="004A59B1">
        <w:rPr>
          <w:color w:val="000000"/>
          <w:sz w:val="22"/>
          <w:szCs w:val="22"/>
          <w:lang w:val="sl-SI"/>
        </w:rPr>
        <w:t xml:space="preserve">malignih bolezni </w:t>
      </w:r>
      <w:r w:rsidRPr="004A59B1">
        <w:rPr>
          <w:color w:val="000000"/>
          <w:sz w:val="22"/>
          <w:szCs w:val="22"/>
          <w:lang w:val="sl-SI"/>
        </w:rPr>
        <w:t xml:space="preserve">imajo lahko številna sočasna medicinska stanja, ki </w:t>
      </w:r>
      <w:r w:rsidR="00797380" w:rsidRPr="004A59B1">
        <w:rPr>
          <w:color w:val="000000"/>
          <w:sz w:val="22"/>
          <w:szCs w:val="22"/>
          <w:lang w:val="sl-SI"/>
        </w:rPr>
        <w:t>lahko zakrijejo in ovirajo oceno</w:t>
      </w:r>
      <w:r w:rsidRPr="004A59B1">
        <w:rPr>
          <w:color w:val="000000"/>
          <w:sz w:val="22"/>
          <w:szCs w:val="22"/>
          <w:lang w:val="sl-SI"/>
        </w:rPr>
        <w:t xml:space="preserve"> vzročnost</w:t>
      </w:r>
      <w:r w:rsidR="00BE128B" w:rsidRPr="004A59B1">
        <w:rPr>
          <w:color w:val="000000"/>
          <w:sz w:val="22"/>
          <w:szCs w:val="22"/>
          <w:lang w:val="sl-SI"/>
        </w:rPr>
        <w:t>i</w:t>
      </w:r>
      <w:r w:rsidRPr="004A59B1">
        <w:rPr>
          <w:color w:val="000000"/>
          <w:sz w:val="22"/>
          <w:szCs w:val="22"/>
          <w:lang w:val="sl-SI"/>
        </w:rPr>
        <w:t xml:space="preserve"> neželenih reakcij zaradi različnih simptomov, povezanih z osnovno boleznijo, njenim napredovanjem in sočasnim dajanjem številnih zdravil.</w:t>
      </w:r>
    </w:p>
    <w:p w14:paraId="5297983E" w14:textId="77777777" w:rsidR="00444D75" w:rsidRPr="004A59B1" w:rsidRDefault="00444D75" w:rsidP="009C1193">
      <w:pPr>
        <w:pStyle w:val="TextChar"/>
        <w:widowControl w:val="0"/>
        <w:spacing w:before="0"/>
        <w:jc w:val="left"/>
        <w:rPr>
          <w:color w:val="000000"/>
          <w:sz w:val="22"/>
          <w:szCs w:val="22"/>
          <w:lang w:val="sl-SI"/>
        </w:rPr>
      </w:pPr>
    </w:p>
    <w:p w14:paraId="5297983F" w14:textId="77777777" w:rsidR="00444D75" w:rsidRPr="004A59B1" w:rsidRDefault="00444D75" w:rsidP="009C1193">
      <w:pPr>
        <w:pStyle w:val="TextChar"/>
        <w:widowControl w:val="0"/>
        <w:spacing w:before="0"/>
        <w:jc w:val="left"/>
        <w:rPr>
          <w:color w:val="000000"/>
          <w:sz w:val="22"/>
          <w:szCs w:val="22"/>
          <w:lang w:val="sl-SI"/>
        </w:rPr>
      </w:pPr>
      <w:r w:rsidRPr="004A59B1">
        <w:rPr>
          <w:color w:val="000000"/>
          <w:sz w:val="22"/>
          <w:szCs w:val="22"/>
          <w:lang w:val="sl-SI"/>
        </w:rPr>
        <w:t xml:space="preserve">V kliničnih preskušanjih pri </w:t>
      </w:r>
      <w:r w:rsidR="00677326" w:rsidRPr="004A59B1">
        <w:rPr>
          <w:color w:val="000000"/>
          <w:sz w:val="22"/>
          <w:szCs w:val="22"/>
          <w:lang w:val="sl-SI"/>
        </w:rPr>
        <w:t>KML</w:t>
      </w:r>
      <w:r w:rsidRPr="004A59B1">
        <w:rPr>
          <w:color w:val="000000"/>
          <w:sz w:val="22"/>
          <w:szCs w:val="22"/>
          <w:lang w:val="sl-SI"/>
        </w:rPr>
        <w:t xml:space="preserve"> so prekinitev dajanja zdravila zaradi neželenih reakcij, povezanih z zdravilom, zabeležili pri 2</w:t>
      </w:r>
      <w:r w:rsidR="000C3973" w:rsidRPr="004A59B1">
        <w:rPr>
          <w:color w:val="000000"/>
          <w:sz w:val="22"/>
          <w:szCs w:val="22"/>
          <w:lang w:val="sl-SI"/>
        </w:rPr>
        <w:t>,4</w:t>
      </w:r>
      <w:r w:rsidRPr="004A59B1">
        <w:rPr>
          <w:color w:val="000000"/>
          <w:sz w:val="22"/>
          <w:szCs w:val="22"/>
          <w:lang w:val="sl-SI"/>
        </w:rPr>
        <w:t> % na novo diagnosticiranih bolnikov, 4 % bolnikov v pozni kronični fazi po neuspelem zdravljenju z interferonom, 4 % bolnikov v pospešeni fazi po neuspelem zdravljenju z interferonom in 5 % bolnikov v blastni krizi po neuspelem zdravljenju z interferonom. Pri GIST so preskušano zdravilo ukinili zaradi neželenih reakcij, povezanih z zdravilom, pri 4 % bolnikov.</w:t>
      </w:r>
    </w:p>
    <w:p w14:paraId="52979840" w14:textId="77777777" w:rsidR="00444D75" w:rsidRPr="004A59B1" w:rsidRDefault="00444D75" w:rsidP="009C1193">
      <w:pPr>
        <w:pStyle w:val="TextChar"/>
        <w:widowControl w:val="0"/>
        <w:spacing w:before="0"/>
        <w:jc w:val="left"/>
        <w:rPr>
          <w:color w:val="000000"/>
          <w:sz w:val="22"/>
          <w:szCs w:val="22"/>
          <w:lang w:val="sl-SI"/>
        </w:rPr>
      </w:pPr>
    </w:p>
    <w:p w14:paraId="52979841" w14:textId="77777777" w:rsidR="00444D75" w:rsidRPr="004A59B1" w:rsidRDefault="00444D75" w:rsidP="009C1193">
      <w:pPr>
        <w:pStyle w:val="TextChar"/>
        <w:widowControl w:val="0"/>
        <w:spacing w:before="0"/>
        <w:jc w:val="left"/>
        <w:rPr>
          <w:color w:val="000000"/>
          <w:sz w:val="22"/>
          <w:szCs w:val="22"/>
          <w:lang w:val="sl-SI"/>
        </w:rPr>
      </w:pPr>
      <w:r w:rsidRPr="004A59B1">
        <w:rPr>
          <w:color w:val="000000"/>
          <w:sz w:val="22"/>
          <w:szCs w:val="22"/>
          <w:lang w:val="sl-SI"/>
        </w:rPr>
        <w:t>Neželene reakcije so bile podobne pri</w:t>
      </w:r>
      <w:r w:rsidR="00FB6CB2" w:rsidRPr="004A59B1">
        <w:rPr>
          <w:color w:val="000000"/>
          <w:sz w:val="22"/>
          <w:szCs w:val="22"/>
          <w:lang w:val="sl-SI"/>
        </w:rPr>
        <w:t xml:space="preserve"> vseh indikacijah,</w:t>
      </w:r>
      <w:r w:rsidRPr="004A59B1">
        <w:rPr>
          <w:color w:val="000000"/>
          <w:sz w:val="22"/>
          <w:szCs w:val="22"/>
          <w:lang w:val="sl-SI"/>
        </w:rPr>
        <w:t xml:space="preserve"> z dvema izjemama. Pri bolnikih s </w:t>
      </w:r>
      <w:r w:rsidR="00677326" w:rsidRPr="004A59B1">
        <w:rPr>
          <w:color w:val="000000"/>
          <w:sz w:val="22"/>
          <w:szCs w:val="22"/>
          <w:lang w:val="sl-SI"/>
        </w:rPr>
        <w:t>KML</w:t>
      </w:r>
      <w:r w:rsidRPr="004A59B1">
        <w:rPr>
          <w:color w:val="000000"/>
          <w:sz w:val="22"/>
          <w:szCs w:val="22"/>
          <w:lang w:val="sl-SI"/>
        </w:rPr>
        <w:t xml:space="preserve"> je bila izrazitejša mielosupresija kot pri bolnikih z GIST, kar je verjetno posledica osnovne bolezni. </w:t>
      </w:r>
      <w:r w:rsidR="003E56E2" w:rsidRPr="004A59B1">
        <w:rPr>
          <w:color w:val="000000"/>
          <w:sz w:val="22"/>
          <w:szCs w:val="22"/>
          <w:lang w:val="sl-SI"/>
        </w:rPr>
        <w:t>V študiji pri bolnikih z neresektabilnimi in/ali metastatskimi GIST je imelo 7 (5 %)</w:t>
      </w:r>
      <w:r w:rsidRPr="004A59B1">
        <w:rPr>
          <w:color w:val="000000"/>
          <w:sz w:val="22"/>
          <w:szCs w:val="22"/>
          <w:lang w:val="sl-SI"/>
        </w:rPr>
        <w:t xml:space="preserve"> bolnikov gastrointestinalne krvavitve CTC stopnje 3/4 (3 bolniki), intratumorske krvavitve (3 bolniki) ali obe vrsti krvavitev (1 bolnik</w:t>
      </w:r>
      <w:r w:rsidRPr="004A59B1">
        <w:rPr>
          <w:snapToGrid w:val="0"/>
          <w:color w:val="000000"/>
          <w:sz w:val="22"/>
          <w:szCs w:val="22"/>
          <w:lang w:val="sl-SI"/>
        </w:rPr>
        <w:t xml:space="preserve">). </w:t>
      </w:r>
      <w:r w:rsidRPr="004A59B1">
        <w:rPr>
          <w:color w:val="000000"/>
          <w:sz w:val="22"/>
          <w:szCs w:val="22"/>
          <w:lang w:val="sl-SI"/>
        </w:rPr>
        <w:t xml:space="preserve">Vir gastrointestinalnih krvavitev so bile morda lokacije gastrointestinalnih tumorjev (glejte </w:t>
      </w:r>
      <w:r w:rsidRPr="004A59B1">
        <w:rPr>
          <w:color w:val="000000"/>
          <w:sz w:val="22"/>
          <w:szCs w:val="22"/>
          <w:lang w:val="sl-SI"/>
        </w:rPr>
        <w:lastRenderedPageBreak/>
        <w:t>poglavje 4.</w:t>
      </w:r>
      <w:r w:rsidRPr="004A59B1">
        <w:rPr>
          <w:snapToGrid w:val="0"/>
          <w:color w:val="000000"/>
          <w:sz w:val="22"/>
          <w:szCs w:val="22"/>
          <w:lang w:val="sl-SI"/>
        </w:rPr>
        <w:t xml:space="preserve">4). </w:t>
      </w:r>
      <w:r w:rsidRPr="004A59B1">
        <w:rPr>
          <w:color w:val="000000"/>
          <w:sz w:val="22"/>
          <w:szCs w:val="22"/>
          <w:lang w:val="sl-SI"/>
        </w:rPr>
        <w:t>Gastrointestinalne in tumorske krvavitve so lahko resne in včasih smrtne. Z zdravilom povezane neželene reakcije</w:t>
      </w:r>
      <w:r w:rsidR="00DE7EB6" w:rsidRPr="004A59B1">
        <w:rPr>
          <w:color w:val="000000"/>
          <w:sz w:val="22"/>
          <w:szCs w:val="22"/>
          <w:lang w:val="sl-SI"/>
        </w:rPr>
        <w:t>,</w:t>
      </w:r>
      <w:r w:rsidRPr="004A59B1">
        <w:rPr>
          <w:color w:val="000000"/>
          <w:sz w:val="22"/>
          <w:szCs w:val="22"/>
          <w:lang w:val="sl-SI"/>
        </w:rPr>
        <w:t xml:space="preserve"> o katerih so najpogosteje poročali (≥ 10 %), so bile blaga navzea, bruhanje, driska, bolečine v trebuhu, utrujenost, mialgija, mišični krči in izpuščaj. Površinski edemi so bili v vseh študijah pogosti, opisali so jih predvsem kot periorbitalne ali kot edeme spodnjih udov. Vendar so bili ti edemi redko težki in jih lahko zdravimo z diuretiki, drugimi podpornimi ukrepi ali z zmanjšanjem odmerka </w:t>
      </w:r>
      <w:r w:rsidR="00D81193" w:rsidRPr="004A59B1">
        <w:rPr>
          <w:color w:val="000000"/>
          <w:sz w:val="22"/>
          <w:szCs w:val="22"/>
          <w:lang w:val="sl-SI"/>
        </w:rPr>
        <w:t>zdravila Glivec</w:t>
      </w:r>
      <w:r w:rsidRPr="004A59B1">
        <w:rPr>
          <w:color w:val="000000"/>
          <w:sz w:val="22"/>
          <w:szCs w:val="22"/>
          <w:lang w:val="sl-SI"/>
        </w:rPr>
        <w:t>.</w:t>
      </w:r>
    </w:p>
    <w:p w14:paraId="52979842" w14:textId="77777777" w:rsidR="0071527F" w:rsidRPr="004A59B1" w:rsidRDefault="0071527F" w:rsidP="009C1193">
      <w:pPr>
        <w:pStyle w:val="TextChar"/>
        <w:widowControl w:val="0"/>
        <w:spacing w:before="0"/>
        <w:jc w:val="left"/>
        <w:rPr>
          <w:color w:val="000000"/>
          <w:sz w:val="22"/>
          <w:szCs w:val="22"/>
          <w:lang w:val="sl-SI"/>
        </w:rPr>
      </w:pPr>
    </w:p>
    <w:p w14:paraId="52979843" w14:textId="77777777" w:rsidR="0071527F" w:rsidRPr="004A59B1" w:rsidRDefault="0071527F" w:rsidP="009C1193">
      <w:pPr>
        <w:pStyle w:val="TextChar"/>
        <w:widowControl w:val="0"/>
        <w:spacing w:before="0"/>
        <w:jc w:val="left"/>
        <w:rPr>
          <w:color w:val="000000"/>
          <w:sz w:val="22"/>
          <w:szCs w:val="22"/>
          <w:lang w:val="sl-SI"/>
        </w:rPr>
      </w:pPr>
      <w:r w:rsidRPr="004A59B1">
        <w:rPr>
          <w:color w:val="000000"/>
          <w:sz w:val="22"/>
          <w:szCs w:val="22"/>
          <w:lang w:val="sl-SI"/>
        </w:rPr>
        <w:t xml:space="preserve">Kadar so imatinib uporabljali v kombinaciji z visokoodmerno kemoterapevtsko shemo pri bolnikih s Ph+ ALL, je prišlo do prehodne toksičnosti za jetra v obliki zvišanja </w:t>
      </w:r>
      <w:r w:rsidR="00DE7EB6" w:rsidRPr="004A59B1">
        <w:rPr>
          <w:color w:val="000000"/>
          <w:sz w:val="22"/>
          <w:szCs w:val="22"/>
          <w:lang w:val="sl-SI"/>
        </w:rPr>
        <w:t>aminotransferaz</w:t>
      </w:r>
      <w:r w:rsidRPr="004A59B1">
        <w:rPr>
          <w:color w:val="000000"/>
          <w:sz w:val="22"/>
          <w:szCs w:val="22"/>
          <w:lang w:val="sl-SI"/>
        </w:rPr>
        <w:t xml:space="preserve"> in hiperbilirubinemije.</w:t>
      </w:r>
      <w:r w:rsidR="00131420" w:rsidRPr="004A59B1">
        <w:rPr>
          <w:color w:val="000000"/>
          <w:sz w:val="22"/>
          <w:szCs w:val="22"/>
          <w:lang w:val="sl-SI"/>
        </w:rPr>
        <w:t xml:space="preserve"> Baza podatkov </w:t>
      </w:r>
      <w:r w:rsidR="007C15CB" w:rsidRPr="004A59B1">
        <w:rPr>
          <w:color w:val="000000"/>
          <w:sz w:val="22"/>
          <w:szCs w:val="22"/>
          <w:lang w:val="sl-SI"/>
        </w:rPr>
        <w:t xml:space="preserve">do zdaj sporočenih </w:t>
      </w:r>
      <w:r w:rsidR="00131420" w:rsidRPr="004A59B1">
        <w:rPr>
          <w:color w:val="000000"/>
          <w:sz w:val="22"/>
          <w:szCs w:val="22"/>
          <w:lang w:val="sl-SI"/>
        </w:rPr>
        <w:t>neželenih dogodk</w:t>
      </w:r>
      <w:r w:rsidR="007C15CB" w:rsidRPr="004A59B1">
        <w:rPr>
          <w:color w:val="000000"/>
          <w:sz w:val="22"/>
          <w:szCs w:val="22"/>
          <w:lang w:val="sl-SI"/>
        </w:rPr>
        <w:t xml:space="preserve">ov pri otrocih </w:t>
      </w:r>
      <w:r w:rsidR="00275074" w:rsidRPr="004A59B1">
        <w:rPr>
          <w:color w:val="000000"/>
          <w:sz w:val="22"/>
          <w:szCs w:val="22"/>
          <w:lang w:val="sl-SI"/>
        </w:rPr>
        <w:t>je majhna</w:t>
      </w:r>
      <w:r w:rsidR="007C15CB" w:rsidRPr="004A59B1">
        <w:rPr>
          <w:color w:val="000000"/>
          <w:sz w:val="22"/>
          <w:szCs w:val="22"/>
          <w:lang w:val="sl-SI"/>
        </w:rPr>
        <w:t xml:space="preserve">, vendar se podatki v njej ujemajo z varnostnimi lastnostmi zdravila pri odraslih bolnikih s </w:t>
      </w:r>
      <w:r w:rsidR="00131420" w:rsidRPr="004A59B1">
        <w:rPr>
          <w:color w:val="000000"/>
          <w:sz w:val="22"/>
          <w:szCs w:val="22"/>
          <w:lang w:val="sl-SI"/>
        </w:rPr>
        <w:t xml:space="preserve">Ph+ ALL. </w:t>
      </w:r>
      <w:r w:rsidR="00A10F80" w:rsidRPr="004A59B1">
        <w:rPr>
          <w:color w:val="000000"/>
          <w:sz w:val="22"/>
          <w:szCs w:val="22"/>
          <w:lang w:val="sl-SI"/>
        </w:rPr>
        <w:t>Čeprav je b</w:t>
      </w:r>
      <w:r w:rsidR="003E132C" w:rsidRPr="004A59B1">
        <w:rPr>
          <w:color w:val="000000"/>
          <w:sz w:val="22"/>
          <w:szCs w:val="22"/>
          <w:lang w:val="sl-SI"/>
        </w:rPr>
        <w:t>aza podatkov za otroke s Ph+ ALL zelo majhna, z</w:t>
      </w:r>
      <w:r w:rsidR="007C15CB" w:rsidRPr="004A59B1">
        <w:rPr>
          <w:color w:val="000000"/>
          <w:sz w:val="22"/>
          <w:szCs w:val="22"/>
          <w:lang w:val="sl-SI"/>
        </w:rPr>
        <w:t xml:space="preserve">aenkrat niso </w:t>
      </w:r>
      <w:r w:rsidR="00A10F80" w:rsidRPr="004A59B1">
        <w:rPr>
          <w:color w:val="000000"/>
          <w:sz w:val="22"/>
          <w:szCs w:val="22"/>
          <w:lang w:val="sl-SI"/>
        </w:rPr>
        <w:t xml:space="preserve">odkrili </w:t>
      </w:r>
      <w:r w:rsidR="007C15CB" w:rsidRPr="004A59B1">
        <w:rPr>
          <w:color w:val="000000"/>
          <w:sz w:val="22"/>
          <w:szCs w:val="22"/>
          <w:lang w:val="sl-SI"/>
        </w:rPr>
        <w:t>noben</w:t>
      </w:r>
      <w:r w:rsidR="00DB412A" w:rsidRPr="004A59B1">
        <w:rPr>
          <w:color w:val="000000"/>
          <w:sz w:val="22"/>
          <w:szCs w:val="22"/>
          <w:lang w:val="sl-SI"/>
        </w:rPr>
        <w:t>i</w:t>
      </w:r>
      <w:r w:rsidR="00A10F80" w:rsidRPr="004A59B1">
        <w:rPr>
          <w:color w:val="000000"/>
          <w:sz w:val="22"/>
          <w:szCs w:val="22"/>
          <w:lang w:val="sl-SI"/>
        </w:rPr>
        <w:t>h</w:t>
      </w:r>
      <w:r w:rsidR="00DB412A" w:rsidRPr="004A59B1">
        <w:rPr>
          <w:color w:val="000000"/>
          <w:sz w:val="22"/>
          <w:szCs w:val="22"/>
          <w:lang w:val="sl-SI"/>
        </w:rPr>
        <w:t xml:space="preserve"> </w:t>
      </w:r>
      <w:r w:rsidR="007C15CB" w:rsidRPr="004A59B1">
        <w:rPr>
          <w:color w:val="000000"/>
          <w:sz w:val="22"/>
          <w:szCs w:val="22"/>
          <w:lang w:val="sl-SI"/>
        </w:rPr>
        <w:t>nov</w:t>
      </w:r>
      <w:r w:rsidR="00DB412A" w:rsidRPr="004A59B1">
        <w:rPr>
          <w:color w:val="000000"/>
          <w:sz w:val="22"/>
          <w:szCs w:val="22"/>
          <w:lang w:val="sl-SI"/>
        </w:rPr>
        <w:t>i</w:t>
      </w:r>
      <w:r w:rsidR="00A10F80" w:rsidRPr="004A59B1">
        <w:rPr>
          <w:color w:val="000000"/>
          <w:sz w:val="22"/>
          <w:szCs w:val="22"/>
          <w:lang w:val="sl-SI"/>
        </w:rPr>
        <w:t>h</w:t>
      </w:r>
      <w:r w:rsidR="007C15CB" w:rsidRPr="004A59B1">
        <w:rPr>
          <w:color w:val="000000"/>
          <w:sz w:val="22"/>
          <w:szCs w:val="22"/>
          <w:lang w:val="sl-SI"/>
        </w:rPr>
        <w:t xml:space="preserve"> pomislek</w:t>
      </w:r>
      <w:r w:rsidR="00A10F80" w:rsidRPr="004A59B1">
        <w:rPr>
          <w:color w:val="000000"/>
          <w:sz w:val="22"/>
          <w:szCs w:val="22"/>
          <w:lang w:val="sl-SI"/>
        </w:rPr>
        <w:t>ov</w:t>
      </w:r>
      <w:r w:rsidR="007C15CB" w:rsidRPr="004A59B1">
        <w:rPr>
          <w:color w:val="000000"/>
          <w:sz w:val="22"/>
          <w:szCs w:val="22"/>
          <w:lang w:val="sl-SI"/>
        </w:rPr>
        <w:t xml:space="preserve"> glede </w:t>
      </w:r>
      <w:r w:rsidR="00DB412A" w:rsidRPr="004A59B1">
        <w:rPr>
          <w:color w:val="000000"/>
          <w:sz w:val="22"/>
          <w:szCs w:val="22"/>
          <w:lang w:val="sl-SI"/>
        </w:rPr>
        <w:t>varnosti</w:t>
      </w:r>
      <w:r w:rsidR="00A10F80" w:rsidRPr="004A59B1">
        <w:rPr>
          <w:color w:val="000000"/>
          <w:sz w:val="22"/>
          <w:szCs w:val="22"/>
          <w:lang w:val="sl-SI"/>
        </w:rPr>
        <w:t>.</w:t>
      </w:r>
    </w:p>
    <w:p w14:paraId="52979844" w14:textId="77777777" w:rsidR="00444D75" w:rsidRPr="004A59B1" w:rsidRDefault="00444D75" w:rsidP="009C1193">
      <w:pPr>
        <w:pStyle w:val="TextChar"/>
        <w:widowControl w:val="0"/>
        <w:spacing w:before="0"/>
        <w:jc w:val="left"/>
        <w:rPr>
          <w:color w:val="000000"/>
          <w:sz w:val="22"/>
          <w:szCs w:val="22"/>
          <w:lang w:val="sl-SI"/>
        </w:rPr>
      </w:pPr>
    </w:p>
    <w:p w14:paraId="52979845" w14:textId="77777777" w:rsidR="00444D75" w:rsidRPr="004A59B1" w:rsidRDefault="00444D75" w:rsidP="009C1193">
      <w:pPr>
        <w:pStyle w:val="TextChar"/>
        <w:widowControl w:val="0"/>
        <w:spacing w:before="0"/>
        <w:jc w:val="left"/>
        <w:rPr>
          <w:color w:val="000000"/>
          <w:sz w:val="22"/>
          <w:szCs w:val="22"/>
          <w:lang w:val="sl-SI"/>
        </w:rPr>
      </w:pPr>
      <w:r w:rsidRPr="004A59B1">
        <w:rPr>
          <w:color w:val="000000"/>
          <w:sz w:val="22"/>
          <w:szCs w:val="22"/>
          <w:lang w:val="sl-SI"/>
        </w:rPr>
        <w:t xml:space="preserve">Različne neželene reakcije, na primer plevralni izliv, ascites, pljučni edem in hitro naraščanje telesne mase, bodisi s površinskimi edemi bodisi brez njih, imenujemo s skupnim izrazom “retenca tekočine”. Te reakcije lahko navadno zdravimo z začasno ukinitvijo </w:t>
      </w:r>
      <w:r w:rsidR="00D81193" w:rsidRPr="004A59B1">
        <w:rPr>
          <w:color w:val="000000"/>
          <w:sz w:val="22"/>
          <w:szCs w:val="22"/>
          <w:lang w:val="sl-SI"/>
        </w:rPr>
        <w:t>zdravila Glivec</w:t>
      </w:r>
      <w:r w:rsidR="00655816" w:rsidRPr="004A59B1">
        <w:rPr>
          <w:color w:val="000000"/>
          <w:sz w:val="22"/>
          <w:szCs w:val="22"/>
          <w:lang w:val="sl-SI"/>
        </w:rPr>
        <w:t xml:space="preserve">, </w:t>
      </w:r>
      <w:r w:rsidRPr="004A59B1">
        <w:rPr>
          <w:color w:val="000000"/>
          <w:sz w:val="22"/>
          <w:szCs w:val="22"/>
          <w:lang w:val="sl-SI"/>
        </w:rPr>
        <w:t>z diuretiki in drugimi ustreznimi podpornimi negovalnimi ukrepi. Vendar so nekatere od teh reakcij lahko resne ali smrtno nevarne.Več bolnikov z blastno krizo je namreč umrlo z zapleteno klinično anamnezo plevralnega izliva, kongestivnega popuščanja srca in ledvične odpovedi. V pediatričnih kliničnih preskušanjih ni bilo posebnih ugotovitev o varnosti.</w:t>
      </w:r>
    </w:p>
    <w:p w14:paraId="52979846" w14:textId="77777777" w:rsidR="00444D75" w:rsidRPr="004A59B1" w:rsidRDefault="00444D75" w:rsidP="009C1193">
      <w:pPr>
        <w:pStyle w:val="TextChar"/>
        <w:widowControl w:val="0"/>
        <w:spacing w:before="0"/>
        <w:jc w:val="left"/>
        <w:rPr>
          <w:color w:val="000000"/>
          <w:sz w:val="22"/>
          <w:szCs w:val="22"/>
          <w:lang w:val="sl-SI"/>
        </w:rPr>
      </w:pPr>
    </w:p>
    <w:p w14:paraId="52979847" w14:textId="77777777" w:rsidR="00444D75" w:rsidRPr="004A59B1" w:rsidRDefault="00444D75" w:rsidP="009C1193">
      <w:pPr>
        <w:pStyle w:val="TextChar"/>
        <w:keepNext/>
        <w:widowControl w:val="0"/>
        <w:spacing w:before="0"/>
        <w:jc w:val="left"/>
        <w:rPr>
          <w:b/>
          <w:color w:val="000000"/>
          <w:sz w:val="22"/>
          <w:szCs w:val="22"/>
          <w:lang w:val="sl-SI"/>
        </w:rPr>
      </w:pPr>
      <w:r w:rsidRPr="004A59B1">
        <w:rPr>
          <w:b/>
          <w:color w:val="000000"/>
          <w:sz w:val="22"/>
          <w:szCs w:val="22"/>
          <w:lang w:val="sl-SI"/>
        </w:rPr>
        <w:t>Neželeni učinki</w:t>
      </w:r>
    </w:p>
    <w:p w14:paraId="52979848" w14:textId="77777777" w:rsidR="00444D75" w:rsidRPr="004A59B1" w:rsidRDefault="00444D75" w:rsidP="009C1193">
      <w:pPr>
        <w:pStyle w:val="TextChar"/>
        <w:widowControl w:val="0"/>
        <w:spacing w:before="0"/>
        <w:jc w:val="left"/>
        <w:rPr>
          <w:color w:val="000000"/>
          <w:sz w:val="22"/>
          <w:szCs w:val="22"/>
          <w:lang w:val="sl-SI"/>
        </w:rPr>
      </w:pPr>
      <w:r w:rsidRPr="004A59B1">
        <w:rPr>
          <w:color w:val="000000"/>
          <w:sz w:val="22"/>
          <w:szCs w:val="22"/>
          <w:lang w:val="sl-SI"/>
        </w:rPr>
        <w:t xml:space="preserve">Neželeni učinki, o katerih so poročali več kot enkrat, so navedeni spodaj po organskih sistemih in po pogostnosti. </w:t>
      </w:r>
      <w:r w:rsidR="00DA3717" w:rsidRPr="004A59B1">
        <w:rPr>
          <w:color w:val="000000"/>
          <w:sz w:val="22"/>
          <w:szCs w:val="22"/>
          <w:lang w:val="sl-SI"/>
        </w:rPr>
        <w:t>Kategorije p</w:t>
      </w:r>
      <w:r w:rsidRPr="004A59B1">
        <w:rPr>
          <w:color w:val="000000"/>
          <w:sz w:val="22"/>
          <w:szCs w:val="22"/>
          <w:lang w:val="sl-SI"/>
        </w:rPr>
        <w:t>ogostnost</w:t>
      </w:r>
      <w:r w:rsidR="00DA3717" w:rsidRPr="004A59B1">
        <w:rPr>
          <w:color w:val="000000"/>
          <w:sz w:val="22"/>
          <w:szCs w:val="22"/>
          <w:lang w:val="sl-SI"/>
        </w:rPr>
        <w:t xml:space="preserve">i so </w:t>
      </w:r>
      <w:r w:rsidRPr="004A59B1">
        <w:rPr>
          <w:color w:val="000000"/>
          <w:sz w:val="22"/>
          <w:szCs w:val="22"/>
          <w:lang w:val="sl-SI"/>
        </w:rPr>
        <w:t>opredeljen</w:t>
      </w:r>
      <w:r w:rsidR="00DA3717" w:rsidRPr="004A59B1">
        <w:rPr>
          <w:color w:val="000000"/>
          <w:sz w:val="22"/>
          <w:szCs w:val="22"/>
          <w:lang w:val="sl-SI"/>
        </w:rPr>
        <w:t>e z naslednjim dogovorom</w:t>
      </w:r>
      <w:r w:rsidRPr="004A59B1">
        <w:rPr>
          <w:color w:val="000000"/>
          <w:sz w:val="22"/>
          <w:szCs w:val="22"/>
          <w:lang w:val="sl-SI"/>
        </w:rPr>
        <w:t>: zelo pogosti (</w:t>
      </w:r>
      <w:r w:rsidR="00DA3717" w:rsidRPr="004A59B1">
        <w:rPr>
          <w:color w:val="000000"/>
          <w:sz w:val="22"/>
          <w:szCs w:val="22"/>
          <w:lang w:val="sl-SI"/>
        </w:rPr>
        <w:t>≥</w:t>
      </w:r>
      <w:r w:rsidRPr="004A59B1">
        <w:rPr>
          <w:color w:val="000000"/>
          <w:sz w:val="22"/>
          <w:szCs w:val="22"/>
          <w:lang w:val="sl-SI"/>
        </w:rPr>
        <w:t>1/10), pogosti (</w:t>
      </w:r>
      <w:r w:rsidR="00DA3717" w:rsidRPr="004A59B1">
        <w:rPr>
          <w:color w:val="000000"/>
          <w:sz w:val="22"/>
          <w:szCs w:val="22"/>
          <w:lang w:val="sl-SI"/>
        </w:rPr>
        <w:t>≥</w:t>
      </w:r>
      <w:r w:rsidRPr="004A59B1">
        <w:rPr>
          <w:color w:val="000000"/>
          <w:sz w:val="22"/>
          <w:szCs w:val="22"/>
          <w:lang w:val="sl-SI"/>
        </w:rPr>
        <w:t>1/100</w:t>
      </w:r>
      <w:r w:rsidR="00DA3717" w:rsidRPr="004A59B1">
        <w:rPr>
          <w:color w:val="000000"/>
          <w:sz w:val="22"/>
          <w:szCs w:val="22"/>
          <w:lang w:val="sl-SI"/>
        </w:rPr>
        <w:t xml:space="preserve"> do</w:t>
      </w:r>
      <w:r w:rsidRPr="004A59B1">
        <w:rPr>
          <w:color w:val="000000"/>
          <w:sz w:val="22"/>
          <w:szCs w:val="22"/>
          <w:lang w:val="sl-SI"/>
        </w:rPr>
        <w:t xml:space="preserve"> </w:t>
      </w:r>
      <w:r w:rsidR="00DA3717" w:rsidRPr="004A59B1">
        <w:rPr>
          <w:color w:val="000000"/>
          <w:sz w:val="22"/>
          <w:szCs w:val="22"/>
          <w:lang w:val="sl-SI"/>
        </w:rPr>
        <w:t>&lt;</w:t>
      </w:r>
      <w:r w:rsidRPr="004A59B1">
        <w:rPr>
          <w:color w:val="000000"/>
          <w:sz w:val="22"/>
          <w:szCs w:val="22"/>
          <w:lang w:val="sl-SI"/>
        </w:rPr>
        <w:t>1/10), občasni (</w:t>
      </w:r>
      <w:r w:rsidR="00DA3717" w:rsidRPr="004A59B1">
        <w:rPr>
          <w:color w:val="000000"/>
          <w:sz w:val="22"/>
          <w:szCs w:val="22"/>
          <w:lang w:val="sl-SI"/>
        </w:rPr>
        <w:t>≥</w:t>
      </w:r>
      <w:r w:rsidRPr="004A59B1">
        <w:rPr>
          <w:color w:val="000000"/>
          <w:sz w:val="22"/>
          <w:szCs w:val="22"/>
          <w:lang w:val="sl-SI"/>
        </w:rPr>
        <w:t>1/1.000</w:t>
      </w:r>
      <w:r w:rsidR="00DA3717" w:rsidRPr="004A59B1">
        <w:rPr>
          <w:color w:val="000000"/>
          <w:sz w:val="22"/>
          <w:szCs w:val="22"/>
          <w:lang w:val="sl-SI"/>
        </w:rPr>
        <w:t xml:space="preserve"> do</w:t>
      </w:r>
      <w:r w:rsidRPr="004A59B1">
        <w:rPr>
          <w:color w:val="000000"/>
          <w:sz w:val="22"/>
          <w:szCs w:val="22"/>
          <w:lang w:val="sl-SI"/>
        </w:rPr>
        <w:t xml:space="preserve"> </w:t>
      </w:r>
      <w:r w:rsidR="00DA3717" w:rsidRPr="004A59B1">
        <w:rPr>
          <w:color w:val="000000"/>
          <w:sz w:val="22"/>
          <w:szCs w:val="22"/>
          <w:lang w:val="sl-SI"/>
        </w:rPr>
        <w:t>&lt;</w:t>
      </w:r>
      <w:r w:rsidRPr="004A59B1">
        <w:rPr>
          <w:color w:val="000000"/>
          <w:sz w:val="22"/>
          <w:szCs w:val="22"/>
          <w:lang w:val="sl-SI"/>
        </w:rPr>
        <w:t>1/100), redki (</w:t>
      </w:r>
      <w:r w:rsidR="00DA3717" w:rsidRPr="004A59B1">
        <w:rPr>
          <w:color w:val="000000"/>
          <w:sz w:val="22"/>
          <w:szCs w:val="22"/>
          <w:lang w:val="sl-SI"/>
        </w:rPr>
        <w:t>≥1/10.000 do &lt;</w:t>
      </w:r>
      <w:r w:rsidRPr="004A59B1">
        <w:rPr>
          <w:color w:val="000000"/>
          <w:sz w:val="22"/>
          <w:szCs w:val="22"/>
          <w:lang w:val="sl-SI"/>
        </w:rPr>
        <w:t>1/1.000)</w:t>
      </w:r>
      <w:r w:rsidR="0041387C" w:rsidRPr="004A59B1">
        <w:rPr>
          <w:color w:val="000000"/>
          <w:sz w:val="22"/>
          <w:szCs w:val="22"/>
          <w:lang w:val="sl-SI"/>
        </w:rPr>
        <w:t xml:space="preserve">, </w:t>
      </w:r>
      <w:r w:rsidR="00DA3717" w:rsidRPr="004A59B1">
        <w:rPr>
          <w:color w:val="000000"/>
          <w:sz w:val="22"/>
          <w:szCs w:val="22"/>
          <w:lang w:val="sl-SI"/>
        </w:rPr>
        <w:t xml:space="preserve">zelo redki (&lt;1/10.000), </w:t>
      </w:r>
      <w:r w:rsidR="0041387C" w:rsidRPr="004A59B1">
        <w:rPr>
          <w:color w:val="000000"/>
          <w:sz w:val="22"/>
          <w:szCs w:val="22"/>
          <w:lang w:val="sl-SI"/>
        </w:rPr>
        <w:t>neznana (ni mogoče oceniti iz razpoložljivih podatkov)</w:t>
      </w:r>
      <w:r w:rsidR="00A02CE6" w:rsidRPr="004A59B1">
        <w:rPr>
          <w:color w:val="000000"/>
          <w:sz w:val="22"/>
          <w:szCs w:val="22"/>
          <w:lang w:val="sl-SI"/>
        </w:rPr>
        <w:t>.</w:t>
      </w:r>
    </w:p>
    <w:p w14:paraId="52979849" w14:textId="77777777" w:rsidR="00BA2253" w:rsidRPr="004A59B1" w:rsidRDefault="00BA2253" w:rsidP="009C1193">
      <w:pPr>
        <w:widowControl w:val="0"/>
        <w:tabs>
          <w:tab w:val="clear" w:pos="567"/>
        </w:tabs>
        <w:spacing w:line="240" w:lineRule="auto"/>
        <w:ind w:left="567" w:hanging="567"/>
        <w:rPr>
          <w:noProof/>
          <w:color w:val="000000"/>
          <w:szCs w:val="22"/>
          <w:lang w:val="sl-SI"/>
        </w:rPr>
      </w:pPr>
      <w:bookmarkStart w:id="4" w:name="_Toc411838883"/>
      <w:bookmarkStart w:id="5" w:name="_Toc450641613"/>
    </w:p>
    <w:p w14:paraId="5297984A" w14:textId="77777777" w:rsidR="00BA2253" w:rsidRPr="004A59B1" w:rsidRDefault="00BA2253" w:rsidP="009C1193">
      <w:pPr>
        <w:widowControl w:val="0"/>
        <w:tabs>
          <w:tab w:val="clear" w:pos="567"/>
        </w:tabs>
        <w:spacing w:line="240" w:lineRule="auto"/>
        <w:rPr>
          <w:noProof/>
          <w:color w:val="000000"/>
          <w:szCs w:val="22"/>
          <w:lang w:val="sl-SI"/>
        </w:rPr>
      </w:pPr>
      <w:r w:rsidRPr="004A59B1">
        <w:rPr>
          <w:noProof/>
          <w:color w:val="000000"/>
          <w:szCs w:val="22"/>
          <w:lang w:val="sl-SI"/>
        </w:rPr>
        <w:t xml:space="preserve">V razvrstitvah pogostnosti so neželeni učinki navedeni po </w:t>
      </w:r>
      <w:r w:rsidR="00381347" w:rsidRPr="004A59B1">
        <w:rPr>
          <w:noProof/>
          <w:color w:val="000000"/>
          <w:szCs w:val="22"/>
          <w:lang w:val="sl-SI"/>
        </w:rPr>
        <w:t>pogostnosti, najpogostejši najprej.</w:t>
      </w:r>
    </w:p>
    <w:p w14:paraId="5297984B" w14:textId="77777777" w:rsidR="00444D75" w:rsidRPr="004A59B1" w:rsidRDefault="00444D75" w:rsidP="009C1193">
      <w:pPr>
        <w:pStyle w:val="Heading4"/>
        <w:keepNext w:val="0"/>
        <w:widowControl w:val="0"/>
        <w:spacing w:line="240" w:lineRule="auto"/>
        <w:jc w:val="left"/>
        <w:rPr>
          <w:b w:val="0"/>
          <w:noProof w:val="0"/>
          <w:color w:val="000000"/>
          <w:szCs w:val="22"/>
          <w:lang w:val="sl-SI"/>
        </w:rPr>
      </w:pPr>
    </w:p>
    <w:p w14:paraId="5297984C" w14:textId="77777777" w:rsidR="00C24B92" w:rsidRPr="004A59B1" w:rsidRDefault="00C24B92" w:rsidP="009C1193">
      <w:pPr>
        <w:widowControl w:val="0"/>
        <w:rPr>
          <w:color w:val="000000"/>
          <w:lang w:val="sl-SI"/>
        </w:rPr>
      </w:pPr>
      <w:r w:rsidRPr="004A59B1">
        <w:rPr>
          <w:color w:val="000000"/>
          <w:szCs w:val="24"/>
          <w:lang w:val="sl-SI" w:eastAsia="ja-JP"/>
        </w:rPr>
        <w:t xml:space="preserve">V preglednici 1 </w:t>
      </w:r>
      <w:r w:rsidR="004D253D" w:rsidRPr="004A59B1">
        <w:rPr>
          <w:color w:val="000000"/>
          <w:szCs w:val="24"/>
          <w:lang w:val="sl-SI" w:eastAsia="ja-JP"/>
        </w:rPr>
        <w:t xml:space="preserve">so </w:t>
      </w:r>
      <w:r w:rsidRPr="004A59B1">
        <w:rPr>
          <w:color w:val="000000"/>
          <w:szCs w:val="24"/>
          <w:lang w:val="sl-SI" w:eastAsia="ja-JP"/>
        </w:rPr>
        <w:t>navedeni neželeni učinki in njihove pogostnosti.</w:t>
      </w:r>
    </w:p>
    <w:p w14:paraId="5297984D" w14:textId="77777777" w:rsidR="00C24B92" w:rsidRPr="004A59B1" w:rsidRDefault="00C24B92" w:rsidP="009C1193">
      <w:pPr>
        <w:widowControl w:val="0"/>
        <w:rPr>
          <w:color w:val="000000"/>
          <w:lang w:val="sl-SI"/>
        </w:rPr>
      </w:pPr>
    </w:p>
    <w:p w14:paraId="5297984E" w14:textId="77777777" w:rsidR="00C24B92" w:rsidRPr="004A59B1" w:rsidRDefault="00C24B92" w:rsidP="009C1193">
      <w:pPr>
        <w:keepNext/>
        <w:widowControl w:val="0"/>
        <w:tabs>
          <w:tab w:val="clear" w:pos="567"/>
          <w:tab w:val="left" w:pos="1134"/>
        </w:tabs>
        <w:rPr>
          <w:b/>
          <w:color w:val="000000"/>
          <w:lang w:val="sl-SI"/>
        </w:rPr>
      </w:pPr>
      <w:r w:rsidRPr="004A59B1">
        <w:rPr>
          <w:b/>
          <w:color w:val="000000"/>
          <w:lang w:val="sl-SI"/>
        </w:rPr>
        <w:t>Preglednica 1</w:t>
      </w:r>
      <w:r w:rsidRPr="004A59B1">
        <w:rPr>
          <w:b/>
          <w:color w:val="000000"/>
          <w:lang w:val="sl-SI"/>
        </w:rPr>
        <w:tab/>
      </w:r>
      <w:r w:rsidR="009C6CD7" w:rsidRPr="004A59B1">
        <w:rPr>
          <w:b/>
          <w:color w:val="000000"/>
          <w:lang w:val="sl-SI"/>
        </w:rPr>
        <w:t>Preglednica neželenih učinkov</w:t>
      </w:r>
    </w:p>
    <w:p w14:paraId="5297984F" w14:textId="77777777" w:rsidR="00DA3717" w:rsidRPr="004A59B1" w:rsidRDefault="00DA3717" w:rsidP="009C1193">
      <w:pPr>
        <w:keepNext/>
        <w:widowControl w:val="0"/>
        <w:tabs>
          <w:tab w:val="clear" w:pos="567"/>
          <w:tab w:val="left" w:pos="1134"/>
        </w:tabs>
        <w:rPr>
          <w:bCs/>
          <w:color w:val="000000"/>
          <w:lang w:val="sl-SI"/>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DA3717" w:rsidRPr="004A59B1" w14:paraId="52979851" w14:textId="77777777" w:rsidTr="009C1193">
        <w:trPr>
          <w:cantSplit/>
        </w:trPr>
        <w:tc>
          <w:tcPr>
            <w:tcW w:w="9322" w:type="dxa"/>
            <w:gridSpan w:val="2"/>
          </w:tcPr>
          <w:p w14:paraId="52979850" w14:textId="77777777" w:rsidR="00DA3717" w:rsidRPr="004A59B1" w:rsidRDefault="00DA3717" w:rsidP="009C1193">
            <w:pPr>
              <w:keepNext/>
              <w:widowControl w:val="0"/>
              <w:rPr>
                <w:color w:val="000000"/>
              </w:rPr>
            </w:pPr>
            <w:r w:rsidRPr="004A59B1">
              <w:rPr>
                <w:b/>
                <w:color w:val="000000"/>
                <w:szCs w:val="22"/>
                <w:lang w:val="fr-FR"/>
              </w:rPr>
              <w:t>Infekcijske in parazitske bolezni</w:t>
            </w:r>
          </w:p>
        </w:tc>
      </w:tr>
      <w:tr w:rsidR="00DA3717" w:rsidRPr="004A59B1" w14:paraId="52979854" w14:textId="77777777" w:rsidTr="009C1193">
        <w:trPr>
          <w:cantSplit/>
        </w:trPr>
        <w:tc>
          <w:tcPr>
            <w:tcW w:w="2235" w:type="dxa"/>
          </w:tcPr>
          <w:p w14:paraId="52979852" w14:textId="77777777" w:rsidR="00DA3717" w:rsidRPr="004A59B1" w:rsidRDefault="00DA3717" w:rsidP="009C1193">
            <w:pPr>
              <w:keepNext/>
              <w:widowControl w:val="0"/>
              <w:rPr>
                <w:color w:val="000000"/>
              </w:rPr>
            </w:pPr>
            <w:r w:rsidRPr="004A59B1">
              <w:rPr>
                <w:i/>
                <w:color w:val="000000"/>
                <w:szCs w:val="22"/>
              </w:rPr>
              <w:t>občasni</w:t>
            </w:r>
            <w:r w:rsidRPr="004A59B1">
              <w:rPr>
                <w:color w:val="000000"/>
                <w:szCs w:val="22"/>
              </w:rPr>
              <w:t>:</w:t>
            </w:r>
          </w:p>
        </w:tc>
        <w:tc>
          <w:tcPr>
            <w:tcW w:w="7087" w:type="dxa"/>
          </w:tcPr>
          <w:p w14:paraId="52979853" w14:textId="77777777" w:rsidR="00DA3717" w:rsidRPr="004A59B1" w:rsidRDefault="00DA3717" w:rsidP="009C1193">
            <w:pPr>
              <w:keepNext/>
              <w:widowControl w:val="0"/>
              <w:rPr>
                <w:color w:val="000000"/>
                <w:szCs w:val="22"/>
              </w:rPr>
            </w:pPr>
            <w:r w:rsidRPr="004A59B1">
              <w:rPr>
                <w:color w:val="000000"/>
                <w:szCs w:val="22"/>
              </w:rPr>
              <w:t>herpes zoster, herpes simpleks, nazofaringitis, pljučnica</w:t>
            </w:r>
            <w:r w:rsidR="00F05399" w:rsidRPr="004A59B1">
              <w:rPr>
                <w:color w:val="000000"/>
                <w:szCs w:val="22"/>
                <w:vertAlign w:val="superscript"/>
              </w:rPr>
              <w:t>1</w:t>
            </w:r>
            <w:r w:rsidRPr="004A59B1">
              <w:rPr>
                <w:color w:val="000000"/>
                <w:szCs w:val="22"/>
              </w:rPr>
              <w:t>, sinuzitis, flegmona, okužba zgornjih dihal, gripa, okužba sečil, gastroenteritis, sepsa</w:t>
            </w:r>
          </w:p>
        </w:tc>
      </w:tr>
      <w:tr w:rsidR="00DA3717" w:rsidRPr="004A59B1" w14:paraId="52979857" w14:textId="77777777" w:rsidTr="009C1193">
        <w:trPr>
          <w:cantSplit/>
        </w:trPr>
        <w:tc>
          <w:tcPr>
            <w:tcW w:w="2235" w:type="dxa"/>
          </w:tcPr>
          <w:p w14:paraId="52979855" w14:textId="77777777" w:rsidR="00DA3717" w:rsidRPr="004A59B1" w:rsidRDefault="00DA3717" w:rsidP="009C1193">
            <w:pPr>
              <w:keepNext/>
              <w:widowControl w:val="0"/>
              <w:rPr>
                <w:color w:val="000000"/>
              </w:rPr>
            </w:pPr>
            <w:r w:rsidRPr="004A59B1">
              <w:rPr>
                <w:i/>
                <w:color w:val="000000"/>
                <w:szCs w:val="22"/>
              </w:rPr>
              <w:t>redki</w:t>
            </w:r>
            <w:r w:rsidRPr="004A59B1">
              <w:rPr>
                <w:color w:val="000000"/>
                <w:szCs w:val="22"/>
              </w:rPr>
              <w:t>:</w:t>
            </w:r>
          </w:p>
        </w:tc>
        <w:tc>
          <w:tcPr>
            <w:tcW w:w="7087" w:type="dxa"/>
          </w:tcPr>
          <w:p w14:paraId="52979856" w14:textId="77777777" w:rsidR="00DA3717" w:rsidRPr="004A59B1" w:rsidRDefault="00DA3717" w:rsidP="009C1193">
            <w:pPr>
              <w:keepNext/>
              <w:widowControl w:val="0"/>
              <w:rPr>
                <w:color w:val="000000"/>
              </w:rPr>
            </w:pPr>
            <w:r w:rsidRPr="004A59B1">
              <w:rPr>
                <w:color w:val="000000"/>
                <w:szCs w:val="22"/>
              </w:rPr>
              <w:t>glivične okužbe</w:t>
            </w:r>
          </w:p>
        </w:tc>
      </w:tr>
      <w:tr w:rsidR="00850486" w:rsidRPr="000C2E42" w14:paraId="5297985A" w14:textId="77777777" w:rsidTr="009C1193">
        <w:trPr>
          <w:cantSplit/>
        </w:trPr>
        <w:tc>
          <w:tcPr>
            <w:tcW w:w="2235" w:type="dxa"/>
          </w:tcPr>
          <w:p w14:paraId="52979858" w14:textId="77777777" w:rsidR="004943E1" w:rsidRPr="00850486" w:rsidRDefault="004943E1" w:rsidP="009C1193">
            <w:pPr>
              <w:keepNext/>
              <w:widowControl w:val="0"/>
              <w:rPr>
                <w:i/>
                <w:szCs w:val="22"/>
              </w:rPr>
            </w:pPr>
            <w:r w:rsidRPr="00850486">
              <w:rPr>
                <w:i/>
                <w:szCs w:val="22"/>
              </w:rPr>
              <w:t>pogostnost neznana:</w:t>
            </w:r>
          </w:p>
        </w:tc>
        <w:tc>
          <w:tcPr>
            <w:tcW w:w="7087" w:type="dxa"/>
          </w:tcPr>
          <w:p w14:paraId="52979859" w14:textId="77777777" w:rsidR="004943E1" w:rsidRPr="00850486" w:rsidRDefault="004943E1" w:rsidP="009C1193">
            <w:pPr>
              <w:keepNext/>
              <w:widowControl w:val="0"/>
              <w:rPr>
                <w:szCs w:val="22"/>
              </w:rPr>
            </w:pPr>
            <w:r w:rsidRPr="00850486">
              <w:rPr>
                <w:szCs w:val="22"/>
              </w:rPr>
              <w:t>reaktivacija hepatitisa B</w:t>
            </w:r>
            <w:r w:rsidR="00AA19F1" w:rsidRPr="00850486">
              <w:rPr>
                <w:szCs w:val="22"/>
                <w:lang w:val="fi-FI"/>
              </w:rPr>
              <w:t>*</w:t>
            </w:r>
          </w:p>
        </w:tc>
      </w:tr>
      <w:tr w:rsidR="00E0080F" w:rsidRPr="004A59B1" w14:paraId="5297985C" w14:textId="77777777" w:rsidTr="009C1193">
        <w:trPr>
          <w:cantSplit/>
        </w:trPr>
        <w:tc>
          <w:tcPr>
            <w:tcW w:w="9322" w:type="dxa"/>
            <w:gridSpan w:val="2"/>
          </w:tcPr>
          <w:p w14:paraId="5297985B" w14:textId="77777777" w:rsidR="00E0080F" w:rsidRPr="004A59B1" w:rsidRDefault="0071574A" w:rsidP="009C1193">
            <w:pPr>
              <w:keepNext/>
              <w:widowControl w:val="0"/>
              <w:rPr>
                <w:color w:val="000000"/>
                <w:szCs w:val="22"/>
              </w:rPr>
            </w:pPr>
            <w:r w:rsidRPr="004A59B1">
              <w:rPr>
                <w:b/>
                <w:color w:val="000000"/>
                <w:szCs w:val="22"/>
              </w:rPr>
              <w:t>Benigne, maligne in neopredeljene novotvorbe (vključno s cistami in polipi)</w:t>
            </w:r>
          </w:p>
        </w:tc>
      </w:tr>
      <w:tr w:rsidR="00E0080F" w:rsidRPr="004A59B1" w14:paraId="5297985F" w14:textId="77777777" w:rsidTr="009C1193">
        <w:trPr>
          <w:cantSplit/>
        </w:trPr>
        <w:tc>
          <w:tcPr>
            <w:tcW w:w="2235" w:type="dxa"/>
          </w:tcPr>
          <w:p w14:paraId="5297985D" w14:textId="77777777" w:rsidR="00E0080F" w:rsidRPr="004A59B1" w:rsidRDefault="0071574A" w:rsidP="009C1193">
            <w:pPr>
              <w:keepNext/>
              <w:widowControl w:val="0"/>
              <w:rPr>
                <w:i/>
                <w:color w:val="000000"/>
                <w:szCs w:val="22"/>
              </w:rPr>
            </w:pPr>
            <w:r w:rsidRPr="004A59B1">
              <w:rPr>
                <w:i/>
                <w:color w:val="000000"/>
                <w:szCs w:val="22"/>
              </w:rPr>
              <w:t>redki</w:t>
            </w:r>
            <w:r w:rsidR="00E0080F" w:rsidRPr="004A59B1">
              <w:rPr>
                <w:i/>
                <w:color w:val="000000"/>
                <w:szCs w:val="22"/>
              </w:rPr>
              <w:t>:</w:t>
            </w:r>
          </w:p>
        </w:tc>
        <w:tc>
          <w:tcPr>
            <w:tcW w:w="7087" w:type="dxa"/>
          </w:tcPr>
          <w:p w14:paraId="5297985E" w14:textId="77777777" w:rsidR="00E0080F" w:rsidRPr="004A59B1" w:rsidRDefault="0071574A" w:rsidP="009C1193">
            <w:pPr>
              <w:keepNext/>
              <w:widowControl w:val="0"/>
              <w:rPr>
                <w:color w:val="000000"/>
                <w:szCs w:val="22"/>
              </w:rPr>
            </w:pPr>
            <w:r w:rsidRPr="004A59B1">
              <w:rPr>
                <w:color w:val="000000"/>
                <w:szCs w:val="22"/>
              </w:rPr>
              <w:t>sindrom tumorske lize</w:t>
            </w:r>
          </w:p>
        </w:tc>
      </w:tr>
      <w:tr w:rsidR="00106423" w:rsidRPr="004A59B1" w14:paraId="52979862" w14:textId="77777777" w:rsidTr="009C1193">
        <w:trPr>
          <w:cantSplit/>
        </w:trPr>
        <w:tc>
          <w:tcPr>
            <w:tcW w:w="2235" w:type="dxa"/>
          </w:tcPr>
          <w:p w14:paraId="52979860" w14:textId="77777777" w:rsidR="00106423" w:rsidRPr="004A59B1" w:rsidRDefault="00106423" w:rsidP="009C1193">
            <w:pPr>
              <w:widowControl w:val="0"/>
              <w:rPr>
                <w:i/>
                <w:color w:val="000000"/>
                <w:szCs w:val="22"/>
              </w:rPr>
            </w:pPr>
            <w:r w:rsidRPr="004A59B1">
              <w:rPr>
                <w:i/>
                <w:color w:val="000000"/>
                <w:szCs w:val="22"/>
              </w:rPr>
              <w:t>pogostnost neznana:</w:t>
            </w:r>
          </w:p>
        </w:tc>
        <w:tc>
          <w:tcPr>
            <w:tcW w:w="7087" w:type="dxa"/>
          </w:tcPr>
          <w:p w14:paraId="52979861" w14:textId="77777777" w:rsidR="00106423" w:rsidRPr="004A59B1" w:rsidRDefault="00106423" w:rsidP="009C1193">
            <w:pPr>
              <w:widowControl w:val="0"/>
              <w:rPr>
                <w:color w:val="000000"/>
                <w:szCs w:val="22"/>
              </w:rPr>
            </w:pPr>
            <w:r w:rsidRPr="004A59B1">
              <w:rPr>
                <w:color w:val="000000"/>
                <w:szCs w:val="22"/>
                <w:lang w:val="fi-FI"/>
              </w:rPr>
              <w:t>krvavitev iz tumorja/nekroza tumorja*</w:t>
            </w:r>
          </w:p>
        </w:tc>
      </w:tr>
      <w:tr w:rsidR="00D552DB" w:rsidRPr="004A59B1" w14:paraId="52979864" w14:textId="77777777" w:rsidTr="009C1193">
        <w:trPr>
          <w:cantSplit/>
        </w:trPr>
        <w:tc>
          <w:tcPr>
            <w:tcW w:w="9322" w:type="dxa"/>
            <w:gridSpan w:val="2"/>
          </w:tcPr>
          <w:p w14:paraId="52979863" w14:textId="77777777" w:rsidR="00D552DB" w:rsidRPr="004A59B1" w:rsidRDefault="00D552DB" w:rsidP="009C1193">
            <w:pPr>
              <w:keepNext/>
              <w:widowControl w:val="0"/>
              <w:rPr>
                <w:b/>
                <w:color w:val="000000"/>
                <w:szCs w:val="22"/>
                <w:lang w:val="it-IT"/>
              </w:rPr>
            </w:pPr>
            <w:r w:rsidRPr="004A59B1">
              <w:rPr>
                <w:b/>
                <w:color w:val="000000"/>
                <w:szCs w:val="22"/>
              </w:rPr>
              <w:t>Bolezni imunskega sistema</w:t>
            </w:r>
          </w:p>
        </w:tc>
      </w:tr>
      <w:tr w:rsidR="00D552DB" w:rsidRPr="004A59B1" w14:paraId="52979867" w14:textId="77777777" w:rsidTr="009C1193">
        <w:trPr>
          <w:cantSplit/>
        </w:trPr>
        <w:tc>
          <w:tcPr>
            <w:tcW w:w="2235" w:type="dxa"/>
          </w:tcPr>
          <w:p w14:paraId="52979865" w14:textId="77777777" w:rsidR="00D552DB" w:rsidRPr="004A59B1" w:rsidRDefault="00D552DB" w:rsidP="009C1193">
            <w:pPr>
              <w:widowControl w:val="0"/>
              <w:rPr>
                <w:i/>
                <w:color w:val="000000"/>
                <w:szCs w:val="22"/>
              </w:rPr>
            </w:pPr>
            <w:r w:rsidRPr="004A59B1">
              <w:rPr>
                <w:i/>
                <w:color w:val="000000"/>
                <w:szCs w:val="22"/>
              </w:rPr>
              <w:t>pogostnost neznana:</w:t>
            </w:r>
          </w:p>
        </w:tc>
        <w:tc>
          <w:tcPr>
            <w:tcW w:w="7087" w:type="dxa"/>
          </w:tcPr>
          <w:p w14:paraId="52979866" w14:textId="77777777" w:rsidR="00D552DB" w:rsidRPr="004A59B1" w:rsidRDefault="00D552DB" w:rsidP="009C1193">
            <w:pPr>
              <w:widowControl w:val="0"/>
              <w:rPr>
                <w:color w:val="000000"/>
                <w:szCs w:val="22"/>
              </w:rPr>
            </w:pPr>
            <w:r w:rsidRPr="004A59B1">
              <w:rPr>
                <w:color w:val="000000"/>
                <w:szCs w:val="22"/>
                <w:lang w:val="fi-FI"/>
              </w:rPr>
              <w:t>anafilaktični šok</w:t>
            </w:r>
            <w:r w:rsidR="00AA0D22" w:rsidRPr="004A59B1">
              <w:rPr>
                <w:color w:val="000000"/>
                <w:szCs w:val="22"/>
                <w:lang w:val="fi-FI"/>
              </w:rPr>
              <w:t>*</w:t>
            </w:r>
          </w:p>
        </w:tc>
      </w:tr>
      <w:tr w:rsidR="00C24B92" w:rsidRPr="003B6568" w14:paraId="52979869" w14:textId="77777777" w:rsidTr="009C1193">
        <w:trPr>
          <w:cantSplit/>
        </w:trPr>
        <w:tc>
          <w:tcPr>
            <w:tcW w:w="9322" w:type="dxa"/>
            <w:gridSpan w:val="2"/>
          </w:tcPr>
          <w:p w14:paraId="52979868" w14:textId="77777777" w:rsidR="00C24B92" w:rsidRPr="004A59B1" w:rsidRDefault="00C24B92" w:rsidP="009C1193">
            <w:pPr>
              <w:keepNext/>
              <w:widowControl w:val="0"/>
              <w:rPr>
                <w:color w:val="000000"/>
                <w:lang w:val="it-IT"/>
              </w:rPr>
            </w:pPr>
            <w:r w:rsidRPr="004A59B1">
              <w:rPr>
                <w:b/>
                <w:color w:val="000000"/>
                <w:szCs w:val="22"/>
                <w:lang w:val="it-IT"/>
              </w:rPr>
              <w:t>Bolezni krvi in limfatičnega sistema</w:t>
            </w:r>
          </w:p>
        </w:tc>
      </w:tr>
      <w:tr w:rsidR="00C24B92" w:rsidRPr="004A59B1" w14:paraId="5297986C" w14:textId="77777777" w:rsidTr="009C1193">
        <w:trPr>
          <w:cantSplit/>
        </w:trPr>
        <w:tc>
          <w:tcPr>
            <w:tcW w:w="2235" w:type="dxa"/>
          </w:tcPr>
          <w:p w14:paraId="5297986A" w14:textId="77777777" w:rsidR="00C24B92" w:rsidRPr="004A59B1" w:rsidRDefault="00C24B92" w:rsidP="009C1193">
            <w:pPr>
              <w:keepNext/>
              <w:widowControl w:val="0"/>
              <w:rPr>
                <w:color w:val="000000"/>
              </w:rPr>
            </w:pPr>
            <w:r w:rsidRPr="004A59B1">
              <w:rPr>
                <w:i/>
                <w:color w:val="000000"/>
                <w:szCs w:val="22"/>
              </w:rPr>
              <w:t>zelo pogosti:</w:t>
            </w:r>
          </w:p>
        </w:tc>
        <w:tc>
          <w:tcPr>
            <w:tcW w:w="7087" w:type="dxa"/>
          </w:tcPr>
          <w:p w14:paraId="5297986B" w14:textId="77777777" w:rsidR="00C24B92" w:rsidRPr="004A59B1" w:rsidRDefault="00C24B92" w:rsidP="009C1193">
            <w:pPr>
              <w:keepNext/>
              <w:widowControl w:val="0"/>
              <w:rPr>
                <w:color w:val="000000"/>
              </w:rPr>
            </w:pPr>
            <w:r w:rsidRPr="004A59B1">
              <w:rPr>
                <w:color w:val="000000"/>
                <w:szCs w:val="22"/>
              </w:rPr>
              <w:t>nevtropenija, trombocitopenija, anemija</w:t>
            </w:r>
          </w:p>
        </w:tc>
      </w:tr>
      <w:tr w:rsidR="00C24B92" w:rsidRPr="004A59B1" w14:paraId="5297986F" w14:textId="77777777" w:rsidTr="009C1193">
        <w:trPr>
          <w:cantSplit/>
        </w:trPr>
        <w:tc>
          <w:tcPr>
            <w:tcW w:w="2235" w:type="dxa"/>
          </w:tcPr>
          <w:p w14:paraId="5297986D" w14:textId="77777777" w:rsidR="00C24B92" w:rsidRPr="004A59B1" w:rsidRDefault="00C24B92" w:rsidP="009C1193">
            <w:pPr>
              <w:keepNext/>
              <w:widowControl w:val="0"/>
              <w:rPr>
                <w:color w:val="000000"/>
              </w:rPr>
            </w:pPr>
            <w:r w:rsidRPr="004A59B1">
              <w:rPr>
                <w:i/>
                <w:color w:val="000000"/>
                <w:szCs w:val="22"/>
              </w:rPr>
              <w:t>pogosti</w:t>
            </w:r>
            <w:r w:rsidRPr="004A59B1">
              <w:rPr>
                <w:color w:val="000000"/>
                <w:szCs w:val="22"/>
              </w:rPr>
              <w:t>:</w:t>
            </w:r>
          </w:p>
        </w:tc>
        <w:tc>
          <w:tcPr>
            <w:tcW w:w="7087" w:type="dxa"/>
          </w:tcPr>
          <w:p w14:paraId="5297986E" w14:textId="77777777" w:rsidR="00C24B92" w:rsidRPr="004A59B1" w:rsidRDefault="00C24B92" w:rsidP="009C1193">
            <w:pPr>
              <w:keepNext/>
              <w:widowControl w:val="0"/>
              <w:rPr>
                <w:color w:val="000000"/>
              </w:rPr>
            </w:pPr>
            <w:r w:rsidRPr="004A59B1">
              <w:rPr>
                <w:color w:val="000000"/>
                <w:szCs w:val="22"/>
              </w:rPr>
              <w:t>pancitopenija, febrilna nevtropenija</w:t>
            </w:r>
          </w:p>
        </w:tc>
      </w:tr>
      <w:tr w:rsidR="00C24B92" w:rsidRPr="004A59B1" w14:paraId="52979872" w14:textId="77777777" w:rsidTr="009C1193">
        <w:trPr>
          <w:cantSplit/>
        </w:trPr>
        <w:tc>
          <w:tcPr>
            <w:tcW w:w="2235" w:type="dxa"/>
          </w:tcPr>
          <w:p w14:paraId="52979870" w14:textId="77777777" w:rsidR="00C24B92" w:rsidRPr="004A59B1" w:rsidRDefault="00C24B92" w:rsidP="009C1193">
            <w:pPr>
              <w:keepNext/>
              <w:widowControl w:val="0"/>
              <w:rPr>
                <w:color w:val="000000"/>
              </w:rPr>
            </w:pPr>
            <w:r w:rsidRPr="004A59B1">
              <w:rPr>
                <w:i/>
                <w:color w:val="000000"/>
                <w:szCs w:val="22"/>
              </w:rPr>
              <w:t>občasni</w:t>
            </w:r>
            <w:r w:rsidRPr="004A59B1">
              <w:rPr>
                <w:color w:val="000000"/>
                <w:szCs w:val="22"/>
              </w:rPr>
              <w:t>:</w:t>
            </w:r>
          </w:p>
        </w:tc>
        <w:tc>
          <w:tcPr>
            <w:tcW w:w="7087" w:type="dxa"/>
          </w:tcPr>
          <w:p w14:paraId="52979871" w14:textId="77777777" w:rsidR="00C24B92" w:rsidRPr="004A59B1" w:rsidRDefault="00C24B92" w:rsidP="009C1193">
            <w:pPr>
              <w:keepNext/>
              <w:widowControl w:val="0"/>
              <w:rPr>
                <w:color w:val="000000"/>
                <w:lang w:val="pl-PL"/>
              </w:rPr>
            </w:pPr>
            <w:r w:rsidRPr="004A59B1">
              <w:rPr>
                <w:color w:val="000000"/>
                <w:szCs w:val="22"/>
                <w:lang w:val="pl-PL"/>
              </w:rPr>
              <w:t>trombocitemija, limfopenija, depresija kostnega mozga, eozinofilija, limfadenopatija</w:t>
            </w:r>
          </w:p>
        </w:tc>
      </w:tr>
      <w:tr w:rsidR="00C24B92" w:rsidRPr="004A59B1" w14:paraId="52979875" w14:textId="77777777" w:rsidTr="009C1193">
        <w:trPr>
          <w:cantSplit/>
        </w:trPr>
        <w:tc>
          <w:tcPr>
            <w:tcW w:w="2235" w:type="dxa"/>
          </w:tcPr>
          <w:p w14:paraId="52979873" w14:textId="77777777" w:rsidR="00C24B92" w:rsidRPr="004A59B1" w:rsidRDefault="00C24B92" w:rsidP="009C1193">
            <w:pPr>
              <w:widowControl w:val="0"/>
              <w:rPr>
                <w:i/>
                <w:color w:val="000000"/>
              </w:rPr>
            </w:pPr>
            <w:r w:rsidRPr="004A59B1">
              <w:rPr>
                <w:i/>
                <w:color w:val="000000"/>
                <w:szCs w:val="22"/>
              </w:rPr>
              <w:t>redki:</w:t>
            </w:r>
          </w:p>
        </w:tc>
        <w:tc>
          <w:tcPr>
            <w:tcW w:w="7087" w:type="dxa"/>
          </w:tcPr>
          <w:p w14:paraId="52979874" w14:textId="77777777" w:rsidR="00C24B92" w:rsidRPr="004A59B1" w:rsidRDefault="00C24B92" w:rsidP="009C1193">
            <w:pPr>
              <w:widowControl w:val="0"/>
              <w:rPr>
                <w:color w:val="000000"/>
              </w:rPr>
            </w:pPr>
            <w:r w:rsidRPr="004A59B1">
              <w:rPr>
                <w:color w:val="000000"/>
              </w:rPr>
              <w:t>hemolitična anemija</w:t>
            </w:r>
            <w:r w:rsidR="00292008">
              <w:rPr>
                <w:color w:val="000000"/>
              </w:rPr>
              <w:t xml:space="preserve">, </w:t>
            </w:r>
            <w:r w:rsidR="00292008" w:rsidRPr="00BE6923">
              <w:rPr>
                <w:color w:val="000000"/>
                <w:u w:val="single"/>
              </w:rPr>
              <w:t>t</w:t>
            </w:r>
            <w:r w:rsidR="00292008" w:rsidRPr="00BE6923">
              <w:rPr>
                <w:color w:val="000000"/>
                <w:szCs w:val="22"/>
                <w:u w:val="single"/>
                <w:lang w:val="pl-PL"/>
              </w:rPr>
              <w:t>rombotična mikroangiopatija</w:t>
            </w:r>
          </w:p>
        </w:tc>
      </w:tr>
      <w:tr w:rsidR="00EF1E76" w:rsidRPr="004A59B1" w14:paraId="52979877" w14:textId="77777777" w:rsidTr="009C1193">
        <w:trPr>
          <w:cantSplit/>
        </w:trPr>
        <w:tc>
          <w:tcPr>
            <w:tcW w:w="9322" w:type="dxa"/>
            <w:gridSpan w:val="2"/>
          </w:tcPr>
          <w:p w14:paraId="52979876" w14:textId="77777777" w:rsidR="00EF1E76" w:rsidRPr="004A59B1" w:rsidRDefault="00EF1E76" w:rsidP="009C1193">
            <w:pPr>
              <w:keepNext/>
              <w:widowControl w:val="0"/>
              <w:rPr>
                <w:color w:val="000000"/>
                <w:szCs w:val="22"/>
              </w:rPr>
            </w:pPr>
            <w:r w:rsidRPr="004A59B1">
              <w:rPr>
                <w:b/>
                <w:color w:val="000000"/>
                <w:szCs w:val="22"/>
              </w:rPr>
              <w:t>Presnovne in prehranske motnje</w:t>
            </w:r>
          </w:p>
        </w:tc>
      </w:tr>
      <w:tr w:rsidR="00EF1E76" w:rsidRPr="004A59B1" w14:paraId="5297987A" w14:textId="77777777" w:rsidTr="009C1193">
        <w:trPr>
          <w:cantSplit/>
        </w:trPr>
        <w:tc>
          <w:tcPr>
            <w:tcW w:w="2235" w:type="dxa"/>
          </w:tcPr>
          <w:p w14:paraId="52979878" w14:textId="77777777" w:rsidR="00EF1E76" w:rsidRPr="004A59B1" w:rsidRDefault="00EF1E76" w:rsidP="009C1193">
            <w:pPr>
              <w:keepNext/>
              <w:widowControl w:val="0"/>
              <w:rPr>
                <w:i/>
                <w:color w:val="000000"/>
                <w:szCs w:val="22"/>
              </w:rPr>
            </w:pPr>
            <w:r w:rsidRPr="004A59B1">
              <w:rPr>
                <w:i/>
                <w:color w:val="000000"/>
                <w:szCs w:val="22"/>
              </w:rPr>
              <w:t>pogosti</w:t>
            </w:r>
            <w:r w:rsidRPr="004A59B1">
              <w:rPr>
                <w:color w:val="000000"/>
                <w:szCs w:val="22"/>
              </w:rPr>
              <w:t>:</w:t>
            </w:r>
          </w:p>
        </w:tc>
        <w:tc>
          <w:tcPr>
            <w:tcW w:w="7087" w:type="dxa"/>
          </w:tcPr>
          <w:p w14:paraId="52979879" w14:textId="77777777" w:rsidR="00EF1E76" w:rsidRPr="004A59B1" w:rsidRDefault="00EF1E76" w:rsidP="009C1193">
            <w:pPr>
              <w:keepNext/>
              <w:widowControl w:val="0"/>
              <w:rPr>
                <w:color w:val="000000"/>
                <w:szCs w:val="22"/>
              </w:rPr>
            </w:pPr>
            <w:r w:rsidRPr="004A59B1">
              <w:rPr>
                <w:color w:val="000000"/>
                <w:szCs w:val="22"/>
              </w:rPr>
              <w:t>anoreksija</w:t>
            </w:r>
          </w:p>
        </w:tc>
      </w:tr>
      <w:tr w:rsidR="00EF1E76" w:rsidRPr="004A59B1" w14:paraId="5297987D" w14:textId="77777777" w:rsidTr="009C1193">
        <w:trPr>
          <w:cantSplit/>
        </w:trPr>
        <w:tc>
          <w:tcPr>
            <w:tcW w:w="2235" w:type="dxa"/>
          </w:tcPr>
          <w:p w14:paraId="5297987B" w14:textId="77777777" w:rsidR="00EF1E76" w:rsidRPr="004A59B1" w:rsidRDefault="00EF1E76" w:rsidP="009C1193">
            <w:pPr>
              <w:keepNext/>
              <w:widowControl w:val="0"/>
              <w:rPr>
                <w:i/>
                <w:color w:val="000000"/>
                <w:szCs w:val="22"/>
              </w:rPr>
            </w:pPr>
            <w:r w:rsidRPr="004A59B1">
              <w:rPr>
                <w:i/>
                <w:color w:val="000000"/>
                <w:szCs w:val="22"/>
              </w:rPr>
              <w:t>občasni</w:t>
            </w:r>
            <w:r w:rsidRPr="004A59B1">
              <w:rPr>
                <w:color w:val="000000"/>
                <w:szCs w:val="22"/>
              </w:rPr>
              <w:t>:</w:t>
            </w:r>
          </w:p>
        </w:tc>
        <w:tc>
          <w:tcPr>
            <w:tcW w:w="7087" w:type="dxa"/>
          </w:tcPr>
          <w:p w14:paraId="5297987C" w14:textId="77777777" w:rsidR="00EF1E76" w:rsidRPr="004A59B1" w:rsidRDefault="00EF1E76" w:rsidP="009C1193">
            <w:pPr>
              <w:keepNext/>
              <w:widowControl w:val="0"/>
              <w:rPr>
                <w:color w:val="000000"/>
                <w:szCs w:val="22"/>
              </w:rPr>
            </w:pPr>
            <w:r w:rsidRPr="004A59B1">
              <w:rPr>
                <w:color w:val="000000"/>
                <w:szCs w:val="22"/>
              </w:rPr>
              <w:t>hipokaliemija, povečan apetit, hipofosfatemija, zmanjšan apetit, dehidracija, protin, hiperurikemija, hiperkalciemija, hiperglikemija, hiponatriemija</w:t>
            </w:r>
          </w:p>
        </w:tc>
      </w:tr>
      <w:tr w:rsidR="00EF1E76" w:rsidRPr="004A59B1" w14:paraId="52979880" w14:textId="77777777" w:rsidTr="009C1193">
        <w:trPr>
          <w:cantSplit/>
        </w:trPr>
        <w:tc>
          <w:tcPr>
            <w:tcW w:w="2235" w:type="dxa"/>
          </w:tcPr>
          <w:p w14:paraId="5297987E" w14:textId="77777777" w:rsidR="00EF1E76" w:rsidRPr="004A59B1" w:rsidRDefault="00EF1E76" w:rsidP="009C1193">
            <w:pPr>
              <w:widowControl w:val="0"/>
              <w:rPr>
                <w:i/>
                <w:color w:val="000000"/>
                <w:szCs w:val="22"/>
              </w:rPr>
            </w:pPr>
            <w:r w:rsidRPr="004A59B1">
              <w:rPr>
                <w:i/>
                <w:color w:val="000000"/>
                <w:szCs w:val="22"/>
              </w:rPr>
              <w:t>redki:</w:t>
            </w:r>
          </w:p>
        </w:tc>
        <w:tc>
          <w:tcPr>
            <w:tcW w:w="7087" w:type="dxa"/>
          </w:tcPr>
          <w:p w14:paraId="5297987F" w14:textId="77777777" w:rsidR="00EF1E76" w:rsidRPr="004A59B1" w:rsidRDefault="00EF1E76" w:rsidP="009C1193">
            <w:pPr>
              <w:widowControl w:val="0"/>
              <w:rPr>
                <w:color w:val="000000"/>
                <w:szCs w:val="22"/>
                <w:lang w:val="pt-PT"/>
              </w:rPr>
            </w:pPr>
            <w:r w:rsidRPr="004A59B1">
              <w:rPr>
                <w:color w:val="000000"/>
                <w:szCs w:val="22"/>
              </w:rPr>
              <w:t>hiperkaliemija, hipomagneziemija</w:t>
            </w:r>
          </w:p>
        </w:tc>
      </w:tr>
      <w:tr w:rsidR="00EF1E76" w:rsidRPr="004A59B1" w14:paraId="52979882" w14:textId="77777777" w:rsidTr="009C1193">
        <w:trPr>
          <w:cantSplit/>
        </w:trPr>
        <w:tc>
          <w:tcPr>
            <w:tcW w:w="9322" w:type="dxa"/>
            <w:gridSpan w:val="2"/>
          </w:tcPr>
          <w:p w14:paraId="52979881" w14:textId="77777777" w:rsidR="00EF1E76" w:rsidRPr="004A59B1" w:rsidRDefault="00EF1E76" w:rsidP="009C1193">
            <w:pPr>
              <w:keepNext/>
              <w:widowControl w:val="0"/>
              <w:rPr>
                <w:color w:val="000000"/>
                <w:szCs w:val="22"/>
              </w:rPr>
            </w:pPr>
            <w:r w:rsidRPr="004A59B1">
              <w:rPr>
                <w:b/>
                <w:color w:val="000000"/>
                <w:szCs w:val="22"/>
              </w:rPr>
              <w:lastRenderedPageBreak/>
              <w:t>Psihiatrične motnje</w:t>
            </w:r>
          </w:p>
        </w:tc>
      </w:tr>
      <w:tr w:rsidR="00EF1E76" w:rsidRPr="004A59B1" w14:paraId="52979885" w14:textId="77777777" w:rsidTr="009C1193">
        <w:trPr>
          <w:cantSplit/>
        </w:trPr>
        <w:tc>
          <w:tcPr>
            <w:tcW w:w="2235" w:type="dxa"/>
          </w:tcPr>
          <w:p w14:paraId="52979883" w14:textId="77777777" w:rsidR="00EF1E76" w:rsidRPr="004A59B1" w:rsidRDefault="00EF1E76" w:rsidP="009C1193">
            <w:pPr>
              <w:keepNext/>
              <w:widowControl w:val="0"/>
              <w:rPr>
                <w:i/>
                <w:color w:val="000000"/>
                <w:szCs w:val="22"/>
              </w:rPr>
            </w:pPr>
            <w:r w:rsidRPr="004A59B1">
              <w:rPr>
                <w:i/>
                <w:color w:val="000000"/>
                <w:szCs w:val="22"/>
              </w:rPr>
              <w:t>pogosti</w:t>
            </w:r>
            <w:r w:rsidRPr="004A59B1">
              <w:rPr>
                <w:color w:val="000000"/>
                <w:szCs w:val="22"/>
              </w:rPr>
              <w:t>:</w:t>
            </w:r>
          </w:p>
        </w:tc>
        <w:tc>
          <w:tcPr>
            <w:tcW w:w="7087" w:type="dxa"/>
          </w:tcPr>
          <w:p w14:paraId="52979884" w14:textId="77777777" w:rsidR="00EF1E76" w:rsidRPr="004A59B1" w:rsidRDefault="00EF1E76" w:rsidP="009C1193">
            <w:pPr>
              <w:keepNext/>
              <w:widowControl w:val="0"/>
              <w:rPr>
                <w:color w:val="000000"/>
                <w:szCs w:val="22"/>
              </w:rPr>
            </w:pPr>
            <w:r w:rsidRPr="004A59B1">
              <w:rPr>
                <w:color w:val="000000"/>
                <w:szCs w:val="22"/>
              </w:rPr>
              <w:t>nespečnost</w:t>
            </w:r>
          </w:p>
        </w:tc>
      </w:tr>
      <w:tr w:rsidR="00EF1E76" w:rsidRPr="004A59B1" w14:paraId="52979888" w14:textId="77777777" w:rsidTr="009C1193">
        <w:trPr>
          <w:cantSplit/>
        </w:trPr>
        <w:tc>
          <w:tcPr>
            <w:tcW w:w="2235" w:type="dxa"/>
          </w:tcPr>
          <w:p w14:paraId="52979886" w14:textId="77777777" w:rsidR="00EF1E76" w:rsidRPr="004A59B1" w:rsidRDefault="00EF1E76" w:rsidP="009C1193">
            <w:pPr>
              <w:keepNext/>
              <w:widowControl w:val="0"/>
              <w:rPr>
                <w:i/>
                <w:color w:val="000000"/>
                <w:szCs w:val="22"/>
              </w:rPr>
            </w:pPr>
            <w:r w:rsidRPr="004A59B1">
              <w:rPr>
                <w:i/>
                <w:color w:val="000000"/>
                <w:szCs w:val="22"/>
              </w:rPr>
              <w:t>občasni:</w:t>
            </w:r>
          </w:p>
        </w:tc>
        <w:tc>
          <w:tcPr>
            <w:tcW w:w="7087" w:type="dxa"/>
          </w:tcPr>
          <w:p w14:paraId="52979887" w14:textId="77777777" w:rsidR="00EF1E76" w:rsidRPr="004A59B1" w:rsidRDefault="00EF1E76" w:rsidP="009C1193">
            <w:pPr>
              <w:keepNext/>
              <w:widowControl w:val="0"/>
              <w:rPr>
                <w:color w:val="000000"/>
                <w:szCs w:val="22"/>
              </w:rPr>
            </w:pPr>
            <w:r w:rsidRPr="004A59B1">
              <w:rPr>
                <w:color w:val="000000"/>
                <w:szCs w:val="22"/>
              </w:rPr>
              <w:t>depresija, zmanjšan libido, anksioznost</w:t>
            </w:r>
          </w:p>
        </w:tc>
      </w:tr>
      <w:tr w:rsidR="00EF1E76" w:rsidRPr="004A59B1" w14:paraId="5297988B" w14:textId="77777777" w:rsidTr="009C1193">
        <w:trPr>
          <w:cantSplit/>
        </w:trPr>
        <w:tc>
          <w:tcPr>
            <w:tcW w:w="2235" w:type="dxa"/>
          </w:tcPr>
          <w:p w14:paraId="52979889" w14:textId="77777777" w:rsidR="00EF1E76" w:rsidRPr="004A59B1" w:rsidRDefault="00EF1E76" w:rsidP="009C1193">
            <w:pPr>
              <w:widowControl w:val="0"/>
              <w:rPr>
                <w:i/>
                <w:color w:val="000000"/>
                <w:szCs w:val="22"/>
              </w:rPr>
            </w:pPr>
            <w:r w:rsidRPr="004A59B1">
              <w:rPr>
                <w:i/>
                <w:color w:val="000000"/>
                <w:szCs w:val="22"/>
              </w:rPr>
              <w:t>redki:</w:t>
            </w:r>
          </w:p>
        </w:tc>
        <w:tc>
          <w:tcPr>
            <w:tcW w:w="7087" w:type="dxa"/>
          </w:tcPr>
          <w:p w14:paraId="5297988A" w14:textId="77777777" w:rsidR="00EF1E76" w:rsidRPr="004A59B1" w:rsidRDefault="00EF1E76" w:rsidP="009C1193">
            <w:pPr>
              <w:widowControl w:val="0"/>
              <w:rPr>
                <w:color w:val="000000"/>
                <w:szCs w:val="22"/>
              </w:rPr>
            </w:pPr>
            <w:r w:rsidRPr="004A59B1">
              <w:rPr>
                <w:color w:val="000000"/>
                <w:szCs w:val="22"/>
              </w:rPr>
              <w:t>zmedenost</w:t>
            </w:r>
          </w:p>
        </w:tc>
      </w:tr>
      <w:tr w:rsidR="00C24B92" w:rsidRPr="004A59B1" w14:paraId="5297988D" w14:textId="77777777" w:rsidTr="009C1193">
        <w:trPr>
          <w:cantSplit/>
        </w:trPr>
        <w:tc>
          <w:tcPr>
            <w:tcW w:w="9322" w:type="dxa"/>
            <w:gridSpan w:val="2"/>
          </w:tcPr>
          <w:p w14:paraId="5297988C" w14:textId="77777777" w:rsidR="00C24B92" w:rsidRPr="004A59B1" w:rsidRDefault="00C24B92" w:rsidP="009C1193">
            <w:pPr>
              <w:keepNext/>
              <w:widowControl w:val="0"/>
              <w:rPr>
                <w:color w:val="000000"/>
              </w:rPr>
            </w:pPr>
            <w:r w:rsidRPr="004A59B1">
              <w:rPr>
                <w:b/>
                <w:color w:val="000000"/>
                <w:szCs w:val="22"/>
              </w:rPr>
              <w:t>Bolezni živčevja</w:t>
            </w:r>
          </w:p>
        </w:tc>
      </w:tr>
      <w:tr w:rsidR="00C24B92" w:rsidRPr="004A59B1" w14:paraId="52979890" w14:textId="77777777" w:rsidTr="009C1193">
        <w:trPr>
          <w:cantSplit/>
        </w:trPr>
        <w:tc>
          <w:tcPr>
            <w:tcW w:w="2235" w:type="dxa"/>
          </w:tcPr>
          <w:p w14:paraId="5297988E" w14:textId="77777777" w:rsidR="00C24B92" w:rsidRPr="004A59B1" w:rsidRDefault="00C24B92" w:rsidP="009C1193">
            <w:pPr>
              <w:keepNext/>
              <w:widowControl w:val="0"/>
              <w:rPr>
                <w:color w:val="000000"/>
              </w:rPr>
            </w:pPr>
            <w:r w:rsidRPr="004A59B1">
              <w:rPr>
                <w:i/>
                <w:color w:val="000000"/>
                <w:szCs w:val="22"/>
              </w:rPr>
              <w:t>zelo pogosti:</w:t>
            </w:r>
          </w:p>
        </w:tc>
        <w:tc>
          <w:tcPr>
            <w:tcW w:w="7087" w:type="dxa"/>
          </w:tcPr>
          <w:p w14:paraId="5297988F" w14:textId="77777777" w:rsidR="00C24B92" w:rsidRPr="004A59B1" w:rsidRDefault="00C24B92" w:rsidP="009C1193">
            <w:pPr>
              <w:keepNext/>
              <w:widowControl w:val="0"/>
              <w:rPr>
                <w:color w:val="000000"/>
              </w:rPr>
            </w:pPr>
            <w:r w:rsidRPr="004A59B1">
              <w:rPr>
                <w:color w:val="000000"/>
                <w:szCs w:val="22"/>
              </w:rPr>
              <w:t>glavobol</w:t>
            </w:r>
            <w:r w:rsidRPr="004A59B1">
              <w:rPr>
                <w:color w:val="000000"/>
                <w:szCs w:val="22"/>
                <w:vertAlign w:val="superscript"/>
              </w:rPr>
              <w:t>2</w:t>
            </w:r>
          </w:p>
        </w:tc>
      </w:tr>
      <w:tr w:rsidR="00C24B92" w:rsidRPr="004A59B1" w14:paraId="52979893" w14:textId="77777777" w:rsidTr="009C1193">
        <w:trPr>
          <w:cantSplit/>
        </w:trPr>
        <w:tc>
          <w:tcPr>
            <w:tcW w:w="2235" w:type="dxa"/>
          </w:tcPr>
          <w:p w14:paraId="52979891" w14:textId="77777777" w:rsidR="00C24B92" w:rsidRPr="004A59B1" w:rsidRDefault="00C24B92" w:rsidP="009C1193">
            <w:pPr>
              <w:keepNext/>
              <w:widowControl w:val="0"/>
              <w:rPr>
                <w:color w:val="000000"/>
              </w:rPr>
            </w:pPr>
            <w:r w:rsidRPr="004A59B1">
              <w:rPr>
                <w:i/>
                <w:color w:val="000000"/>
                <w:szCs w:val="22"/>
              </w:rPr>
              <w:t>pogosti</w:t>
            </w:r>
            <w:r w:rsidRPr="004A59B1">
              <w:rPr>
                <w:color w:val="000000"/>
                <w:szCs w:val="22"/>
              </w:rPr>
              <w:t>:</w:t>
            </w:r>
          </w:p>
        </w:tc>
        <w:tc>
          <w:tcPr>
            <w:tcW w:w="7087" w:type="dxa"/>
          </w:tcPr>
          <w:p w14:paraId="52979892" w14:textId="77777777" w:rsidR="00C24B92" w:rsidRPr="004A59B1" w:rsidRDefault="00C24B92" w:rsidP="009C1193">
            <w:pPr>
              <w:keepNext/>
              <w:widowControl w:val="0"/>
              <w:rPr>
                <w:color w:val="000000"/>
                <w:szCs w:val="22"/>
              </w:rPr>
            </w:pPr>
            <w:r w:rsidRPr="004A59B1">
              <w:rPr>
                <w:color w:val="000000"/>
                <w:szCs w:val="22"/>
              </w:rPr>
              <w:t>vrtoglavost, parestezije, motnje okušanja, hipestezije</w:t>
            </w:r>
          </w:p>
        </w:tc>
      </w:tr>
      <w:tr w:rsidR="00C24B92" w:rsidRPr="004A59B1" w14:paraId="52979896" w14:textId="77777777" w:rsidTr="009C1193">
        <w:trPr>
          <w:cantSplit/>
        </w:trPr>
        <w:tc>
          <w:tcPr>
            <w:tcW w:w="2235" w:type="dxa"/>
          </w:tcPr>
          <w:p w14:paraId="52979894" w14:textId="77777777" w:rsidR="00C24B92" w:rsidRPr="004A59B1" w:rsidRDefault="00C24B92" w:rsidP="009C1193">
            <w:pPr>
              <w:keepNext/>
              <w:widowControl w:val="0"/>
              <w:rPr>
                <w:color w:val="000000"/>
              </w:rPr>
            </w:pPr>
            <w:r w:rsidRPr="004A59B1">
              <w:rPr>
                <w:i/>
                <w:color w:val="000000"/>
                <w:szCs w:val="22"/>
              </w:rPr>
              <w:t>občasni</w:t>
            </w:r>
            <w:r w:rsidRPr="004A59B1">
              <w:rPr>
                <w:color w:val="000000"/>
                <w:szCs w:val="22"/>
              </w:rPr>
              <w:t>:</w:t>
            </w:r>
          </w:p>
        </w:tc>
        <w:tc>
          <w:tcPr>
            <w:tcW w:w="7087" w:type="dxa"/>
          </w:tcPr>
          <w:p w14:paraId="52979895" w14:textId="77777777" w:rsidR="00C24B92" w:rsidRPr="004A59B1" w:rsidRDefault="00C24B92" w:rsidP="009C1193">
            <w:pPr>
              <w:keepNext/>
              <w:widowControl w:val="0"/>
              <w:rPr>
                <w:color w:val="000000"/>
              </w:rPr>
            </w:pPr>
            <w:r w:rsidRPr="004A59B1">
              <w:rPr>
                <w:color w:val="000000"/>
                <w:szCs w:val="22"/>
              </w:rPr>
              <w:t>migrena, somnolenca, sinkop</w:t>
            </w:r>
            <w:r w:rsidR="00116FA2" w:rsidRPr="004A59B1">
              <w:rPr>
                <w:color w:val="000000"/>
                <w:szCs w:val="22"/>
              </w:rPr>
              <w:t>a</w:t>
            </w:r>
            <w:r w:rsidRPr="004A59B1">
              <w:rPr>
                <w:color w:val="000000"/>
                <w:szCs w:val="22"/>
              </w:rPr>
              <w:t xml:space="preserve">, periferna nevropatija, motnje spomina, </w:t>
            </w:r>
            <w:r w:rsidR="004E068F" w:rsidRPr="004A59B1">
              <w:rPr>
                <w:rStyle w:val="CommentReference"/>
                <w:color w:val="000000"/>
                <w:sz w:val="22"/>
                <w:szCs w:val="22"/>
              </w:rPr>
              <w:t>išias,</w:t>
            </w:r>
            <w:r w:rsidRPr="004A59B1">
              <w:rPr>
                <w:color w:val="000000"/>
                <w:szCs w:val="22"/>
              </w:rPr>
              <w:t xml:space="preserve"> sindrom nemirnih nog, tremor, možganska krvavitev</w:t>
            </w:r>
          </w:p>
        </w:tc>
      </w:tr>
      <w:tr w:rsidR="00C24B92" w:rsidRPr="004A59B1" w14:paraId="52979899" w14:textId="77777777" w:rsidTr="009C1193">
        <w:trPr>
          <w:cantSplit/>
        </w:trPr>
        <w:tc>
          <w:tcPr>
            <w:tcW w:w="2235" w:type="dxa"/>
          </w:tcPr>
          <w:p w14:paraId="52979897" w14:textId="77777777" w:rsidR="00C24B92" w:rsidRPr="004A59B1" w:rsidRDefault="00C24B92" w:rsidP="009C1193">
            <w:pPr>
              <w:keepNext/>
              <w:widowControl w:val="0"/>
              <w:rPr>
                <w:color w:val="000000"/>
              </w:rPr>
            </w:pPr>
            <w:r w:rsidRPr="004A59B1">
              <w:rPr>
                <w:i/>
                <w:color w:val="000000"/>
                <w:szCs w:val="22"/>
              </w:rPr>
              <w:t>redki:</w:t>
            </w:r>
          </w:p>
        </w:tc>
        <w:tc>
          <w:tcPr>
            <w:tcW w:w="7087" w:type="dxa"/>
          </w:tcPr>
          <w:p w14:paraId="52979898" w14:textId="77777777" w:rsidR="00C24B92" w:rsidRPr="004A59B1" w:rsidRDefault="00C24B92" w:rsidP="009C1193">
            <w:pPr>
              <w:keepNext/>
              <w:widowControl w:val="0"/>
              <w:rPr>
                <w:color w:val="000000"/>
                <w:szCs w:val="22"/>
              </w:rPr>
            </w:pPr>
            <w:r w:rsidRPr="004A59B1">
              <w:rPr>
                <w:color w:val="000000"/>
                <w:szCs w:val="22"/>
              </w:rPr>
              <w:t>zvišan intrakranialni tlak, konvulzije, optični nevritis</w:t>
            </w:r>
          </w:p>
        </w:tc>
      </w:tr>
      <w:tr w:rsidR="00D552DB" w:rsidRPr="004A59B1" w14:paraId="5297989C" w14:textId="77777777" w:rsidTr="009C1193">
        <w:trPr>
          <w:cantSplit/>
        </w:trPr>
        <w:tc>
          <w:tcPr>
            <w:tcW w:w="2235" w:type="dxa"/>
          </w:tcPr>
          <w:p w14:paraId="5297989A" w14:textId="77777777" w:rsidR="00D552DB" w:rsidRPr="004A59B1" w:rsidRDefault="00CE06A8" w:rsidP="009C1193">
            <w:pPr>
              <w:widowControl w:val="0"/>
              <w:rPr>
                <w:i/>
                <w:color w:val="000000"/>
                <w:szCs w:val="22"/>
              </w:rPr>
            </w:pPr>
            <w:r w:rsidRPr="004A59B1">
              <w:rPr>
                <w:i/>
                <w:color w:val="000000"/>
                <w:szCs w:val="22"/>
              </w:rPr>
              <w:t>pogostnost neznana:</w:t>
            </w:r>
          </w:p>
        </w:tc>
        <w:tc>
          <w:tcPr>
            <w:tcW w:w="7087" w:type="dxa"/>
          </w:tcPr>
          <w:p w14:paraId="5297989B" w14:textId="77777777" w:rsidR="00D552DB" w:rsidRPr="004A59B1" w:rsidRDefault="00CE06A8" w:rsidP="009C1193">
            <w:pPr>
              <w:widowControl w:val="0"/>
              <w:rPr>
                <w:color w:val="000000"/>
                <w:szCs w:val="22"/>
              </w:rPr>
            </w:pPr>
            <w:r w:rsidRPr="004A59B1">
              <w:rPr>
                <w:color w:val="000000"/>
                <w:szCs w:val="22"/>
              </w:rPr>
              <w:t>možganski edem</w:t>
            </w:r>
            <w:r w:rsidR="006F4C3B" w:rsidRPr="004A59B1">
              <w:rPr>
                <w:color w:val="000000"/>
                <w:szCs w:val="22"/>
              </w:rPr>
              <w:t>*</w:t>
            </w:r>
          </w:p>
        </w:tc>
      </w:tr>
      <w:tr w:rsidR="00C24B92" w:rsidRPr="004A59B1" w14:paraId="5297989E" w14:textId="77777777" w:rsidTr="009C1193">
        <w:trPr>
          <w:cantSplit/>
        </w:trPr>
        <w:tc>
          <w:tcPr>
            <w:tcW w:w="9322" w:type="dxa"/>
            <w:gridSpan w:val="2"/>
          </w:tcPr>
          <w:p w14:paraId="5297989D" w14:textId="77777777" w:rsidR="00C24B92" w:rsidRPr="004A59B1" w:rsidRDefault="00C24B92" w:rsidP="009C1193">
            <w:pPr>
              <w:keepNext/>
              <w:widowControl w:val="0"/>
              <w:rPr>
                <w:color w:val="000000"/>
              </w:rPr>
            </w:pPr>
            <w:r w:rsidRPr="004A59B1">
              <w:rPr>
                <w:b/>
                <w:color w:val="000000"/>
                <w:szCs w:val="22"/>
              </w:rPr>
              <w:t>Očesne bolezni</w:t>
            </w:r>
          </w:p>
        </w:tc>
      </w:tr>
      <w:tr w:rsidR="00C24B92" w:rsidRPr="004A59B1" w14:paraId="529798A1" w14:textId="77777777" w:rsidTr="009C1193">
        <w:trPr>
          <w:cantSplit/>
        </w:trPr>
        <w:tc>
          <w:tcPr>
            <w:tcW w:w="2235" w:type="dxa"/>
          </w:tcPr>
          <w:p w14:paraId="5297989F" w14:textId="77777777" w:rsidR="00C24B92" w:rsidRPr="004A59B1" w:rsidRDefault="00C24B92" w:rsidP="009C1193">
            <w:pPr>
              <w:keepNext/>
              <w:widowControl w:val="0"/>
              <w:rPr>
                <w:color w:val="000000"/>
              </w:rPr>
            </w:pPr>
            <w:r w:rsidRPr="004A59B1">
              <w:rPr>
                <w:i/>
                <w:color w:val="000000"/>
                <w:szCs w:val="22"/>
              </w:rPr>
              <w:t>pogosti</w:t>
            </w:r>
            <w:r w:rsidRPr="004A59B1">
              <w:rPr>
                <w:color w:val="000000"/>
                <w:szCs w:val="22"/>
              </w:rPr>
              <w:t>:</w:t>
            </w:r>
          </w:p>
        </w:tc>
        <w:tc>
          <w:tcPr>
            <w:tcW w:w="7087" w:type="dxa"/>
          </w:tcPr>
          <w:p w14:paraId="529798A0" w14:textId="77777777" w:rsidR="00C24B92" w:rsidRPr="004A59B1" w:rsidRDefault="00C24B92" w:rsidP="009C1193">
            <w:pPr>
              <w:keepNext/>
              <w:widowControl w:val="0"/>
              <w:rPr>
                <w:color w:val="000000"/>
              </w:rPr>
            </w:pPr>
            <w:r w:rsidRPr="004A59B1">
              <w:rPr>
                <w:color w:val="000000"/>
                <w:szCs w:val="22"/>
              </w:rPr>
              <w:t>edem vek, povečano solzenje, veznična krvavitev, vnetje veznice, suhe oči, zamegljen vid</w:t>
            </w:r>
          </w:p>
        </w:tc>
      </w:tr>
      <w:tr w:rsidR="00C24B92" w:rsidRPr="004A59B1" w14:paraId="529798A4" w14:textId="77777777" w:rsidTr="009C1193">
        <w:trPr>
          <w:cantSplit/>
        </w:trPr>
        <w:tc>
          <w:tcPr>
            <w:tcW w:w="2235" w:type="dxa"/>
          </w:tcPr>
          <w:p w14:paraId="529798A2" w14:textId="77777777" w:rsidR="00C24B92" w:rsidRPr="004A59B1" w:rsidRDefault="00C24B92" w:rsidP="009C1193">
            <w:pPr>
              <w:keepNext/>
              <w:widowControl w:val="0"/>
              <w:rPr>
                <w:color w:val="000000"/>
              </w:rPr>
            </w:pPr>
            <w:r w:rsidRPr="004A59B1">
              <w:rPr>
                <w:i/>
                <w:color w:val="000000"/>
                <w:szCs w:val="22"/>
              </w:rPr>
              <w:t>občasni</w:t>
            </w:r>
            <w:r w:rsidRPr="004A59B1">
              <w:rPr>
                <w:color w:val="000000"/>
                <w:szCs w:val="22"/>
              </w:rPr>
              <w:t>:</w:t>
            </w:r>
          </w:p>
        </w:tc>
        <w:tc>
          <w:tcPr>
            <w:tcW w:w="7087" w:type="dxa"/>
          </w:tcPr>
          <w:p w14:paraId="529798A3" w14:textId="77777777" w:rsidR="00C24B92" w:rsidRPr="004A59B1" w:rsidRDefault="00C24B92" w:rsidP="009C1193">
            <w:pPr>
              <w:keepNext/>
              <w:widowControl w:val="0"/>
              <w:rPr>
                <w:color w:val="000000"/>
              </w:rPr>
            </w:pPr>
            <w:r w:rsidRPr="004A59B1">
              <w:rPr>
                <w:color w:val="000000"/>
                <w:szCs w:val="22"/>
              </w:rPr>
              <w:t>draženje očesa, bolečine v očesu, orbitalni edem, krvavitev v beločnico, krvavitev v mrežnico, vnetje veke, makularni edem</w:t>
            </w:r>
          </w:p>
        </w:tc>
      </w:tr>
      <w:tr w:rsidR="00C24B92" w:rsidRPr="003B6568" w14:paraId="529798A7" w14:textId="77777777" w:rsidTr="009C1193">
        <w:trPr>
          <w:cantSplit/>
        </w:trPr>
        <w:tc>
          <w:tcPr>
            <w:tcW w:w="2235" w:type="dxa"/>
          </w:tcPr>
          <w:p w14:paraId="529798A5" w14:textId="77777777" w:rsidR="00C24B92" w:rsidRPr="004A59B1" w:rsidRDefault="00C24B92" w:rsidP="009C1193">
            <w:pPr>
              <w:keepNext/>
              <w:widowControl w:val="0"/>
              <w:rPr>
                <w:color w:val="000000"/>
              </w:rPr>
            </w:pPr>
            <w:r w:rsidRPr="004A59B1">
              <w:rPr>
                <w:i/>
                <w:color w:val="000000"/>
                <w:szCs w:val="22"/>
              </w:rPr>
              <w:t>redki:</w:t>
            </w:r>
          </w:p>
        </w:tc>
        <w:tc>
          <w:tcPr>
            <w:tcW w:w="7087" w:type="dxa"/>
          </w:tcPr>
          <w:p w14:paraId="529798A6" w14:textId="77777777" w:rsidR="00C24B92" w:rsidRPr="004A59B1" w:rsidRDefault="00C24B92" w:rsidP="009C1193">
            <w:pPr>
              <w:keepNext/>
              <w:widowControl w:val="0"/>
              <w:rPr>
                <w:color w:val="000000"/>
                <w:lang w:val="de-CH"/>
              </w:rPr>
            </w:pPr>
            <w:r w:rsidRPr="004A59B1">
              <w:rPr>
                <w:color w:val="000000"/>
                <w:szCs w:val="22"/>
                <w:lang w:val="de-CH"/>
              </w:rPr>
              <w:t>katarakta, glavkom, edem papile vidnega živca</w:t>
            </w:r>
          </w:p>
        </w:tc>
      </w:tr>
      <w:tr w:rsidR="006F4C3B" w:rsidRPr="004A59B1" w14:paraId="529798AA" w14:textId="77777777" w:rsidTr="009C1193">
        <w:trPr>
          <w:cantSplit/>
        </w:trPr>
        <w:tc>
          <w:tcPr>
            <w:tcW w:w="2235" w:type="dxa"/>
          </w:tcPr>
          <w:p w14:paraId="529798A8" w14:textId="77777777" w:rsidR="006F4C3B" w:rsidRPr="004A59B1" w:rsidRDefault="006F4C3B" w:rsidP="009C1193">
            <w:pPr>
              <w:widowControl w:val="0"/>
              <w:rPr>
                <w:i/>
                <w:color w:val="000000"/>
                <w:szCs w:val="22"/>
              </w:rPr>
            </w:pPr>
            <w:r w:rsidRPr="004A59B1">
              <w:rPr>
                <w:i/>
                <w:color w:val="000000"/>
                <w:szCs w:val="22"/>
              </w:rPr>
              <w:t>pogostnost neznana:</w:t>
            </w:r>
          </w:p>
        </w:tc>
        <w:tc>
          <w:tcPr>
            <w:tcW w:w="7087" w:type="dxa"/>
          </w:tcPr>
          <w:p w14:paraId="529798A9" w14:textId="77777777" w:rsidR="006F4C3B" w:rsidRPr="004A59B1" w:rsidRDefault="006F4C3B" w:rsidP="009C1193">
            <w:pPr>
              <w:widowControl w:val="0"/>
              <w:rPr>
                <w:color w:val="000000"/>
                <w:szCs w:val="22"/>
                <w:lang w:val="de-CH"/>
              </w:rPr>
            </w:pPr>
            <w:r w:rsidRPr="004A59B1">
              <w:rPr>
                <w:color w:val="000000"/>
                <w:szCs w:val="22"/>
              </w:rPr>
              <w:t>krvavitev v steklovino*</w:t>
            </w:r>
          </w:p>
        </w:tc>
      </w:tr>
      <w:tr w:rsidR="00C24B92" w:rsidRPr="004A59B1" w14:paraId="529798AC" w14:textId="77777777" w:rsidTr="009C1193">
        <w:trPr>
          <w:cantSplit/>
        </w:trPr>
        <w:tc>
          <w:tcPr>
            <w:tcW w:w="9322" w:type="dxa"/>
            <w:gridSpan w:val="2"/>
          </w:tcPr>
          <w:p w14:paraId="529798AB" w14:textId="77777777" w:rsidR="00C24B92" w:rsidRPr="002227FB" w:rsidRDefault="00C24B92" w:rsidP="009C1193">
            <w:pPr>
              <w:keepNext/>
              <w:widowControl w:val="0"/>
              <w:rPr>
                <w:color w:val="000000"/>
              </w:rPr>
            </w:pPr>
            <w:r w:rsidRPr="002227FB">
              <w:rPr>
                <w:b/>
                <w:color w:val="000000"/>
                <w:szCs w:val="22"/>
              </w:rPr>
              <w:t>Ušesne bolezni</w:t>
            </w:r>
            <w:r w:rsidR="00E124D6" w:rsidRPr="002227FB">
              <w:rPr>
                <w:b/>
                <w:color w:val="000000"/>
                <w:szCs w:val="22"/>
              </w:rPr>
              <w:t>,</w:t>
            </w:r>
            <w:r w:rsidRPr="002227FB">
              <w:rPr>
                <w:b/>
                <w:color w:val="000000"/>
                <w:szCs w:val="22"/>
              </w:rPr>
              <w:t xml:space="preserve"> vključno z motnjami labirinta</w:t>
            </w:r>
          </w:p>
        </w:tc>
      </w:tr>
      <w:tr w:rsidR="00C24B92" w:rsidRPr="004A59B1" w14:paraId="529798AF" w14:textId="77777777" w:rsidTr="009C1193">
        <w:trPr>
          <w:cantSplit/>
        </w:trPr>
        <w:tc>
          <w:tcPr>
            <w:tcW w:w="2235" w:type="dxa"/>
          </w:tcPr>
          <w:p w14:paraId="529798AD" w14:textId="77777777" w:rsidR="00C24B92" w:rsidRPr="004A59B1" w:rsidRDefault="00C24B92" w:rsidP="009C1193">
            <w:pPr>
              <w:widowControl w:val="0"/>
              <w:rPr>
                <w:color w:val="000000"/>
              </w:rPr>
            </w:pPr>
            <w:r w:rsidRPr="004A59B1">
              <w:rPr>
                <w:i/>
                <w:color w:val="000000"/>
                <w:szCs w:val="22"/>
              </w:rPr>
              <w:t>občasni</w:t>
            </w:r>
            <w:r w:rsidRPr="004A59B1">
              <w:rPr>
                <w:color w:val="000000"/>
                <w:szCs w:val="22"/>
              </w:rPr>
              <w:t>:</w:t>
            </w:r>
          </w:p>
        </w:tc>
        <w:tc>
          <w:tcPr>
            <w:tcW w:w="7087" w:type="dxa"/>
          </w:tcPr>
          <w:p w14:paraId="529798AE" w14:textId="77777777" w:rsidR="00C24B92" w:rsidRPr="004A59B1" w:rsidRDefault="00C24B92" w:rsidP="009C1193">
            <w:pPr>
              <w:widowControl w:val="0"/>
              <w:rPr>
                <w:color w:val="000000"/>
              </w:rPr>
            </w:pPr>
            <w:r w:rsidRPr="004A59B1">
              <w:rPr>
                <w:color w:val="000000"/>
                <w:szCs w:val="22"/>
              </w:rPr>
              <w:t>vrtoglavica, zvonjenje v ušesih, izguba sluha</w:t>
            </w:r>
          </w:p>
        </w:tc>
      </w:tr>
      <w:tr w:rsidR="00EF1E76" w:rsidRPr="004A59B1" w14:paraId="529798B1" w14:textId="77777777" w:rsidTr="009C1193">
        <w:trPr>
          <w:cantSplit/>
        </w:trPr>
        <w:tc>
          <w:tcPr>
            <w:tcW w:w="9322" w:type="dxa"/>
            <w:gridSpan w:val="2"/>
          </w:tcPr>
          <w:p w14:paraId="529798B0" w14:textId="77777777" w:rsidR="00EF1E76" w:rsidRPr="004A59B1" w:rsidRDefault="00EF1E76" w:rsidP="009C1193">
            <w:pPr>
              <w:keepNext/>
              <w:widowControl w:val="0"/>
              <w:rPr>
                <w:color w:val="000000"/>
              </w:rPr>
            </w:pPr>
            <w:r w:rsidRPr="004A59B1">
              <w:rPr>
                <w:b/>
                <w:color w:val="000000"/>
                <w:szCs w:val="22"/>
                <w:lang w:val="it-IT"/>
              </w:rPr>
              <w:t>Srčne bolezni</w:t>
            </w:r>
          </w:p>
        </w:tc>
      </w:tr>
      <w:tr w:rsidR="00EF1E76" w:rsidRPr="004A59B1" w14:paraId="529798B4" w14:textId="77777777" w:rsidTr="009C1193">
        <w:trPr>
          <w:cantSplit/>
        </w:trPr>
        <w:tc>
          <w:tcPr>
            <w:tcW w:w="2235" w:type="dxa"/>
          </w:tcPr>
          <w:p w14:paraId="529798B2" w14:textId="77777777" w:rsidR="00EF1E76" w:rsidRPr="004A59B1" w:rsidRDefault="00EF1E76" w:rsidP="009C1193">
            <w:pPr>
              <w:keepNext/>
              <w:widowControl w:val="0"/>
              <w:rPr>
                <w:color w:val="000000"/>
              </w:rPr>
            </w:pPr>
            <w:r w:rsidRPr="004A59B1">
              <w:rPr>
                <w:i/>
                <w:color w:val="000000"/>
                <w:szCs w:val="22"/>
              </w:rPr>
              <w:t>občasni</w:t>
            </w:r>
            <w:r w:rsidRPr="004A59B1">
              <w:rPr>
                <w:color w:val="000000"/>
                <w:szCs w:val="22"/>
              </w:rPr>
              <w:t>:</w:t>
            </w:r>
          </w:p>
        </w:tc>
        <w:tc>
          <w:tcPr>
            <w:tcW w:w="7087" w:type="dxa"/>
          </w:tcPr>
          <w:p w14:paraId="529798B3" w14:textId="77777777" w:rsidR="00EF1E76" w:rsidRPr="004A59B1" w:rsidRDefault="00EF1E76" w:rsidP="009C1193">
            <w:pPr>
              <w:keepNext/>
              <w:widowControl w:val="0"/>
              <w:rPr>
                <w:color w:val="000000"/>
              </w:rPr>
            </w:pPr>
            <w:r w:rsidRPr="004A59B1">
              <w:rPr>
                <w:color w:val="000000"/>
                <w:szCs w:val="22"/>
              </w:rPr>
              <w:t>palpitacije, tahikardija, kongestivno popuščanje srca</w:t>
            </w:r>
            <w:r w:rsidR="00F05399" w:rsidRPr="004A59B1">
              <w:rPr>
                <w:color w:val="000000"/>
                <w:szCs w:val="22"/>
                <w:vertAlign w:val="superscript"/>
              </w:rPr>
              <w:t>3</w:t>
            </w:r>
            <w:r w:rsidRPr="004A59B1">
              <w:rPr>
                <w:color w:val="000000"/>
                <w:szCs w:val="22"/>
              </w:rPr>
              <w:t>, pljučni edem</w:t>
            </w:r>
          </w:p>
        </w:tc>
      </w:tr>
      <w:tr w:rsidR="00EF1E76" w:rsidRPr="004A59B1" w14:paraId="529798B7" w14:textId="77777777" w:rsidTr="009C1193">
        <w:trPr>
          <w:cantSplit/>
        </w:trPr>
        <w:tc>
          <w:tcPr>
            <w:tcW w:w="2235" w:type="dxa"/>
          </w:tcPr>
          <w:p w14:paraId="529798B5" w14:textId="77777777" w:rsidR="00EF1E76" w:rsidRPr="004A59B1" w:rsidRDefault="00EF1E76" w:rsidP="009C1193">
            <w:pPr>
              <w:keepNext/>
              <w:widowControl w:val="0"/>
              <w:rPr>
                <w:color w:val="000000"/>
              </w:rPr>
            </w:pPr>
            <w:r w:rsidRPr="004A59B1">
              <w:rPr>
                <w:i/>
                <w:color w:val="000000"/>
                <w:szCs w:val="22"/>
              </w:rPr>
              <w:t>redki:</w:t>
            </w:r>
          </w:p>
        </w:tc>
        <w:tc>
          <w:tcPr>
            <w:tcW w:w="7087" w:type="dxa"/>
          </w:tcPr>
          <w:p w14:paraId="529798B6" w14:textId="77777777" w:rsidR="00EF1E76" w:rsidRPr="004A59B1" w:rsidRDefault="00EF1E76" w:rsidP="009C1193">
            <w:pPr>
              <w:keepNext/>
              <w:widowControl w:val="0"/>
              <w:rPr>
                <w:color w:val="000000"/>
              </w:rPr>
            </w:pPr>
            <w:r w:rsidRPr="004A59B1">
              <w:rPr>
                <w:color w:val="000000"/>
                <w:szCs w:val="22"/>
              </w:rPr>
              <w:t>aritmija, atrijska fibrilacija, zastoj srca, miokardni infarkt, angina pektoris, perikardialni izliv</w:t>
            </w:r>
          </w:p>
        </w:tc>
      </w:tr>
      <w:tr w:rsidR="006F4C3B" w:rsidRPr="004A59B1" w14:paraId="529798BA" w14:textId="77777777" w:rsidTr="009C1193">
        <w:trPr>
          <w:cantSplit/>
        </w:trPr>
        <w:tc>
          <w:tcPr>
            <w:tcW w:w="2235" w:type="dxa"/>
          </w:tcPr>
          <w:p w14:paraId="529798B8" w14:textId="77777777" w:rsidR="006F4C3B" w:rsidRPr="004A59B1" w:rsidRDefault="006F4C3B" w:rsidP="009C1193">
            <w:pPr>
              <w:widowControl w:val="0"/>
              <w:rPr>
                <w:i/>
                <w:color w:val="000000"/>
                <w:szCs w:val="22"/>
              </w:rPr>
            </w:pPr>
            <w:r w:rsidRPr="004A59B1">
              <w:rPr>
                <w:i/>
                <w:color w:val="000000"/>
                <w:szCs w:val="22"/>
              </w:rPr>
              <w:t>pogostnost neznana:</w:t>
            </w:r>
          </w:p>
        </w:tc>
        <w:tc>
          <w:tcPr>
            <w:tcW w:w="7087" w:type="dxa"/>
          </w:tcPr>
          <w:p w14:paraId="529798B9" w14:textId="77777777" w:rsidR="006F4C3B" w:rsidRPr="004A59B1" w:rsidRDefault="006F4C3B" w:rsidP="009C1193">
            <w:pPr>
              <w:widowControl w:val="0"/>
              <w:rPr>
                <w:color w:val="000000"/>
                <w:szCs w:val="22"/>
              </w:rPr>
            </w:pPr>
            <w:r w:rsidRPr="004A59B1">
              <w:rPr>
                <w:color w:val="000000"/>
                <w:szCs w:val="22"/>
              </w:rPr>
              <w:t>perikarditis*, tamponada srca*</w:t>
            </w:r>
          </w:p>
        </w:tc>
      </w:tr>
      <w:tr w:rsidR="00EF1E76" w:rsidRPr="004A59B1" w14:paraId="529798BC" w14:textId="77777777" w:rsidTr="009C1193">
        <w:trPr>
          <w:cantSplit/>
        </w:trPr>
        <w:tc>
          <w:tcPr>
            <w:tcW w:w="9322" w:type="dxa"/>
            <w:gridSpan w:val="2"/>
          </w:tcPr>
          <w:p w14:paraId="529798BB" w14:textId="77777777" w:rsidR="00EF1E76" w:rsidRPr="004A59B1" w:rsidRDefault="00EF1E76" w:rsidP="009C1193">
            <w:pPr>
              <w:keepNext/>
              <w:widowControl w:val="0"/>
              <w:rPr>
                <w:color w:val="000000"/>
                <w:szCs w:val="22"/>
                <w:vertAlign w:val="superscript"/>
              </w:rPr>
            </w:pPr>
            <w:r w:rsidRPr="004A59B1">
              <w:rPr>
                <w:b/>
                <w:color w:val="000000"/>
                <w:szCs w:val="22"/>
              </w:rPr>
              <w:t>Žilne bolezni</w:t>
            </w:r>
            <w:r w:rsidR="00F05399" w:rsidRPr="004A59B1">
              <w:rPr>
                <w:b/>
                <w:color w:val="000000"/>
                <w:szCs w:val="22"/>
                <w:vertAlign w:val="superscript"/>
              </w:rPr>
              <w:t>4</w:t>
            </w:r>
          </w:p>
        </w:tc>
      </w:tr>
      <w:tr w:rsidR="00EF1E76" w:rsidRPr="004A59B1" w14:paraId="529798BF" w14:textId="77777777" w:rsidTr="009C1193">
        <w:trPr>
          <w:cantSplit/>
        </w:trPr>
        <w:tc>
          <w:tcPr>
            <w:tcW w:w="2235" w:type="dxa"/>
          </w:tcPr>
          <w:p w14:paraId="529798BD" w14:textId="77777777" w:rsidR="00EF1E76" w:rsidRPr="004A59B1" w:rsidRDefault="00EF1E76" w:rsidP="009C1193">
            <w:pPr>
              <w:keepNext/>
              <w:widowControl w:val="0"/>
              <w:rPr>
                <w:i/>
                <w:color w:val="000000"/>
                <w:szCs w:val="22"/>
              </w:rPr>
            </w:pPr>
            <w:r w:rsidRPr="004A59B1">
              <w:rPr>
                <w:i/>
                <w:color w:val="000000"/>
                <w:szCs w:val="22"/>
              </w:rPr>
              <w:t>pogosti</w:t>
            </w:r>
            <w:r w:rsidRPr="004A59B1">
              <w:rPr>
                <w:color w:val="000000"/>
                <w:szCs w:val="22"/>
              </w:rPr>
              <w:t>:</w:t>
            </w:r>
          </w:p>
        </w:tc>
        <w:tc>
          <w:tcPr>
            <w:tcW w:w="7087" w:type="dxa"/>
          </w:tcPr>
          <w:p w14:paraId="529798BE" w14:textId="77777777" w:rsidR="00EF1E76" w:rsidRPr="004A59B1" w:rsidRDefault="00EF1E76" w:rsidP="009C1193">
            <w:pPr>
              <w:keepNext/>
              <w:widowControl w:val="0"/>
              <w:rPr>
                <w:color w:val="000000"/>
                <w:szCs w:val="22"/>
              </w:rPr>
            </w:pPr>
            <w:r w:rsidRPr="004A59B1">
              <w:rPr>
                <w:color w:val="000000"/>
                <w:szCs w:val="22"/>
              </w:rPr>
              <w:t>navali rdečice, krvavitev</w:t>
            </w:r>
          </w:p>
        </w:tc>
      </w:tr>
      <w:tr w:rsidR="00EF1E76" w:rsidRPr="004A59B1" w14:paraId="529798C2" w14:textId="77777777" w:rsidTr="009C1193">
        <w:trPr>
          <w:cantSplit/>
        </w:trPr>
        <w:tc>
          <w:tcPr>
            <w:tcW w:w="2235" w:type="dxa"/>
          </w:tcPr>
          <w:p w14:paraId="529798C0" w14:textId="77777777" w:rsidR="00EF1E76" w:rsidRPr="004A59B1" w:rsidDel="00655175" w:rsidRDefault="00EF1E76" w:rsidP="009C1193">
            <w:pPr>
              <w:keepNext/>
              <w:widowControl w:val="0"/>
              <w:rPr>
                <w:i/>
                <w:color w:val="000000"/>
                <w:szCs w:val="22"/>
              </w:rPr>
            </w:pPr>
            <w:r w:rsidRPr="004A59B1">
              <w:rPr>
                <w:i/>
                <w:color w:val="000000"/>
                <w:szCs w:val="22"/>
              </w:rPr>
              <w:t>občasni:</w:t>
            </w:r>
          </w:p>
        </w:tc>
        <w:tc>
          <w:tcPr>
            <w:tcW w:w="7087" w:type="dxa"/>
          </w:tcPr>
          <w:p w14:paraId="529798C1" w14:textId="77777777" w:rsidR="00EF1E76" w:rsidRPr="004A59B1" w:rsidDel="00655175" w:rsidRDefault="00EF1E76" w:rsidP="009C1193">
            <w:pPr>
              <w:keepNext/>
              <w:widowControl w:val="0"/>
              <w:rPr>
                <w:color w:val="000000"/>
                <w:szCs w:val="22"/>
              </w:rPr>
            </w:pPr>
            <w:r w:rsidRPr="004A59B1">
              <w:rPr>
                <w:color w:val="000000"/>
                <w:szCs w:val="22"/>
              </w:rPr>
              <w:t xml:space="preserve">hipertenzija, hematom, </w:t>
            </w:r>
            <w:r w:rsidR="003C01F9" w:rsidRPr="004A59B1">
              <w:rPr>
                <w:color w:val="000000"/>
                <w:szCs w:val="22"/>
              </w:rPr>
              <w:t xml:space="preserve">subduralni hematom, </w:t>
            </w:r>
            <w:r w:rsidRPr="004A59B1">
              <w:rPr>
                <w:color w:val="000000"/>
                <w:szCs w:val="22"/>
              </w:rPr>
              <w:t>hladni distalni deli udov, hipotenzija, Raynaudov fenomen</w:t>
            </w:r>
          </w:p>
        </w:tc>
      </w:tr>
      <w:tr w:rsidR="006F4C3B" w:rsidRPr="004A59B1" w14:paraId="529798C5" w14:textId="77777777" w:rsidTr="009C1193">
        <w:trPr>
          <w:cantSplit/>
        </w:trPr>
        <w:tc>
          <w:tcPr>
            <w:tcW w:w="2235" w:type="dxa"/>
          </w:tcPr>
          <w:p w14:paraId="529798C3" w14:textId="77777777" w:rsidR="006F4C3B" w:rsidRPr="004A59B1" w:rsidRDefault="006F4C3B" w:rsidP="009C1193">
            <w:pPr>
              <w:widowControl w:val="0"/>
              <w:rPr>
                <w:i/>
                <w:color w:val="000000"/>
                <w:szCs w:val="22"/>
              </w:rPr>
            </w:pPr>
            <w:r w:rsidRPr="004A59B1">
              <w:rPr>
                <w:i/>
                <w:color w:val="000000"/>
                <w:szCs w:val="22"/>
              </w:rPr>
              <w:t>pogostnost neznana:</w:t>
            </w:r>
          </w:p>
        </w:tc>
        <w:tc>
          <w:tcPr>
            <w:tcW w:w="7087" w:type="dxa"/>
          </w:tcPr>
          <w:p w14:paraId="529798C4" w14:textId="77777777" w:rsidR="006F4C3B" w:rsidRPr="004A59B1" w:rsidRDefault="006F4C3B" w:rsidP="009C1193">
            <w:pPr>
              <w:widowControl w:val="0"/>
              <w:rPr>
                <w:color w:val="000000"/>
                <w:szCs w:val="22"/>
              </w:rPr>
            </w:pPr>
            <w:r w:rsidRPr="004A59B1">
              <w:rPr>
                <w:color w:val="000000"/>
                <w:szCs w:val="22"/>
              </w:rPr>
              <w:t>tromboza/embolija*</w:t>
            </w:r>
          </w:p>
        </w:tc>
      </w:tr>
      <w:tr w:rsidR="00C24B92" w:rsidRPr="004A59B1" w14:paraId="529798C7" w14:textId="77777777" w:rsidTr="009C1193">
        <w:trPr>
          <w:cantSplit/>
        </w:trPr>
        <w:tc>
          <w:tcPr>
            <w:tcW w:w="9322" w:type="dxa"/>
            <w:gridSpan w:val="2"/>
          </w:tcPr>
          <w:p w14:paraId="529798C6" w14:textId="77777777" w:rsidR="00C24B92" w:rsidRPr="004A59B1" w:rsidRDefault="00C24B92" w:rsidP="009C1193">
            <w:pPr>
              <w:keepNext/>
              <w:widowControl w:val="0"/>
              <w:rPr>
                <w:color w:val="000000"/>
                <w:szCs w:val="22"/>
                <w:lang w:val="it-IT"/>
              </w:rPr>
            </w:pPr>
            <w:r w:rsidRPr="004A59B1">
              <w:rPr>
                <w:b/>
                <w:color w:val="000000"/>
                <w:szCs w:val="22"/>
                <w:lang w:val="it-IT"/>
              </w:rPr>
              <w:t>Bolezni dihal, prsnega koša in mediastinalnega prostora</w:t>
            </w:r>
          </w:p>
        </w:tc>
      </w:tr>
      <w:tr w:rsidR="00C24B92" w:rsidRPr="004A59B1" w14:paraId="529798CA" w14:textId="77777777" w:rsidTr="009C1193">
        <w:trPr>
          <w:cantSplit/>
        </w:trPr>
        <w:tc>
          <w:tcPr>
            <w:tcW w:w="2235" w:type="dxa"/>
          </w:tcPr>
          <w:p w14:paraId="529798C8" w14:textId="77777777" w:rsidR="00C24B92" w:rsidRPr="004A59B1" w:rsidRDefault="00C24B92" w:rsidP="009C1193">
            <w:pPr>
              <w:keepNext/>
              <w:widowControl w:val="0"/>
              <w:rPr>
                <w:color w:val="000000"/>
              </w:rPr>
            </w:pPr>
            <w:r w:rsidRPr="004A59B1">
              <w:rPr>
                <w:i/>
                <w:color w:val="000000"/>
                <w:szCs w:val="22"/>
              </w:rPr>
              <w:t>pogosti</w:t>
            </w:r>
            <w:r w:rsidRPr="004A59B1">
              <w:rPr>
                <w:color w:val="000000"/>
                <w:szCs w:val="22"/>
              </w:rPr>
              <w:t>:</w:t>
            </w:r>
          </w:p>
        </w:tc>
        <w:tc>
          <w:tcPr>
            <w:tcW w:w="7087" w:type="dxa"/>
          </w:tcPr>
          <w:p w14:paraId="529798C9" w14:textId="77777777" w:rsidR="00C24B92" w:rsidRPr="004A59B1" w:rsidRDefault="00C24B92" w:rsidP="009C1193">
            <w:pPr>
              <w:keepNext/>
              <w:widowControl w:val="0"/>
              <w:rPr>
                <w:color w:val="000000"/>
              </w:rPr>
            </w:pPr>
            <w:r w:rsidRPr="004A59B1">
              <w:rPr>
                <w:color w:val="000000"/>
                <w:szCs w:val="22"/>
              </w:rPr>
              <w:t>dispneja, krvavitev iz nosu, kašelj</w:t>
            </w:r>
          </w:p>
        </w:tc>
      </w:tr>
      <w:tr w:rsidR="00C24B92" w:rsidRPr="004A59B1" w14:paraId="529798CD" w14:textId="77777777" w:rsidTr="009C1193">
        <w:trPr>
          <w:cantSplit/>
        </w:trPr>
        <w:tc>
          <w:tcPr>
            <w:tcW w:w="2235" w:type="dxa"/>
          </w:tcPr>
          <w:p w14:paraId="529798CB" w14:textId="77777777" w:rsidR="00C24B92" w:rsidRPr="004A59B1" w:rsidRDefault="00C24B92" w:rsidP="009C1193">
            <w:pPr>
              <w:keepNext/>
              <w:widowControl w:val="0"/>
              <w:rPr>
                <w:color w:val="000000"/>
              </w:rPr>
            </w:pPr>
            <w:r w:rsidRPr="004A59B1">
              <w:rPr>
                <w:i/>
                <w:color w:val="000000"/>
                <w:szCs w:val="22"/>
              </w:rPr>
              <w:t>občasni</w:t>
            </w:r>
            <w:r w:rsidRPr="004A59B1">
              <w:rPr>
                <w:color w:val="000000"/>
                <w:szCs w:val="22"/>
              </w:rPr>
              <w:t>:</w:t>
            </w:r>
          </w:p>
        </w:tc>
        <w:tc>
          <w:tcPr>
            <w:tcW w:w="7087" w:type="dxa"/>
          </w:tcPr>
          <w:p w14:paraId="529798CC" w14:textId="77777777" w:rsidR="00C24B92" w:rsidRPr="004A59B1" w:rsidRDefault="00C24B92" w:rsidP="009C1193">
            <w:pPr>
              <w:keepNext/>
              <w:widowControl w:val="0"/>
              <w:rPr>
                <w:color w:val="000000"/>
              </w:rPr>
            </w:pPr>
            <w:r w:rsidRPr="004A59B1">
              <w:rPr>
                <w:color w:val="000000"/>
                <w:szCs w:val="22"/>
              </w:rPr>
              <w:t>plevralni izliv</w:t>
            </w:r>
            <w:r w:rsidR="00F05399" w:rsidRPr="004A59B1">
              <w:rPr>
                <w:color w:val="000000"/>
                <w:szCs w:val="22"/>
                <w:vertAlign w:val="superscript"/>
              </w:rPr>
              <w:t>5</w:t>
            </w:r>
            <w:r w:rsidRPr="004A59B1">
              <w:rPr>
                <w:color w:val="000000"/>
                <w:szCs w:val="22"/>
              </w:rPr>
              <w:t>, bolečine v žrelu in grlu, vnetje žrela</w:t>
            </w:r>
          </w:p>
        </w:tc>
      </w:tr>
      <w:tr w:rsidR="00C24B92" w:rsidRPr="004A59B1" w14:paraId="529798D0" w14:textId="77777777" w:rsidTr="009C1193">
        <w:trPr>
          <w:cantSplit/>
        </w:trPr>
        <w:tc>
          <w:tcPr>
            <w:tcW w:w="2235" w:type="dxa"/>
          </w:tcPr>
          <w:p w14:paraId="529798CE" w14:textId="77777777" w:rsidR="00C24B92" w:rsidRPr="004A59B1" w:rsidRDefault="00C24B92" w:rsidP="009C1193">
            <w:pPr>
              <w:keepNext/>
              <w:widowControl w:val="0"/>
              <w:rPr>
                <w:color w:val="000000"/>
              </w:rPr>
            </w:pPr>
            <w:r w:rsidRPr="004A59B1">
              <w:rPr>
                <w:i/>
                <w:color w:val="000000"/>
                <w:szCs w:val="22"/>
              </w:rPr>
              <w:t>redki:</w:t>
            </w:r>
          </w:p>
        </w:tc>
        <w:tc>
          <w:tcPr>
            <w:tcW w:w="7087" w:type="dxa"/>
          </w:tcPr>
          <w:p w14:paraId="529798CF" w14:textId="77777777" w:rsidR="00C24B92" w:rsidRPr="004A59B1" w:rsidRDefault="00C24B92" w:rsidP="009C1193">
            <w:pPr>
              <w:keepNext/>
              <w:widowControl w:val="0"/>
              <w:rPr>
                <w:color w:val="000000"/>
              </w:rPr>
            </w:pPr>
            <w:r w:rsidRPr="004A59B1">
              <w:rPr>
                <w:color w:val="000000"/>
                <w:szCs w:val="22"/>
              </w:rPr>
              <w:t>plevritična bolečina, pljučna fibroza, pljučna hipertenzija, pljučna krvavitev</w:t>
            </w:r>
          </w:p>
        </w:tc>
      </w:tr>
      <w:tr w:rsidR="006F4C3B" w:rsidRPr="004A59B1" w14:paraId="529798D3" w14:textId="77777777" w:rsidTr="009C1193">
        <w:trPr>
          <w:cantSplit/>
        </w:trPr>
        <w:tc>
          <w:tcPr>
            <w:tcW w:w="2235" w:type="dxa"/>
          </w:tcPr>
          <w:p w14:paraId="529798D1" w14:textId="77777777" w:rsidR="006F4C3B" w:rsidRPr="004A59B1" w:rsidRDefault="006F4C3B" w:rsidP="009C1193">
            <w:pPr>
              <w:widowControl w:val="0"/>
              <w:rPr>
                <w:i/>
                <w:color w:val="000000"/>
                <w:szCs w:val="22"/>
              </w:rPr>
            </w:pPr>
            <w:r w:rsidRPr="004A59B1">
              <w:rPr>
                <w:i/>
                <w:color w:val="000000"/>
                <w:szCs w:val="22"/>
              </w:rPr>
              <w:t>pogostnost neznana:</w:t>
            </w:r>
          </w:p>
        </w:tc>
        <w:tc>
          <w:tcPr>
            <w:tcW w:w="7087" w:type="dxa"/>
          </w:tcPr>
          <w:p w14:paraId="529798D2" w14:textId="77777777" w:rsidR="006F4C3B" w:rsidRPr="004A59B1" w:rsidRDefault="006F4C3B" w:rsidP="009C1193">
            <w:pPr>
              <w:widowControl w:val="0"/>
              <w:rPr>
                <w:color w:val="000000"/>
                <w:szCs w:val="22"/>
                <w:lang w:val="it-IT"/>
              </w:rPr>
            </w:pPr>
            <w:r w:rsidRPr="004A59B1">
              <w:rPr>
                <w:color w:val="000000"/>
                <w:szCs w:val="22"/>
                <w:lang w:val="it-IT"/>
              </w:rPr>
              <w:t>akutna respiratorna odpoved</w:t>
            </w:r>
            <w:r w:rsidRPr="004A59B1">
              <w:rPr>
                <w:color w:val="000000"/>
                <w:szCs w:val="22"/>
                <w:vertAlign w:val="superscript"/>
                <w:lang w:val="it-IT"/>
              </w:rPr>
              <w:t>1</w:t>
            </w:r>
            <w:r w:rsidR="005243ED">
              <w:rPr>
                <w:color w:val="000000"/>
                <w:szCs w:val="22"/>
                <w:vertAlign w:val="superscript"/>
                <w:lang w:val="it-IT"/>
              </w:rPr>
              <w:t>1</w:t>
            </w:r>
            <w:r w:rsidRPr="004A59B1">
              <w:rPr>
                <w:color w:val="000000"/>
                <w:szCs w:val="22"/>
                <w:lang w:val="it-IT"/>
              </w:rPr>
              <w:t>*, intersticijska pljučna bolezen*</w:t>
            </w:r>
          </w:p>
        </w:tc>
      </w:tr>
      <w:tr w:rsidR="00C24B92" w:rsidRPr="004A59B1" w14:paraId="529798D5" w14:textId="77777777" w:rsidTr="009C1193">
        <w:trPr>
          <w:cantSplit/>
        </w:trPr>
        <w:tc>
          <w:tcPr>
            <w:tcW w:w="9322" w:type="dxa"/>
            <w:gridSpan w:val="2"/>
          </w:tcPr>
          <w:p w14:paraId="529798D4" w14:textId="77777777" w:rsidR="00C24B92" w:rsidRPr="004A59B1" w:rsidRDefault="00C24B92" w:rsidP="009C1193">
            <w:pPr>
              <w:keepNext/>
              <w:widowControl w:val="0"/>
              <w:rPr>
                <w:color w:val="000000"/>
                <w:lang w:val="fr-FR"/>
              </w:rPr>
            </w:pPr>
            <w:r w:rsidRPr="004A59B1">
              <w:rPr>
                <w:b/>
                <w:color w:val="000000"/>
                <w:szCs w:val="22"/>
              </w:rPr>
              <w:t>Bolezni prebavil</w:t>
            </w:r>
          </w:p>
        </w:tc>
      </w:tr>
      <w:tr w:rsidR="00C24B92" w:rsidRPr="004A59B1" w14:paraId="529798D8" w14:textId="77777777" w:rsidTr="009C1193">
        <w:trPr>
          <w:cantSplit/>
        </w:trPr>
        <w:tc>
          <w:tcPr>
            <w:tcW w:w="2235" w:type="dxa"/>
          </w:tcPr>
          <w:p w14:paraId="529798D6" w14:textId="77777777" w:rsidR="00C24B92" w:rsidRPr="004A59B1" w:rsidRDefault="00C24B92" w:rsidP="009C1193">
            <w:pPr>
              <w:keepNext/>
              <w:widowControl w:val="0"/>
              <w:rPr>
                <w:color w:val="000000"/>
              </w:rPr>
            </w:pPr>
            <w:r w:rsidRPr="004A59B1">
              <w:rPr>
                <w:i/>
                <w:color w:val="000000"/>
                <w:szCs w:val="22"/>
              </w:rPr>
              <w:t>zelo pogosti:</w:t>
            </w:r>
          </w:p>
        </w:tc>
        <w:tc>
          <w:tcPr>
            <w:tcW w:w="7087" w:type="dxa"/>
          </w:tcPr>
          <w:p w14:paraId="529798D7" w14:textId="77777777" w:rsidR="00C24B92" w:rsidRPr="004A59B1" w:rsidRDefault="00C24B92" w:rsidP="009C1193">
            <w:pPr>
              <w:keepNext/>
              <w:widowControl w:val="0"/>
              <w:rPr>
                <w:color w:val="000000"/>
              </w:rPr>
            </w:pPr>
            <w:r w:rsidRPr="004A59B1">
              <w:rPr>
                <w:color w:val="000000"/>
                <w:szCs w:val="22"/>
              </w:rPr>
              <w:t>navzea, driska, bruhanje, dispepsija, bolečine v trebuhu</w:t>
            </w:r>
            <w:r w:rsidR="00F05399" w:rsidRPr="004A59B1">
              <w:rPr>
                <w:color w:val="000000"/>
                <w:szCs w:val="22"/>
                <w:vertAlign w:val="superscript"/>
              </w:rPr>
              <w:t>6</w:t>
            </w:r>
          </w:p>
        </w:tc>
      </w:tr>
      <w:tr w:rsidR="00C24B92" w:rsidRPr="004A59B1" w14:paraId="529798DB" w14:textId="77777777" w:rsidTr="009C1193">
        <w:trPr>
          <w:cantSplit/>
        </w:trPr>
        <w:tc>
          <w:tcPr>
            <w:tcW w:w="2235" w:type="dxa"/>
          </w:tcPr>
          <w:p w14:paraId="529798D9" w14:textId="77777777" w:rsidR="00C24B92" w:rsidRPr="004A59B1" w:rsidRDefault="00C24B92" w:rsidP="009C1193">
            <w:pPr>
              <w:keepNext/>
              <w:widowControl w:val="0"/>
              <w:rPr>
                <w:color w:val="000000"/>
              </w:rPr>
            </w:pPr>
            <w:r w:rsidRPr="004A59B1">
              <w:rPr>
                <w:i/>
                <w:color w:val="000000"/>
                <w:szCs w:val="22"/>
              </w:rPr>
              <w:t>pogosti</w:t>
            </w:r>
            <w:r w:rsidRPr="004A59B1">
              <w:rPr>
                <w:color w:val="000000"/>
                <w:szCs w:val="22"/>
              </w:rPr>
              <w:t>:</w:t>
            </w:r>
          </w:p>
        </w:tc>
        <w:tc>
          <w:tcPr>
            <w:tcW w:w="7087" w:type="dxa"/>
          </w:tcPr>
          <w:p w14:paraId="529798DA" w14:textId="77777777" w:rsidR="00C24B92" w:rsidRPr="004A59B1" w:rsidRDefault="00C24B92" w:rsidP="009C1193">
            <w:pPr>
              <w:keepNext/>
              <w:widowControl w:val="0"/>
              <w:rPr>
                <w:color w:val="000000"/>
              </w:rPr>
            </w:pPr>
            <w:r w:rsidRPr="004A59B1">
              <w:rPr>
                <w:color w:val="000000"/>
                <w:szCs w:val="22"/>
              </w:rPr>
              <w:t>flatulenca, napihnjen trebuh, gastroezofagealni refluks, obstipacija, suha usta, gastritis</w:t>
            </w:r>
          </w:p>
        </w:tc>
      </w:tr>
      <w:tr w:rsidR="00C24B92" w:rsidRPr="004A59B1" w14:paraId="529798DE" w14:textId="77777777" w:rsidTr="009C1193">
        <w:trPr>
          <w:cantSplit/>
        </w:trPr>
        <w:tc>
          <w:tcPr>
            <w:tcW w:w="2235" w:type="dxa"/>
          </w:tcPr>
          <w:p w14:paraId="529798DC" w14:textId="77777777" w:rsidR="00C24B92" w:rsidRPr="004A59B1" w:rsidRDefault="00C24B92" w:rsidP="009C1193">
            <w:pPr>
              <w:keepNext/>
              <w:widowControl w:val="0"/>
              <w:rPr>
                <w:color w:val="000000"/>
              </w:rPr>
            </w:pPr>
            <w:r w:rsidRPr="004A59B1">
              <w:rPr>
                <w:i/>
                <w:color w:val="000000"/>
                <w:szCs w:val="22"/>
              </w:rPr>
              <w:t>občasni</w:t>
            </w:r>
            <w:r w:rsidRPr="004A59B1">
              <w:rPr>
                <w:color w:val="000000"/>
                <w:szCs w:val="22"/>
              </w:rPr>
              <w:t>:</w:t>
            </w:r>
          </w:p>
        </w:tc>
        <w:tc>
          <w:tcPr>
            <w:tcW w:w="7087" w:type="dxa"/>
          </w:tcPr>
          <w:p w14:paraId="529798DD" w14:textId="77777777" w:rsidR="00C24B92" w:rsidRPr="004A59B1" w:rsidRDefault="00C24B92" w:rsidP="009C1193">
            <w:pPr>
              <w:keepNext/>
              <w:widowControl w:val="0"/>
              <w:rPr>
                <w:color w:val="000000"/>
              </w:rPr>
            </w:pPr>
            <w:r w:rsidRPr="004A59B1">
              <w:rPr>
                <w:color w:val="000000"/>
                <w:szCs w:val="22"/>
              </w:rPr>
              <w:t>stomatitis, razjede ustne sluznice, krvavitev iz prebavil</w:t>
            </w:r>
            <w:r w:rsidR="00F05399" w:rsidRPr="004A59B1">
              <w:rPr>
                <w:color w:val="000000"/>
                <w:szCs w:val="22"/>
                <w:vertAlign w:val="superscript"/>
              </w:rPr>
              <w:t>7</w:t>
            </w:r>
            <w:r w:rsidRPr="004A59B1">
              <w:rPr>
                <w:color w:val="000000"/>
                <w:szCs w:val="22"/>
              </w:rPr>
              <w:t>, spahovanje, melena, ezofagitis, ascites, želodčna razjeda, hematemeza, vnetje ustnice, disfagija, pankreatitis</w:t>
            </w:r>
          </w:p>
        </w:tc>
      </w:tr>
      <w:tr w:rsidR="00C24B92" w:rsidRPr="004A59B1" w14:paraId="529798E1" w14:textId="77777777" w:rsidTr="009C1193">
        <w:trPr>
          <w:cantSplit/>
        </w:trPr>
        <w:tc>
          <w:tcPr>
            <w:tcW w:w="2235" w:type="dxa"/>
          </w:tcPr>
          <w:p w14:paraId="529798DF" w14:textId="77777777" w:rsidR="00C24B92" w:rsidRPr="004A59B1" w:rsidRDefault="00C24B92" w:rsidP="009C1193">
            <w:pPr>
              <w:keepNext/>
              <w:widowControl w:val="0"/>
              <w:rPr>
                <w:color w:val="000000"/>
              </w:rPr>
            </w:pPr>
            <w:r w:rsidRPr="004A59B1">
              <w:rPr>
                <w:i/>
                <w:color w:val="000000"/>
                <w:szCs w:val="22"/>
              </w:rPr>
              <w:t>redki:</w:t>
            </w:r>
          </w:p>
        </w:tc>
        <w:tc>
          <w:tcPr>
            <w:tcW w:w="7087" w:type="dxa"/>
          </w:tcPr>
          <w:p w14:paraId="529798E0" w14:textId="77777777" w:rsidR="00C24B92" w:rsidRPr="004A59B1" w:rsidRDefault="00C24B92" w:rsidP="009C1193">
            <w:pPr>
              <w:keepNext/>
              <w:widowControl w:val="0"/>
              <w:rPr>
                <w:snapToGrid w:val="0"/>
                <w:color w:val="000000"/>
                <w:szCs w:val="22"/>
              </w:rPr>
            </w:pPr>
            <w:r w:rsidRPr="004A59B1">
              <w:rPr>
                <w:color w:val="000000"/>
                <w:szCs w:val="22"/>
              </w:rPr>
              <w:t xml:space="preserve">kolitis, </w:t>
            </w:r>
            <w:r w:rsidRPr="004A59B1">
              <w:rPr>
                <w:snapToGrid w:val="0"/>
                <w:color w:val="000000"/>
                <w:szCs w:val="22"/>
              </w:rPr>
              <w:t>ileus, vnetna bolezen črevesa</w:t>
            </w:r>
          </w:p>
        </w:tc>
      </w:tr>
      <w:tr w:rsidR="00E132D0" w:rsidRPr="004A59B1" w14:paraId="529798E4" w14:textId="77777777" w:rsidTr="009C1193">
        <w:trPr>
          <w:cantSplit/>
        </w:trPr>
        <w:tc>
          <w:tcPr>
            <w:tcW w:w="2235" w:type="dxa"/>
          </w:tcPr>
          <w:p w14:paraId="529798E2" w14:textId="77777777" w:rsidR="00E132D0" w:rsidRPr="004A59B1" w:rsidRDefault="00E132D0" w:rsidP="009C1193">
            <w:pPr>
              <w:widowControl w:val="0"/>
              <w:rPr>
                <w:i/>
                <w:color w:val="000000"/>
                <w:szCs w:val="22"/>
              </w:rPr>
            </w:pPr>
            <w:r w:rsidRPr="004A59B1">
              <w:rPr>
                <w:i/>
                <w:color w:val="000000"/>
                <w:szCs w:val="22"/>
              </w:rPr>
              <w:t>pogostnost neznana:</w:t>
            </w:r>
          </w:p>
        </w:tc>
        <w:tc>
          <w:tcPr>
            <w:tcW w:w="7087" w:type="dxa"/>
          </w:tcPr>
          <w:p w14:paraId="529798E3" w14:textId="77777777" w:rsidR="0042438E" w:rsidRPr="004A59B1" w:rsidRDefault="0042438E" w:rsidP="009C1193">
            <w:pPr>
              <w:widowControl w:val="0"/>
              <w:rPr>
                <w:color w:val="000000"/>
                <w:szCs w:val="22"/>
              </w:rPr>
            </w:pPr>
            <w:r w:rsidRPr="004A59B1">
              <w:rPr>
                <w:color w:val="000000"/>
                <w:szCs w:val="22"/>
              </w:rPr>
              <w:t>ileus/zapora črevesja</w:t>
            </w:r>
            <w:r w:rsidR="00106423" w:rsidRPr="004A59B1">
              <w:rPr>
                <w:color w:val="000000"/>
                <w:szCs w:val="22"/>
              </w:rPr>
              <w:t>*</w:t>
            </w:r>
            <w:r w:rsidRPr="004A59B1">
              <w:rPr>
                <w:color w:val="000000"/>
                <w:szCs w:val="22"/>
              </w:rPr>
              <w:t xml:space="preserve">, </w:t>
            </w:r>
            <w:r w:rsidR="009C6CD7" w:rsidRPr="004A59B1">
              <w:rPr>
                <w:color w:val="000000"/>
                <w:szCs w:val="22"/>
              </w:rPr>
              <w:t xml:space="preserve">gastrointestinalna </w:t>
            </w:r>
            <w:r w:rsidRPr="004A59B1">
              <w:rPr>
                <w:color w:val="000000"/>
                <w:szCs w:val="22"/>
              </w:rPr>
              <w:t xml:space="preserve">perforacija*, divertikulitis*, </w:t>
            </w:r>
            <w:r w:rsidRPr="004A59B1">
              <w:t>žilne ektazije antruma želodca (GAVE)</w:t>
            </w:r>
            <w:r w:rsidR="0083598B" w:rsidRPr="004A59B1">
              <w:t>*</w:t>
            </w:r>
          </w:p>
        </w:tc>
      </w:tr>
      <w:tr w:rsidR="00EF1E76" w:rsidRPr="003B6568" w14:paraId="529798E6" w14:textId="77777777" w:rsidTr="009C1193">
        <w:trPr>
          <w:cantSplit/>
        </w:trPr>
        <w:tc>
          <w:tcPr>
            <w:tcW w:w="9322" w:type="dxa"/>
            <w:gridSpan w:val="2"/>
          </w:tcPr>
          <w:p w14:paraId="529798E5" w14:textId="77777777" w:rsidR="00EF1E76" w:rsidRPr="002227FB" w:rsidRDefault="00EF1E76" w:rsidP="009C1193">
            <w:pPr>
              <w:keepNext/>
              <w:widowControl w:val="0"/>
              <w:rPr>
                <w:snapToGrid w:val="0"/>
                <w:color w:val="000000"/>
                <w:szCs w:val="22"/>
                <w:lang w:val="de-CH"/>
              </w:rPr>
            </w:pPr>
            <w:r w:rsidRPr="002227FB">
              <w:rPr>
                <w:b/>
                <w:color w:val="000000"/>
                <w:szCs w:val="22"/>
                <w:lang w:val="de-CH"/>
              </w:rPr>
              <w:t>Bolezni jeter, žolčnika in žolčevodov</w:t>
            </w:r>
          </w:p>
        </w:tc>
      </w:tr>
      <w:tr w:rsidR="00EF1E76" w:rsidRPr="004A59B1" w14:paraId="529798E9" w14:textId="77777777" w:rsidTr="009C1193">
        <w:trPr>
          <w:cantSplit/>
        </w:trPr>
        <w:tc>
          <w:tcPr>
            <w:tcW w:w="2235" w:type="dxa"/>
          </w:tcPr>
          <w:p w14:paraId="529798E7" w14:textId="77777777" w:rsidR="00EF1E76" w:rsidRPr="004A59B1" w:rsidRDefault="00EF1E76" w:rsidP="009C1193">
            <w:pPr>
              <w:keepNext/>
              <w:widowControl w:val="0"/>
              <w:rPr>
                <w:i/>
                <w:color w:val="000000"/>
                <w:szCs w:val="22"/>
              </w:rPr>
            </w:pPr>
            <w:r w:rsidRPr="004A59B1">
              <w:rPr>
                <w:i/>
                <w:color w:val="000000"/>
                <w:szCs w:val="22"/>
              </w:rPr>
              <w:t>pogosti</w:t>
            </w:r>
            <w:r w:rsidRPr="004A59B1">
              <w:rPr>
                <w:color w:val="000000"/>
                <w:szCs w:val="22"/>
              </w:rPr>
              <w:t>:</w:t>
            </w:r>
          </w:p>
        </w:tc>
        <w:tc>
          <w:tcPr>
            <w:tcW w:w="7087" w:type="dxa"/>
          </w:tcPr>
          <w:p w14:paraId="529798E8" w14:textId="77777777" w:rsidR="00EF1E76" w:rsidRPr="004A59B1" w:rsidRDefault="00EF1E76" w:rsidP="009C1193">
            <w:pPr>
              <w:keepNext/>
              <w:widowControl w:val="0"/>
              <w:rPr>
                <w:color w:val="000000"/>
                <w:szCs w:val="22"/>
              </w:rPr>
            </w:pPr>
            <w:r w:rsidRPr="004A59B1">
              <w:rPr>
                <w:color w:val="000000"/>
                <w:szCs w:val="22"/>
              </w:rPr>
              <w:t>zvišani jetrni encimi</w:t>
            </w:r>
          </w:p>
        </w:tc>
      </w:tr>
      <w:tr w:rsidR="00EF1E76" w:rsidRPr="004A59B1" w14:paraId="529798EC" w14:textId="77777777" w:rsidTr="009C1193">
        <w:trPr>
          <w:cantSplit/>
        </w:trPr>
        <w:tc>
          <w:tcPr>
            <w:tcW w:w="2235" w:type="dxa"/>
          </w:tcPr>
          <w:p w14:paraId="529798EA" w14:textId="77777777" w:rsidR="00EF1E76" w:rsidRPr="004A59B1" w:rsidRDefault="00EF1E76" w:rsidP="009C1193">
            <w:pPr>
              <w:keepNext/>
              <w:widowControl w:val="0"/>
              <w:rPr>
                <w:i/>
                <w:color w:val="000000"/>
                <w:szCs w:val="22"/>
              </w:rPr>
            </w:pPr>
            <w:r w:rsidRPr="004A59B1">
              <w:rPr>
                <w:i/>
                <w:color w:val="000000"/>
                <w:szCs w:val="22"/>
              </w:rPr>
              <w:t>občasni:</w:t>
            </w:r>
          </w:p>
        </w:tc>
        <w:tc>
          <w:tcPr>
            <w:tcW w:w="7087" w:type="dxa"/>
          </w:tcPr>
          <w:p w14:paraId="529798EB" w14:textId="77777777" w:rsidR="00EF1E76" w:rsidRPr="004A59B1" w:rsidRDefault="00EF1E76" w:rsidP="009C1193">
            <w:pPr>
              <w:keepNext/>
              <w:widowControl w:val="0"/>
              <w:rPr>
                <w:color w:val="000000"/>
                <w:szCs w:val="22"/>
              </w:rPr>
            </w:pPr>
            <w:r w:rsidRPr="004A59B1">
              <w:rPr>
                <w:color w:val="000000"/>
                <w:szCs w:val="22"/>
              </w:rPr>
              <w:t>hiperbilirubinemija, hepatitis, ikterus</w:t>
            </w:r>
          </w:p>
        </w:tc>
      </w:tr>
      <w:tr w:rsidR="00EF1E76" w:rsidRPr="004A59B1" w14:paraId="529798EF" w14:textId="77777777" w:rsidTr="009C1193">
        <w:trPr>
          <w:cantSplit/>
        </w:trPr>
        <w:tc>
          <w:tcPr>
            <w:tcW w:w="2235" w:type="dxa"/>
          </w:tcPr>
          <w:p w14:paraId="529798ED" w14:textId="77777777" w:rsidR="00EF1E76" w:rsidRPr="004A59B1" w:rsidRDefault="00EF1E76" w:rsidP="009C1193">
            <w:pPr>
              <w:widowControl w:val="0"/>
              <w:rPr>
                <w:i/>
                <w:color w:val="000000"/>
                <w:szCs w:val="22"/>
              </w:rPr>
            </w:pPr>
            <w:r w:rsidRPr="004A59B1">
              <w:rPr>
                <w:i/>
                <w:color w:val="000000"/>
                <w:szCs w:val="22"/>
              </w:rPr>
              <w:t>redki:</w:t>
            </w:r>
          </w:p>
        </w:tc>
        <w:tc>
          <w:tcPr>
            <w:tcW w:w="7087" w:type="dxa"/>
          </w:tcPr>
          <w:p w14:paraId="529798EE" w14:textId="77777777" w:rsidR="00EF1E76" w:rsidRPr="004A59B1" w:rsidRDefault="00EF1E76" w:rsidP="009C1193">
            <w:pPr>
              <w:widowControl w:val="0"/>
              <w:rPr>
                <w:color w:val="000000"/>
                <w:szCs w:val="22"/>
              </w:rPr>
            </w:pPr>
            <w:r w:rsidRPr="004A59B1">
              <w:rPr>
                <w:color w:val="000000"/>
                <w:szCs w:val="22"/>
              </w:rPr>
              <w:t>odpoved jeter</w:t>
            </w:r>
            <w:r w:rsidR="00F05399" w:rsidRPr="004A59B1">
              <w:rPr>
                <w:color w:val="000000"/>
                <w:szCs w:val="22"/>
                <w:vertAlign w:val="superscript"/>
              </w:rPr>
              <w:t>8</w:t>
            </w:r>
            <w:r w:rsidRPr="004A59B1">
              <w:rPr>
                <w:color w:val="000000"/>
                <w:szCs w:val="22"/>
              </w:rPr>
              <w:t>, nekroza jeter</w:t>
            </w:r>
          </w:p>
        </w:tc>
      </w:tr>
      <w:tr w:rsidR="00C24B92" w:rsidRPr="004A59B1" w14:paraId="529798F1" w14:textId="77777777" w:rsidTr="009C1193">
        <w:trPr>
          <w:cantSplit/>
        </w:trPr>
        <w:tc>
          <w:tcPr>
            <w:tcW w:w="9322" w:type="dxa"/>
            <w:gridSpan w:val="2"/>
          </w:tcPr>
          <w:p w14:paraId="529798F0" w14:textId="77777777" w:rsidR="00C24B92" w:rsidRPr="004A59B1" w:rsidRDefault="00C24B92" w:rsidP="009C1193">
            <w:pPr>
              <w:keepNext/>
              <w:widowControl w:val="0"/>
              <w:rPr>
                <w:color w:val="000000"/>
              </w:rPr>
            </w:pPr>
            <w:r w:rsidRPr="004A59B1">
              <w:rPr>
                <w:b/>
                <w:color w:val="000000"/>
                <w:szCs w:val="22"/>
              </w:rPr>
              <w:lastRenderedPageBreak/>
              <w:t>Bolezni kože in podkožja</w:t>
            </w:r>
          </w:p>
        </w:tc>
      </w:tr>
      <w:tr w:rsidR="00C24B92" w:rsidRPr="004A59B1" w14:paraId="529798F4" w14:textId="77777777" w:rsidTr="009C1193">
        <w:trPr>
          <w:cantSplit/>
        </w:trPr>
        <w:tc>
          <w:tcPr>
            <w:tcW w:w="2235" w:type="dxa"/>
          </w:tcPr>
          <w:p w14:paraId="529798F2" w14:textId="77777777" w:rsidR="00C24B92" w:rsidRPr="004A59B1" w:rsidRDefault="00C24B92" w:rsidP="009C1193">
            <w:pPr>
              <w:keepNext/>
              <w:widowControl w:val="0"/>
              <w:rPr>
                <w:color w:val="000000"/>
              </w:rPr>
            </w:pPr>
            <w:r w:rsidRPr="004A59B1">
              <w:rPr>
                <w:i/>
                <w:color w:val="000000"/>
                <w:szCs w:val="22"/>
              </w:rPr>
              <w:t>zelo pogosti:</w:t>
            </w:r>
          </w:p>
        </w:tc>
        <w:tc>
          <w:tcPr>
            <w:tcW w:w="7087" w:type="dxa"/>
          </w:tcPr>
          <w:p w14:paraId="529798F3" w14:textId="77777777" w:rsidR="00C24B92" w:rsidRPr="004A59B1" w:rsidRDefault="00C24B92" w:rsidP="009C1193">
            <w:pPr>
              <w:keepNext/>
              <w:widowControl w:val="0"/>
              <w:rPr>
                <w:color w:val="000000"/>
              </w:rPr>
            </w:pPr>
            <w:r w:rsidRPr="004A59B1">
              <w:rPr>
                <w:color w:val="000000"/>
                <w:szCs w:val="22"/>
              </w:rPr>
              <w:t>periorbitalni edemi, dermatitis/ekcem/izpuščaj</w:t>
            </w:r>
          </w:p>
        </w:tc>
      </w:tr>
      <w:tr w:rsidR="00C24B92" w:rsidRPr="004A59B1" w14:paraId="529798F7" w14:textId="77777777" w:rsidTr="009C1193">
        <w:trPr>
          <w:cantSplit/>
        </w:trPr>
        <w:tc>
          <w:tcPr>
            <w:tcW w:w="2235" w:type="dxa"/>
          </w:tcPr>
          <w:p w14:paraId="529798F5" w14:textId="77777777" w:rsidR="00C24B92" w:rsidRPr="004A59B1" w:rsidRDefault="00C24B92" w:rsidP="009C1193">
            <w:pPr>
              <w:keepNext/>
              <w:widowControl w:val="0"/>
              <w:rPr>
                <w:color w:val="000000"/>
              </w:rPr>
            </w:pPr>
            <w:r w:rsidRPr="004A59B1">
              <w:rPr>
                <w:i/>
                <w:color w:val="000000"/>
                <w:szCs w:val="22"/>
              </w:rPr>
              <w:t>pogosti</w:t>
            </w:r>
            <w:r w:rsidRPr="004A59B1">
              <w:rPr>
                <w:color w:val="000000"/>
                <w:szCs w:val="22"/>
              </w:rPr>
              <w:t>:</w:t>
            </w:r>
          </w:p>
        </w:tc>
        <w:tc>
          <w:tcPr>
            <w:tcW w:w="7087" w:type="dxa"/>
          </w:tcPr>
          <w:p w14:paraId="529798F6" w14:textId="77777777" w:rsidR="00C24B92" w:rsidRPr="004A59B1" w:rsidRDefault="00116FA2" w:rsidP="009C1193">
            <w:pPr>
              <w:keepNext/>
              <w:widowControl w:val="0"/>
              <w:rPr>
                <w:color w:val="000000"/>
                <w:lang w:val="pt-BR"/>
              </w:rPr>
            </w:pPr>
            <w:r w:rsidRPr="004A59B1">
              <w:rPr>
                <w:color w:val="000000"/>
                <w:szCs w:val="22"/>
                <w:lang w:val="pt-PT"/>
              </w:rPr>
              <w:t>pruritus</w:t>
            </w:r>
            <w:r w:rsidR="00C24B92" w:rsidRPr="004A59B1">
              <w:rPr>
                <w:color w:val="000000"/>
                <w:szCs w:val="22"/>
                <w:lang w:val="pt-PT"/>
              </w:rPr>
              <w:t xml:space="preserve">, edem obraza, suha koža, </w:t>
            </w:r>
            <w:r w:rsidRPr="004A59B1">
              <w:rPr>
                <w:color w:val="000000"/>
                <w:szCs w:val="22"/>
                <w:lang w:val="pt-PT"/>
              </w:rPr>
              <w:t>eritem</w:t>
            </w:r>
            <w:r w:rsidR="00C24B92" w:rsidRPr="004A59B1">
              <w:rPr>
                <w:color w:val="000000"/>
                <w:szCs w:val="22"/>
                <w:lang w:val="pt-PT"/>
              </w:rPr>
              <w:t>, alopecija, nočno potenje, fotosenzitivna reakcija</w:t>
            </w:r>
          </w:p>
        </w:tc>
      </w:tr>
      <w:tr w:rsidR="00C24B92" w:rsidRPr="004A59B1" w14:paraId="529798FA" w14:textId="77777777" w:rsidTr="009C1193">
        <w:trPr>
          <w:cantSplit/>
        </w:trPr>
        <w:tc>
          <w:tcPr>
            <w:tcW w:w="2235" w:type="dxa"/>
          </w:tcPr>
          <w:p w14:paraId="529798F8" w14:textId="77777777" w:rsidR="00C24B92" w:rsidRPr="004A59B1" w:rsidRDefault="00C24B92" w:rsidP="009C1193">
            <w:pPr>
              <w:keepNext/>
              <w:widowControl w:val="0"/>
              <w:rPr>
                <w:color w:val="000000"/>
              </w:rPr>
            </w:pPr>
            <w:r w:rsidRPr="004A59B1">
              <w:rPr>
                <w:i/>
                <w:color w:val="000000"/>
                <w:szCs w:val="22"/>
              </w:rPr>
              <w:t>občasni</w:t>
            </w:r>
            <w:r w:rsidRPr="004A59B1">
              <w:rPr>
                <w:color w:val="000000"/>
                <w:szCs w:val="22"/>
              </w:rPr>
              <w:t>:</w:t>
            </w:r>
          </w:p>
        </w:tc>
        <w:tc>
          <w:tcPr>
            <w:tcW w:w="7087" w:type="dxa"/>
          </w:tcPr>
          <w:p w14:paraId="529798F9" w14:textId="77777777" w:rsidR="00C24B92" w:rsidRPr="004A59B1" w:rsidRDefault="00C24B92" w:rsidP="009C1193">
            <w:pPr>
              <w:keepNext/>
              <w:widowControl w:val="0"/>
              <w:rPr>
                <w:color w:val="000000"/>
                <w:szCs w:val="22"/>
              </w:rPr>
            </w:pPr>
            <w:r w:rsidRPr="004A59B1">
              <w:rPr>
                <w:color w:val="000000"/>
                <w:szCs w:val="22"/>
              </w:rPr>
              <w:t>gnojen izpuščaj, kontuzije, povečano potenje, urtikarija, ekhimoza, nagnjenost k podplutbam, hipotrihoza, hipopigmentacija kože, eksfoliativni dermatitis, lomljenje nohtov, folikulitis, petehije, psoriaza, purpura, hiperpigmentacija kože, bulozne erupcije</w:t>
            </w:r>
          </w:p>
        </w:tc>
      </w:tr>
      <w:tr w:rsidR="00C24B92" w:rsidRPr="004A59B1" w14:paraId="529798FD" w14:textId="77777777" w:rsidTr="009C1193">
        <w:trPr>
          <w:cantSplit/>
        </w:trPr>
        <w:tc>
          <w:tcPr>
            <w:tcW w:w="2235" w:type="dxa"/>
          </w:tcPr>
          <w:p w14:paraId="529798FB" w14:textId="77777777" w:rsidR="00C24B92" w:rsidRPr="004A59B1" w:rsidRDefault="00C24B92" w:rsidP="009C1193">
            <w:pPr>
              <w:keepNext/>
              <w:widowControl w:val="0"/>
              <w:rPr>
                <w:color w:val="000000"/>
              </w:rPr>
            </w:pPr>
            <w:r w:rsidRPr="004A59B1">
              <w:rPr>
                <w:i/>
                <w:color w:val="000000"/>
                <w:szCs w:val="22"/>
              </w:rPr>
              <w:t>redki:</w:t>
            </w:r>
          </w:p>
        </w:tc>
        <w:tc>
          <w:tcPr>
            <w:tcW w:w="7087" w:type="dxa"/>
          </w:tcPr>
          <w:p w14:paraId="529798FC" w14:textId="77777777" w:rsidR="00C24B92" w:rsidRPr="004A59B1" w:rsidRDefault="00C24B92" w:rsidP="009C1193">
            <w:pPr>
              <w:keepNext/>
              <w:widowControl w:val="0"/>
              <w:rPr>
                <w:color w:val="000000"/>
              </w:rPr>
            </w:pPr>
            <w:r w:rsidRPr="004A59B1">
              <w:rPr>
                <w:color w:val="000000"/>
                <w:szCs w:val="22"/>
              </w:rPr>
              <w:t>akutna febrilna nevtrofilna dermatoza (Sweetov sindrom), sprememba barve nohtov, angionevrotični edem, mehurčkast izpuščaj, multiformni eritem, levkocitoklastični vaskulitis, Stevens-Johnsonov sindrom</w:t>
            </w:r>
            <w:r w:rsidR="004B21E3" w:rsidRPr="004A59B1">
              <w:rPr>
                <w:color w:val="000000"/>
                <w:szCs w:val="22"/>
              </w:rPr>
              <w:t>, akutna generalizirana eksantemska pustuloza (AGEP)</w:t>
            </w:r>
          </w:p>
        </w:tc>
      </w:tr>
      <w:tr w:rsidR="00896A88" w:rsidRPr="004A59B1" w14:paraId="52979900" w14:textId="77777777" w:rsidTr="009C1193">
        <w:trPr>
          <w:cantSplit/>
        </w:trPr>
        <w:tc>
          <w:tcPr>
            <w:tcW w:w="2235" w:type="dxa"/>
          </w:tcPr>
          <w:p w14:paraId="529798FE" w14:textId="77777777" w:rsidR="00896A88" w:rsidRPr="004A59B1" w:rsidRDefault="00896A88" w:rsidP="009C1193">
            <w:pPr>
              <w:widowControl w:val="0"/>
              <w:rPr>
                <w:i/>
                <w:color w:val="000000"/>
                <w:szCs w:val="22"/>
              </w:rPr>
            </w:pPr>
            <w:r w:rsidRPr="004A59B1">
              <w:rPr>
                <w:i/>
                <w:color w:val="000000"/>
                <w:szCs w:val="22"/>
              </w:rPr>
              <w:t>pogostnost neznana:</w:t>
            </w:r>
          </w:p>
        </w:tc>
        <w:tc>
          <w:tcPr>
            <w:tcW w:w="7087" w:type="dxa"/>
          </w:tcPr>
          <w:p w14:paraId="529798FF" w14:textId="77777777" w:rsidR="00896A88" w:rsidRPr="004A59B1" w:rsidRDefault="00896A88" w:rsidP="009C1193">
            <w:pPr>
              <w:widowControl w:val="0"/>
              <w:rPr>
                <w:color w:val="000000"/>
                <w:szCs w:val="22"/>
              </w:rPr>
            </w:pPr>
            <w:r w:rsidRPr="004A59B1">
              <w:rPr>
                <w:color w:val="000000"/>
                <w:szCs w:val="22"/>
              </w:rPr>
              <w:t>sindrom palmoplantarne eritrodisestezije*, lihenoidna keratoza*, lichen planus*, toksična epidermalna nekroliza*, izpuščaj zaradi zdravila z eozinofilijo in sistemskimi simptomi (</w:t>
            </w:r>
            <w:r w:rsidR="009C6CD7" w:rsidRPr="004A59B1">
              <w:rPr>
                <w:color w:val="000000"/>
                <w:szCs w:val="22"/>
              </w:rPr>
              <w:t xml:space="preserve">DRESS - </w:t>
            </w:r>
            <w:r w:rsidRPr="004A59B1">
              <w:rPr>
                <w:i/>
                <w:color w:val="000000"/>
                <w:szCs w:val="22"/>
              </w:rPr>
              <w:t>drug rash with eosinophilia and systemic symptoms</w:t>
            </w:r>
            <w:r w:rsidRPr="004A59B1">
              <w:rPr>
                <w:color w:val="000000"/>
                <w:szCs w:val="22"/>
              </w:rPr>
              <w:t>)*</w:t>
            </w:r>
            <w:r w:rsidR="00F9012C">
              <w:rPr>
                <w:color w:val="000000"/>
                <w:szCs w:val="22"/>
              </w:rPr>
              <w:t>, psevdoporfirija</w:t>
            </w:r>
            <w:r w:rsidR="00BA570D" w:rsidRPr="004A59B1">
              <w:rPr>
                <w:color w:val="000000"/>
                <w:szCs w:val="22"/>
              </w:rPr>
              <w:t>*</w:t>
            </w:r>
          </w:p>
        </w:tc>
      </w:tr>
      <w:tr w:rsidR="00896A88" w:rsidRPr="003B6568" w14:paraId="52979902" w14:textId="77777777" w:rsidTr="009C1193">
        <w:trPr>
          <w:cantSplit/>
        </w:trPr>
        <w:tc>
          <w:tcPr>
            <w:tcW w:w="9322" w:type="dxa"/>
            <w:gridSpan w:val="2"/>
          </w:tcPr>
          <w:p w14:paraId="52979901" w14:textId="77777777" w:rsidR="00896A88" w:rsidRPr="00304E94" w:rsidRDefault="00896A88" w:rsidP="009C1193">
            <w:pPr>
              <w:keepNext/>
              <w:widowControl w:val="0"/>
              <w:rPr>
                <w:color w:val="000000"/>
                <w:szCs w:val="22"/>
                <w:lang w:val="it-IT"/>
              </w:rPr>
            </w:pPr>
            <w:r w:rsidRPr="00304E94">
              <w:rPr>
                <w:b/>
                <w:color w:val="000000"/>
                <w:szCs w:val="22"/>
                <w:lang w:val="it-IT"/>
              </w:rPr>
              <w:t>Bolezni mišično-skeletnega sistema in vezivnega tkiva</w:t>
            </w:r>
          </w:p>
        </w:tc>
      </w:tr>
      <w:tr w:rsidR="00896A88" w:rsidRPr="004A59B1" w14:paraId="52979905" w14:textId="77777777" w:rsidTr="009C1193">
        <w:trPr>
          <w:cantSplit/>
        </w:trPr>
        <w:tc>
          <w:tcPr>
            <w:tcW w:w="2235" w:type="dxa"/>
          </w:tcPr>
          <w:p w14:paraId="52979903" w14:textId="77777777" w:rsidR="00896A88" w:rsidRPr="004A59B1" w:rsidRDefault="00896A88" w:rsidP="009C1193">
            <w:pPr>
              <w:keepNext/>
              <w:widowControl w:val="0"/>
              <w:rPr>
                <w:i/>
                <w:color w:val="000000"/>
                <w:szCs w:val="22"/>
              </w:rPr>
            </w:pPr>
            <w:r w:rsidRPr="004A59B1">
              <w:rPr>
                <w:i/>
                <w:color w:val="000000"/>
                <w:szCs w:val="22"/>
              </w:rPr>
              <w:t>zelo pogosti:</w:t>
            </w:r>
          </w:p>
        </w:tc>
        <w:tc>
          <w:tcPr>
            <w:tcW w:w="7087" w:type="dxa"/>
          </w:tcPr>
          <w:p w14:paraId="52979904" w14:textId="77777777" w:rsidR="00896A88" w:rsidRPr="004A59B1" w:rsidRDefault="00896A88" w:rsidP="009C1193">
            <w:pPr>
              <w:keepNext/>
              <w:widowControl w:val="0"/>
              <w:rPr>
                <w:color w:val="000000"/>
                <w:szCs w:val="22"/>
              </w:rPr>
            </w:pPr>
            <w:r w:rsidRPr="004A59B1">
              <w:rPr>
                <w:color w:val="000000"/>
                <w:szCs w:val="22"/>
              </w:rPr>
              <w:t>mišični spazmi in krči, mišično-skeletne bolečine, vključno z mialgijo</w:t>
            </w:r>
            <w:r w:rsidR="001F1997" w:rsidRPr="004A59B1">
              <w:rPr>
                <w:color w:val="000000"/>
                <w:szCs w:val="22"/>
                <w:vertAlign w:val="superscript"/>
              </w:rPr>
              <w:t>9</w:t>
            </w:r>
            <w:r w:rsidRPr="004A59B1">
              <w:rPr>
                <w:color w:val="000000"/>
                <w:szCs w:val="22"/>
              </w:rPr>
              <w:t>, artralgijo in bolečinami v kosteh</w:t>
            </w:r>
            <w:r w:rsidR="001F1997">
              <w:rPr>
                <w:color w:val="000000"/>
                <w:szCs w:val="22"/>
                <w:vertAlign w:val="superscript"/>
              </w:rPr>
              <w:t>10</w:t>
            </w:r>
          </w:p>
        </w:tc>
      </w:tr>
      <w:tr w:rsidR="00896A88" w:rsidRPr="004A59B1" w14:paraId="52979908" w14:textId="77777777" w:rsidTr="009C1193">
        <w:trPr>
          <w:cantSplit/>
        </w:trPr>
        <w:tc>
          <w:tcPr>
            <w:tcW w:w="2235" w:type="dxa"/>
          </w:tcPr>
          <w:p w14:paraId="52979906" w14:textId="77777777" w:rsidR="00896A88" w:rsidRPr="004A59B1" w:rsidRDefault="00896A88" w:rsidP="009C1193">
            <w:pPr>
              <w:keepNext/>
              <w:widowControl w:val="0"/>
              <w:rPr>
                <w:i/>
                <w:color w:val="000000"/>
                <w:szCs w:val="22"/>
              </w:rPr>
            </w:pPr>
            <w:r w:rsidRPr="004A59B1">
              <w:rPr>
                <w:i/>
                <w:color w:val="000000"/>
                <w:szCs w:val="22"/>
              </w:rPr>
              <w:t>pogosti</w:t>
            </w:r>
            <w:r w:rsidRPr="004A59B1">
              <w:rPr>
                <w:color w:val="000000"/>
                <w:szCs w:val="22"/>
              </w:rPr>
              <w:t>:</w:t>
            </w:r>
          </w:p>
        </w:tc>
        <w:tc>
          <w:tcPr>
            <w:tcW w:w="7087" w:type="dxa"/>
          </w:tcPr>
          <w:p w14:paraId="52979907" w14:textId="77777777" w:rsidR="00896A88" w:rsidRPr="004A59B1" w:rsidRDefault="00896A88" w:rsidP="009C1193">
            <w:pPr>
              <w:keepNext/>
              <w:widowControl w:val="0"/>
              <w:rPr>
                <w:color w:val="000000"/>
                <w:szCs w:val="22"/>
                <w:lang w:val="pt-PT"/>
              </w:rPr>
            </w:pPr>
            <w:r w:rsidRPr="004A59B1">
              <w:rPr>
                <w:color w:val="000000"/>
                <w:szCs w:val="22"/>
              </w:rPr>
              <w:t>otekanje sklepov</w:t>
            </w:r>
          </w:p>
        </w:tc>
      </w:tr>
      <w:tr w:rsidR="00896A88" w:rsidRPr="004A59B1" w14:paraId="5297990B" w14:textId="77777777" w:rsidTr="009C1193">
        <w:trPr>
          <w:cantSplit/>
        </w:trPr>
        <w:tc>
          <w:tcPr>
            <w:tcW w:w="2235" w:type="dxa"/>
          </w:tcPr>
          <w:p w14:paraId="52979909" w14:textId="77777777" w:rsidR="00896A88" w:rsidRPr="004A59B1" w:rsidRDefault="00896A88" w:rsidP="009C1193">
            <w:pPr>
              <w:keepNext/>
              <w:widowControl w:val="0"/>
              <w:rPr>
                <w:i/>
                <w:color w:val="000000"/>
                <w:szCs w:val="22"/>
              </w:rPr>
            </w:pPr>
            <w:r w:rsidRPr="004A59B1">
              <w:rPr>
                <w:i/>
                <w:color w:val="000000"/>
                <w:szCs w:val="22"/>
              </w:rPr>
              <w:t>občasni</w:t>
            </w:r>
            <w:r w:rsidRPr="004A59B1">
              <w:rPr>
                <w:color w:val="000000"/>
                <w:szCs w:val="22"/>
              </w:rPr>
              <w:t>:</w:t>
            </w:r>
          </w:p>
        </w:tc>
        <w:tc>
          <w:tcPr>
            <w:tcW w:w="7087" w:type="dxa"/>
          </w:tcPr>
          <w:p w14:paraId="5297990A" w14:textId="77777777" w:rsidR="00896A88" w:rsidRPr="004A59B1" w:rsidRDefault="00896A88" w:rsidP="009C1193">
            <w:pPr>
              <w:keepNext/>
              <w:widowControl w:val="0"/>
              <w:rPr>
                <w:color w:val="000000"/>
                <w:szCs w:val="22"/>
                <w:lang w:val="pt-PT"/>
              </w:rPr>
            </w:pPr>
            <w:r w:rsidRPr="004A59B1">
              <w:rPr>
                <w:color w:val="000000"/>
                <w:szCs w:val="22"/>
              </w:rPr>
              <w:t>okorelost sklepov in mišic</w:t>
            </w:r>
          </w:p>
        </w:tc>
      </w:tr>
      <w:tr w:rsidR="00896A88" w:rsidRPr="004A59B1" w14:paraId="5297990E" w14:textId="77777777" w:rsidTr="009C1193">
        <w:trPr>
          <w:cantSplit/>
        </w:trPr>
        <w:tc>
          <w:tcPr>
            <w:tcW w:w="2235" w:type="dxa"/>
          </w:tcPr>
          <w:p w14:paraId="5297990C" w14:textId="77777777" w:rsidR="00896A88" w:rsidRPr="004A59B1" w:rsidRDefault="00896A88" w:rsidP="009C1193">
            <w:pPr>
              <w:keepNext/>
              <w:widowControl w:val="0"/>
              <w:rPr>
                <w:i/>
                <w:color w:val="000000"/>
                <w:szCs w:val="22"/>
              </w:rPr>
            </w:pPr>
            <w:r w:rsidRPr="004A59B1">
              <w:rPr>
                <w:i/>
                <w:color w:val="000000"/>
                <w:szCs w:val="22"/>
              </w:rPr>
              <w:t>redki:</w:t>
            </w:r>
          </w:p>
        </w:tc>
        <w:tc>
          <w:tcPr>
            <w:tcW w:w="7087" w:type="dxa"/>
          </w:tcPr>
          <w:p w14:paraId="5297990D" w14:textId="77777777" w:rsidR="00896A88" w:rsidRPr="004A59B1" w:rsidRDefault="00896A88" w:rsidP="009C1193">
            <w:pPr>
              <w:keepNext/>
              <w:widowControl w:val="0"/>
              <w:rPr>
                <w:color w:val="000000"/>
                <w:szCs w:val="22"/>
              </w:rPr>
            </w:pPr>
            <w:r w:rsidRPr="004A59B1">
              <w:rPr>
                <w:bCs/>
                <w:color w:val="000000"/>
                <w:szCs w:val="22"/>
              </w:rPr>
              <w:t xml:space="preserve">oslabelost mišic, artritis, </w:t>
            </w:r>
            <w:r w:rsidRPr="004A59B1">
              <w:rPr>
                <w:color w:val="000000"/>
                <w:szCs w:val="22"/>
              </w:rPr>
              <w:t>rabdomioliza/miopatija</w:t>
            </w:r>
          </w:p>
        </w:tc>
      </w:tr>
      <w:tr w:rsidR="00896A88" w:rsidRPr="004A59B1" w14:paraId="52979911" w14:textId="77777777" w:rsidTr="009C1193">
        <w:trPr>
          <w:cantSplit/>
        </w:trPr>
        <w:tc>
          <w:tcPr>
            <w:tcW w:w="2235" w:type="dxa"/>
          </w:tcPr>
          <w:p w14:paraId="5297990F" w14:textId="77777777" w:rsidR="00896A88" w:rsidRPr="004A59B1" w:rsidRDefault="00896A88" w:rsidP="009C1193">
            <w:pPr>
              <w:widowControl w:val="0"/>
              <w:rPr>
                <w:i/>
                <w:color w:val="000000"/>
                <w:szCs w:val="22"/>
              </w:rPr>
            </w:pPr>
            <w:r w:rsidRPr="004A59B1">
              <w:rPr>
                <w:i/>
                <w:color w:val="000000"/>
                <w:szCs w:val="22"/>
              </w:rPr>
              <w:t>pogostnost neznana:</w:t>
            </w:r>
          </w:p>
        </w:tc>
        <w:tc>
          <w:tcPr>
            <w:tcW w:w="7087" w:type="dxa"/>
          </w:tcPr>
          <w:p w14:paraId="52979910" w14:textId="77777777" w:rsidR="00896A88" w:rsidRPr="004A59B1" w:rsidRDefault="00D74BB7" w:rsidP="009C1193">
            <w:pPr>
              <w:widowControl w:val="0"/>
              <w:rPr>
                <w:bCs/>
                <w:color w:val="000000"/>
                <w:szCs w:val="22"/>
              </w:rPr>
            </w:pPr>
            <w:r w:rsidRPr="004A59B1">
              <w:rPr>
                <w:color w:val="000000"/>
                <w:szCs w:val="22"/>
              </w:rPr>
              <w:t xml:space="preserve">avaskularna nekroza/nekroza kolka*, </w:t>
            </w:r>
            <w:r w:rsidRPr="004A59B1">
              <w:rPr>
                <w:color w:val="000000"/>
                <w:szCs w:val="22"/>
                <w:lang w:val="fi-FI"/>
              </w:rPr>
              <w:t>zaostajanje v rasti pri otrocih</w:t>
            </w:r>
            <w:r w:rsidR="00EF429A" w:rsidRPr="004A59B1">
              <w:rPr>
                <w:color w:val="000000"/>
                <w:szCs w:val="22"/>
                <w:lang w:val="fi-FI"/>
              </w:rPr>
              <w:t>*</w:t>
            </w:r>
          </w:p>
        </w:tc>
      </w:tr>
      <w:tr w:rsidR="00896A88" w:rsidRPr="004A59B1" w14:paraId="52979913" w14:textId="77777777" w:rsidTr="009C1193">
        <w:trPr>
          <w:cantSplit/>
        </w:trPr>
        <w:tc>
          <w:tcPr>
            <w:tcW w:w="9322" w:type="dxa"/>
            <w:gridSpan w:val="2"/>
          </w:tcPr>
          <w:p w14:paraId="52979912" w14:textId="77777777" w:rsidR="00896A88" w:rsidRPr="004A59B1" w:rsidRDefault="00896A88" w:rsidP="009C1193">
            <w:pPr>
              <w:keepNext/>
              <w:widowControl w:val="0"/>
              <w:rPr>
                <w:b/>
                <w:color w:val="000000"/>
                <w:szCs w:val="22"/>
              </w:rPr>
            </w:pPr>
            <w:r w:rsidRPr="004A59B1">
              <w:rPr>
                <w:b/>
                <w:color w:val="000000"/>
                <w:szCs w:val="22"/>
              </w:rPr>
              <w:t>Bolezni sečil</w:t>
            </w:r>
          </w:p>
        </w:tc>
      </w:tr>
      <w:tr w:rsidR="00896A88" w:rsidRPr="004A59B1" w14:paraId="52979916" w14:textId="77777777" w:rsidTr="009C1193">
        <w:trPr>
          <w:cantSplit/>
        </w:trPr>
        <w:tc>
          <w:tcPr>
            <w:tcW w:w="2235" w:type="dxa"/>
          </w:tcPr>
          <w:p w14:paraId="52979914" w14:textId="77777777" w:rsidR="00896A88" w:rsidRPr="004A59B1" w:rsidRDefault="00896A88" w:rsidP="009C1193">
            <w:pPr>
              <w:keepNext/>
              <w:widowControl w:val="0"/>
              <w:rPr>
                <w:color w:val="000000"/>
              </w:rPr>
            </w:pPr>
            <w:r w:rsidRPr="004A59B1">
              <w:rPr>
                <w:i/>
                <w:color w:val="000000"/>
                <w:szCs w:val="22"/>
              </w:rPr>
              <w:t>občasni</w:t>
            </w:r>
            <w:r w:rsidRPr="004A59B1">
              <w:rPr>
                <w:color w:val="000000"/>
                <w:szCs w:val="22"/>
              </w:rPr>
              <w:t>:</w:t>
            </w:r>
          </w:p>
        </w:tc>
        <w:tc>
          <w:tcPr>
            <w:tcW w:w="7087" w:type="dxa"/>
          </w:tcPr>
          <w:p w14:paraId="52979915" w14:textId="77777777" w:rsidR="00896A88" w:rsidRPr="004A59B1" w:rsidRDefault="00896A88" w:rsidP="009C1193">
            <w:pPr>
              <w:keepNext/>
              <w:widowControl w:val="0"/>
              <w:rPr>
                <w:color w:val="000000"/>
              </w:rPr>
            </w:pPr>
            <w:r w:rsidRPr="004A59B1">
              <w:rPr>
                <w:color w:val="000000"/>
                <w:szCs w:val="22"/>
              </w:rPr>
              <w:t>bolečina v ledvicah, hematurija, akutna odpoved ledvic, pogostejše odvajanje vode</w:t>
            </w:r>
          </w:p>
        </w:tc>
      </w:tr>
      <w:tr w:rsidR="00953E52" w:rsidRPr="004A59B1" w14:paraId="52979919" w14:textId="77777777" w:rsidTr="009C1193">
        <w:trPr>
          <w:cantSplit/>
        </w:trPr>
        <w:tc>
          <w:tcPr>
            <w:tcW w:w="2235" w:type="dxa"/>
          </w:tcPr>
          <w:p w14:paraId="52979917" w14:textId="77777777" w:rsidR="00953E52" w:rsidRPr="004A59B1" w:rsidRDefault="00953E52" w:rsidP="009C1193">
            <w:pPr>
              <w:widowControl w:val="0"/>
              <w:rPr>
                <w:i/>
                <w:color w:val="000000"/>
                <w:szCs w:val="22"/>
              </w:rPr>
            </w:pPr>
            <w:r w:rsidRPr="004A59B1">
              <w:rPr>
                <w:i/>
                <w:color w:val="000000"/>
                <w:szCs w:val="22"/>
              </w:rPr>
              <w:t>pogostnost neznana:</w:t>
            </w:r>
          </w:p>
        </w:tc>
        <w:tc>
          <w:tcPr>
            <w:tcW w:w="7087" w:type="dxa"/>
          </w:tcPr>
          <w:p w14:paraId="52979918" w14:textId="77777777" w:rsidR="00953E52" w:rsidRPr="002355E4" w:rsidRDefault="00953E52" w:rsidP="009C1193">
            <w:pPr>
              <w:widowControl w:val="0"/>
              <w:rPr>
                <w:color w:val="000000"/>
                <w:szCs w:val="22"/>
                <w:highlight w:val="yellow"/>
              </w:rPr>
            </w:pPr>
            <w:r w:rsidRPr="00373659">
              <w:rPr>
                <w:color w:val="000000"/>
                <w:szCs w:val="22"/>
              </w:rPr>
              <w:t>kronična ledvi</w:t>
            </w:r>
            <w:r w:rsidR="002730D5" w:rsidRPr="00373659">
              <w:rPr>
                <w:color w:val="000000"/>
                <w:szCs w:val="22"/>
              </w:rPr>
              <w:t>čna bolezen</w:t>
            </w:r>
          </w:p>
        </w:tc>
      </w:tr>
      <w:tr w:rsidR="00896A88" w:rsidRPr="004A59B1" w14:paraId="5297991B" w14:textId="77777777" w:rsidTr="009C1193">
        <w:trPr>
          <w:cantSplit/>
        </w:trPr>
        <w:tc>
          <w:tcPr>
            <w:tcW w:w="9322" w:type="dxa"/>
            <w:gridSpan w:val="2"/>
          </w:tcPr>
          <w:p w14:paraId="5297991A" w14:textId="77777777" w:rsidR="00896A88" w:rsidRPr="004A59B1" w:rsidRDefault="00896A88" w:rsidP="009C1193">
            <w:pPr>
              <w:keepNext/>
              <w:widowControl w:val="0"/>
              <w:rPr>
                <w:color w:val="000000"/>
                <w:szCs w:val="22"/>
              </w:rPr>
            </w:pPr>
            <w:r w:rsidRPr="004A59B1">
              <w:rPr>
                <w:b/>
                <w:color w:val="000000"/>
                <w:szCs w:val="22"/>
              </w:rPr>
              <w:t>Motnje reprodukcije in dojk</w:t>
            </w:r>
          </w:p>
        </w:tc>
      </w:tr>
      <w:tr w:rsidR="00896A88" w:rsidRPr="004A59B1" w14:paraId="5297991E" w14:textId="77777777" w:rsidTr="009C1193">
        <w:trPr>
          <w:cantSplit/>
        </w:trPr>
        <w:tc>
          <w:tcPr>
            <w:tcW w:w="2235" w:type="dxa"/>
          </w:tcPr>
          <w:p w14:paraId="5297991C" w14:textId="77777777" w:rsidR="00896A88" w:rsidRPr="004A59B1" w:rsidRDefault="00896A88" w:rsidP="009C1193">
            <w:pPr>
              <w:keepNext/>
              <w:widowControl w:val="0"/>
              <w:rPr>
                <w:i/>
                <w:color w:val="000000"/>
                <w:szCs w:val="22"/>
              </w:rPr>
            </w:pPr>
            <w:r w:rsidRPr="004A59B1">
              <w:rPr>
                <w:i/>
                <w:color w:val="000000"/>
                <w:szCs w:val="22"/>
              </w:rPr>
              <w:t>občasni:</w:t>
            </w:r>
          </w:p>
        </w:tc>
        <w:tc>
          <w:tcPr>
            <w:tcW w:w="7087" w:type="dxa"/>
          </w:tcPr>
          <w:p w14:paraId="5297991D" w14:textId="77777777" w:rsidR="00896A88" w:rsidRPr="004A59B1" w:rsidRDefault="00896A88" w:rsidP="009C1193">
            <w:pPr>
              <w:keepNext/>
              <w:widowControl w:val="0"/>
              <w:rPr>
                <w:color w:val="000000"/>
                <w:szCs w:val="22"/>
              </w:rPr>
            </w:pPr>
            <w:r w:rsidRPr="004A59B1">
              <w:rPr>
                <w:color w:val="000000"/>
                <w:szCs w:val="22"/>
              </w:rPr>
              <w:t>ginekomastija, erektilna disfunkcija, menoragija, neredne menstrualne krvavitve, motnje spolnih funkcij, boleče bradavice, povečanje dojk, edem skrotuma</w:t>
            </w:r>
          </w:p>
        </w:tc>
      </w:tr>
      <w:tr w:rsidR="00896A88" w:rsidRPr="004A59B1" w14:paraId="52979921" w14:textId="77777777" w:rsidTr="009C1193">
        <w:trPr>
          <w:cantSplit/>
        </w:trPr>
        <w:tc>
          <w:tcPr>
            <w:tcW w:w="2235" w:type="dxa"/>
          </w:tcPr>
          <w:p w14:paraId="5297991F" w14:textId="77777777" w:rsidR="00896A88" w:rsidRPr="004A59B1" w:rsidRDefault="00896A88" w:rsidP="009C1193">
            <w:pPr>
              <w:widowControl w:val="0"/>
              <w:rPr>
                <w:i/>
                <w:color w:val="000000"/>
                <w:szCs w:val="22"/>
              </w:rPr>
            </w:pPr>
            <w:r w:rsidRPr="004A59B1">
              <w:rPr>
                <w:i/>
                <w:color w:val="000000"/>
                <w:szCs w:val="22"/>
              </w:rPr>
              <w:t>redki:</w:t>
            </w:r>
          </w:p>
        </w:tc>
        <w:tc>
          <w:tcPr>
            <w:tcW w:w="7087" w:type="dxa"/>
          </w:tcPr>
          <w:p w14:paraId="52979920" w14:textId="77777777" w:rsidR="00896A88" w:rsidRPr="004A59B1" w:rsidRDefault="00896A88" w:rsidP="009C1193">
            <w:pPr>
              <w:widowControl w:val="0"/>
              <w:rPr>
                <w:color w:val="000000"/>
                <w:szCs w:val="22"/>
                <w:lang w:val="it-IT"/>
              </w:rPr>
            </w:pPr>
            <w:r w:rsidRPr="004A59B1">
              <w:rPr>
                <w:color w:val="000000"/>
                <w:szCs w:val="22"/>
                <w:lang w:val="it-IT"/>
              </w:rPr>
              <w:t>krvavitev v rumeno telesce/krvavitev v ovarijsko cisto</w:t>
            </w:r>
          </w:p>
        </w:tc>
      </w:tr>
      <w:tr w:rsidR="00896A88" w:rsidRPr="004A59B1" w14:paraId="52979923" w14:textId="77777777" w:rsidTr="009C1193">
        <w:trPr>
          <w:cantSplit/>
        </w:trPr>
        <w:tc>
          <w:tcPr>
            <w:tcW w:w="9322" w:type="dxa"/>
            <w:gridSpan w:val="2"/>
          </w:tcPr>
          <w:p w14:paraId="52979922" w14:textId="77777777" w:rsidR="00896A88" w:rsidRPr="004A59B1" w:rsidRDefault="00896A88" w:rsidP="009C1193">
            <w:pPr>
              <w:keepNext/>
              <w:widowControl w:val="0"/>
              <w:rPr>
                <w:color w:val="000000"/>
                <w:szCs w:val="22"/>
              </w:rPr>
            </w:pPr>
            <w:r w:rsidRPr="004A59B1">
              <w:rPr>
                <w:b/>
                <w:color w:val="000000"/>
                <w:szCs w:val="22"/>
              </w:rPr>
              <w:t>Splošne težave in spremembe na mestu aplikacije</w:t>
            </w:r>
          </w:p>
        </w:tc>
      </w:tr>
      <w:tr w:rsidR="00896A88" w:rsidRPr="003B6568" w14:paraId="52979926" w14:textId="77777777" w:rsidTr="009C1193">
        <w:trPr>
          <w:cantSplit/>
        </w:trPr>
        <w:tc>
          <w:tcPr>
            <w:tcW w:w="2235" w:type="dxa"/>
          </w:tcPr>
          <w:p w14:paraId="52979924" w14:textId="77777777" w:rsidR="00896A88" w:rsidRPr="004A59B1" w:rsidRDefault="00896A88" w:rsidP="009C1193">
            <w:pPr>
              <w:keepNext/>
              <w:widowControl w:val="0"/>
              <w:rPr>
                <w:i/>
                <w:color w:val="000000"/>
                <w:szCs w:val="22"/>
              </w:rPr>
            </w:pPr>
            <w:r w:rsidRPr="004A59B1">
              <w:rPr>
                <w:i/>
                <w:color w:val="000000"/>
                <w:szCs w:val="22"/>
              </w:rPr>
              <w:t>zelo pogosti:</w:t>
            </w:r>
          </w:p>
        </w:tc>
        <w:tc>
          <w:tcPr>
            <w:tcW w:w="7087" w:type="dxa"/>
          </w:tcPr>
          <w:p w14:paraId="52979925" w14:textId="77777777" w:rsidR="00896A88" w:rsidRPr="003F2EE1" w:rsidRDefault="00896A88" w:rsidP="009C1193">
            <w:pPr>
              <w:keepNext/>
              <w:widowControl w:val="0"/>
              <w:rPr>
                <w:color w:val="000000"/>
                <w:szCs w:val="22"/>
                <w:lang w:val="de-CH"/>
              </w:rPr>
            </w:pPr>
            <w:r w:rsidRPr="003F2EE1">
              <w:rPr>
                <w:color w:val="000000"/>
                <w:szCs w:val="22"/>
                <w:lang w:val="de-CH"/>
              </w:rPr>
              <w:t>zastajanje tekočine in edemi, utrujenost</w:t>
            </w:r>
          </w:p>
        </w:tc>
      </w:tr>
      <w:tr w:rsidR="00896A88" w:rsidRPr="004A59B1" w14:paraId="52979929" w14:textId="77777777" w:rsidTr="009C1193">
        <w:trPr>
          <w:cantSplit/>
        </w:trPr>
        <w:tc>
          <w:tcPr>
            <w:tcW w:w="2235" w:type="dxa"/>
          </w:tcPr>
          <w:p w14:paraId="52979927" w14:textId="77777777" w:rsidR="00896A88" w:rsidRPr="004A59B1" w:rsidRDefault="00896A88" w:rsidP="009C1193">
            <w:pPr>
              <w:keepNext/>
              <w:widowControl w:val="0"/>
              <w:rPr>
                <w:i/>
                <w:color w:val="000000"/>
                <w:szCs w:val="22"/>
              </w:rPr>
            </w:pPr>
            <w:r w:rsidRPr="004A59B1">
              <w:rPr>
                <w:i/>
                <w:color w:val="000000"/>
                <w:szCs w:val="22"/>
              </w:rPr>
              <w:t>pogosti</w:t>
            </w:r>
            <w:r w:rsidRPr="004A59B1">
              <w:rPr>
                <w:color w:val="000000"/>
                <w:szCs w:val="22"/>
              </w:rPr>
              <w:t>:</w:t>
            </w:r>
          </w:p>
        </w:tc>
        <w:tc>
          <w:tcPr>
            <w:tcW w:w="7087" w:type="dxa"/>
          </w:tcPr>
          <w:p w14:paraId="52979928" w14:textId="77777777" w:rsidR="00896A88" w:rsidRPr="004A59B1" w:rsidRDefault="00896A88" w:rsidP="009C1193">
            <w:pPr>
              <w:keepNext/>
              <w:widowControl w:val="0"/>
              <w:rPr>
                <w:color w:val="000000"/>
                <w:szCs w:val="22"/>
              </w:rPr>
            </w:pPr>
            <w:r w:rsidRPr="004A59B1">
              <w:rPr>
                <w:color w:val="000000"/>
                <w:szCs w:val="22"/>
              </w:rPr>
              <w:t>oslabelost, zvišana telesna temperatura, anasarka, mrazenje, okorelost</w:t>
            </w:r>
          </w:p>
        </w:tc>
      </w:tr>
      <w:tr w:rsidR="00896A88" w:rsidRPr="004A59B1" w14:paraId="5297992C" w14:textId="77777777" w:rsidTr="009C1193">
        <w:trPr>
          <w:cantSplit/>
        </w:trPr>
        <w:tc>
          <w:tcPr>
            <w:tcW w:w="2235" w:type="dxa"/>
          </w:tcPr>
          <w:p w14:paraId="5297992A" w14:textId="77777777" w:rsidR="00896A88" w:rsidRPr="004A59B1" w:rsidRDefault="00896A88" w:rsidP="009C1193">
            <w:pPr>
              <w:widowControl w:val="0"/>
              <w:rPr>
                <w:i/>
                <w:color w:val="000000"/>
                <w:szCs w:val="22"/>
              </w:rPr>
            </w:pPr>
            <w:r w:rsidRPr="004A59B1">
              <w:rPr>
                <w:i/>
                <w:color w:val="000000"/>
                <w:szCs w:val="22"/>
              </w:rPr>
              <w:t>občasni:</w:t>
            </w:r>
          </w:p>
        </w:tc>
        <w:tc>
          <w:tcPr>
            <w:tcW w:w="7087" w:type="dxa"/>
          </w:tcPr>
          <w:p w14:paraId="5297992B" w14:textId="77777777" w:rsidR="00896A88" w:rsidRPr="004A59B1" w:rsidRDefault="00896A88" w:rsidP="009C1193">
            <w:pPr>
              <w:widowControl w:val="0"/>
              <w:rPr>
                <w:color w:val="000000"/>
                <w:szCs w:val="22"/>
              </w:rPr>
            </w:pPr>
            <w:r w:rsidRPr="004A59B1">
              <w:rPr>
                <w:color w:val="000000"/>
                <w:szCs w:val="22"/>
              </w:rPr>
              <w:t>bolečine v prsnem košu, slabo počutje</w:t>
            </w:r>
          </w:p>
        </w:tc>
      </w:tr>
      <w:tr w:rsidR="00896A88" w:rsidRPr="004A59B1" w14:paraId="5297992E" w14:textId="77777777" w:rsidTr="009C1193">
        <w:trPr>
          <w:cantSplit/>
        </w:trPr>
        <w:tc>
          <w:tcPr>
            <w:tcW w:w="9322" w:type="dxa"/>
            <w:gridSpan w:val="2"/>
          </w:tcPr>
          <w:p w14:paraId="5297992D" w14:textId="77777777" w:rsidR="00896A88" w:rsidRPr="004A59B1" w:rsidRDefault="00896A88" w:rsidP="009C1193">
            <w:pPr>
              <w:keepNext/>
              <w:widowControl w:val="0"/>
              <w:rPr>
                <w:color w:val="000000"/>
              </w:rPr>
            </w:pPr>
            <w:r w:rsidRPr="004A59B1">
              <w:rPr>
                <w:b/>
                <w:color w:val="000000"/>
                <w:szCs w:val="22"/>
                <w:lang w:val="fr-FR"/>
              </w:rPr>
              <w:lastRenderedPageBreak/>
              <w:t>Preiskave</w:t>
            </w:r>
          </w:p>
        </w:tc>
      </w:tr>
      <w:tr w:rsidR="00896A88" w:rsidRPr="004A59B1" w14:paraId="52979931" w14:textId="77777777" w:rsidTr="009C1193">
        <w:trPr>
          <w:cantSplit/>
        </w:trPr>
        <w:tc>
          <w:tcPr>
            <w:tcW w:w="2235" w:type="dxa"/>
          </w:tcPr>
          <w:p w14:paraId="5297992F" w14:textId="77777777" w:rsidR="00896A88" w:rsidRPr="004A59B1" w:rsidRDefault="00896A88" w:rsidP="009C1193">
            <w:pPr>
              <w:keepNext/>
              <w:widowControl w:val="0"/>
              <w:rPr>
                <w:color w:val="000000"/>
              </w:rPr>
            </w:pPr>
            <w:r w:rsidRPr="004A59B1">
              <w:rPr>
                <w:i/>
                <w:color w:val="000000"/>
                <w:szCs w:val="22"/>
              </w:rPr>
              <w:t>zelo pogosti:</w:t>
            </w:r>
          </w:p>
        </w:tc>
        <w:tc>
          <w:tcPr>
            <w:tcW w:w="7087" w:type="dxa"/>
          </w:tcPr>
          <w:p w14:paraId="52979930" w14:textId="77777777" w:rsidR="00896A88" w:rsidRPr="004A59B1" w:rsidRDefault="00896A88" w:rsidP="009C1193">
            <w:pPr>
              <w:keepNext/>
              <w:widowControl w:val="0"/>
              <w:rPr>
                <w:color w:val="000000"/>
              </w:rPr>
            </w:pPr>
            <w:r w:rsidRPr="004A59B1">
              <w:rPr>
                <w:color w:val="000000"/>
                <w:szCs w:val="22"/>
              </w:rPr>
              <w:t>zvečanje telesne mase</w:t>
            </w:r>
          </w:p>
        </w:tc>
      </w:tr>
      <w:tr w:rsidR="00896A88" w:rsidRPr="004A59B1" w14:paraId="52979934" w14:textId="77777777" w:rsidTr="009C1193">
        <w:trPr>
          <w:cantSplit/>
        </w:trPr>
        <w:tc>
          <w:tcPr>
            <w:tcW w:w="2235" w:type="dxa"/>
          </w:tcPr>
          <w:p w14:paraId="52979932" w14:textId="77777777" w:rsidR="00896A88" w:rsidRPr="004A59B1" w:rsidRDefault="00896A88" w:rsidP="009C1193">
            <w:pPr>
              <w:keepNext/>
              <w:widowControl w:val="0"/>
              <w:rPr>
                <w:color w:val="000000"/>
              </w:rPr>
            </w:pPr>
            <w:r w:rsidRPr="004A59B1">
              <w:rPr>
                <w:i/>
                <w:color w:val="000000"/>
                <w:szCs w:val="22"/>
              </w:rPr>
              <w:t>pogosti</w:t>
            </w:r>
            <w:r w:rsidRPr="004A59B1">
              <w:rPr>
                <w:color w:val="000000"/>
                <w:szCs w:val="22"/>
              </w:rPr>
              <w:t>:</w:t>
            </w:r>
          </w:p>
        </w:tc>
        <w:tc>
          <w:tcPr>
            <w:tcW w:w="7087" w:type="dxa"/>
          </w:tcPr>
          <w:p w14:paraId="52979933" w14:textId="77777777" w:rsidR="00896A88" w:rsidRPr="004A59B1" w:rsidRDefault="00896A88" w:rsidP="009C1193">
            <w:pPr>
              <w:keepNext/>
              <w:widowControl w:val="0"/>
              <w:rPr>
                <w:color w:val="000000"/>
              </w:rPr>
            </w:pPr>
            <w:r w:rsidRPr="004A59B1">
              <w:rPr>
                <w:color w:val="000000"/>
                <w:szCs w:val="22"/>
              </w:rPr>
              <w:t>zmanjšanje telesne mase</w:t>
            </w:r>
          </w:p>
        </w:tc>
      </w:tr>
      <w:tr w:rsidR="00896A88" w:rsidRPr="004A59B1" w14:paraId="52979937" w14:textId="77777777" w:rsidTr="009C1193">
        <w:trPr>
          <w:cantSplit/>
        </w:trPr>
        <w:tc>
          <w:tcPr>
            <w:tcW w:w="2235" w:type="dxa"/>
          </w:tcPr>
          <w:p w14:paraId="52979935" w14:textId="77777777" w:rsidR="00896A88" w:rsidRPr="004A59B1" w:rsidRDefault="00896A88" w:rsidP="009C1193">
            <w:pPr>
              <w:keepNext/>
              <w:widowControl w:val="0"/>
              <w:rPr>
                <w:color w:val="000000"/>
              </w:rPr>
            </w:pPr>
            <w:r w:rsidRPr="004A59B1">
              <w:rPr>
                <w:i/>
                <w:color w:val="000000"/>
                <w:szCs w:val="22"/>
              </w:rPr>
              <w:t>občasni</w:t>
            </w:r>
            <w:r w:rsidRPr="004A59B1">
              <w:rPr>
                <w:color w:val="000000"/>
                <w:szCs w:val="22"/>
              </w:rPr>
              <w:t>:</w:t>
            </w:r>
          </w:p>
        </w:tc>
        <w:tc>
          <w:tcPr>
            <w:tcW w:w="7087" w:type="dxa"/>
          </w:tcPr>
          <w:p w14:paraId="52979936" w14:textId="77777777" w:rsidR="00896A88" w:rsidRPr="004A59B1" w:rsidRDefault="00896A88" w:rsidP="009C1193">
            <w:pPr>
              <w:keepNext/>
              <w:widowControl w:val="0"/>
              <w:rPr>
                <w:color w:val="000000"/>
              </w:rPr>
            </w:pPr>
            <w:r w:rsidRPr="004A59B1">
              <w:rPr>
                <w:color w:val="000000"/>
                <w:szCs w:val="22"/>
              </w:rPr>
              <w:t>zvišana vrednost kreatinina v krvi, zvišana vrednost kreatin-kinaze v krvi, zvišana vrednost laktat-dehidrogenaze v krvi, zvišana vrednost alkalne fosfataze v krvi</w:t>
            </w:r>
          </w:p>
        </w:tc>
      </w:tr>
      <w:tr w:rsidR="00896A88" w:rsidRPr="004A59B1" w14:paraId="5297993A" w14:textId="77777777" w:rsidTr="009C1193">
        <w:trPr>
          <w:cantSplit/>
        </w:trPr>
        <w:tc>
          <w:tcPr>
            <w:tcW w:w="2235" w:type="dxa"/>
          </w:tcPr>
          <w:p w14:paraId="52979938" w14:textId="77777777" w:rsidR="00896A88" w:rsidRPr="004A59B1" w:rsidRDefault="00896A88" w:rsidP="009C1193">
            <w:pPr>
              <w:keepNext/>
              <w:keepLines/>
              <w:widowControl w:val="0"/>
              <w:rPr>
                <w:i/>
                <w:color w:val="000000"/>
                <w:szCs w:val="22"/>
              </w:rPr>
            </w:pPr>
            <w:r w:rsidRPr="004A59B1">
              <w:rPr>
                <w:i/>
                <w:color w:val="000000"/>
                <w:szCs w:val="22"/>
              </w:rPr>
              <w:t>redki:</w:t>
            </w:r>
          </w:p>
        </w:tc>
        <w:tc>
          <w:tcPr>
            <w:tcW w:w="7087" w:type="dxa"/>
          </w:tcPr>
          <w:p w14:paraId="52979939" w14:textId="77777777" w:rsidR="00896A88" w:rsidRPr="004A59B1" w:rsidRDefault="00896A88" w:rsidP="009C1193">
            <w:pPr>
              <w:keepNext/>
              <w:keepLines/>
              <w:widowControl w:val="0"/>
              <w:rPr>
                <w:color w:val="000000"/>
                <w:szCs w:val="22"/>
              </w:rPr>
            </w:pPr>
            <w:r w:rsidRPr="004A59B1">
              <w:rPr>
                <w:color w:val="000000"/>
                <w:szCs w:val="22"/>
              </w:rPr>
              <w:t>zvišana vrednost amilaze v krvi</w:t>
            </w:r>
          </w:p>
        </w:tc>
      </w:tr>
    </w:tbl>
    <w:p w14:paraId="5297993B" w14:textId="77777777" w:rsidR="00EF429A" w:rsidRPr="004A59B1" w:rsidRDefault="00EF429A" w:rsidP="009C1193">
      <w:pPr>
        <w:keepNext/>
        <w:keepLines/>
        <w:widowControl w:val="0"/>
        <w:spacing w:line="240" w:lineRule="auto"/>
        <w:rPr>
          <w:color w:val="000000"/>
          <w:szCs w:val="22"/>
        </w:rPr>
      </w:pPr>
    </w:p>
    <w:p w14:paraId="5297993C" w14:textId="77777777" w:rsidR="009B753D" w:rsidRPr="004A59B1" w:rsidRDefault="00EF429A" w:rsidP="009C1193">
      <w:pPr>
        <w:keepNext/>
        <w:keepLines/>
        <w:widowControl w:val="0"/>
        <w:tabs>
          <w:tab w:val="clear" w:pos="567"/>
        </w:tabs>
        <w:spacing w:line="240" w:lineRule="auto"/>
        <w:ind w:left="567" w:hanging="567"/>
        <w:rPr>
          <w:color w:val="000000"/>
          <w:szCs w:val="22"/>
          <w:lang w:eastAsia="ja-JP"/>
        </w:rPr>
      </w:pPr>
      <w:r w:rsidRPr="004A59B1">
        <w:rPr>
          <w:color w:val="000000"/>
          <w:szCs w:val="22"/>
        </w:rPr>
        <w:t>*</w:t>
      </w:r>
      <w:r w:rsidRPr="004A59B1">
        <w:rPr>
          <w:color w:val="000000"/>
          <w:szCs w:val="22"/>
        </w:rPr>
        <w:tab/>
      </w:r>
      <w:r w:rsidR="009B753D" w:rsidRPr="004A59B1">
        <w:rPr>
          <w:color w:val="000000"/>
          <w:szCs w:val="22"/>
          <w:lang w:eastAsia="ja-JP"/>
        </w:rPr>
        <w:t>O</w:t>
      </w:r>
      <w:r w:rsidR="00943A42" w:rsidRPr="004A59B1">
        <w:rPr>
          <w:color w:val="000000"/>
          <w:szCs w:val="22"/>
          <w:lang w:eastAsia="ja-JP"/>
        </w:rPr>
        <w:t xml:space="preserve"> </w:t>
      </w:r>
      <w:r w:rsidR="009B753D" w:rsidRPr="004A59B1">
        <w:rPr>
          <w:color w:val="000000"/>
          <w:szCs w:val="22"/>
          <w:lang w:eastAsia="ja-JP"/>
        </w:rPr>
        <w:t xml:space="preserve">teh vrstah neželenih učinkov so poročali večinoma </w:t>
      </w:r>
      <w:r w:rsidR="00372713" w:rsidRPr="004A59B1">
        <w:rPr>
          <w:color w:val="000000"/>
          <w:szCs w:val="22"/>
          <w:lang w:eastAsia="ja-JP"/>
        </w:rPr>
        <w:t xml:space="preserve">v okviru </w:t>
      </w:r>
      <w:r w:rsidR="009B753D" w:rsidRPr="004A59B1">
        <w:rPr>
          <w:color w:val="000000"/>
          <w:szCs w:val="22"/>
          <w:lang w:eastAsia="ja-JP"/>
        </w:rPr>
        <w:t xml:space="preserve">izkušenj </w:t>
      </w:r>
      <w:r w:rsidR="0032432D" w:rsidRPr="004A59B1">
        <w:rPr>
          <w:lang w:val="pl-PL"/>
        </w:rPr>
        <w:t xml:space="preserve">v obdobju trženja zdravila </w:t>
      </w:r>
      <w:r w:rsidR="009B753D" w:rsidRPr="004A59B1">
        <w:rPr>
          <w:color w:val="000000"/>
          <w:szCs w:val="22"/>
          <w:lang w:eastAsia="ja-JP"/>
        </w:rPr>
        <w:t xml:space="preserve">z zdravilom Glivec. To vključuje tako spontano sporočene primere kot tudi resne neželene </w:t>
      </w:r>
      <w:r w:rsidR="00372713" w:rsidRPr="004A59B1">
        <w:rPr>
          <w:color w:val="000000"/>
          <w:szCs w:val="22"/>
          <w:lang w:eastAsia="ja-JP"/>
        </w:rPr>
        <w:t>učinke</w:t>
      </w:r>
      <w:r w:rsidR="009B753D" w:rsidRPr="004A59B1">
        <w:rPr>
          <w:color w:val="000000"/>
          <w:szCs w:val="22"/>
          <w:lang w:eastAsia="ja-JP"/>
        </w:rPr>
        <w:t xml:space="preserve"> iz študij v teku, iz programov razširjene uporabe, študij klinične farmakologije in raziskovalnih študij neodobrenih indikacij. Ker so o teh neželenih učinkih poročali pri bolnikih iz populacij nedoločljive velikosti, ni vedno mogoče zanesljivo določiti pogostnosti teh neželenih učinkov oziroma ugotoviti njihove vzročne povezave z izpostavljenostjo imatinibu.</w:t>
      </w:r>
    </w:p>
    <w:p w14:paraId="5297993D" w14:textId="77777777" w:rsidR="00C24B92" w:rsidRPr="004A59B1" w:rsidRDefault="00C24B92" w:rsidP="009C1193">
      <w:pPr>
        <w:keepNext/>
        <w:keepLines/>
        <w:widowControl w:val="0"/>
        <w:tabs>
          <w:tab w:val="clear" w:pos="567"/>
        </w:tabs>
        <w:spacing w:line="240" w:lineRule="auto"/>
        <w:ind w:left="567" w:hanging="567"/>
        <w:rPr>
          <w:color w:val="000000"/>
          <w:szCs w:val="22"/>
        </w:rPr>
      </w:pPr>
      <w:r w:rsidRPr="004A59B1">
        <w:rPr>
          <w:color w:val="000000"/>
          <w:szCs w:val="22"/>
        </w:rPr>
        <w:t>1</w:t>
      </w:r>
      <w:r w:rsidRPr="004A59B1">
        <w:rPr>
          <w:color w:val="000000"/>
          <w:szCs w:val="22"/>
        </w:rPr>
        <w:tab/>
      </w:r>
      <w:r w:rsidR="00F05399" w:rsidRPr="004A59B1">
        <w:rPr>
          <w:color w:val="000000"/>
          <w:szCs w:val="22"/>
        </w:rPr>
        <w:t xml:space="preserve">O pljučnici so najpogosteje poročali pri bolnikih s transformacijo </w:t>
      </w:r>
      <w:r w:rsidR="00677326" w:rsidRPr="004A59B1">
        <w:rPr>
          <w:color w:val="000000"/>
          <w:szCs w:val="22"/>
        </w:rPr>
        <w:t>KML</w:t>
      </w:r>
      <w:r w:rsidR="00F05399" w:rsidRPr="004A59B1">
        <w:rPr>
          <w:color w:val="000000"/>
          <w:szCs w:val="22"/>
        </w:rPr>
        <w:t xml:space="preserve"> in pri bolnikih z GIST.</w:t>
      </w:r>
    </w:p>
    <w:p w14:paraId="5297993E" w14:textId="77777777" w:rsidR="00C24B92" w:rsidRPr="002227FB" w:rsidRDefault="00C24B92" w:rsidP="009C1193">
      <w:pPr>
        <w:keepNext/>
        <w:keepLines/>
        <w:widowControl w:val="0"/>
        <w:tabs>
          <w:tab w:val="clear" w:pos="567"/>
        </w:tabs>
        <w:spacing w:line="240" w:lineRule="auto"/>
        <w:ind w:left="567" w:hanging="567"/>
        <w:rPr>
          <w:color w:val="000000"/>
          <w:szCs w:val="22"/>
          <w:lang w:val="de-CH"/>
        </w:rPr>
      </w:pPr>
      <w:r w:rsidRPr="002227FB">
        <w:rPr>
          <w:color w:val="000000"/>
          <w:szCs w:val="22"/>
          <w:lang w:val="de-CH"/>
        </w:rPr>
        <w:t>2</w:t>
      </w:r>
      <w:r w:rsidRPr="002227FB">
        <w:rPr>
          <w:color w:val="000000"/>
          <w:szCs w:val="22"/>
          <w:lang w:val="de-CH"/>
        </w:rPr>
        <w:tab/>
        <w:t>Glavobol je bil najpogostejši pri bolnikih z GIST.</w:t>
      </w:r>
    </w:p>
    <w:p w14:paraId="5297993F" w14:textId="77777777" w:rsidR="00C24B92" w:rsidRPr="002227FB" w:rsidRDefault="00C24B92" w:rsidP="009C1193">
      <w:pPr>
        <w:keepNext/>
        <w:keepLines/>
        <w:widowControl w:val="0"/>
        <w:tabs>
          <w:tab w:val="clear" w:pos="567"/>
        </w:tabs>
        <w:spacing w:line="240" w:lineRule="auto"/>
        <w:ind w:left="567" w:hanging="567"/>
        <w:rPr>
          <w:color w:val="000000"/>
          <w:szCs w:val="22"/>
          <w:lang w:val="de-CH"/>
        </w:rPr>
      </w:pPr>
      <w:r w:rsidRPr="002227FB">
        <w:rPr>
          <w:color w:val="000000"/>
          <w:szCs w:val="22"/>
          <w:lang w:val="de-CH"/>
        </w:rPr>
        <w:t>3</w:t>
      </w:r>
      <w:r w:rsidRPr="002227FB">
        <w:rPr>
          <w:color w:val="000000"/>
          <w:szCs w:val="22"/>
          <w:lang w:val="de-CH"/>
        </w:rPr>
        <w:tab/>
      </w:r>
      <w:r w:rsidR="00F05399" w:rsidRPr="002227FB">
        <w:rPr>
          <w:color w:val="000000"/>
          <w:szCs w:val="22"/>
          <w:lang w:val="de-CH"/>
        </w:rPr>
        <w:t>Dogodke v zvezi s srcem, vključno s</w:t>
      </w:r>
      <w:r w:rsidR="00752AFE" w:rsidRPr="002227FB">
        <w:rPr>
          <w:color w:val="000000"/>
          <w:szCs w:val="22"/>
          <w:lang w:val="de-CH"/>
        </w:rPr>
        <w:t xml:space="preserve"> </w:t>
      </w:r>
      <w:r w:rsidR="00B66599" w:rsidRPr="002227FB">
        <w:rPr>
          <w:color w:val="000000"/>
          <w:szCs w:val="22"/>
          <w:lang w:val="de-CH"/>
        </w:rPr>
        <w:t>kongestivnim srčnim popuščanjem</w:t>
      </w:r>
      <w:r w:rsidR="00F05399" w:rsidRPr="002227FB">
        <w:rPr>
          <w:color w:val="000000"/>
          <w:szCs w:val="22"/>
          <w:lang w:val="de-CH"/>
        </w:rPr>
        <w:t xml:space="preserve">, so na podlagi enote bolnik-leto pogosteje opažali pri bolnikih s transformacijo </w:t>
      </w:r>
      <w:r w:rsidR="00677326" w:rsidRPr="002227FB">
        <w:rPr>
          <w:color w:val="000000"/>
          <w:szCs w:val="22"/>
          <w:lang w:val="de-CH"/>
        </w:rPr>
        <w:t>KML</w:t>
      </w:r>
      <w:r w:rsidR="00F05399" w:rsidRPr="002227FB">
        <w:rPr>
          <w:color w:val="000000"/>
          <w:szCs w:val="22"/>
          <w:lang w:val="de-CH"/>
        </w:rPr>
        <w:t xml:space="preserve"> kot pri bolnikih s kroničnim potekom </w:t>
      </w:r>
      <w:r w:rsidR="00677326" w:rsidRPr="002227FB">
        <w:rPr>
          <w:color w:val="000000"/>
          <w:szCs w:val="22"/>
          <w:lang w:val="de-CH"/>
        </w:rPr>
        <w:t>KML</w:t>
      </w:r>
      <w:r w:rsidR="00F05399" w:rsidRPr="002227FB">
        <w:rPr>
          <w:color w:val="000000"/>
          <w:szCs w:val="22"/>
          <w:lang w:val="de-CH"/>
        </w:rPr>
        <w:t>.</w:t>
      </w:r>
    </w:p>
    <w:p w14:paraId="52979940" w14:textId="77777777" w:rsidR="00F05399" w:rsidRPr="002227FB" w:rsidRDefault="00C24B92" w:rsidP="009C1193">
      <w:pPr>
        <w:keepNext/>
        <w:keepLines/>
        <w:widowControl w:val="0"/>
        <w:tabs>
          <w:tab w:val="clear" w:pos="567"/>
        </w:tabs>
        <w:spacing w:line="240" w:lineRule="auto"/>
        <w:ind w:left="567" w:hanging="567"/>
        <w:rPr>
          <w:color w:val="000000"/>
          <w:szCs w:val="22"/>
          <w:lang w:val="de-CH"/>
        </w:rPr>
      </w:pPr>
      <w:r w:rsidRPr="002227FB">
        <w:rPr>
          <w:color w:val="000000"/>
          <w:szCs w:val="22"/>
          <w:lang w:val="de-CH"/>
        </w:rPr>
        <w:t>4</w:t>
      </w:r>
      <w:r w:rsidRPr="002227FB">
        <w:rPr>
          <w:color w:val="000000"/>
          <w:szCs w:val="22"/>
          <w:lang w:val="de-CH"/>
        </w:rPr>
        <w:tab/>
      </w:r>
      <w:r w:rsidR="00F05399" w:rsidRPr="002227FB">
        <w:rPr>
          <w:color w:val="000000"/>
          <w:szCs w:val="22"/>
          <w:lang w:val="de-CH"/>
        </w:rPr>
        <w:t xml:space="preserve">Navali rdečice so bili najpogostejši pri bolnikih z GIST, krvavitve (hematomi in krvavitve) pa so bile najpogostejše pri bolnikih z GIST in s transformacijo </w:t>
      </w:r>
      <w:r w:rsidR="00677326" w:rsidRPr="002227FB">
        <w:rPr>
          <w:color w:val="000000"/>
          <w:szCs w:val="22"/>
          <w:lang w:val="de-CH"/>
        </w:rPr>
        <w:t>KML</w:t>
      </w:r>
      <w:r w:rsidR="00F05399" w:rsidRPr="002227FB">
        <w:rPr>
          <w:color w:val="000000"/>
          <w:szCs w:val="22"/>
          <w:lang w:val="de-CH"/>
        </w:rPr>
        <w:t xml:space="preserve"> (</w:t>
      </w:r>
      <w:r w:rsidR="00677326" w:rsidRPr="002227FB">
        <w:rPr>
          <w:color w:val="000000"/>
          <w:szCs w:val="22"/>
          <w:lang w:val="de-CH"/>
        </w:rPr>
        <w:t>KML</w:t>
      </w:r>
      <w:r w:rsidR="00F05399" w:rsidRPr="002227FB">
        <w:rPr>
          <w:color w:val="000000"/>
          <w:szCs w:val="22"/>
          <w:lang w:val="de-CH"/>
        </w:rPr>
        <w:t xml:space="preserve">-AP in </w:t>
      </w:r>
      <w:r w:rsidR="00677326" w:rsidRPr="002227FB">
        <w:rPr>
          <w:color w:val="000000"/>
          <w:szCs w:val="22"/>
          <w:lang w:val="de-CH"/>
        </w:rPr>
        <w:t>KML</w:t>
      </w:r>
      <w:r w:rsidR="00F05399" w:rsidRPr="002227FB">
        <w:rPr>
          <w:color w:val="000000"/>
          <w:szCs w:val="22"/>
          <w:lang w:val="de-CH"/>
        </w:rPr>
        <w:t>-BC).</w:t>
      </w:r>
    </w:p>
    <w:p w14:paraId="52979941" w14:textId="77777777" w:rsidR="00F05399" w:rsidRPr="002227FB" w:rsidRDefault="00F05399" w:rsidP="009C1193">
      <w:pPr>
        <w:keepNext/>
        <w:keepLines/>
        <w:widowControl w:val="0"/>
        <w:tabs>
          <w:tab w:val="clear" w:pos="567"/>
        </w:tabs>
        <w:spacing w:line="240" w:lineRule="auto"/>
        <w:ind w:left="567" w:hanging="567"/>
        <w:rPr>
          <w:color w:val="000000"/>
          <w:szCs w:val="22"/>
          <w:lang w:val="de-CH"/>
        </w:rPr>
      </w:pPr>
      <w:r w:rsidRPr="002227FB">
        <w:rPr>
          <w:color w:val="000000"/>
          <w:szCs w:val="22"/>
          <w:lang w:val="de-CH"/>
        </w:rPr>
        <w:t>5</w:t>
      </w:r>
      <w:r w:rsidRPr="002227FB">
        <w:rPr>
          <w:color w:val="000000"/>
          <w:szCs w:val="22"/>
          <w:lang w:val="de-CH"/>
        </w:rPr>
        <w:tab/>
        <w:t xml:space="preserve">O plevralnem izlivu so pogosteje poročali pri bolnikih z GIST in bolnikih s transformacijo </w:t>
      </w:r>
      <w:r w:rsidR="00677326" w:rsidRPr="002227FB">
        <w:rPr>
          <w:color w:val="000000"/>
          <w:szCs w:val="22"/>
          <w:lang w:val="de-CH"/>
        </w:rPr>
        <w:t>KML</w:t>
      </w:r>
      <w:r w:rsidRPr="002227FB">
        <w:rPr>
          <w:color w:val="000000"/>
          <w:szCs w:val="22"/>
          <w:lang w:val="de-CH"/>
        </w:rPr>
        <w:t xml:space="preserve"> (kronična mieloična levkemija v pospešeni fazi: </w:t>
      </w:r>
      <w:r w:rsidR="00677326" w:rsidRPr="002227FB">
        <w:rPr>
          <w:color w:val="000000"/>
          <w:szCs w:val="22"/>
          <w:lang w:val="de-CH"/>
        </w:rPr>
        <w:t>KML</w:t>
      </w:r>
      <w:r w:rsidRPr="002227FB">
        <w:rPr>
          <w:color w:val="000000"/>
          <w:szCs w:val="22"/>
          <w:lang w:val="de-CH"/>
        </w:rPr>
        <w:t xml:space="preserve">-AP in kronična mieloična levkemija v blastni krizi: </w:t>
      </w:r>
      <w:r w:rsidR="00677326" w:rsidRPr="002227FB">
        <w:rPr>
          <w:color w:val="000000"/>
          <w:szCs w:val="22"/>
          <w:lang w:val="de-CH"/>
        </w:rPr>
        <w:t>KML</w:t>
      </w:r>
      <w:r w:rsidRPr="002227FB">
        <w:rPr>
          <w:color w:val="000000"/>
          <w:szCs w:val="22"/>
          <w:lang w:val="de-CH"/>
        </w:rPr>
        <w:t xml:space="preserve">-BC) kot pri bolnikih s kroničnim potekom </w:t>
      </w:r>
      <w:r w:rsidR="00677326" w:rsidRPr="002227FB">
        <w:rPr>
          <w:color w:val="000000"/>
          <w:szCs w:val="22"/>
          <w:lang w:val="de-CH"/>
        </w:rPr>
        <w:t>KML</w:t>
      </w:r>
      <w:r w:rsidRPr="002227FB">
        <w:rPr>
          <w:color w:val="000000"/>
          <w:szCs w:val="22"/>
          <w:lang w:val="de-CH"/>
        </w:rPr>
        <w:t>.</w:t>
      </w:r>
    </w:p>
    <w:p w14:paraId="52979942" w14:textId="77777777" w:rsidR="00F05399" w:rsidRPr="002227FB" w:rsidRDefault="00C24B92" w:rsidP="009C1193">
      <w:pPr>
        <w:keepNext/>
        <w:keepLines/>
        <w:widowControl w:val="0"/>
        <w:tabs>
          <w:tab w:val="clear" w:pos="567"/>
        </w:tabs>
        <w:spacing w:line="240" w:lineRule="auto"/>
        <w:ind w:left="567" w:hanging="567"/>
        <w:rPr>
          <w:color w:val="000000"/>
          <w:szCs w:val="22"/>
          <w:lang w:val="de-CH"/>
        </w:rPr>
      </w:pPr>
      <w:r w:rsidRPr="002227FB">
        <w:rPr>
          <w:color w:val="000000"/>
          <w:szCs w:val="22"/>
          <w:lang w:val="de-CH"/>
        </w:rPr>
        <w:t>6</w:t>
      </w:r>
      <w:r w:rsidR="00F05399" w:rsidRPr="002227FB">
        <w:rPr>
          <w:color w:val="000000"/>
          <w:szCs w:val="22"/>
          <w:lang w:val="de-CH"/>
        </w:rPr>
        <w:t>+7</w:t>
      </w:r>
      <w:r w:rsidRPr="002227FB">
        <w:rPr>
          <w:color w:val="000000"/>
          <w:szCs w:val="22"/>
          <w:lang w:val="de-CH"/>
        </w:rPr>
        <w:tab/>
      </w:r>
      <w:r w:rsidR="00F05399" w:rsidRPr="002227FB">
        <w:rPr>
          <w:color w:val="000000"/>
          <w:szCs w:val="22"/>
          <w:lang w:val="de-CH"/>
        </w:rPr>
        <w:t>Bolečine v trebuhu in krvavitev iz prebavil so najpogosteje opažali pri bolnikih z GIST.</w:t>
      </w:r>
    </w:p>
    <w:p w14:paraId="52979943" w14:textId="77777777" w:rsidR="00F05399" w:rsidRPr="002227FB" w:rsidRDefault="00C24B92" w:rsidP="009C1193">
      <w:pPr>
        <w:keepNext/>
        <w:keepLines/>
        <w:widowControl w:val="0"/>
        <w:tabs>
          <w:tab w:val="clear" w:pos="567"/>
        </w:tabs>
        <w:spacing w:line="240" w:lineRule="auto"/>
        <w:ind w:left="567" w:hanging="567"/>
        <w:rPr>
          <w:color w:val="000000"/>
          <w:szCs w:val="22"/>
          <w:lang w:val="de-CH"/>
        </w:rPr>
      </w:pPr>
      <w:r w:rsidRPr="002227FB">
        <w:rPr>
          <w:color w:val="000000"/>
          <w:szCs w:val="22"/>
          <w:lang w:val="de-CH"/>
        </w:rPr>
        <w:t>8</w:t>
      </w:r>
      <w:r w:rsidRPr="002227FB">
        <w:rPr>
          <w:color w:val="000000"/>
          <w:szCs w:val="22"/>
          <w:lang w:val="de-CH"/>
        </w:rPr>
        <w:tab/>
      </w:r>
      <w:r w:rsidR="00F05399" w:rsidRPr="002227FB">
        <w:rPr>
          <w:color w:val="000000"/>
          <w:szCs w:val="22"/>
          <w:lang w:val="de-CH"/>
        </w:rPr>
        <w:t>Poročali so o nekaj primerih odpovedi jeter in nekroze jeter s smrtnim izidom.</w:t>
      </w:r>
    </w:p>
    <w:p w14:paraId="52979944" w14:textId="77777777" w:rsidR="00D769BE" w:rsidRPr="002227FB" w:rsidRDefault="00D769BE" w:rsidP="009C1193">
      <w:pPr>
        <w:keepNext/>
        <w:keepLines/>
        <w:widowControl w:val="0"/>
        <w:tabs>
          <w:tab w:val="clear" w:pos="567"/>
        </w:tabs>
        <w:spacing w:line="240" w:lineRule="auto"/>
        <w:ind w:left="567" w:hanging="567"/>
        <w:rPr>
          <w:color w:val="000000"/>
          <w:szCs w:val="22"/>
          <w:lang w:val="de-CH"/>
        </w:rPr>
      </w:pPr>
      <w:r w:rsidRPr="002227FB">
        <w:rPr>
          <w:color w:val="000000"/>
          <w:szCs w:val="22"/>
          <w:lang w:val="de-CH"/>
        </w:rPr>
        <w:t>9</w:t>
      </w:r>
      <w:r w:rsidRPr="002227FB">
        <w:rPr>
          <w:color w:val="000000"/>
          <w:szCs w:val="22"/>
          <w:lang w:val="de-CH"/>
        </w:rPr>
        <w:tab/>
        <w:t>V obdobju trženja zdravila so opažali mišično-skeletne bolečine med zdravljenjem z imatinibom ali po prekinitvi zdravljenja.</w:t>
      </w:r>
    </w:p>
    <w:p w14:paraId="52979945" w14:textId="77777777" w:rsidR="00F05399" w:rsidRPr="002227FB" w:rsidRDefault="002A6459" w:rsidP="009C1193">
      <w:pPr>
        <w:keepNext/>
        <w:keepLines/>
        <w:widowControl w:val="0"/>
        <w:tabs>
          <w:tab w:val="clear" w:pos="567"/>
        </w:tabs>
        <w:spacing w:line="240" w:lineRule="auto"/>
        <w:ind w:left="567" w:hanging="567"/>
        <w:rPr>
          <w:color w:val="000000"/>
          <w:szCs w:val="22"/>
          <w:lang w:val="de-CH"/>
        </w:rPr>
      </w:pPr>
      <w:r w:rsidRPr="002227FB">
        <w:rPr>
          <w:color w:val="000000"/>
          <w:szCs w:val="22"/>
          <w:lang w:val="de-CH"/>
        </w:rPr>
        <w:t>10</w:t>
      </w:r>
      <w:r w:rsidR="00C24B92" w:rsidRPr="002227FB">
        <w:rPr>
          <w:color w:val="000000"/>
          <w:szCs w:val="22"/>
          <w:lang w:val="de-CH"/>
        </w:rPr>
        <w:tab/>
      </w:r>
      <w:r w:rsidR="00F05399" w:rsidRPr="002227FB">
        <w:rPr>
          <w:color w:val="000000"/>
          <w:szCs w:val="22"/>
          <w:lang w:val="de-CH"/>
        </w:rPr>
        <w:t xml:space="preserve">Mišično-skeletne bolečine in z njimi povezane dogodke so pogosteje opažali pri bolnikih s </w:t>
      </w:r>
      <w:r w:rsidR="00677326" w:rsidRPr="002227FB">
        <w:rPr>
          <w:color w:val="000000"/>
          <w:szCs w:val="22"/>
          <w:lang w:val="de-CH"/>
        </w:rPr>
        <w:t>KML</w:t>
      </w:r>
      <w:r w:rsidR="00F05399" w:rsidRPr="002227FB">
        <w:rPr>
          <w:color w:val="000000"/>
          <w:szCs w:val="22"/>
          <w:lang w:val="de-CH"/>
        </w:rPr>
        <w:t xml:space="preserve"> kot pri bolnikih z GIST.</w:t>
      </w:r>
    </w:p>
    <w:p w14:paraId="52979946" w14:textId="77777777" w:rsidR="00C24B92" w:rsidRPr="002227FB" w:rsidRDefault="00943A42" w:rsidP="009C1193">
      <w:pPr>
        <w:keepNext/>
        <w:keepLines/>
        <w:widowControl w:val="0"/>
        <w:tabs>
          <w:tab w:val="clear" w:pos="567"/>
        </w:tabs>
        <w:spacing w:line="240" w:lineRule="auto"/>
        <w:ind w:left="567" w:hanging="567"/>
        <w:rPr>
          <w:color w:val="000000"/>
          <w:szCs w:val="22"/>
          <w:lang w:val="de-CH"/>
        </w:rPr>
      </w:pPr>
      <w:r w:rsidRPr="002227FB">
        <w:rPr>
          <w:color w:val="000000"/>
          <w:szCs w:val="22"/>
          <w:lang w:val="de-CH"/>
        </w:rPr>
        <w:t>1</w:t>
      </w:r>
      <w:r w:rsidR="002A6459" w:rsidRPr="002227FB">
        <w:rPr>
          <w:color w:val="000000"/>
          <w:szCs w:val="22"/>
          <w:lang w:val="de-CH"/>
        </w:rPr>
        <w:t>1</w:t>
      </w:r>
      <w:r w:rsidRPr="002227FB">
        <w:rPr>
          <w:color w:val="000000"/>
          <w:szCs w:val="22"/>
          <w:lang w:val="de-CH"/>
        </w:rPr>
        <w:tab/>
      </w:r>
      <w:r w:rsidRPr="004A59B1">
        <w:rPr>
          <w:color w:val="000000"/>
          <w:szCs w:val="22"/>
          <w:lang w:val="fi-FI"/>
        </w:rPr>
        <w:t>Poročali so o primerih s smrtnim izidom pri bolnikih z napredovalo boleznijo, s hudimi okužbami, hudo nevtropenijo in z drugimi resnimi spremljajočimi stanji.</w:t>
      </w:r>
    </w:p>
    <w:p w14:paraId="52979947" w14:textId="77777777" w:rsidR="00C24B92" w:rsidRPr="004A59B1" w:rsidRDefault="00C24B92" w:rsidP="009C1193">
      <w:pPr>
        <w:widowControl w:val="0"/>
        <w:tabs>
          <w:tab w:val="clear" w:pos="567"/>
        </w:tabs>
        <w:spacing w:line="240" w:lineRule="auto"/>
        <w:rPr>
          <w:color w:val="000000"/>
          <w:szCs w:val="22"/>
          <w:lang w:val="fi-FI"/>
        </w:rPr>
      </w:pPr>
    </w:p>
    <w:p w14:paraId="52979948" w14:textId="77777777" w:rsidR="00444D75" w:rsidRPr="004A59B1" w:rsidRDefault="00444D75" w:rsidP="009C1193">
      <w:pPr>
        <w:keepNext/>
        <w:widowControl w:val="0"/>
        <w:spacing w:line="240" w:lineRule="auto"/>
        <w:jc w:val="both"/>
        <w:rPr>
          <w:color w:val="000000"/>
          <w:szCs w:val="22"/>
          <w:u w:val="single"/>
          <w:lang w:val="fi-FI"/>
        </w:rPr>
      </w:pPr>
      <w:r w:rsidRPr="004A59B1">
        <w:rPr>
          <w:color w:val="000000"/>
          <w:szCs w:val="22"/>
          <w:u w:val="single"/>
          <w:lang w:val="fi-FI"/>
        </w:rPr>
        <w:t>Nenormalnosti pri laboratorijskih preiskavah</w:t>
      </w:r>
    </w:p>
    <w:p w14:paraId="52979949" w14:textId="77777777" w:rsidR="00444D75" w:rsidRPr="004A59B1" w:rsidRDefault="00444D75" w:rsidP="009C1193">
      <w:pPr>
        <w:keepNext/>
        <w:widowControl w:val="0"/>
        <w:spacing w:line="240" w:lineRule="auto"/>
        <w:jc w:val="both"/>
        <w:rPr>
          <w:i/>
          <w:color w:val="000000"/>
          <w:szCs w:val="22"/>
          <w:lang w:val="fi-FI"/>
        </w:rPr>
      </w:pPr>
      <w:r w:rsidRPr="004A59B1">
        <w:rPr>
          <w:i/>
          <w:color w:val="000000"/>
          <w:szCs w:val="22"/>
          <w:lang w:val="fi-FI"/>
        </w:rPr>
        <w:t>Hematologija</w:t>
      </w:r>
    </w:p>
    <w:p w14:paraId="5297994A" w14:textId="77777777" w:rsidR="00444D75" w:rsidRPr="004A59B1" w:rsidRDefault="00444D75" w:rsidP="009C1193">
      <w:pPr>
        <w:pStyle w:val="Text"/>
        <w:widowControl w:val="0"/>
        <w:spacing w:before="0"/>
        <w:jc w:val="left"/>
        <w:rPr>
          <w:color w:val="000000"/>
          <w:lang w:val="fi-FI"/>
        </w:rPr>
      </w:pPr>
      <w:r w:rsidRPr="004A59B1">
        <w:rPr>
          <w:color w:val="000000"/>
          <w:sz w:val="22"/>
          <w:szCs w:val="22"/>
          <w:lang w:val="fi-FI"/>
        </w:rPr>
        <w:t xml:space="preserve">Pri </w:t>
      </w:r>
      <w:r w:rsidR="00677326" w:rsidRPr="004A59B1">
        <w:rPr>
          <w:color w:val="000000"/>
          <w:sz w:val="22"/>
          <w:szCs w:val="22"/>
          <w:lang w:val="fi-FI"/>
        </w:rPr>
        <w:t>KML</w:t>
      </w:r>
      <w:r w:rsidRPr="004A59B1">
        <w:rPr>
          <w:color w:val="000000"/>
          <w:sz w:val="22"/>
          <w:szCs w:val="22"/>
          <w:lang w:val="fi-FI"/>
        </w:rPr>
        <w:t xml:space="preserve"> so v vseh študijah redno ugotavljali citopenije, posebno nevtropenijo in trombo</w:t>
      </w:r>
      <w:r w:rsidR="00D91B19" w:rsidRPr="004A59B1">
        <w:rPr>
          <w:color w:val="000000"/>
          <w:sz w:val="22"/>
          <w:szCs w:val="22"/>
          <w:lang w:val="fi-FI"/>
        </w:rPr>
        <w:t>cito</w:t>
      </w:r>
      <w:r w:rsidRPr="004A59B1">
        <w:rPr>
          <w:color w:val="000000"/>
          <w:sz w:val="22"/>
          <w:szCs w:val="22"/>
          <w:lang w:val="fi-FI"/>
        </w:rPr>
        <w:t xml:space="preserve">penijo. Podatki kažejo, da so lahko citopenije pogostejše pri velikih odmerkih </w:t>
      </w:r>
      <w:r w:rsidRPr="004A59B1">
        <w:rPr>
          <w:color w:val="000000"/>
          <w:sz w:val="22"/>
          <w:szCs w:val="22"/>
        </w:rPr>
        <w:sym w:font="Symbol" w:char="F0B3"/>
      </w:r>
      <w:r w:rsidRPr="004A59B1">
        <w:rPr>
          <w:color w:val="000000"/>
          <w:sz w:val="22"/>
          <w:szCs w:val="22"/>
          <w:lang w:val="fi-FI"/>
        </w:rPr>
        <w:t> 750 mg (študija prve faze), vendar pa je pojavljanje citopenij tudi nedvomno odvisno od stadija bolezni. Nevtropenija 3. ali 4. stopnje (A</w:t>
      </w:r>
      <w:r w:rsidR="00746E65" w:rsidRPr="004A59B1">
        <w:rPr>
          <w:color w:val="000000"/>
          <w:sz w:val="22"/>
          <w:szCs w:val="22"/>
          <w:lang w:val="fi-FI"/>
        </w:rPr>
        <w:t>NC</w:t>
      </w:r>
      <w:r w:rsidRPr="004A59B1">
        <w:rPr>
          <w:color w:val="000000"/>
          <w:sz w:val="22"/>
          <w:szCs w:val="22"/>
          <w:lang w:val="fi-FI"/>
        </w:rPr>
        <w:t xml:space="preserve"> </w:t>
      </w:r>
      <w:r w:rsidRPr="004A59B1">
        <w:rPr>
          <w:color w:val="000000"/>
          <w:sz w:val="22"/>
          <w:szCs w:val="22"/>
        </w:rPr>
        <w:sym w:font="Symbol" w:char="F03C"/>
      </w:r>
      <w:r w:rsidRPr="004A59B1">
        <w:rPr>
          <w:color w:val="000000"/>
          <w:sz w:val="22"/>
          <w:szCs w:val="22"/>
          <w:lang w:val="fi-FI"/>
        </w:rPr>
        <w:t> 1,0 x 10</w:t>
      </w:r>
      <w:r w:rsidRPr="004A59B1">
        <w:rPr>
          <w:color w:val="000000"/>
          <w:sz w:val="22"/>
          <w:szCs w:val="22"/>
          <w:vertAlign w:val="superscript"/>
          <w:lang w:val="fi-FI"/>
        </w:rPr>
        <w:t>9</w:t>
      </w:r>
      <w:r w:rsidRPr="004A59B1">
        <w:rPr>
          <w:color w:val="000000"/>
          <w:sz w:val="22"/>
          <w:szCs w:val="22"/>
          <w:lang w:val="fi-FI"/>
        </w:rPr>
        <w:t xml:space="preserve">/l) in trombocitopenija (koncentracija trombocitov </w:t>
      </w:r>
      <w:r w:rsidRPr="004A59B1">
        <w:rPr>
          <w:color w:val="000000"/>
          <w:sz w:val="22"/>
          <w:szCs w:val="22"/>
        </w:rPr>
        <w:sym w:font="Symbol" w:char="F03C"/>
      </w:r>
      <w:r w:rsidRPr="004A59B1">
        <w:rPr>
          <w:color w:val="000000"/>
          <w:sz w:val="22"/>
          <w:szCs w:val="22"/>
          <w:lang w:val="fi-FI"/>
        </w:rPr>
        <w:t> 50 x 10</w:t>
      </w:r>
      <w:r w:rsidRPr="004A59B1">
        <w:rPr>
          <w:color w:val="000000"/>
          <w:sz w:val="22"/>
          <w:szCs w:val="22"/>
          <w:vertAlign w:val="superscript"/>
          <w:lang w:val="fi-FI"/>
        </w:rPr>
        <w:t>9</w:t>
      </w:r>
      <w:r w:rsidRPr="004A59B1">
        <w:rPr>
          <w:color w:val="000000"/>
          <w:sz w:val="22"/>
          <w:szCs w:val="22"/>
          <w:lang w:val="fi-FI"/>
        </w:rPr>
        <w:t xml:space="preserve">/l) sta bili štirikrat do šestkrat pogostejši v blastni krizi in pospešeni fazi (nevtropenija 59–64 % in trombocitopenija 44–63 %) kot pri na novo diagnosticiranih bolnikih v kronični fazi </w:t>
      </w:r>
      <w:r w:rsidR="00677326" w:rsidRPr="004A59B1">
        <w:rPr>
          <w:color w:val="000000"/>
          <w:sz w:val="22"/>
          <w:szCs w:val="22"/>
          <w:lang w:val="fi-FI"/>
        </w:rPr>
        <w:t>KML</w:t>
      </w:r>
      <w:r w:rsidRPr="004A59B1">
        <w:rPr>
          <w:color w:val="000000"/>
          <w:sz w:val="22"/>
          <w:szCs w:val="22"/>
          <w:lang w:val="fi-FI"/>
        </w:rPr>
        <w:t xml:space="preserve"> (nevtropenija 1</w:t>
      </w:r>
      <w:r w:rsidR="00BC043D" w:rsidRPr="004A59B1">
        <w:rPr>
          <w:color w:val="000000"/>
          <w:sz w:val="22"/>
          <w:szCs w:val="22"/>
          <w:lang w:val="fi-FI"/>
        </w:rPr>
        <w:t>6,7</w:t>
      </w:r>
      <w:r w:rsidRPr="004A59B1">
        <w:rPr>
          <w:color w:val="000000"/>
          <w:sz w:val="22"/>
          <w:szCs w:val="22"/>
          <w:lang w:val="fi-FI"/>
        </w:rPr>
        <w:t> % in trombocitopenija 8,</w:t>
      </w:r>
      <w:r w:rsidR="00BC043D" w:rsidRPr="004A59B1">
        <w:rPr>
          <w:color w:val="000000"/>
          <w:sz w:val="22"/>
          <w:szCs w:val="22"/>
          <w:lang w:val="fi-FI"/>
        </w:rPr>
        <w:t>9</w:t>
      </w:r>
      <w:r w:rsidRPr="004A59B1">
        <w:rPr>
          <w:color w:val="000000"/>
          <w:sz w:val="22"/>
          <w:szCs w:val="22"/>
          <w:lang w:val="fi-FI"/>
        </w:rPr>
        <w:t xml:space="preserve"> %). V na novo diagnosticirani kronični fazi </w:t>
      </w:r>
      <w:r w:rsidR="00677326" w:rsidRPr="004A59B1">
        <w:rPr>
          <w:color w:val="000000"/>
          <w:sz w:val="22"/>
          <w:szCs w:val="22"/>
          <w:lang w:val="fi-FI"/>
        </w:rPr>
        <w:t>KML</w:t>
      </w:r>
      <w:r w:rsidRPr="004A59B1">
        <w:rPr>
          <w:color w:val="000000"/>
          <w:sz w:val="22"/>
          <w:szCs w:val="22"/>
          <w:lang w:val="fi-FI"/>
        </w:rPr>
        <w:t xml:space="preserve"> sta bili odkriti nevtropenija 4. stopnje (A</w:t>
      </w:r>
      <w:r w:rsidR="00746E65" w:rsidRPr="004A59B1">
        <w:rPr>
          <w:color w:val="000000"/>
          <w:sz w:val="22"/>
          <w:szCs w:val="22"/>
          <w:lang w:val="fi-FI"/>
        </w:rPr>
        <w:t>N</w:t>
      </w:r>
      <w:r w:rsidR="00CD756F" w:rsidRPr="004A59B1">
        <w:rPr>
          <w:color w:val="000000"/>
          <w:sz w:val="22"/>
          <w:szCs w:val="22"/>
          <w:lang w:val="fi-FI"/>
        </w:rPr>
        <w:t>C</w:t>
      </w:r>
      <w:r w:rsidRPr="004A59B1">
        <w:rPr>
          <w:color w:val="000000"/>
          <w:sz w:val="22"/>
          <w:szCs w:val="22"/>
          <w:lang w:val="fi-FI"/>
        </w:rPr>
        <w:t xml:space="preserve"> </w:t>
      </w:r>
      <w:r w:rsidRPr="004A59B1">
        <w:rPr>
          <w:color w:val="000000"/>
          <w:sz w:val="22"/>
          <w:szCs w:val="22"/>
        </w:rPr>
        <w:sym w:font="Symbol" w:char="F03C"/>
      </w:r>
      <w:r w:rsidRPr="004A59B1">
        <w:rPr>
          <w:color w:val="000000"/>
          <w:sz w:val="22"/>
          <w:szCs w:val="22"/>
          <w:lang w:val="fi-FI"/>
        </w:rPr>
        <w:t> 0,5 x 10</w:t>
      </w:r>
      <w:r w:rsidRPr="004A59B1">
        <w:rPr>
          <w:color w:val="000000"/>
          <w:sz w:val="22"/>
          <w:szCs w:val="22"/>
          <w:vertAlign w:val="superscript"/>
          <w:lang w:val="fi-FI"/>
        </w:rPr>
        <w:t>9</w:t>
      </w:r>
      <w:r w:rsidRPr="004A59B1">
        <w:rPr>
          <w:color w:val="000000"/>
          <w:sz w:val="22"/>
          <w:szCs w:val="22"/>
          <w:lang w:val="fi-FI"/>
        </w:rPr>
        <w:t>/l) in trombocitopenija 4. stopnje (</w:t>
      </w:r>
      <w:r w:rsidRPr="004A59B1">
        <w:rPr>
          <w:color w:val="000000"/>
          <w:sz w:val="22"/>
          <w:szCs w:val="22"/>
        </w:rPr>
        <w:sym w:font="Symbol" w:char="F03C"/>
      </w:r>
      <w:r w:rsidRPr="004A59B1">
        <w:rPr>
          <w:color w:val="000000"/>
          <w:sz w:val="22"/>
          <w:szCs w:val="22"/>
          <w:lang w:val="fi-FI"/>
        </w:rPr>
        <w:t> 10 x 10</w:t>
      </w:r>
      <w:r w:rsidRPr="004A59B1">
        <w:rPr>
          <w:color w:val="000000"/>
          <w:sz w:val="22"/>
          <w:szCs w:val="22"/>
          <w:vertAlign w:val="superscript"/>
          <w:lang w:val="fi-FI"/>
        </w:rPr>
        <w:t>9</w:t>
      </w:r>
      <w:r w:rsidRPr="004A59B1">
        <w:rPr>
          <w:color w:val="000000"/>
          <w:sz w:val="22"/>
          <w:szCs w:val="22"/>
          <w:lang w:val="fi-FI"/>
        </w:rPr>
        <w:t>/l) pri 3</w:t>
      </w:r>
      <w:r w:rsidR="00355C4E" w:rsidRPr="004A59B1">
        <w:rPr>
          <w:color w:val="000000"/>
          <w:sz w:val="22"/>
          <w:szCs w:val="22"/>
          <w:lang w:val="fi-FI"/>
        </w:rPr>
        <w:t>,6</w:t>
      </w:r>
      <w:r w:rsidRPr="004A59B1">
        <w:rPr>
          <w:color w:val="000000"/>
          <w:sz w:val="22"/>
          <w:szCs w:val="22"/>
          <w:lang w:val="fi-FI"/>
        </w:rPr>
        <w:t xml:space="preserve"> % oziroma </w:t>
      </w:r>
      <w:r w:rsidRPr="004A59B1">
        <w:rPr>
          <w:color w:val="000000"/>
          <w:sz w:val="22"/>
          <w:szCs w:val="22"/>
        </w:rPr>
        <w:sym w:font="Symbol" w:char="F03C"/>
      </w:r>
      <w:r w:rsidRPr="004A59B1">
        <w:rPr>
          <w:color w:val="000000"/>
          <w:sz w:val="22"/>
          <w:szCs w:val="22"/>
          <w:lang w:val="fi-FI"/>
        </w:rPr>
        <w:t xml:space="preserve"> 1 % bolnikov. </w:t>
      </w:r>
      <w:r w:rsidR="00FC7D64" w:rsidRPr="004A59B1">
        <w:rPr>
          <w:color w:val="000000"/>
          <w:sz w:val="22"/>
          <w:szCs w:val="22"/>
          <w:lang w:val="fi-FI"/>
        </w:rPr>
        <w:t>Mediano</w:t>
      </w:r>
      <w:r w:rsidRPr="004A59B1">
        <w:rPr>
          <w:color w:val="000000"/>
          <w:sz w:val="22"/>
          <w:szCs w:val="22"/>
          <w:lang w:val="fi-FI"/>
        </w:rPr>
        <w:t xml:space="preserve"> trajanje nevtropeničnih oziroma trombocitopeničnih epizod je bilo navadno 2–3 tedne oziroma 3–4 tedne. Ti dogodki se lahko odpravljajo bodisi z zmanjšanjem odmerka bodisi z začasno prekinitvijo zdravljenja z </w:t>
      </w:r>
      <w:r w:rsidR="00D81193" w:rsidRPr="004A59B1">
        <w:rPr>
          <w:color w:val="000000"/>
          <w:sz w:val="22"/>
          <w:szCs w:val="22"/>
          <w:lang w:val="fi-FI"/>
        </w:rPr>
        <w:t>zdravilom Glivec</w:t>
      </w:r>
      <w:r w:rsidRPr="004A59B1">
        <w:rPr>
          <w:color w:val="000000"/>
          <w:sz w:val="22"/>
          <w:szCs w:val="22"/>
          <w:lang w:val="fi-FI"/>
        </w:rPr>
        <w:t>, v redkih primerih pa so lahko razlog za trajno prekinitev zdravljenja.</w:t>
      </w:r>
      <w:r w:rsidR="00943A0A" w:rsidRPr="004A59B1">
        <w:rPr>
          <w:color w:val="000000"/>
          <w:sz w:val="22"/>
          <w:szCs w:val="22"/>
          <w:lang w:val="fi-FI"/>
        </w:rPr>
        <w:t xml:space="preserve"> Pri pediatričnih bolnikih s </w:t>
      </w:r>
      <w:r w:rsidR="00677326" w:rsidRPr="004A59B1">
        <w:rPr>
          <w:color w:val="000000"/>
          <w:sz w:val="22"/>
          <w:szCs w:val="22"/>
          <w:lang w:val="fi-FI"/>
        </w:rPr>
        <w:t>KML</w:t>
      </w:r>
      <w:r w:rsidR="00943A0A" w:rsidRPr="004A59B1">
        <w:rPr>
          <w:color w:val="000000"/>
          <w:sz w:val="22"/>
          <w:szCs w:val="22"/>
          <w:lang w:val="fi-FI"/>
        </w:rPr>
        <w:t xml:space="preserve"> so izmed toksičnih učinkov najpogosteje </w:t>
      </w:r>
      <w:r w:rsidR="00BC4835" w:rsidRPr="004A59B1">
        <w:rPr>
          <w:color w:val="000000"/>
          <w:sz w:val="22"/>
          <w:szCs w:val="22"/>
          <w:lang w:val="fi-FI"/>
        </w:rPr>
        <w:t>opažali</w:t>
      </w:r>
      <w:r w:rsidR="00943A0A" w:rsidRPr="004A59B1">
        <w:rPr>
          <w:color w:val="000000"/>
          <w:sz w:val="22"/>
          <w:szCs w:val="22"/>
          <w:lang w:val="fi-FI"/>
        </w:rPr>
        <w:t xml:space="preserve"> citopenije 3. ali 4. stopnje, k</w:t>
      </w:r>
      <w:r w:rsidR="00F64413" w:rsidRPr="004A59B1">
        <w:rPr>
          <w:color w:val="000000"/>
          <w:sz w:val="22"/>
          <w:szCs w:val="22"/>
          <w:lang w:val="fi-FI"/>
        </w:rPr>
        <w:t>i</w:t>
      </w:r>
      <w:r w:rsidR="00943A0A" w:rsidRPr="004A59B1">
        <w:rPr>
          <w:color w:val="000000"/>
          <w:sz w:val="22"/>
          <w:szCs w:val="22"/>
          <w:lang w:val="fi-FI"/>
        </w:rPr>
        <w:t xml:space="preserve"> vključuje nevtropenijo, trombocitopenijo in anemijo. Te se običajno pojavijo v prvih nekaj mesecih zdravljenja.</w:t>
      </w:r>
    </w:p>
    <w:p w14:paraId="5297994B" w14:textId="77777777" w:rsidR="003E56E2" w:rsidRPr="004A59B1" w:rsidRDefault="003E56E2" w:rsidP="009C1193">
      <w:pPr>
        <w:pStyle w:val="TextChar"/>
        <w:widowControl w:val="0"/>
        <w:spacing w:before="0"/>
        <w:jc w:val="left"/>
        <w:rPr>
          <w:color w:val="000000"/>
          <w:sz w:val="22"/>
          <w:szCs w:val="22"/>
          <w:lang w:val="fi-FI"/>
        </w:rPr>
      </w:pPr>
    </w:p>
    <w:p w14:paraId="5297994C" w14:textId="77777777" w:rsidR="00444D75" w:rsidRPr="004A59B1" w:rsidRDefault="003E56E2" w:rsidP="009C1193">
      <w:pPr>
        <w:pStyle w:val="TextChar"/>
        <w:widowControl w:val="0"/>
        <w:spacing w:before="0"/>
        <w:jc w:val="left"/>
        <w:rPr>
          <w:color w:val="000000"/>
          <w:sz w:val="22"/>
          <w:szCs w:val="22"/>
          <w:lang w:val="fi-FI"/>
        </w:rPr>
      </w:pPr>
      <w:r w:rsidRPr="004A59B1">
        <w:rPr>
          <w:color w:val="000000"/>
          <w:sz w:val="22"/>
          <w:szCs w:val="22"/>
          <w:lang w:val="fi-FI"/>
        </w:rPr>
        <w:t>V študiji pri bolnikih z neresektabilnimi in/ali metastatskimi GIST</w:t>
      </w:r>
      <w:r w:rsidR="00444D75" w:rsidRPr="004A59B1">
        <w:rPr>
          <w:color w:val="000000"/>
          <w:sz w:val="22"/>
          <w:szCs w:val="22"/>
          <w:lang w:val="fi-FI"/>
        </w:rPr>
        <w:t xml:space="preserve"> so poročali o anemiji 3. in 4. stopnje pri 5,4 % oziroma 0,7 % bolnikov. Anemija je bila lahko vsaj pri nekaterih od teh bolnikov povezana z gastrointestinalnimi ali intratumorskimi krvavitvami. Nevtropenijo 3. in 4. stopnje so odkrili pri 7,5 % oziroma 2,7 % bolnikov, trombocitopenijo 3. stopnje pa pri 0,7 % bolnikov. Pri nobenem bolniku se ni razvila trombocitopenija 4. stopnje. Do zmanjšanja koncentracij belih krvničk (WBC</w:t>
      </w:r>
      <w:r w:rsidR="009F487C" w:rsidRPr="004A59B1">
        <w:rPr>
          <w:color w:val="000000"/>
          <w:sz w:val="22"/>
          <w:szCs w:val="22"/>
          <w:lang w:val="fi-FI"/>
        </w:rPr>
        <w:t xml:space="preserve"> - </w:t>
      </w:r>
      <w:r w:rsidR="009F487C" w:rsidRPr="004A59B1">
        <w:rPr>
          <w:i/>
          <w:color w:val="000000"/>
          <w:sz w:val="22"/>
          <w:szCs w:val="22"/>
          <w:lang w:val="fi-FI"/>
        </w:rPr>
        <w:t>white blood cell</w:t>
      </w:r>
      <w:r w:rsidR="00444D75" w:rsidRPr="004A59B1">
        <w:rPr>
          <w:color w:val="000000"/>
          <w:sz w:val="22"/>
          <w:szCs w:val="22"/>
          <w:lang w:val="fi-FI"/>
        </w:rPr>
        <w:t xml:space="preserve">) in nevtrofilcev je prišlo predvsem v prvih šestih tednih zdravljenja, zatem pa </w:t>
      </w:r>
      <w:r w:rsidR="00444D75" w:rsidRPr="004A59B1">
        <w:rPr>
          <w:color w:val="000000"/>
          <w:sz w:val="22"/>
          <w:szCs w:val="22"/>
          <w:lang w:val="fi-FI"/>
        </w:rPr>
        <w:lastRenderedPageBreak/>
        <w:t>so vrednosti ostale relativno stabilne.</w:t>
      </w:r>
    </w:p>
    <w:p w14:paraId="5297994D" w14:textId="77777777" w:rsidR="00444D75" w:rsidRPr="004A59B1" w:rsidRDefault="00444D75" w:rsidP="009C1193">
      <w:pPr>
        <w:pStyle w:val="TextChar"/>
        <w:widowControl w:val="0"/>
        <w:spacing w:before="0"/>
        <w:jc w:val="left"/>
        <w:rPr>
          <w:color w:val="000000"/>
          <w:sz w:val="22"/>
          <w:szCs w:val="22"/>
          <w:lang w:val="fi-FI"/>
        </w:rPr>
      </w:pPr>
    </w:p>
    <w:p w14:paraId="5297994E" w14:textId="77777777" w:rsidR="00444D75" w:rsidRPr="004A59B1" w:rsidRDefault="00444D75" w:rsidP="009C1193">
      <w:pPr>
        <w:pStyle w:val="TextChar"/>
        <w:keepNext/>
        <w:widowControl w:val="0"/>
        <w:spacing w:before="0"/>
        <w:jc w:val="left"/>
        <w:rPr>
          <w:color w:val="000000"/>
          <w:sz w:val="22"/>
          <w:szCs w:val="22"/>
          <w:lang w:val="fi-FI"/>
        </w:rPr>
      </w:pPr>
      <w:r w:rsidRPr="004A59B1">
        <w:rPr>
          <w:i/>
          <w:color w:val="000000"/>
          <w:sz w:val="22"/>
          <w:szCs w:val="22"/>
          <w:lang w:val="fi-FI"/>
        </w:rPr>
        <w:t>Biokemija</w:t>
      </w:r>
    </w:p>
    <w:p w14:paraId="5297994F" w14:textId="77777777" w:rsidR="00444D75" w:rsidRPr="004A59B1" w:rsidRDefault="00444D75" w:rsidP="009C1193">
      <w:pPr>
        <w:pStyle w:val="Text"/>
        <w:widowControl w:val="0"/>
        <w:spacing w:before="0"/>
        <w:jc w:val="left"/>
        <w:rPr>
          <w:rFonts w:eastAsia="MS Mincho"/>
          <w:color w:val="000000"/>
          <w:sz w:val="22"/>
          <w:szCs w:val="22"/>
          <w:lang w:val="fi-FI"/>
        </w:rPr>
      </w:pPr>
      <w:r w:rsidRPr="004A59B1">
        <w:rPr>
          <w:color w:val="000000"/>
          <w:sz w:val="22"/>
          <w:szCs w:val="22"/>
          <w:lang w:val="fi-FI"/>
        </w:rPr>
        <w:t xml:space="preserve">Pri bolnikih s </w:t>
      </w:r>
      <w:r w:rsidR="00677326" w:rsidRPr="004A59B1">
        <w:rPr>
          <w:color w:val="000000"/>
          <w:sz w:val="22"/>
          <w:szCs w:val="22"/>
          <w:lang w:val="fi-FI"/>
        </w:rPr>
        <w:t>KML</w:t>
      </w:r>
      <w:r w:rsidRPr="004A59B1">
        <w:rPr>
          <w:color w:val="000000"/>
          <w:sz w:val="22"/>
          <w:szCs w:val="22"/>
          <w:lang w:val="fi-FI"/>
        </w:rPr>
        <w:t xml:space="preserve"> </w:t>
      </w:r>
      <w:r w:rsidR="00555CC8" w:rsidRPr="004A59B1">
        <w:rPr>
          <w:color w:val="000000"/>
          <w:sz w:val="22"/>
          <w:szCs w:val="22"/>
          <w:lang w:val="fi-FI"/>
        </w:rPr>
        <w:t xml:space="preserve">so opažali </w:t>
      </w:r>
      <w:r w:rsidRPr="004A59B1">
        <w:rPr>
          <w:color w:val="000000"/>
          <w:sz w:val="22"/>
          <w:szCs w:val="22"/>
          <w:lang w:val="fi-FI"/>
        </w:rPr>
        <w:t xml:space="preserve">močno zvišanje </w:t>
      </w:r>
      <w:r w:rsidR="00DE7EB6" w:rsidRPr="004A59B1">
        <w:rPr>
          <w:color w:val="000000"/>
          <w:sz w:val="22"/>
          <w:szCs w:val="22"/>
          <w:lang w:val="fi-FI"/>
        </w:rPr>
        <w:t>aminotransferaz</w:t>
      </w:r>
      <w:r w:rsidR="00555CC8" w:rsidRPr="004A59B1">
        <w:rPr>
          <w:color w:val="000000"/>
          <w:sz w:val="22"/>
          <w:szCs w:val="22"/>
          <w:lang w:val="fi-FI"/>
        </w:rPr>
        <w:t xml:space="preserve"> (&lt;5 %)</w:t>
      </w:r>
      <w:r w:rsidRPr="004A59B1">
        <w:rPr>
          <w:color w:val="000000"/>
          <w:sz w:val="22"/>
          <w:szCs w:val="22"/>
          <w:lang w:val="fi-FI"/>
        </w:rPr>
        <w:t xml:space="preserve"> ali bilirubina</w:t>
      </w:r>
      <w:r w:rsidR="00555CC8" w:rsidRPr="004A59B1">
        <w:rPr>
          <w:color w:val="000000"/>
          <w:sz w:val="22"/>
          <w:szCs w:val="22"/>
          <w:lang w:val="fi-FI"/>
        </w:rPr>
        <w:t xml:space="preserve"> (&lt;1 %)</w:t>
      </w:r>
      <w:r w:rsidR="00FC5090" w:rsidRPr="004A59B1">
        <w:rPr>
          <w:color w:val="000000"/>
          <w:sz w:val="22"/>
          <w:szCs w:val="22"/>
          <w:lang w:val="fi-FI"/>
        </w:rPr>
        <w:t>. N</w:t>
      </w:r>
      <w:r w:rsidRPr="004A59B1">
        <w:rPr>
          <w:color w:val="000000"/>
          <w:sz w:val="22"/>
          <w:szCs w:val="22"/>
          <w:lang w:val="fi-FI"/>
        </w:rPr>
        <w:t xml:space="preserve">avadno </w:t>
      </w:r>
      <w:r w:rsidR="00396D2D" w:rsidRPr="004A59B1">
        <w:rPr>
          <w:color w:val="000000"/>
          <w:sz w:val="22"/>
          <w:szCs w:val="22"/>
          <w:lang w:val="fi-FI"/>
        </w:rPr>
        <w:t xml:space="preserve">so to </w:t>
      </w:r>
      <w:r w:rsidRPr="004A59B1">
        <w:rPr>
          <w:color w:val="000000"/>
          <w:sz w:val="22"/>
          <w:szCs w:val="22"/>
          <w:lang w:val="fi-FI"/>
        </w:rPr>
        <w:t>urejali z zmanjšanjem odmerka ali s prekinitvijo zdravljenja (</w:t>
      </w:r>
      <w:r w:rsidR="00FC7D64" w:rsidRPr="004A59B1">
        <w:rPr>
          <w:color w:val="000000"/>
          <w:sz w:val="22"/>
          <w:szCs w:val="22"/>
          <w:lang w:val="fi-FI"/>
        </w:rPr>
        <w:t>mediano</w:t>
      </w:r>
      <w:r w:rsidRPr="004A59B1">
        <w:rPr>
          <w:color w:val="000000"/>
          <w:sz w:val="22"/>
          <w:szCs w:val="22"/>
          <w:lang w:val="fi-FI"/>
        </w:rPr>
        <w:t xml:space="preserve"> trajanje teh epizod je bilo približno en teden). Zaradi jetrnih laboratorijskih nenormalnosti so zdravljenje trajno prekinili pri manj kot </w:t>
      </w:r>
      <w:r w:rsidR="00FD2281" w:rsidRPr="004A59B1">
        <w:rPr>
          <w:color w:val="000000"/>
          <w:sz w:val="22"/>
          <w:szCs w:val="22"/>
          <w:lang w:val="fi-FI"/>
        </w:rPr>
        <w:t>1</w:t>
      </w:r>
      <w:r w:rsidRPr="004A59B1">
        <w:rPr>
          <w:color w:val="000000"/>
          <w:sz w:val="22"/>
          <w:szCs w:val="22"/>
          <w:lang w:val="fi-FI"/>
        </w:rPr>
        <w:t xml:space="preserve"> % bolnikov s </w:t>
      </w:r>
      <w:r w:rsidR="00677326" w:rsidRPr="004A59B1">
        <w:rPr>
          <w:color w:val="000000"/>
          <w:sz w:val="22"/>
          <w:szCs w:val="22"/>
          <w:lang w:val="fi-FI"/>
        </w:rPr>
        <w:t>KML</w:t>
      </w:r>
      <w:r w:rsidRPr="004A59B1">
        <w:rPr>
          <w:color w:val="000000"/>
          <w:sz w:val="22"/>
          <w:szCs w:val="22"/>
          <w:lang w:val="fi-FI"/>
        </w:rPr>
        <w:t>. Pri bolnikih z GIST (študija B2222) so ugotovili 6,8 % zvišanj ALT (alanin</w:t>
      </w:r>
      <w:r w:rsidR="00941CAD" w:rsidRPr="004A59B1">
        <w:rPr>
          <w:color w:val="000000"/>
          <w:sz w:val="22"/>
          <w:szCs w:val="22"/>
          <w:lang w:val="fi-FI"/>
        </w:rPr>
        <w:t>-</w:t>
      </w:r>
      <w:r w:rsidRPr="004A59B1">
        <w:rPr>
          <w:color w:val="000000"/>
          <w:sz w:val="22"/>
          <w:szCs w:val="22"/>
          <w:lang w:val="fi-FI"/>
        </w:rPr>
        <w:t>aminotransferaza) stopnje 3 ali 4 in 4,8 % zvišanj AST (aspartat</w:t>
      </w:r>
      <w:r w:rsidR="00932482" w:rsidRPr="004A59B1">
        <w:rPr>
          <w:color w:val="000000"/>
          <w:sz w:val="22"/>
          <w:szCs w:val="22"/>
          <w:lang w:val="fi-FI"/>
        </w:rPr>
        <w:t>-</w:t>
      </w:r>
      <w:r w:rsidRPr="004A59B1">
        <w:rPr>
          <w:color w:val="000000"/>
          <w:sz w:val="22"/>
          <w:szCs w:val="22"/>
          <w:lang w:val="fi-FI"/>
        </w:rPr>
        <w:t>aminotransferaza) stopnje 3 ali 4. Zvišanje bilirubina je bilo pod 3 %.</w:t>
      </w:r>
    </w:p>
    <w:p w14:paraId="52979950" w14:textId="77777777" w:rsidR="00444D75" w:rsidRPr="004A59B1" w:rsidRDefault="00444D75" w:rsidP="009C1193">
      <w:pPr>
        <w:pStyle w:val="TextChar"/>
        <w:widowControl w:val="0"/>
        <w:spacing w:before="0"/>
        <w:jc w:val="left"/>
        <w:rPr>
          <w:color w:val="000000"/>
          <w:sz w:val="22"/>
          <w:szCs w:val="22"/>
          <w:lang w:val="fi-FI"/>
        </w:rPr>
      </w:pPr>
    </w:p>
    <w:p w14:paraId="52979951" w14:textId="77777777" w:rsidR="00444D75" w:rsidRPr="004A59B1" w:rsidRDefault="00444D75" w:rsidP="009C1193">
      <w:pPr>
        <w:pStyle w:val="TextChar"/>
        <w:widowControl w:val="0"/>
        <w:spacing w:before="0"/>
        <w:jc w:val="left"/>
        <w:rPr>
          <w:color w:val="000000"/>
          <w:sz w:val="22"/>
          <w:szCs w:val="22"/>
          <w:lang w:val="fi-FI"/>
        </w:rPr>
      </w:pPr>
      <w:r w:rsidRPr="004A59B1">
        <w:rPr>
          <w:color w:val="000000"/>
          <w:sz w:val="22"/>
          <w:szCs w:val="22"/>
          <w:lang w:val="fi-FI"/>
        </w:rPr>
        <w:t>Nekaj je bilo primerov citolitičnega in holestatičnega hepatitisa in odpovedi jeter, nekateri primeri so se končali s smrtjo, vključno z enim bolnikom, ki je jemal velike odmerke paracetamola.</w:t>
      </w:r>
      <w:bookmarkEnd w:id="4"/>
      <w:bookmarkEnd w:id="5"/>
    </w:p>
    <w:p w14:paraId="52979952" w14:textId="77777777" w:rsidR="00444D75" w:rsidRDefault="00444D75" w:rsidP="009C1193">
      <w:pPr>
        <w:pStyle w:val="TextChar"/>
        <w:widowControl w:val="0"/>
        <w:spacing w:before="0"/>
        <w:jc w:val="left"/>
        <w:rPr>
          <w:color w:val="000000"/>
          <w:sz w:val="22"/>
          <w:szCs w:val="22"/>
          <w:lang w:val="fi-FI"/>
        </w:rPr>
      </w:pPr>
    </w:p>
    <w:p w14:paraId="52979953" w14:textId="77777777" w:rsidR="00D15F5C" w:rsidRDefault="00D15F5C" w:rsidP="009C1193">
      <w:pPr>
        <w:keepNext/>
        <w:widowControl w:val="0"/>
        <w:rPr>
          <w:szCs w:val="22"/>
          <w:u w:val="single"/>
          <w:lang w:val="fi-FI"/>
        </w:rPr>
      </w:pPr>
      <w:r w:rsidRPr="00850486">
        <w:rPr>
          <w:szCs w:val="22"/>
          <w:u w:val="single"/>
          <w:lang w:val="fi-FI"/>
        </w:rPr>
        <w:t>Opis izbranih neželenih učinkov</w:t>
      </w:r>
    </w:p>
    <w:p w14:paraId="52979954" w14:textId="77777777" w:rsidR="00D15F5C" w:rsidRPr="00850486" w:rsidRDefault="00D15F5C" w:rsidP="009C1193">
      <w:pPr>
        <w:keepNext/>
        <w:widowControl w:val="0"/>
        <w:rPr>
          <w:i/>
          <w:sz w:val="18"/>
          <w:szCs w:val="18"/>
          <w:lang w:val="fi-FI"/>
        </w:rPr>
      </w:pPr>
      <w:r w:rsidRPr="00850486">
        <w:rPr>
          <w:i/>
          <w:snapToGrid w:val="0"/>
          <w:color w:val="000000"/>
          <w:szCs w:val="22"/>
          <w:u w:val="single"/>
          <w:lang w:val="pl-PL"/>
        </w:rPr>
        <w:t>Reaktivacija hepatitisa B</w:t>
      </w:r>
    </w:p>
    <w:p w14:paraId="52979955" w14:textId="77777777" w:rsidR="00D15F5C" w:rsidRPr="00850486" w:rsidRDefault="00D15F5C" w:rsidP="009C1193">
      <w:pPr>
        <w:pStyle w:val="TextChar"/>
        <w:widowControl w:val="0"/>
        <w:spacing w:before="0"/>
        <w:jc w:val="left"/>
        <w:rPr>
          <w:color w:val="000000"/>
          <w:sz w:val="22"/>
          <w:szCs w:val="22"/>
          <w:lang w:val="fi-FI"/>
        </w:rPr>
      </w:pPr>
      <w:r w:rsidRPr="00850486">
        <w:rPr>
          <w:color w:val="000000"/>
          <w:sz w:val="22"/>
          <w:szCs w:val="22"/>
          <w:lang w:val="fi-FI"/>
        </w:rPr>
        <w:t>V zvezi z zaviralci BCR-ABL tirozin-kinaze so poročali o reaktivaciji hepatitisa B. V nekaterih primerih je prišlo do akutne odpovedi jeter ali fulminantnega hepatitisa in posledično do presaditve jeter ali smrtnega izida (glej</w:t>
      </w:r>
      <w:r>
        <w:rPr>
          <w:color w:val="000000"/>
          <w:sz w:val="22"/>
          <w:szCs w:val="22"/>
          <w:lang w:val="fi-FI"/>
        </w:rPr>
        <w:t>te</w:t>
      </w:r>
      <w:r w:rsidRPr="00850486">
        <w:rPr>
          <w:color w:val="000000"/>
          <w:sz w:val="22"/>
          <w:szCs w:val="22"/>
          <w:lang w:val="fi-FI"/>
        </w:rPr>
        <w:t xml:space="preserve"> poglavje</w:t>
      </w:r>
      <w:r w:rsidR="00850486">
        <w:rPr>
          <w:color w:val="000000"/>
          <w:sz w:val="22"/>
          <w:szCs w:val="22"/>
          <w:lang w:val="fi-FI"/>
        </w:rPr>
        <w:t> </w:t>
      </w:r>
      <w:r w:rsidRPr="00850486">
        <w:rPr>
          <w:color w:val="000000"/>
          <w:sz w:val="22"/>
          <w:szCs w:val="22"/>
          <w:lang w:val="fi-FI"/>
        </w:rPr>
        <w:t>4.4).</w:t>
      </w:r>
    </w:p>
    <w:p w14:paraId="52979956" w14:textId="77777777" w:rsidR="00D15F5C" w:rsidRPr="004A59B1" w:rsidRDefault="00D15F5C" w:rsidP="009C1193">
      <w:pPr>
        <w:pStyle w:val="TextChar"/>
        <w:widowControl w:val="0"/>
        <w:spacing w:before="0"/>
        <w:jc w:val="left"/>
        <w:rPr>
          <w:color w:val="000000"/>
          <w:sz w:val="22"/>
          <w:szCs w:val="22"/>
          <w:lang w:val="fi-FI"/>
        </w:rPr>
      </w:pPr>
    </w:p>
    <w:p w14:paraId="52979957" w14:textId="77777777" w:rsidR="00DF11AB" w:rsidRPr="004A59B1" w:rsidRDefault="00DF11AB" w:rsidP="009C1193">
      <w:pPr>
        <w:keepNext/>
        <w:widowControl w:val="0"/>
        <w:rPr>
          <w:szCs w:val="22"/>
          <w:u w:val="single"/>
          <w:lang w:val="fi-FI"/>
        </w:rPr>
      </w:pPr>
      <w:r w:rsidRPr="004A59B1">
        <w:rPr>
          <w:szCs w:val="22"/>
          <w:u w:val="single"/>
          <w:lang w:val="fi-FI"/>
        </w:rPr>
        <w:t>Poročanje o domnevnih neželenih učinkih</w:t>
      </w:r>
    </w:p>
    <w:p w14:paraId="52979958" w14:textId="77777777" w:rsidR="00DF11AB" w:rsidRPr="004A59B1" w:rsidRDefault="00DF11AB" w:rsidP="009C1193">
      <w:pPr>
        <w:pStyle w:val="TextChar"/>
        <w:widowControl w:val="0"/>
        <w:spacing w:before="0"/>
        <w:jc w:val="left"/>
        <w:rPr>
          <w:sz w:val="22"/>
          <w:szCs w:val="22"/>
          <w:lang w:val="fi-FI"/>
        </w:rPr>
      </w:pPr>
      <w:r w:rsidRPr="004A59B1">
        <w:rPr>
          <w:sz w:val="22"/>
          <w:szCs w:val="22"/>
          <w:lang w:val="fi-FI"/>
        </w:rPr>
        <w:t xml:space="preserve">Poročanje o domnevnih neželenih učinkih zdravila po izdaji dovoljenja za promet je pomembno. Omogoča namreč stalno spremljanje razmerja med koristmi in tveganji zdravila. Od zdravstvenih delavcev se zahteva, da poročajo o katerem koli domnevnem neželenem učinku zdravila </w:t>
      </w:r>
      <w:r w:rsidRPr="00B24401">
        <w:rPr>
          <w:sz w:val="22"/>
          <w:szCs w:val="22"/>
          <w:lang w:val="fi-FI"/>
        </w:rPr>
        <w:t xml:space="preserve">na </w:t>
      </w:r>
      <w:r w:rsidRPr="004A59B1">
        <w:rPr>
          <w:sz w:val="22"/>
          <w:szCs w:val="22"/>
          <w:shd w:val="clear" w:color="auto" w:fill="D9D9D9"/>
          <w:lang w:val="fi-FI"/>
        </w:rPr>
        <w:t xml:space="preserve">nacionalni center za poročanje, ki je naveden v </w:t>
      </w:r>
      <w:hyperlink r:id="rId12" w:history="1">
        <w:r w:rsidR="009948B5" w:rsidRPr="004A59B1">
          <w:rPr>
            <w:rStyle w:val="Hyperlink"/>
            <w:noProof/>
            <w:sz w:val="22"/>
            <w:szCs w:val="22"/>
            <w:shd w:val="pct15" w:color="auto" w:fill="auto"/>
            <w:lang w:val="sl-SI"/>
          </w:rPr>
          <w:t>Prilogi V</w:t>
        </w:r>
      </w:hyperlink>
      <w:r w:rsidR="00B41012" w:rsidRPr="004A59B1">
        <w:rPr>
          <w:sz w:val="22"/>
          <w:szCs w:val="22"/>
          <w:shd w:val="clear" w:color="auto" w:fill="D9D9D9"/>
          <w:lang w:val="fi-FI"/>
        </w:rPr>
        <w:t>.</w:t>
      </w:r>
    </w:p>
    <w:p w14:paraId="52979959" w14:textId="77777777" w:rsidR="00DF11AB" w:rsidRPr="004A59B1" w:rsidRDefault="00DF11AB" w:rsidP="009C1193">
      <w:pPr>
        <w:pStyle w:val="TextChar"/>
        <w:widowControl w:val="0"/>
        <w:spacing w:before="0"/>
        <w:jc w:val="left"/>
        <w:rPr>
          <w:color w:val="000000"/>
          <w:sz w:val="22"/>
          <w:szCs w:val="22"/>
          <w:lang w:val="fi-FI"/>
        </w:rPr>
      </w:pPr>
    </w:p>
    <w:p w14:paraId="5297995A" w14:textId="77777777" w:rsidR="00444D75" w:rsidRPr="004A59B1" w:rsidRDefault="00444D75" w:rsidP="009C1193">
      <w:pPr>
        <w:keepNext/>
        <w:widowControl w:val="0"/>
        <w:tabs>
          <w:tab w:val="clear" w:pos="567"/>
        </w:tabs>
        <w:spacing w:line="240" w:lineRule="auto"/>
        <w:ind w:left="567" w:hanging="567"/>
        <w:rPr>
          <w:color w:val="000000"/>
          <w:szCs w:val="22"/>
          <w:lang w:val="fi-FI"/>
        </w:rPr>
      </w:pPr>
      <w:r w:rsidRPr="004A59B1">
        <w:rPr>
          <w:b/>
          <w:color w:val="000000"/>
          <w:szCs w:val="22"/>
          <w:lang w:val="fi-FI"/>
        </w:rPr>
        <w:t>4.9</w:t>
      </w:r>
      <w:r w:rsidRPr="004A59B1">
        <w:rPr>
          <w:b/>
          <w:color w:val="000000"/>
          <w:szCs w:val="22"/>
          <w:lang w:val="fi-FI"/>
        </w:rPr>
        <w:tab/>
        <w:t>Preveliko odmerjanje</w:t>
      </w:r>
    </w:p>
    <w:p w14:paraId="5297995B" w14:textId="77777777" w:rsidR="00444D75" w:rsidRPr="004A59B1" w:rsidRDefault="00444D75" w:rsidP="009C1193">
      <w:pPr>
        <w:keepNext/>
        <w:widowControl w:val="0"/>
        <w:tabs>
          <w:tab w:val="clear" w:pos="567"/>
        </w:tabs>
        <w:spacing w:line="240" w:lineRule="auto"/>
        <w:rPr>
          <w:color w:val="000000"/>
          <w:szCs w:val="22"/>
          <w:lang w:val="fi-FI"/>
        </w:rPr>
      </w:pPr>
    </w:p>
    <w:p w14:paraId="5297995C" w14:textId="77777777" w:rsidR="008E6FFD" w:rsidRPr="004A59B1" w:rsidRDefault="008E6FFD" w:rsidP="009C1193">
      <w:pPr>
        <w:widowControl w:val="0"/>
        <w:tabs>
          <w:tab w:val="clear" w:pos="567"/>
        </w:tabs>
        <w:spacing w:line="240" w:lineRule="auto"/>
        <w:rPr>
          <w:color w:val="000000"/>
          <w:szCs w:val="22"/>
          <w:lang w:val="fi-FI"/>
        </w:rPr>
      </w:pPr>
      <w:r w:rsidRPr="004A59B1">
        <w:rPr>
          <w:color w:val="000000"/>
          <w:szCs w:val="22"/>
          <w:lang w:val="fi-FI"/>
        </w:rPr>
        <w:t>Izkuš</w:t>
      </w:r>
      <w:r w:rsidR="00962729" w:rsidRPr="004A59B1">
        <w:rPr>
          <w:color w:val="000000"/>
          <w:szCs w:val="22"/>
          <w:lang w:val="fi-FI"/>
        </w:rPr>
        <w:t>e</w:t>
      </w:r>
      <w:r w:rsidRPr="004A59B1">
        <w:rPr>
          <w:color w:val="000000"/>
          <w:szCs w:val="22"/>
          <w:lang w:val="fi-FI"/>
        </w:rPr>
        <w:t xml:space="preserve">nj z odmerki, večjimi od terapevtskih, </w:t>
      </w:r>
      <w:r w:rsidR="00962729" w:rsidRPr="004A59B1">
        <w:rPr>
          <w:color w:val="000000"/>
          <w:szCs w:val="22"/>
          <w:lang w:val="fi-FI"/>
        </w:rPr>
        <w:t>ni veliko</w:t>
      </w:r>
      <w:r w:rsidRPr="004A59B1">
        <w:rPr>
          <w:color w:val="000000"/>
          <w:szCs w:val="22"/>
          <w:lang w:val="fi-FI"/>
        </w:rPr>
        <w:t xml:space="preserve">. V literaturi in spontano so poročali o posameznih primerih prevelikega odmerjanja zdravila Glivec. V primeru prevelikega odmerjanja je treba bolnika opazovati in mu nuditi ustrezno </w:t>
      </w:r>
      <w:r w:rsidR="00FC7D64" w:rsidRPr="004A59B1">
        <w:rPr>
          <w:color w:val="000000"/>
          <w:szCs w:val="22"/>
          <w:lang w:val="fi-FI"/>
        </w:rPr>
        <w:t>simptomatsko</w:t>
      </w:r>
      <w:r w:rsidRPr="004A59B1">
        <w:rPr>
          <w:color w:val="000000"/>
          <w:szCs w:val="22"/>
          <w:lang w:val="fi-FI"/>
        </w:rPr>
        <w:t xml:space="preserve"> zdravljenje. V navedenih primerih je bil izid </w:t>
      </w:r>
      <w:r w:rsidR="00A46BCE" w:rsidRPr="004A59B1">
        <w:rPr>
          <w:color w:val="000000"/>
          <w:szCs w:val="22"/>
          <w:lang w:val="fi-FI"/>
        </w:rPr>
        <w:t xml:space="preserve">prevelikega odmerjanja </w:t>
      </w:r>
      <w:r w:rsidRPr="004A59B1">
        <w:rPr>
          <w:color w:val="000000"/>
          <w:szCs w:val="22"/>
          <w:lang w:val="fi-FI"/>
        </w:rPr>
        <w:t xml:space="preserve">večinoma </w:t>
      </w:r>
      <w:r w:rsidR="00A46BCE" w:rsidRPr="004A59B1">
        <w:rPr>
          <w:color w:val="000000"/>
          <w:szCs w:val="22"/>
          <w:lang w:val="fi-FI"/>
        </w:rPr>
        <w:t xml:space="preserve">opisan kot </w:t>
      </w:r>
      <w:r w:rsidR="0050219E" w:rsidRPr="004A59B1">
        <w:rPr>
          <w:color w:val="000000"/>
          <w:szCs w:val="22"/>
          <w:lang w:val="fi-FI"/>
        </w:rPr>
        <w:t>“</w:t>
      </w:r>
      <w:r w:rsidRPr="004A59B1">
        <w:rPr>
          <w:color w:val="000000"/>
          <w:szCs w:val="22"/>
          <w:lang w:val="fi-FI"/>
        </w:rPr>
        <w:t>izboljšanje stanja</w:t>
      </w:r>
      <w:r w:rsidR="0050219E" w:rsidRPr="004A59B1">
        <w:rPr>
          <w:color w:val="000000"/>
          <w:szCs w:val="22"/>
          <w:lang w:val="fi-FI"/>
        </w:rPr>
        <w:t>”</w:t>
      </w:r>
      <w:r w:rsidRPr="004A59B1">
        <w:rPr>
          <w:color w:val="000000"/>
          <w:szCs w:val="22"/>
          <w:lang w:val="fi-FI"/>
        </w:rPr>
        <w:t xml:space="preserve"> ali </w:t>
      </w:r>
      <w:r w:rsidR="0050219E" w:rsidRPr="004A59B1">
        <w:rPr>
          <w:color w:val="000000"/>
          <w:szCs w:val="22"/>
          <w:lang w:val="fi-FI"/>
        </w:rPr>
        <w:t>“</w:t>
      </w:r>
      <w:r w:rsidRPr="004A59B1">
        <w:rPr>
          <w:color w:val="000000"/>
          <w:szCs w:val="22"/>
          <w:lang w:val="fi-FI"/>
        </w:rPr>
        <w:t>okrevanje</w:t>
      </w:r>
      <w:r w:rsidR="0050219E" w:rsidRPr="004A59B1">
        <w:rPr>
          <w:color w:val="000000"/>
          <w:szCs w:val="22"/>
          <w:lang w:val="fi-FI"/>
        </w:rPr>
        <w:t>”</w:t>
      </w:r>
      <w:r w:rsidRPr="004A59B1">
        <w:rPr>
          <w:color w:val="000000"/>
          <w:szCs w:val="22"/>
          <w:lang w:val="fi-FI"/>
        </w:rPr>
        <w:t xml:space="preserve">. </w:t>
      </w:r>
      <w:r w:rsidR="00C3187F" w:rsidRPr="004A59B1">
        <w:rPr>
          <w:color w:val="000000"/>
          <w:szCs w:val="22"/>
          <w:lang w:val="fi-FI"/>
        </w:rPr>
        <w:t xml:space="preserve">V različnih obsegih odmerkov </w:t>
      </w:r>
      <w:r w:rsidR="00EE6426" w:rsidRPr="004A59B1">
        <w:rPr>
          <w:color w:val="000000"/>
          <w:szCs w:val="22"/>
          <w:lang w:val="fi-FI"/>
        </w:rPr>
        <w:t>so poročali o naslednjih dogodkih:</w:t>
      </w:r>
    </w:p>
    <w:p w14:paraId="5297995D" w14:textId="77777777" w:rsidR="008E6FFD" w:rsidRPr="004A59B1" w:rsidRDefault="008E6FFD" w:rsidP="009C1193">
      <w:pPr>
        <w:widowControl w:val="0"/>
        <w:tabs>
          <w:tab w:val="clear" w:pos="567"/>
        </w:tabs>
        <w:spacing w:line="240" w:lineRule="auto"/>
        <w:rPr>
          <w:color w:val="000000"/>
          <w:szCs w:val="22"/>
          <w:lang w:val="fi-FI"/>
        </w:rPr>
      </w:pPr>
    </w:p>
    <w:p w14:paraId="5297995E" w14:textId="77777777" w:rsidR="008E6FFD" w:rsidRPr="004A59B1" w:rsidRDefault="009B3A61" w:rsidP="009C1193">
      <w:pPr>
        <w:keepNext/>
        <w:widowControl w:val="0"/>
        <w:tabs>
          <w:tab w:val="clear" w:pos="567"/>
        </w:tabs>
        <w:spacing w:line="240" w:lineRule="auto"/>
        <w:rPr>
          <w:i/>
          <w:iCs/>
          <w:color w:val="000000"/>
          <w:szCs w:val="22"/>
          <w:lang w:val="fi-FI"/>
        </w:rPr>
      </w:pPr>
      <w:r w:rsidRPr="004A59B1">
        <w:rPr>
          <w:i/>
          <w:iCs/>
          <w:color w:val="000000"/>
          <w:szCs w:val="22"/>
          <w:lang w:val="fi-FI"/>
        </w:rPr>
        <w:t>Odrasla populacija</w:t>
      </w:r>
    </w:p>
    <w:p w14:paraId="5297995F" w14:textId="77777777" w:rsidR="008E6FFD" w:rsidRPr="004A59B1" w:rsidRDefault="00C3187F" w:rsidP="009C1193">
      <w:pPr>
        <w:pStyle w:val="Text"/>
        <w:widowControl w:val="0"/>
        <w:spacing w:before="0"/>
        <w:jc w:val="left"/>
        <w:rPr>
          <w:color w:val="000000"/>
          <w:sz w:val="22"/>
          <w:szCs w:val="22"/>
          <w:lang w:val="fi-FI"/>
        </w:rPr>
      </w:pPr>
      <w:r w:rsidRPr="004A59B1">
        <w:rPr>
          <w:color w:val="000000"/>
          <w:sz w:val="22"/>
          <w:szCs w:val="22"/>
          <w:lang w:val="fi-FI"/>
        </w:rPr>
        <w:t>Odmerki</w:t>
      </w:r>
      <w:r w:rsidR="009B0919" w:rsidRPr="004A59B1">
        <w:rPr>
          <w:color w:val="000000"/>
          <w:sz w:val="22"/>
          <w:szCs w:val="22"/>
          <w:lang w:val="fi-FI"/>
        </w:rPr>
        <w:t xml:space="preserve"> od</w:t>
      </w:r>
      <w:r w:rsidRPr="004A59B1">
        <w:rPr>
          <w:color w:val="000000"/>
          <w:sz w:val="22"/>
          <w:szCs w:val="22"/>
          <w:lang w:val="fi-FI"/>
        </w:rPr>
        <w:t xml:space="preserve"> </w:t>
      </w:r>
      <w:r w:rsidR="008E6FFD" w:rsidRPr="004A59B1">
        <w:rPr>
          <w:color w:val="000000"/>
          <w:sz w:val="22"/>
          <w:szCs w:val="22"/>
          <w:lang w:val="fi-FI"/>
        </w:rPr>
        <w:t>1200</w:t>
      </w:r>
      <w:r w:rsidR="00C824E3" w:rsidRPr="004A59B1">
        <w:rPr>
          <w:color w:val="000000"/>
          <w:sz w:val="22"/>
          <w:szCs w:val="22"/>
          <w:lang w:val="fi-FI"/>
        </w:rPr>
        <w:t> </w:t>
      </w:r>
      <w:r w:rsidR="00576E16" w:rsidRPr="004A59B1">
        <w:rPr>
          <w:color w:val="000000"/>
          <w:sz w:val="22"/>
          <w:szCs w:val="22"/>
          <w:lang w:val="fi-FI"/>
        </w:rPr>
        <w:t xml:space="preserve">mg </w:t>
      </w:r>
      <w:r w:rsidR="009B0919" w:rsidRPr="004A59B1">
        <w:rPr>
          <w:color w:val="000000"/>
          <w:sz w:val="22"/>
          <w:szCs w:val="22"/>
          <w:lang w:val="fi-FI"/>
        </w:rPr>
        <w:t>do</w:t>
      </w:r>
      <w:r w:rsidR="008E6FFD" w:rsidRPr="004A59B1">
        <w:rPr>
          <w:color w:val="000000"/>
          <w:sz w:val="22"/>
          <w:szCs w:val="22"/>
          <w:lang w:val="fi-FI"/>
        </w:rPr>
        <w:t xml:space="preserve"> 1600 mg (</w:t>
      </w:r>
      <w:r w:rsidRPr="004A59B1">
        <w:rPr>
          <w:color w:val="000000"/>
          <w:sz w:val="22"/>
          <w:szCs w:val="22"/>
          <w:lang w:val="fi-FI"/>
        </w:rPr>
        <w:t>traj</w:t>
      </w:r>
      <w:r w:rsidR="00FE17CA" w:rsidRPr="004A59B1">
        <w:rPr>
          <w:color w:val="000000"/>
          <w:sz w:val="22"/>
          <w:szCs w:val="22"/>
          <w:lang w:val="fi-FI"/>
        </w:rPr>
        <w:t>a</w:t>
      </w:r>
      <w:r w:rsidRPr="004A59B1">
        <w:rPr>
          <w:color w:val="000000"/>
          <w:sz w:val="22"/>
          <w:szCs w:val="22"/>
          <w:lang w:val="fi-FI"/>
        </w:rPr>
        <w:t>nje zdravljenja od 1 do 10 dni)</w:t>
      </w:r>
      <w:r w:rsidR="008E6FFD" w:rsidRPr="004A59B1">
        <w:rPr>
          <w:color w:val="000000"/>
          <w:sz w:val="22"/>
          <w:szCs w:val="22"/>
          <w:lang w:val="fi-FI"/>
        </w:rPr>
        <w:t xml:space="preserve">: </w:t>
      </w:r>
      <w:r w:rsidRPr="004A59B1">
        <w:rPr>
          <w:color w:val="000000"/>
          <w:sz w:val="22"/>
          <w:szCs w:val="22"/>
          <w:lang w:val="fi-FI"/>
        </w:rPr>
        <w:t>navzea</w:t>
      </w:r>
      <w:r w:rsidR="008E6FFD" w:rsidRPr="004A59B1">
        <w:rPr>
          <w:color w:val="000000"/>
          <w:sz w:val="22"/>
          <w:szCs w:val="22"/>
          <w:lang w:val="fi-FI"/>
        </w:rPr>
        <w:t xml:space="preserve">, </w:t>
      </w:r>
      <w:r w:rsidRPr="004A59B1">
        <w:rPr>
          <w:color w:val="000000"/>
          <w:sz w:val="22"/>
          <w:szCs w:val="22"/>
          <w:lang w:val="fi-FI"/>
        </w:rPr>
        <w:t>bruhanje</w:t>
      </w:r>
      <w:r w:rsidR="008E6FFD" w:rsidRPr="004A59B1">
        <w:rPr>
          <w:color w:val="000000"/>
          <w:sz w:val="22"/>
          <w:szCs w:val="22"/>
          <w:lang w:val="fi-FI"/>
        </w:rPr>
        <w:t>, d</w:t>
      </w:r>
      <w:r w:rsidR="00B47D3F" w:rsidRPr="004A59B1">
        <w:rPr>
          <w:color w:val="000000"/>
          <w:sz w:val="22"/>
          <w:szCs w:val="22"/>
          <w:lang w:val="fi-FI"/>
        </w:rPr>
        <w:t>riska</w:t>
      </w:r>
      <w:r w:rsidR="008E6FFD" w:rsidRPr="004A59B1">
        <w:rPr>
          <w:color w:val="000000"/>
          <w:sz w:val="22"/>
          <w:szCs w:val="22"/>
          <w:lang w:val="fi-FI"/>
        </w:rPr>
        <w:t xml:space="preserve">, </w:t>
      </w:r>
      <w:r w:rsidR="00B47D3F" w:rsidRPr="004A59B1">
        <w:rPr>
          <w:color w:val="000000"/>
          <w:sz w:val="22"/>
          <w:szCs w:val="22"/>
          <w:lang w:val="fi-FI"/>
        </w:rPr>
        <w:t>izpuščaj</w:t>
      </w:r>
      <w:r w:rsidR="008E6FFD" w:rsidRPr="004A59B1">
        <w:rPr>
          <w:color w:val="000000"/>
          <w:sz w:val="22"/>
          <w:szCs w:val="22"/>
          <w:lang w:val="fi-FI"/>
        </w:rPr>
        <w:t xml:space="preserve">, </w:t>
      </w:r>
      <w:r w:rsidR="00B47D3F" w:rsidRPr="004A59B1">
        <w:rPr>
          <w:color w:val="000000"/>
          <w:sz w:val="22"/>
          <w:szCs w:val="22"/>
          <w:lang w:val="fi-FI"/>
        </w:rPr>
        <w:t>eritem</w:t>
      </w:r>
      <w:r w:rsidR="008E6FFD" w:rsidRPr="004A59B1">
        <w:rPr>
          <w:color w:val="000000"/>
          <w:sz w:val="22"/>
          <w:szCs w:val="22"/>
          <w:lang w:val="fi-FI"/>
        </w:rPr>
        <w:t xml:space="preserve">, </w:t>
      </w:r>
      <w:r w:rsidR="00B47D3F" w:rsidRPr="004A59B1">
        <w:rPr>
          <w:color w:val="000000"/>
          <w:sz w:val="22"/>
          <w:szCs w:val="22"/>
          <w:lang w:val="fi-FI"/>
        </w:rPr>
        <w:t>edemi</w:t>
      </w:r>
      <w:r w:rsidR="008E6FFD" w:rsidRPr="004A59B1">
        <w:rPr>
          <w:color w:val="000000"/>
          <w:sz w:val="22"/>
          <w:szCs w:val="22"/>
          <w:lang w:val="fi-FI"/>
        </w:rPr>
        <w:t xml:space="preserve">, </w:t>
      </w:r>
      <w:r w:rsidR="00B47D3F" w:rsidRPr="004A59B1">
        <w:rPr>
          <w:color w:val="000000"/>
          <w:sz w:val="22"/>
          <w:szCs w:val="22"/>
          <w:lang w:val="fi-FI"/>
        </w:rPr>
        <w:t>otekanje</w:t>
      </w:r>
      <w:r w:rsidR="008E6FFD" w:rsidRPr="004A59B1">
        <w:rPr>
          <w:color w:val="000000"/>
          <w:sz w:val="22"/>
          <w:szCs w:val="22"/>
          <w:lang w:val="fi-FI"/>
        </w:rPr>
        <w:t xml:space="preserve">, </w:t>
      </w:r>
      <w:r w:rsidR="00B47D3F" w:rsidRPr="004A59B1">
        <w:rPr>
          <w:color w:val="000000"/>
          <w:sz w:val="22"/>
          <w:szCs w:val="22"/>
          <w:lang w:val="fi-FI"/>
        </w:rPr>
        <w:t>utrujenost</w:t>
      </w:r>
      <w:r w:rsidR="008E6FFD" w:rsidRPr="004A59B1">
        <w:rPr>
          <w:color w:val="000000"/>
          <w:sz w:val="22"/>
          <w:szCs w:val="22"/>
          <w:lang w:val="fi-FI"/>
        </w:rPr>
        <w:t>, m</w:t>
      </w:r>
      <w:r w:rsidR="00B47D3F" w:rsidRPr="004A59B1">
        <w:rPr>
          <w:color w:val="000000"/>
          <w:sz w:val="22"/>
          <w:szCs w:val="22"/>
          <w:lang w:val="fi-FI"/>
        </w:rPr>
        <w:t>išični spazmi</w:t>
      </w:r>
      <w:r w:rsidR="008E6FFD" w:rsidRPr="004A59B1">
        <w:rPr>
          <w:color w:val="000000"/>
          <w:sz w:val="22"/>
          <w:szCs w:val="22"/>
          <w:lang w:val="fi-FI"/>
        </w:rPr>
        <w:t>, t</w:t>
      </w:r>
      <w:r w:rsidR="00B47D3F" w:rsidRPr="004A59B1">
        <w:rPr>
          <w:color w:val="000000"/>
          <w:sz w:val="22"/>
          <w:szCs w:val="22"/>
          <w:lang w:val="fi-FI"/>
        </w:rPr>
        <w:t>rombocitopenija</w:t>
      </w:r>
      <w:r w:rsidR="008E6FFD" w:rsidRPr="004A59B1">
        <w:rPr>
          <w:color w:val="000000"/>
          <w:sz w:val="22"/>
          <w:szCs w:val="22"/>
          <w:lang w:val="fi-FI"/>
        </w:rPr>
        <w:t>, pan</w:t>
      </w:r>
      <w:r w:rsidR="00B47D3F" w:rsidRPr="004A59B1">
        <w:rPr>
          <w:color w:val="000000"/>
          <w:sz w:val="22"/>
          <w:szCs w:val="22"/>
          <w:lang w:val="fi-FI"/>
        </w:rPr>
        <w:t>citopenija</w:t>
      </w:r>
      <w:r w:rsidR="008E6FFD" w:rsidRPr="004A59B1">
        <w:rPr>
          <w:color w:val="000000"/>
          <w:sz w:val="22"/>
          <w:szCs w:val="22"/>
          <w:lang w:val="fi-FI"/>
        </w:rPr>
        <w:t xml:space="preserve">, </w:t>
      </w:r>
      <w:r w:rsidR="00B47D3F" w:rsidRPr="004A59B1">
        <w:rPr>
          <w:color w:val="000000"/>
          <w:sz w:val="22"/>
          <w:szCs w:val="22"/>
          <w:lang w:val="fi-FI"/>
        </w:rPr>
        <w:t>bolečine v trebuhu</w:t>
      </w:r>
      <w:r w:rsidR="00FE17CA" w:rsidRPr="004A59B1">
        <w:rPr>
          <w:color w:val="000000"/>
          <w:sz w:val="22"/>
          <w:szCs w:val="22"/>
          <w:lang w:val="fi-FI"/>
        </w:rPr>
        <w:t>, glavobol</w:t>
      </w:r>
      <w:r w:rsidR="008E6FFD" w:rsidRPr="004A59B1">
        <w:rPr>
          <w:color w:val="000000"/>
          <w:sz w:val="22"/>
          <w:szCs w:val="22"/>
          <w:lang w:val="fi-FI"/>
        </w:rPr>
        <w:t xml:space="preserve">, </w:t>
      </w:r>
      <w:r w:rsidR="00FE17CA" w:rsidRPr="004A59B1">
        <w:rPr>
          <w:color w:val="000000"/>
          <w:sz w:val="22"/>
          <w:szCs w:val="22"/>
          <w:lang w:val="fi-FI"/>
        </w:rPr>
        <w:t xml:space="preserve">zmanjšan </w:t>
      </w:r>
      <w:r w:rsidR="00937923" w:rsidRPr="004A59B1">
        <w:rPr>
          <w:color w:val="000000"/>
          <w:sz w:val="22"/>
          <w:szCs w:val="22"/>
          <w:lang w:val="fi-FI"/>
        </w:rPr>
        <w:t>tek</w:t>
      </w:r>
      <w:r w:rsidR="00467BFD" w:rsidRPr="004A59B1">
        <w:rPr>
          <w:color w:val="000000"/>
          <w:sz w:val="22"/>
          <w:szCs w:val="22"/>
          <w:lang w:val="fi-FI"/>
        </w:rPr>
        <w:t>.</w:t>
      </w:r>
    </w:p>
    <w:p w14:paraId="52979960" w14:textId="77777777" w:rsidR="008E6FFD" w:rsidRPr="004A59B1" w:rsidRDefault="00EB2EDB" w:rsidP="009C1193">
      <w:pPr>
        <w:pStyle w:val="Text"/>
        <w:widowControl w:val="0"/>
        <w:spacing w:before="0"/>
        <w:jc w:val="left"/>
        <w:rPr>
          <w:color w:val="000000"/>
          <w:sz w:val="22"/>
          <w:szCs w:val="22"/>
          <w:lang w:val="fi-FI"/>
        </w:rPr>
      </w:pPr>
      <w:r w:rsidRPr="004A59B1">
        <w:rPr>
          <w:color w:val="000000"/>
          <w:sz w:val="22"/>
          <w:szCs w:val="22"/>
          <w:lang w:val="fi-FI"/>
        </w:rPr>
        <w:t>Odmerki od 1800</w:t>
      </w:r>
      <w:r w:rsidR="00C824E3" w:rsidRPr="004A59B1">
        <w:rPr>
          <w:color w:val="000000"/>
          <w:sz w:val="22"/>
          <w:szCs w:val="22"/>
          <w:lang w:val="fi-FI"/>
        </w:rPr>
        <w:t> </w:t>
      </w:r>
      <w:r w:rsidR="00576E16" w:rsidRPr="004A59B1">
        <w:rPr>
          <w:color w:val="000000"/>
          <w:sz w:val="22"/>
          <w:szCs w:val="22"/>
          <w:lang w:val="fi-FI"/>
        </w:rPr>
        <w:t>mg</w:t>
      </w:r>
      <w:r w:rsidRPr="004A59B1">
        <w:rPr>
          <w:color w:val="000000"/>
          <w:sz w:val="22"/>
          <w:szCs w:val="22"/>
          <w:lang w:val="fi-FI"/>
        </w:rPr>
        <w:t xml:space="preserve"> d</w:t>
      </w:r>
      <w:r w:rsidR="008E6FFD" w:rsidRPr="004A59B1">
        <w:rPr>
          <w:color w:val="000000"/>
          <w:sz w:val="22"/>
          <w:szCs w:val="22"/>
          <w:lang w:val="fi-FI"/>
        </w:rPr>
        <w:t>o 3200 mg (</w:t>
      </w:r>
      <w:r w:rsidRPr="004A59B1">
        <w:rPr>
          <w:color w:val="000000"/>
          <w:sz w:val="22"/>
          <w:szCs w:val="22"/>
          <w:lang w:val="fi-FI"/>
        </w:rPr>
        <w:t xml:space="preserve">tudi do </w:t>
      </w:r>
      <w:r w:rsidR="008E6FFD" w:rsidRPr="004A59B1">
        <w:rPr>
          <w:color w:val="000000"/>
          <w:sz w:val="22"/>
          <w:szCs w:val="22"/>
          <w:lang w:val="fi-FI"/>
        </w:rPr>
        <w:t xml:space="preserve">3200 mg </w:t>
      </w:r>
      <w:r w:rsidRPr="004A59B1">
        <w:rPr>
          <w:color w:val="000000"/>
          <w:sz w:val="22"/>
          <w:szCs w:val="22"/>
          <w:lang w:val="fi-FI"/>
        </w:rPr>
        <w:t xml:space="preserve">na dan </w:t>
      </w:r>
      <w:r w:rsidR="008E6FFD" w:rsidRPr="004A59B1">
        <w:rPr>
          <w:color w:val="000000"/>
          <w:sz w:val="22"/>
          <w:szCs w:val="22"/>
          <w:lang w:val="fi-FI"/>
        </w:rPr>
        <w:t>6 d</w:t>
      </w:r>
      <w:r w:rsidRPr="004A59B1">
        <w:rPr>
          <w:color w:val="000000"/>
          <w:sz w:val="22"/>
          <w:szCs w:val="22"/>
          <w:lang w:val="fi-FI"/>
        </w:rPr>
        <w:t>ni</w:t>
      </w:r>
      <w:r w:rsidR="008E6FFD" w:rsidRPr="004A59B1">
        <w:rPr>
          <w:color w:val="000000"/>
          <w:sz w:val="22"/>
          <w:szCs w:val="22"/>
          <w:lang w:val="fi-FI"/>
        </w:rPr>
        <w:t xml:space="preserve">): </w:t>
      </w:r>
      <w:r w:rsidR="009E5F5C" w:rsidRPr="004A59B1">
        <w:rPr>
          <w:color w:val="000000"/>
          <w:sz w:val="22"/>
          <w:szCs w:val="22"/>
          <w:lang w:val="fi-FI"/>
        </w:rPr>
        <w:t>oslabelost</w:t>
      </w:r>
      <w:r w:rsidR="008E6FFD" w:rsidRPr="004A59B1">
        <w:rPr>
          <w:color w:val="000000"/>
          <w:sz w:val="22"/>
          <w:szCs w:val="22"/>
          <w:lang w:val="fi-FI"/>
        </w:rPr>
        <w:t>, m</w:t>
      </w:r>
      <w:r w:rsidR="009E5F5C" w:rsidRPr="004A59B1">
        <w:rPr>
          <w:color w:val="000000"/>
          <w:sz w:val="22"/>
          <w:szCs w:val="22"/>
          <w:lang w:val="fi-FI"/>
        </w:rPr>
        <w:t>ialgija</w:t>
      </w:r>
      <w:r w:rsidR="008E6FFD" w:rsidRPr="004A59B1">
        <w:rPr>
          <w:color w:val="000000"/>
          <w:sz w:val="22"/>
          <w:szCs w:val="22"/>
          <w:lang w:val="fi-FI"/>
        </w:rPr>
        <w:t xml:space="preserve">, </w:t>
      </w:r>
      <w:r w:rsidR="009E5F5C" w:rsidRPr="004A59B1">
        <w:rPr>
          <w:color w:val="000000"/>
          <w:sz w:val="22"/>
          <w:szCs w:val="22"/>
          <w:lang w:val="fi-FI"/>
        </w:rPr>
        <w:t>zvišana kreatin-kinaza, zvišan bilirubin</w:t>
      </w:r>
      <w:r w:rsidR="008E6FFD" w:rsidRPr="004A59B1">
        <w:rPr>
          <w:color w:val="000000"/>
          <w:sz w:val="22"/>
          <w:szCs w:val="22"/>
          <w:lang w:val="fi-FI"/>
        </w:rPr>
        <w:t xml:space="preserve">, </w:t>
      </w:r>
      <w:r w:rsidR="00467BFD" w:rsidRPr="004A59B1">
        <w:rPr>
          <w:color w:val="000000"/>
          <w:sz w:val="22"/>
          <w:szCs w:val="22"/>
          <w:lang w:val="fi-FI"/>
        </w:rPr>
        <w:t>bolečine v prebavilih</w:t>
      </w:r>
      <w:r w:rsidR="008E6FFD" w:rsidRPr="004A59B1">
        <w:rPr>
          <w:color w:val="000000"/>
          <w:sz w:val="22"/>
          <w:szCs w:val="22"/>
          <w:lang w:val="fi-FI"/>
        </w:rPr>
        <w:t>.</w:t>
      </w:r>
    </w:p>
    <w:p w14:paraId="52979961" w14:textId="77777777" w:rsidR="008E6FFD" w:rsidRPr="004A59B1" w:rsidRDefault="002E14E8" w:rsidP="009C1193">
      <w:pPr>
        <w:pStyle w:val="Text"/>
        <w:widowControl w:val="0"/>
        <w:spacing w:before="0"/>
        <w:jc w:val="left"/>
        <w:rPr>
          <w:color w:val="000000"/>
          <w:sz w:val="22"/>
          <w:szCs w:val="22"/>
          <w:lang w:val="fi-FI"/>
        </w:rPr>
      </w:pPr>
      <w:r w:rsidRPr="004A59B1">
        <w:rPr>
          <w:color w:val="000000"/>
          <w:sz w:val="22"/>
          <w:szCs w:val="22"/>
          <w:lang w:val="fi-FI"/>
        </w:rPr>
        <w:t xml:space="preserve">Odmerek </w:t>
      </w:r>
      <w:r w:rsidR="008E6FFD" w:rsidRPr="004A59B1">
        <w:rPr>
          <w:color w:val="000000"/>
          <w:sz w:val="22"/>
          <w:szCs w:val="22"/>
          <w:lang w:val="fi-FI"/>
        </w:rPr>
        <w:t>6400 mg (</w:t>
      </w:r>
      <w:r w:rsidRPr="004A59B1">
        <w:rPr>
          <w:color w:val="000000"/>
          <w:sz w:val="22"/>
          <w:szCs w:val="22"/>
          <w:lang w:val="fi-FI"/>
        </w:rPr>
        <w:t>enkraten odmerek</w:t>
      </w:r>
      <w:r w:rsidR="008E6FFD" w:rsidRPr="004A59B1">
        <w:rPr>
          <w:color w:val="000000"/>
          <w:sz w:val="22"/>
          <w:szCs w:val="22"/>
          <w:lang w:val="fi-FI"/>
        </w:rPr>
        <w:t xml:space="preserve">): </w:t>
      </w:r>
      <w:r w:rsidRPr="004A59B1">
        <w:rPr>
          <w:color w:val="000000"/>
          <w:sz w:val="22"/>
          <w:szCs w:val="22"/>
          <w:lang w:val="fi-FI"/>
        </w:rPr>
        <w:t xml:space="preserve">V literaturi je opisan en primer pri enem bolniku, pri katerem je prišlo do </w:t>
      </w:r>
      <w:r w:rsidR="008E6FFD" w:rsidRPr="004A59B1">
        <w:rPr>
          <w:color w:val="000000"/>
          <w:sz w:val="22"/>
          <w:szCs w:val="22"/>
          <w:lang w:val="fi-FI"/>
        </w:rPr>
        <w:t>n</w:t>
      </w:r>
      <w:r w:rsidRPr="004A59B1">
        <w:rPr>
          <w:color w:val="000000"/>
          <w:sz w:val="22"/>
          <w:szCs w:val="22"/>
          <w:lang w:val="fi-FI"/>
        </w:rPr>
        <w:t>avzee, bruhanja</w:t>
      </w:r>
      <w:r w:rsidR="008E6FFD" w:rsidRPr="004A59B1">
        <w:rPr>
          <w:color w:val="000000"/>
          <w:sz w:val="22"/>
          <w:szCs w:val="22"/>
          <w:lang w:val="fi-FI"/>
        </w:rPr>
        <w:t xml:space="preserve">, </w:t>
      </w:r>
      <w:r w:rsidRPr="004A59B1">
        <w:rPr>
          <w:color w:val="000000"/>
          <w:sz w:val="22"/>
          <w:szCs w:val="22"/>
          <w:lang w:val="fi-FI"/>
        </w:rPr>
        <w:t xml:space="preserve">bolečin v trebuhu, zvišane telesne temperature, otekanja v obraz, </w:t>
      </w:r>
      <w:r w:rsidR="00A55982" w:rsidRPr="004A59B1">
        <w:rPr>
          <w:color w:val="000000"/>
          <w:sz w:val="22"/>
          <w:szCs w:val="22"/>
          <w:lang w:val="fi-FI"/>
        </w:rPr>
        <w:t xml:space="preserve">zmanjšane </w:t>
      </w:r>
      <w:r w:rsidRPr="004A59B1">
        <w:rPr>
          <w:color w:val="000000"/>
          <w:sz w:val="22"/>
          <w:szCs w:val="22"/>
          <w:lang w:val="fi-FI"/>
        </w:rPr>
        <w:t xml:space="preserve">koncentracije nevtrofilcev in zvišanja </w:t>
      </w:r>
      <w:r w:rsidR="00DE7EB6" w:rsidRPr="004A59B1">
        <w:rPr>
          <w:color w:val="000000"/>
          <w:sz w:val="22"/>
          <w:szCs w:val="22"/>
          <w:lang w:val="fi-FI"/>
        </w:rPr>
        <w:t>aminotransferaz</w:t>
      </w:r>
      <w:r w:rsidR="008E6FFD" w:rsidRPr="004A59B1">
        <w:rPr>
          <w:color w:val="000000"/>
          <w:sz w:val="22"/>
          <w:szCs w:val="22"/>
          <w:lang w:val="fi-FI"/>
        </w:rPr>
        <w:t>.</w:t>
      </w:r>
    </w:p>
    <w:p w14:paraId="52979962" w14:textId="77777777" w:rsidR="008E6FFD" w:rsidRPr="004A59B1" w:rsidRDefault="002E14E8" w:rsidP="009C1193">
      <w:pPr>
        <w:pStyle w:val="Text"/>
        <w:widowControl w:val="0"/>
        <w:spacing w:before="0"/>
        <w:jc w:val="left"/>
        <w:rPr>
          <w:color w:val="000000"/>
          <w:sz w:val="22"/>
          <w:szCs w:val="22"/>
          <w:lang w:val="fi-FI"/>
        </w:rPr>
      </w:pPr>
      <w:r w:rsidRPr="004A59B1">
        <w:rPr>
          <w:color w:val="000000"/>
          <w:sz w:val="22"/>
          <w:szCs w:val="22"/>
          <w:lang w:val="fi-FI"/>
        </w:rPr>
        <w:t xml:space="preserve">Odmerki od </w:t>
      </w:r>
      <w:r w:rsidR="008E6FFD" w:rsidRPr="004A59B1">
        <w:rPr>
          <w:color w:val="000000"/>
          <w:sz w:val="22"/>
          <w:szCs w:val="22"/>
          <w:lang w:val="fi-FI"/>
        </w:rPr>
        <w:t>8</w:t>
      </w:r>
      <w:r w:rsidR="009C1B3A" w:rsidRPr="004A59B1">
        <w:rPr>
          <w:color w:val="000000"/>
          <w:sz w:val="22"/>
          <w:szCs w:val="22"/>
          <w:lang w:val="fi-FI"/>
        </w:rPr>
        <w:t> g</w:t>
      </w:r>
      <w:r w:rsidR="008E6FFD" w:rsidRPr="004A59B1">
        <w:rPr>
          <w:color w:val="000000"/>
          <w:sz w:val="22"/>
          <w:szCs w:val="22"/>
          <w:lang w:val="fi-FI"/>
        </w:rPr>
        <w:t xml:space="preserve"> </w:t>
      </w:r>
      <w:r w:rsidRPr="004A59B1">
        <w:rPr>
          <w:color w:val="000000"/>
          <w:sz w:val="22"/>
          <w:szCs w:val="22"/>
          <w:lang w:val="fi-FI"/>
        </w:rPr>
        <w:t>d</w:t>
      </w:r>
      <w:r w:rsidR="008E6FFD" w:rsidRPr="004A59B1">
        <w:rPr>
          <w:color w:val="000000"/>
          <w:sz w:val="22"/>
          <w:szCs w:val="22"/>
          <w:lang w:val="fi-FI"/>
        </w:rPr>
        <w:t>o 10 g (</w:t>
      </w:r>
      <w:r w:rsidRPr="004A59B1">
        <w:rPr>
          <w:color w:val="000000"/>
          <w:sz w:val="22"/>
          <w:szCs w:val="22"/>
          <w:lang w:val="fi-FI"/>
        </w:rPr>
        <w:t>enkratni odmerki</w:t>
      </w:r>
      <w:r w:rsidR="008E6FFD" w:rsidRPr="004A59B1">
        <w:rPr>
          <w:color w:val="000000"/>
          <w:sz w:val="22"/>
          <w:szCs w:val="22"/>
          <w:lang w:val="fi-FI"/>
        </w:rPr>
        <w:t xml:space="preserve">): </w:t>
      </w:r>
      <w:r w:rsidR="0078608C" w:rsidRPr="004A59B1">
        <w:rPr>
          <w:color w:val="000000"/>
          <w:sz w:val="22"/>
          <w:szCs w:val="22"/>
          <w:lang w:val="fi-FI"/>
        </w:rPr>
        <w:t>Opis</w:t>
      </w:r>
      <w:r w:rsidR="002C0BBB" w:rsidRPr="004A59B1">
        <w:rPr>
          <w:color w:val="000000"/>
          <w:sz w:val="22"/>
          <w:szCs w:val="22"/>
          <w:lang w:val="fi-FI"/>
        </w:rPr>
        <w:t xml:space="preserve">ovali so </w:t>
      </w:r>
      <w:r w:rsidRPr="004A59B1">
        <w:rPr>
          <w:color w:val="000000"/>
          <w:sz w:val="22"/>
          <w:szCs w:val="22"/>
          <w:lang w:val="fi-FI"/>
        </w:rPr>
        <w:t xml:space="preserve">bruhanje in bolečine v </w:t>
      </w:r>
      <w:r w:rsidR="0078608C" w:rsidRPr="004A59B1">
        <w:rPr>
          <w:color w:val="000000"/>
          <w:sz w:val="22"/>
          <w:szCs w:val="22"/>
          <w:lang w:val="fi-FI"/>
        </w:rPr>
        <w:t>prebavilih</w:t>
      </w:r>
      <w:r w:rsidR="008E6FFD" w:rsidRPr="004A59B1">
        <w:rPr>
          <w:color w:val="000000"/>
          <w:sz w:val="22"/>
          <w:szCs w:val="22"/>
          <w:lang w:val="fi-FI"/>
        </w:rPr>
        <w:t>.</w:t>
      </w:r>
    </w:p>
    <w:p w14:paraId="52979963" w14:textId="77777777" w:rsidR="008E6FFD" w:rsidRPr="004A59B1" w:rsidRDefault="008E6FFD" w:rsidP="009C1193">
      <w:pPr>
        <w:widowControl w:val="0"/>
        <w:tabs>
          <w:tab w:val="clear" w:pos="567"/>
        </w:tabs>
        <w:spacing w:line="240" w:lineRule="auto"/>
        <w:rPr>
          <w:color w:val="000000"/>
          <w:szCs w:val="22"/>
          <w:lang w:val="fi-FI"/>
        </w:rPr>
      </w:pPr>
    </w:p>
    <w:p w14:paraId="52979964" w14:textId="77777777" w:rsidR="008E6FFD" w:rsidRPr="004A59B1" w:rsidRDefault="009B3A61" w:rsidP="009C1193">
      <w:pPr>
        <w:keepNext/>
        <w:widowControl w:val="0"/>
        <w:tabs>
          <w:tab w:val="clear" w:pos="567"/>
        </w:tabs>
        <w:spacing w:line="240" w:lineRule="auto"/>
        <w:rPr>
          <w:i/>
          <w:iCs/>
          <w:color w:val="000000"/>
          <w:szCs w:val="22"/>
          <w:lang w:val="fi-FI"/>
        </w:rPr>
      </w:pPr>
      <w:r w:rsidRPr="004A59B1">
        <w:rPr>
          <w:i/>
          <w:iCs/>
          <w:color w:val="000000"/>
          <w:szCs w:val="22"/>
          <w:lang w:val="fi-FI"/>
        </w:rPr>
        <w:t>P</w:t>
      </w:r>
      <w:r w:rsidR="002C0BBB" w:rsidRPr="004A59B1">
        <w:rPr>
          <w:i/>
          <w:iCs/>
          <w:color w:val="000000"/>
          <w:szCs w:val="22"/>
          <w:lang w:val="fi-FI"/>
        </w:rPr>
        <w:t>ediatričn</w:t>
      </w:r>
      <w:r w:rsidRPr="004A59B1">
        <w:rPr>
          <w:i/>
          <w:iCs/>
          <w:color w:val="000000"/>
          <w:szCs w:val="22"/>
          <w:lang w:val="fi-FI"/>
        </w:rPr>
        <w:t>a populacija</w:t>
      </w:r>
    </w:p>
    <w:p w14:paraId="52979965" w14:textId="77777777" w:rsidR="008E6FFD" w:rsidRPr="004A59B1" w:rsidRDefault="002C0BBB" w:rsidP="009C1193">
      <w:pPr>
        <w:pStyle w:val="Text"/>
        <w:widowControl w:val="0"/>
        <w:spacing w:before="0"/>
        <w:jc w:val="left"/>
        <w:rPr>
          <w:color w:val="000000"/>
          <w:sz w:val="22"/>
          <w:szCs w:val="22"/>
          <w:lang w:val="fi-FI"/>
        </w:rPr>
      </w:pPr>
      <w:r w:rsidRPr="004A59B1">
        <w:rPr>
          <w:color w:val="000000"/>
          <w:sz w:val="22"/>
          <w:szCs w:val="22"/>
          <w:lang w:val="fi-FI"/>
        </w:rPr>
        <w:t xml:space="preserve">Pri enem 3 leta starem dečku, ki je bil izpostavljen enkratnemu odmerku </w:t>
      </w:r>
      <w:r w:rsidR="008E6FFD" w:rsidRPr="004A59B1">
        <w:rPr>
          <w:color w:val="000000"/>
          <w:sz w:val="22"/>
          <w:szCs w:val="22"/>
          <w:lang w:val="fi-FI"/>
        </w:rPr>
        <w:t>400 </w:t>
      </w:r>
      <w:r w:rsidRPr="004A59B1">
        <w:rPr>
          <w:color w:val="000000"/>
          <w:sz w:val="22"/>
          <w:szCs w:val="22"/>
          <w:lang w:val="fi-FI"/>
        </w:rPr>
        <w:t xml:space="preserve">mg, je prišlo do bruhanja, driske in anoreksije, pri drugem 3 leta starem dečku, ki je bil izpostavljen enkratnemu odmerku </w:t>
      </w:r>
      <w:r w:rsidR="008E6FFD" w:rsidRPr="004A59B1">
        <w:rPr>
          <w:color w:val="000000"/>
          <w:sz w:val="22"/>
          <w:szCs w:val="22"/>
          <w:lang w:val="fi-FI"/>
        </w:rPr>
        <w:t>980 </w:t>
      </w:r>
      <w:r w:rsidRPr="004A59B1">
        <w:rPr>
          <w:color w:val="000000"/>
          <w:sz w:val="22"/>
          <w:szCs w:val="22"/>
          <w:lang w:val="fi-FI"/>
        </w:rPr>
        <w:t xml:space="preserve">mg, pa je prišlo do </w:t>
      </w:r>
      <w:r w:rsidR="00A55982" w:rsidRPr="004A59B1">
        <w:rPr>
          <w:color w:val="000000"/>
          <w:sz w:val="22"/>
          <w:szCs w:val="22"/>
          <w:lang w:val="fi-FI"/>
        </w:rPr>
        <w:t xml:space="preserve">zmanjšane </w:t>
      </w:r>
      <w:r w:rsidRPr="004A59B1">
        <w:rPr>
          <w:color w:val="000000"/>
          <w:sz w:val="22"/>
          <w:szCs w:val="22"/>
          <w:lang w:val="fi-FI"/>
        </w:rPr>
        <w:t>koncentracije levkocitov in driske.</w:t>
      </w:r>
    </w:p>
    <w:p w14:paraId="52979966" w14:textId="77777777" w:rsidR="00444D75" w:rsidRPr="004A59B1" w:rsidRDefault="00444D75" w:rsidP="009C1193">
      <w:pPr>
        <w:widowControl w:val="0"/>
        <w:tabs>
          <w:tab w:val="clear" w:pos="567"/>
        </w:tabs>
        <w:spacing w:line="240" w:lineRule="auto"/>
        <w:rPr>
          <w:color w:val="000000"/>
          <w:szCs w:val="22"/>
          <w:lang w:val="fi-FI"/>
        </w:rPr>
      </w:pPr>
    </w:p>
    <w:p w14:paraId="52979967" w14:textId="77777777" w:rsidR="00444D75" w:rsidRPr="004A59B1" w:rsidRDefault="00444D75" w:rsidP="009C1193">
      <w:pPr>
        <w:widowControl w:val="0"/>
        <w:tabs>
          <w:tab w:val="clear" w:pos="567"/>
        </w:tabs>
        <w:spacing w:line="240" w:lineRule="auto"/>
        <w:rPr>
          <w:color w:val="000000"/>
          <w:szCs w:val="22"/>
          <w:lang w:val="fi-FI"/>
        </w:rPr>
      </w:pPr>
      <w:r w:rsidRPr="004A59B1">
        <w:rPr>
          <w:color w:val="000000"/>
          <w:szCs w:val="22"/>
          <w:lang w:val="fi-FI"/>
        </w:rPr>
        <w:t>V primeru prevelikega odmerjanja je treba bolnika opazovati in mu nuditi ustrezno podporno zdravljenje.</w:t>
      </w:r>
    </w:p>
    <w:p w14:paraId="52979968" w14:textId="77777777" w:rsidR="00444D75" w:rsidRPr="004A59B1" w:rsidRDefault="00444D75" w:rsidP="009C1193">
      <w:pPr>
        <w:widowControl w:val="0"/>
        <w:tabs>
          <w:tab w:val="clear" w:pos="567"/>
        </w:tabs>
        <w:spacing w:line="240" w:lineRule="auto"/>
        <w:rPr>
          <w:color w:val="000000"/>
          <w:szCs w:val="22"/>
          <w:lang w:val="fi-FI"/>
        </w:rPr>
      </w:pPr>
    </w:p>
    <w:p w14:paraId="52979969" w14:textId="77777777" w:rsidR="00444D75" w:rsidRPr="004A59B1" w:rsidRDefault="00444D75" w:rsidP="009C1193">
      <w:pPr>
        <w:widowControl w:val="0"/>
        <w:tabs>
          <w:tab w:val="clear" w:pos="567"/>
        </w:tabs>
        <w:spacing w:line="240" w:lineRule="auto"/>
        <w:rPr>
          <w:color w:val="000000"/>
          <w:szCs w:val="22"/>
          <w:lang w:val="fi-FI"/>
        </w:rPr>
      </w:pPr>
    </w:p>
    <w:p w14:paraId="5297996A" w14:textId="77777777" w:rsidR="00444D75" w:rsidRPr="004A59B1" w:rsidRDefault="00444D75" w:rsidP="009C1193">
      <w:pPr>
        <w:keepNext/>
        <w:widowControl w:val="0"/>
        <w:tabs>
          <w:tab w:val="clear" w:pos="567"/>
        </w:tabs>
        <w:spacing w:line="240" w:lineRule="auto"/>
        <w:ind w:left="567" w:hanging="567"/>
        <w:rPr>
          <w:color w:val="000000"/>
          <w:szCs w:val="22"/>
          <w:lang w:val="fi-FI"/>
        </w:rPr>
      </w:pPr>
      <w:r w:rsidRPr="004A59B1">
        <w:rPr>
          <w:b/>
          <w:color w:val="000000"/>
          <w:szCs w:val="22"/>
          <w:lang w:val="fi-FI"/>
        </w:rPr>
        <w:lastRenderedPageBreak/>
        <w:t>5.</w:t>
      </w:r>
      <w:r w:rsidRPr="004A59B1">
        <w:rPr>
          <w:b/>
          <w:color w:val="000000"/>
          <w:szCs w:val="22"/>
          <w:lang w:val="fi-FI"/>
        </w:rPr>
        <w:tab/>
        <w:t>FARMAKOLOŠKE LASTNOSTI</w:t>
      </w:r>
    </w:p>
    <w:p w14:paraId="5297996B" w14:textId="77777777" w:rsidR="00444D75" w:rsidRPr="004A59B1" w:rsidRDefault="00444D75" w:rsidP="009C1193">
      <w:pPr>
        <w:keepNext/>
        <w:widowControl w:val="0"/>
        <w:tabs>
          <w:tab w:val="clear" w:pos="567"/>
        </w:tabs>
        <w:spacing w:line="240" w:lineRule="auto"/>
        <w:rPr>
          <w:color w:val="000000"/>
          <w:szCs w:val="22"/>
          <w:lang w:val="fi-FI"/>
        </w:rPr>
      </w:pPr>
    </w:p>
    <w:p w14:paraId="5297996C" w14:textId="77777777" w:rsidR="00444D75" w:rsidRPr="004A59B1" w:rsidRDefault="00444D75" w:rsidP="009C1193">
      <w:pPr>
        <w:keepNext/>
        <w:widowControl w:val="0"/>
        <w:tabs>
          <w:tab w:val="clear" w:pos="567"/>
        </w:tabs>
        <w:spacing w:line="240" w:lineRule="auto"/>
        <w:ind w:left="567" w:hanging="567"/>
        <w:rPr>
          <w:color w:val="000000"/>
          <w:szCs w:val="22"/>
          <w:lang w:val="fi-FI"/>
        </w:rPr>
      </w:pPr>
      <w:r w:rsidRPr="004A59B1">
        <w:rPr>
          <w:b/>
          <w:color w:val="000000"/>
          <w:szCs w:val="22"/>
          <w:lang w:val="fi-FI"/>
        </w:rPr>
        <w:t>5.1</w:t>
      </w:r>
      <w:r w:rsidRPr="004A59B1">
        <w:rPr>
          <w:b/>
          <w:color w:val="000000"/>
          <w:szCs w:val="22"/>
          <w:lang w:val="fi-FI"/>
        </w:rPr>
        <w:tab/>
        <w:t>Farmakodinamične lastnosti</w:t>
      </w:r>
    </w:p>
    <w:p w14:paraId="5297996D" w14:textId="77777777" w:rsidR="00444D75" w:rsidRPr="004A59B1" w:rsidRDefault="00444D75" w:rsidP="009C1193">
      <w:pPr>
        <w:pStyle w:val="EndnoteText"/>
        <w:keepNext/>
        <w:widowControl w:val="0"/>
        <w:tabs>
          <w:tab w:val="clear" w:pos="567"/>
        </w:tabs>
        <w:rPr>
          <w:color w:val="000000"/>
          <w:szCs w:val="22"/>
          <w:lang w:val="fi-FI"/>
        </w:rPr>
      </w:pPr>
    </w:p>
    <w:p w14:paraId="5297996E" w14:textId="77777777" w:rsidR="00444D75" w:rsidRPr="004A59B1" w:rsidRDefault="00444D75" w:rsidP="009C1193">
      <w:pPr>
        <w:keepNext/>
        <w:widowControl w:val="0"/>
        <w:tabs>
          <w:tab w:val="clear" w:pos="567"/>
        </w:tabs>
        <w:spacing w:line="240" w:lineRule="auto"/>
        <w:rPr>
          <w:color w:val="000000"/>
          <w:szCs w:val="22"/>
          <w:lang w:val="fi-FI"/>
        </w:rPr>
      </w:pPr>
      <w:r w:rsidRPr="004A59B1">
        <w:rPr>
          <w:color w:val="000000"/>
          <w:szCs w:val="22"/>
          <w:lang w:val="fi-FI"/>
        </w:rPr>
        <w:t>Farmakoterapevtska skupina: zaviralec protein-tirozin</w:t>
      </w:r>
      <w:r w:rsidR="00065DC7" w:rsidRPr="004A59B1">
        <w:rPr>
          <w:color w:val="000000"/>
          <w:szCs w:val="22"/>
          <w:lang w:val="fi-FI"/>
        </w:rPr>
        <w:t>-</w:t>
      </w:r>
      <w:r w:rsidRPr="004A59B1">
        <w:rPr>
          <w:color w:val="000000"/>
          <w:szCs w:val="22"/>
          <w:lang w:val="fi-FI"/>
        </w:rPr>
        <w:t xml:space="preserve">kinaze, </w:t>
      </w:r>
      <w:r w:rsidR="00800E18" w:rsidRPr="004A59B1">
        <w:rPr>
          <w:color w:val="000000"/>
          <w:szCs w:val="22"/>
          <w:lang w:val="fi-FI"/>
        </w:rPr>
        <w:t xml:space="preserve">oznaka </w:t>
      </w:r>
      <w:r w:rsidRPr="004A59B1">
        <w:rPr>
          <w:color w:val="000000"/>
          <w:szCs w:val="22"/>
          <w:lang w:val="fi-FI"/>
        </w:rPr>
        <w:t>ATC:</w:t>
      </w:r>
      <w:r w:rsidR="001C4905" w:rsidRPr="004A59B1">
        <w:rPr>
          <w:color w:val="000000"/>
          <w:szCs w:val="22"/>
          <w:lang w:val="fi-FI"/>
        </w:rPr>
        <w:t xml:space="preserve"> L01XE01</w:t>
      </w:r>
    </w:p>
    <w:p w14:paraId="5297996F" w14:textId="77777777" w:rsidR="00823778" w:rsidRPr="004A59B1" w:rsidRDefault="00823778" w:rsidP="009C1193">
      <w:pPr>
        <w:pStyle w:val="EndnoteText"/>
        <w:keepNext/>
        <w:widowControl w:val="0"/>
        <w:tabs>
          <w:tab w:val="clear" w:pos="567"/>
        </w:tabs>
        <w:rPr>
          <w:color w:val="000000"/>
          <w:szCs w:val="22"/>
          <w:u w:val="single"/>
          <w:lang w:val="fi-FI"/>
        </w:rPr>
      </w:pPr>
    </w:p>
    <w:p w14:paraId="52979970" w14:textId="77777777" w:rsidR="00823778" w:rsidRPr="004A59B1" w:rsidRDefault="00823778" w:rsidP="009C1193">
      <w:pPr>
        <w:pStyle w:val="EndnoteText"/>
        <w:keepNext/>
        <w:widowControl w:val="0"/>
        <w:tabs>
          <w:tab w:val="clear" w:pos="567"/>
        </w:tabs>
        <w:rPr>
          <w:color w:val="000000"/>
          <w:szCs w:val="22"/>
          <w:u w:val="single"/>
          <w:lang w:val="fi-FI"/>
        </w:rPr>
      </w:pPr>
      <w:r w:rsidRPr="004A59B1">
        <w:rPr>
          <w:color w:val="000000"/>
          <w:szCs w:val="22"/>
          <w:u w:val="single"/>
          <w:lang w:val="fi-FI"/>
        </w:rPr>
        <w:t>Mehanizem delovanja</w:t>
      </w:r>
    </w:p>
    <w:p w14:paraId="52979971" w14:textId="77777777" w:rsidR="00823778" w:rsidRPr="004A59B1" w:rsidRDefault="00823778" w:rsidP="009C1193">
      <w:pPr>
        <w:pStyle w:val="EndnoteText"/>
        <w:widowControl w:val="0"/>
        <w:tabs>
          <w:tab w:val="clear" w:pos="567"/>
        </w:tabs>
        <w:rPr>
          <w:lang w:val="fi-FI"/>
        </w:rPr>
      </w:pPr>
      <w:r w:rsidRPr="004A59B1">
        <w:rPr>
          <w:lang w:val="fi-FI"/>
        </w:rPr>
        <w:t xml:space="preserve">Imatinib je majhna molekula in je zaviralec </w:t>
      </w:r>
      <w:r w:rsidRPr="004A59B1">
        <w:rPr>
          <w:color w:val="000000"/>
          <w:szCs w:val="22"/>
          <w:lang w:val="fi-FI"/>
        </w:rPr>
        <w:t>protein-tirozin-kinaze, ki močno zavira aktivnost Bcr-Abl tirozin-kinaze, pa tudi nekaj receptorskih tirozin-kinaz: pri receptorju Kit, ki je receptor za dejavnik matičnih celic (</w:t>
      </w:r>
      <w:r w:rsidR="002C590C" w:rsidRPr="004A59B1">
        <w:rPr>
          <w:lang w:val="fi-FI"/>
        </w:rPr>
        <w:t xml:space="preserve">SCF - </w:t>
      </w:r>
      <w:r w:rsidRPr="00304E94">
        <w:rPr>
          <w:i/>
          <w:lang w:val="fi-FI"/>
        </w:rPr>
        <w:t>stem cell factor</w:t>
      </w:r>
      <w:r w:rsidRPr="004A59B1">
        <w:rPr>
          <w:lang w:val="fi-FI"/>
        </w:rPr>
        <w:t xml:space="preserve">), ki ga kodira protoonkogen c-Kit, pri receptorjih za diskoidinsko domeno (DDR1 in DDR2), pri receptorju za </w:t>
      </w:r>
      <w:r w:rsidRPr="004A59B1">
        <w:rPr>
          <w:color w:val="000000"/>
          <w:szCs w:val="22"/>
          <w:lang w:val="sl-SI"/>
        </w:rPr>
        <w:t xml:space="preserve">kolonije stimulirajoči faktor </w:t>
      </w:r>
      <w:r w:rsidRPr="004A59B1">
        <w:rPr>
          <w:lang w:val="fi-FI"/>
        </w:rPr>
        <w:t xml:space="preserve">(CSF-1R) in pri receptorjih za </w:t>
      </w:r>
      <w:r w:rsidRPr="004A59B1">
        <w:rPr>
          <w:color w:val="000000"/>
          <w:szCs w:val="22"/>
          <w:lang w:val="sl-SI"/>
        </w:rPr>
        <w:t xml:space="preserve">rastni faktor iz trombocitov alfa in beta </w:t>
      </w:r>
      <w:r w:rsidRPr="004A59B1">
        <w:rPr>
          <w:lang w:val="fi-FI"/>
        </w:rPr>
        <w:t>(</w:t>
      </w:r>
      <w:r w:rsidR="002C590C" w:rsidRPr="004A59B1">
        <w:rPr>
          <w:lang w:val="fi-FI"/>
        </w:rPr>
        <w:t>PDGFR-alfa in PDGFR-beta</w:t>
      </w:r>
      <w:r w:rsidR="002C590C" w:rsidRPr="004A59B1">
        <w:rPr>
          <w:color w:val="000000"/>
          <w:szCs w:val="22"/>
          <w:lang w:val="sl-SI"/>
        </w:rPr>
        <w:t xml:space="preserve"> - </w:t>
      </w:r>
      <w:r w:rsidRPr="00304E94">
        <w:rPr>
          <w:i/>
          <w:color w:val="000000"/>
          <w:szCs w:val="22"/>
          <w:lang w:val="sl-SI"/>
        </w:rPr>
        <w:t>platelet-derived growth factor</w:t>
      </w:r>
      <w:r w:rsidRPr="00304E94">
        <w:rPr>
          <w:i/>
          <w:lang w:val="fi-FI"/>
        </w:rPr>
        <w:t xml:space="preserve"> </w:t>
      </w:r>
      <w:r w:rsidR="002C590C" w:rsidRPr="00304E94">
        <w:rPr>
          <w:i/>
          <w:lang w:val="fi-FI"/>
        </w:rPr>
        <w:t>receptors</w:t>
      </w:r>
      <w:r w:rsidRPr="004A59B1">
        <w:rPr>
          <w:lang w:val="fi-FI"/>
        </w:rPr>
        <w:t>). Imatinib lahko zavira tudi celične dogodke, ki jih omogoča aktivacija navedenih receptorskih kinaz.</w:t>
      </w:r>
    </w:p>
    <w:p w14:paraId="52979972" w14:textId="77777777" w:rsidR="00823778" w:rsidRPr="004A59B1" w:rsidRDefault="00823778" w:rsidP="009C1193">
      <w:pPr>
        <w:pStyle w:val="EndnoteText"/>
        <w:widowControl w:val="0"/>
        <w:tabs>
          <w:tab w:val="clear" w:pos="567"/>
        </w:tabs>
        <w:rPr>
          <w:color w:val="000000"/>
          <w:szCs w:val="22"/>
          <w:lang w:val="fi-FI"/>
        </w:rPr>
      </w:pPr>
    </w:p>
    <w:p w14:paraId="52979973" w14:textId="77777777" w:rsidR="00823778" w:rsidRPr="004A59B1" w:rsidRDefault="00823778" w:rsidP="009C1193">
      <w:pPr>
        <w:pStyle w:val="EndnoteText"/>
        <w:keepNext/>
        <w:widowControl w:val="0"/>
        <w:tabs>
          <w:tab w:val="clear" w:pos="567"/>
        </w:tabs>
        <w:rPr>
          <w:color w:val="000000"/>
          <w:szCs w:val="22"/>
          <w:u w:val="single"/>
          <w:lang w:val="fi-FI"/>
        </w:rPr>
      </w:pPr>
      <w:r w:rsidRPr="004A59B1">
        <w:rPr>
          <w:color w:val="000000"/>
          <w:szCs w:val="22"/>
          <w:u w:val="single"/>
          <w:lang w:val="fi-FI"/>
        </w:rPr>
        <w:t>Farmakodinamični učinki</w:t>
      </w:r>
    </w:p>
    <w:p w14:paraId="52979974" w14:textId="77777777" w:rsidR="00444D75" w:rsidRPr="004A59B1" w:rsidRDefault="00444D75" w:rsidP="009C1193">
      <w:pPr>
        <w:pStyle w:val="EndnoteText"/>
        <w:widowControl w:val="0"/>
        <w:tabs>
          <w:tab w:val="clear" w:pos="567"/>
        </w:tabs>
        <w:rPr>
          <w:color w:val="000000"/>
          <w:szCs w:val="22"/>
          <w:lang w:val="fi-FI"/>
        </w:rPr>
      </w:pPr>
      <w:r w:rsidRPr="004A59B1">
        <w:rPr>
          <w:color w:val="000000"/>
          <w:szCs w:val="22"/>
          <w:lang w:val="fi-FI"/>
        </w:rPr>
        <w:t>Imatinib je zaviralec protein-</w:t>
      </w:r>
      <w:r w:rsidR="00ED0CBA" w:rsidRPr="004A59B1">
        <w:rPr>
          <w:color w:val="000000"/>
          <w:szCs w:val="22"/>
          <w:lang w:val="fi-FI"/>
        </w:rPr>
        <w:t>tirozin-</w:t>
      </w:r>
      <w:r w:rsidRPr="004A59B1">
        <w:rPr>
          <w:color w:val="000000"/>
          <w:szCs w:val="22"/>
          <w:lang w:val="fi-FI"/>
        </w:rPr>
        <w:t xml:space="preserve">kinaze, ki močno zavira Bcr-Abl </w:t>
      </w:r>
      <w:r w:rsidR="00ED0CBA" w:rsidRPr="004A59B1">
        <w:rPr>
          <w:color w:val="000000"/>
          <w:szCs w:val="22"/>
          <w:lang w:val="fi-FI"/>
        </w:rPr>
        <w:t>tirozin-</w:t>
      </w:r>
      <w:r w:rsidRPr="004A59B1">
        <w:rPr>
          <w:color w:val="000000"/>
          <w:szCs w:val="22"/>
          <w:lang w:val="fi-FI"/>
        </w:rPr>
        <w:t xml:space="preserve">kinazo na </w:t>
      </w:r>
      <w:r w:rsidRPr="004A59B1">
        <w:rPr>
          <w:i/>
          <w:color w:val="000000"/>
          <w:szCs w:val="22"/>
          <w:lang w:val="fi-FI"/>
        </w:rPr>
        <w:t>in vitro</w:t>
      </w:r>
      <w:r w:rsidRPr="004A59B1">
        <w:rPr>
          <w:color w:val="000000"/>
          <w:szCs w:val="22"/>
          <w:lang w:val="fi-FI"/>
        </w:rPr>
        <w:t xml:space="preserve">, celični in </w:t>
      </w:r>
      <w:r w:rsidRPr="004A59B1">
        <w:rPr>
          <w:i/>
          <w:color w:val="000000"/>
          <w:szCs w:val="22"/>
          <w:lang w:val="fi-FI"/>
        </w:rPr>
        <w:t xml:space="preserve">in vivo </w:t>
      </w:r>
      <w:r w:rsidRPr="004A59B1">
        <w:rPr>
          <w:color w:val="000000"/>
          <w:szCs w:val="22"/>
          <w:lang w:val="fi-FI"/>
        </w:rPr>
        <w:t xml:space="preserve">ravni. Spojina selektivno zavira proliferacijo in inducira apoptozo pri Bcr-Abl pozitivnih celičnih linijah, pa tudi pri svežih limfatičnih celicah bolnikov s </w:t>
      </w:r>
      <w:r w:rsidR="00677326" w:rsidRPr="004A59B1">
        <w:rPr>
          <w:color w:val="000000"/>
          <w:szCs w:val="22"/>
          <w:lang w:val="fi-FI"/>
        </w:rPr>
        <w:t>KML</w:t>
      </w:r>
      <w:r w:rsidRPr="004A59B1">
        <w:rPr>
          <w:color w:val="000000"/>
          <w:szCs w:val="22"/>
          <w:lang w:val="fi-FI"/>
        </w:rPr>
        <w:t>, s prisotnim kromosomom Philadelphia, in z akutno limfoblastno levkemijo (ALL).</w:t>
      </w:r>
    </w:p>
    <w:p w14:paraId="52979975" w14:textId="77777777" w:rsidR="00444D75" w:rsidRPr="004A59B1" w:rsidRDefault="00444D75" w:rsidP="009C1193">
      <w:pPr>
        <w:pStyle w:val="EndnoteText"/>
        <w:widowControl w:val="0"/>
        <w:tabs>
          <w:tab w:val="clear" w:pos="567"/>
        </w:tabs>
        <w:rPr>
          <w:color w:val="000000"/>
          <w:szCs w:val="22"/>
          <w:lang w:val="fi-FI"/>
        </w:rPr>
      </w:pPr>
    </w:p>
    <w:p w14:paraId="52979976" w14:textId="77777777" w:rsidR="00444D75" w:rsidRPr="004A59B1" w:rsidRDefault="00444D75" w:rsidP="009C1193">
      <w:pPr>
        <w:pStyle w:val="EndnoteText"/>
        <w:widowControl w:val="0"/>
        <w:tabs>
          <w:tab w:val="clear" w:pos="567"/>
        </w:tabs>
        <w:rPr>
          <w:color w:val="000000"/>
          <w:szCs w:val="22"/>
          <w:lang w:val="fi-FI"/>
        </w:rPr>
      </w:pPr>
      <w:r w:rsidRPr="004A59B1">
        <w:rPr>
          <w:i/>
          <w:color w:val="000000"/>
          <w:szCs w:val="22"/>
          <w:lang w:val="sl-SI"/>
        </w:rPr>
        <w:t xml:space="preserve">In vivo </w:t>
      </w:r>
      <w:r w:rsidRPr="004A59B1">
        <w:rPr>
          <w:color w:val="000000"/>
          <w:szCs w:val="22"/>
          <w:lang w:val="sl-SI"/>
        </w:rPr>
        <w:t>spojina kaže protitumorsko aktivnost, če se uporablja kot edino sredstvo, v živalskih modelih z Bcr-Abl pozitivnimi tumorskimi celicami</w:t>
      </w:r>
      <w:r w:rsidRPr="004A59B1">
        <w:rPr>
          <w:color w:val="000000"/>
          <w:szCs w:val="22"/>
          <w:lang w:val="fi-FI"/>
        </w:rPr>
        <w:t>.</w:t>
      </w:r>
    </w:p>
    <w:p w14:paraId="52979977" w14:textId="77777777" w:rsidR="00444D75" w:rsidRPr="004A59B1" w:rsidRDefault="00444D75" w:rsidP="009C1193">
      <w:pPr>
        <w:pStyle w:val="EndnoteText"/>
        <w:widowControl w:val="0"/>
        <w:tabs>
          <w:tab w:val="clear" w:pos="567"/>
        </w:tabs>
        <w:rPr>
          <w:color w:val="000000"/>
          <w:szCs w:val="22"/>
          <w:lang w:val="fi-FI"/>
        </w:rPr>
      </w:pPr>
    </w:p>
    <w:p w14:paraId="52979978" w14:textId="77777777" w:rsidR="00444D75" w:rsidRPr="004A59B1" w:rsidRDefault="00444D75" w:rsidP="009C1193">
      <w:pPr>
        <w:pStyle w:val="EndnoteText"/>
        <w:widowControl w:val="0"/>
        <w:tabs>
          <w:tab w:val="clear" w:pos="567"/>
        </w:tabs>
        <w:rPr>
          <w:color w:val="000000"/>
          <w:szCs w:val="22"/>
          <w:lang w:val="sl-SI"/>
        </w:rPr>
      </w:pPr>
      <w:r w:rsidRPr="004A59B1">
        <w:rPr>
          <w:color w:val="000000"/>
          <w:szCs w:val="22"/>
          <w:lang w:val="sl-SI"/>
        </w:rPr>
        <w:t xml:space="preserve">Imatinib je tudi zaviralec receptorskih </w:t>
      </w:r>
      <w:r w:rsidR="00ED0CBA" w:rsidRPr="004A59B1">
        <w:rPr>
          <w:color w:val="000000"/>
          <w:szCs w:val="22"/>
          <w:lang w:val="sl-SI"/>
        </w:rPr>
        <w:t>tirozin-</w:t>
      </w:r>
      <w:r w:rsidRPr="004A59B1">
        <w:rPr>
          <w:color w:val="000000"/>
          <w:szCs w:val="22"/>
          <w:lang w:val="sl-SI"/>
        </w:rPr>
        <w:t>kinaz za rastni faktor iz trombocitov (PDGF</w:t>
      </w:r>
      <w:r w:rsidR="0006776F" w:rsidRPr="004A59B1">
        <w:rPr>
          <w:color w:val="000000"/>
          <w:szCs w:val="22"/>
          <w:lang w:val="sl-SI"/>
        </w:rPr>
        <w:t xml:space="preserve"> </w:t>
      </w:r>
      <w:r w:rsidRPr="004A59B1">
        <w:rPr>
          <w:color w:val="000000"/>
          <w:szCs w:val="22"/>
          <w:lang w:val="sl-SI"/>
        </w:rPr>
        <w:t>-</w:t>
      </w:r>
      <w:r w:rsidR="0006776F" w:rsidRPr="004A59B1">
        <w:rPr>
          <w:color w:val="000000"/>
          <w:szCs w:val="22"/>
          <w:lang w:val="sl-SI"/>
        </w:rPr>
        <w:t xml:space="preserve"> </w:t>
      </w:r>
      <w:r w:rsidRPr="00304E94">
        <w:rPr>
          <w:i/>
          <w:color w:val="000000"/>
          <w:szCs w:val="22"/>
          <w:lang w:val="sl-SI"/>
        </w:rPr>
        <w:t>platelet-derived growth factor</w:t>
      </w:r>
      <w:r w:rsidRPr="004A59B1">
        <w:rPr>
          <w:color w:val="000000"/>
          <w:szCs w:val="22"/>
          <w:lang w:val="sl-SI"/>
        </w:rPr>
        <w:t>), PDGF-R in dejavnik matičnih celic (SCF</w:t>
      </w:r>
      <w:r w:rsidR="0006776F" w:rsidRPr="004A59B1">
        <w:rPr>
          <w:color w:val="000000"/>
          <w:szCs w:val="22"/>
          <w:lang w:val="sl-SI"/>
        </w:rPr>
        <w:t xml:space="preserve"> </w:t>
      </w:r>
      <w:r w:rsidRPr="004A59B1">
        <w:rPr>
          <w:color w:val="000000"/>
          <w:szCs w:val="22"/>
          <w:lang w:val="sl-SI"/>
        </w:rPr>
        <w:t>-</w:t>
      </w:r>
      <w:r w:rsidR="0006776F" w:rsidRPr="004A59B1">
        <w:rPr>
          <w:color w:val="000000"/>
          <w:szCs w:val="22"/>
          <w:lang w:val="sl-SI"/>
        </w:rPr>
        <w:t xml:space="preserve"> </w:t>
      </w:r>
      <w:r w:rsidRPr="00304E94">
        <w:rPr>
          <w:i/>
          <w:color w:val="000000"/>
          <w:szCs w:val="22"/>
          <w:lang w:val="sl-SI"/>
        </w:rPr>
        <w:t>stem cell factor</w:t>
      </w:r>
      <w:r w:rsidRPr="004A59B1">
        <w:rPr>
          <w:color w:val="000000"/>
          <w:szCs w:val="22"/>
          <w:lang w:val="sl-SI"/>
        </w:rPr>
        <w:t xml:space="preserve">), c-Kit, in zavira celične dogodke, ki jih posredujeta PDGF in SCF. </w:t>
      </w:r>
      <w:r w:rsidRPr="004A59B1">
        <w:rPr>
          <w:i/>
          <w:color w:val="000000"/>
          <w:szCs w:val="22"/>
          <w:lang w:val="sl-SI"/>
        </w:rPr>
        <w:t>In vitro</w:t>
      </w:r>
      <w:r w:rsidRPr="004A59B1">
        <w:rPr>
          <w:color w:val="000000"/>
          <w:szCs w:val="22"/>
          <w:lang w:val="sl-SI"/>
        </w:rPr>
        <w:t xml:space="preserve"> imatinib zavira proliferacijo in inducira apoptozo v gastrointestinalnih stromalnih tumorskih (GIST) celicah, ki izražajo aktivirajočo mutacijo </w:t>
      </w:r>
      <w:r w:rsidRPr="004A59B1">
        <w:rPr>
          <w:i/>
          <w:color w:val="000000"/>
          <w:szCs w:val="22"/>
          <w:lang w:val="sl-SI"/>
        </w:rPr>
        <w:t>kit</w:t>
      </w:r>
      <w:r w:rsidRPr="004A59B1">
        <w:rPr>
          <w:color w:val="000000"/>
          <w:szCs w:val="22"/>
          <w:lang w:val="sl-SI"/>
        </w:rPr>
        <w:t>.</w:t>
      </w:r>
      <w:r w:rsidR="0071527F" w:rsidRPr="004A59B1">
        <w:rPr>
          <w:color w:val="000000"/>
          <w:lang w:val="sl-SI"/>
        </w:rPr>
        <w:t xml:space="preserve"> Konstitut</w:t>
      </w:r>
      <w:r w:rsidR="0071527F" w:rsidRPr="004A59B1">
        <w:rPr>
          <w:color w:val="000000"/>
          <w:szCs w:val="22"/>
          <w:lang w:val="sl-SI"/>
        </w:rPr>
        <w:t xml:space="preserve">ivna aktivacija receptorja za rastni faktor iz trombocitov, ali Abl protein-tirozin-kinaze kot posledica združitve različnih sodelujočih proteinov ali konstitutivna tvorba PDGF sta vpleteni v patogenezo </w:t>
      </w:r>
      <w:r w:rsidR="00E24EC2" w:rsidRPr="004A59B1">
        <w:rPr>
          <w:color w:val="000000"/>
          <w:lang w:val="sl-SI"/>
        </w:rPr>
        <w:t>MDS/MPD</w:t>
      </w:r>
      <w:r w:rsidR="001E106A" w:rsidRPr="004A59B1">
        <w:rPr>
          <w:color w:val="000000"/>
          <w:lang w:val="sl-SI"/>
        </w:rPr>
        <w:t>, HES/CEL</w:t>
      </w:r>
      <w:r w:rsidR="00E24EC2" w:rsidRPr="004A59B1">
        <w:rPr>
          <w:color w:val="000000"/>
          <w:lang w:val="sl-SI"/>
        </w:rPr>
        <w:t xml:space="preserve"> in </w:t>
      </w:r>
      <w:r w:rsidR="0071527F" w:rsidRPr="004A59B1">
        <w:rPr>
          <w:color w:val="000000"/>
          <w:szCs w:val="22"/>
          <w:lang w:val="sl-SI"/>
        </w:rPr>
        <w:t>DFSP. Imatinib zavira signaliziranje in prol</w:t>
      </w:r>
      <w:r w:rsidR="0071527F" w:rsidRPr="004A59B1">
        <w:rPr>
          <w:color w:val="000000"/>
          <w:lang w:val="sl-SI"/>
        </w:rPr>
        <w:t>iferacijo celic, ki ju povzroča napačno uravnavano delovanje PDGFR in Abl kinaze.</w:t>
      </w:r>
    </w:p>
    <w:p w14:paraId="52979979" w14:textId="77777777" w:rsidR="00444D75" w:rsidRPr="004A59B1" w:rsidRDefault="00444D75" w:rsidP="009C1193">
      <w:pPr>
        <w:pStyle w:val="EndnoteText"/>
        <w:widowControl w:val="0"/>
        <w:tabs>
          <w:tab w:val="clear" w:pos="567"/>
        </w:tabs>
        <w:rPr>
          <w:color w:val="000000"/>
          <w:szCs w:val="22"/>
          <w:lang w:val="sl-SI"/>
        </w:rPr>
      </w:pPr>
    </w:p>
    <w:p w14:paraId="5297997A" w14:textId="77777777" w:rsidR="00444D75" w:rsidRPr="004A59B1" w:rsidRDefault="00444D75" w:rsidP="009C1193">
      <w:pPr>
        <w:pStyle w:val="EndnoteText"/>
        <w:keepNext/>
        <w:widowControl w:val="0"/>
        <w:tabs>
          <w:tab w:val="clear" w:pos="567"/>
        </w:tabs>
        <w:rPr>
          <w:color w:val="000000"/>
          <w:szCs w:val="22"/>
          <w:lang w:val="sl-SI"/>
        </w:rPr>
      </w:pPr>
      <w:r w:rsidRPr="004A59B1">
        <w:rPr>
          <w:color w:val="000000"/>
          <w:szCs w:val="22"/>
          <w:u w:val="single"/>
          <w:lang w:val="sl-SI"/>
        </w:rPr>
        <w:t xml:space="preserve">Klinične študije pri kronični </w:t>
      </w:r>
      <w:r w:rsidR="00AC3A4B" w:rsidRPr="004A59B1">
        <w:rPr>
          <w:color w:val="000000"/>
          <w:szCs w:val="22"/>
          <w:u w:val="single"/>
          <w:lang w:val="sl-SI"/>
        </w:rPr>
        <w:t xml:space="preserve">mieloični </w:t>
      </w:r>
      <w:r w:rsidRPr="004A59B1">
        <w:rPr>
          <w:color w:val="000000"/>
          <w:szCs w:val="22"/>
          <w:u w:val="single"/>
          <w:lang w:val="sl-SI"/>
        </w:rPr>
        <w:t>levkemiji</w:t>
      </w:r>
    </w:p>
    <w:p w14:paraId="5297997B" w14:textId="77777777" w:rsidR="00444D75" w:rsidRPr="004A59B1" w:rsidRDefault="00444D75" w:rsidP="009C1193">
      <w:pPr>
        <w:pStyle w:val="EndnoteText"/>
        <w:widowControl w:val="0"/>
        <w:tabs>
          <w:tab w:val="clear" w:pos="567"/>
        </w:tabs>
        <w:rPr>
          <w:color w:val="000000"/>
          <w:szCs w:val="22"/>
          <w:u w:val="single"/>
          <w:lang w:val="sl-SI"/>
        </w:rPr>
      </w:pPr>
      <w:r w:rsidRPr="004A59B1">
        <w:rPr>
          <w:color w:val="000000"/>
          <w:szCs w:val="22"/>
          <w:lang w:val="sl-SI"/>
        </w:rPr>
        <w:t xml:space="preserve">Učinkovitost </w:t>
      </w:r>
      <w:r w:rsidR="00D81193" w:rsidRPr="004A59B1">
        <w:rPr>
          <w:color w:val="000000"/>
          <w:szCs w:val="22"/>
          <w:lang w:val="sl-SI"/>
        </w:rPr>
        <w:t>zdravila Glivec</w:t>
      </w:r>
      <w:r w:rsidRPr="004A59B1">
        <w:rPr>
          <w:color w:val="000000"/>
          <w:szCs w:val="22"/>
          <w:lang w:val="sl-SI"/>
        </w:rPr>
        <w:t xml:space="preserve"> temelji na stopnji celotnega hematološkega in citogenetičnega odziva</w:t>
      </w:r>
      <w:r w:rsidR="00FD2281" w:rsidRPr="004A59B1">
        <w:rPr>
          <w:color w:val="000000"/>
          <w:szCs w:val="22"/>
          <w:lang w:val="sl-SI"/>
        </w:rPr>
        <w:t xml:space="preserve"> ter preživetju brez napredovanja bolezni. Razen za na novo diagnosticirano </w:t>
      </w:r>
      <w:r w:rsidR="00677326" w:rsidRPr="004A59B1">
        <w:rPr>
          <w:color w:val="000000"/>
          <w:szCs w:val="22"/>
          <w:lang w:val="sl-SI"/>
        </w:rPr>
        <w:t>KML</w:t>
      </w:r>
      <w:r w:rsidR="00FD2281" w:rsidRPr="004A59B1">
        <w:rPr>
          <w:color w:val="000000"/>
          <w:szCs w:val="22"/>
          <w:lang w:val="sl-SI"/>
        </w:rPr>
        <w:t xml:space="preserve"> v kronični fazi</w:t>
      </w:r>
      <w:r w:rsidRPr="004A59B1">
        <w:rPr>
          <w:color w:val="000000"/>
          <w:szCs w:val="22"/>
          <w:lang w:val="sl-SI"/>
        </w:rPr>
        <w:t xml:space="preserve"> </w:t>
      </w:r>
      <w:r w:rsidR="00FD2281" w:rsidRPr="004A59B1">
        <w:rPr>
          <w:color w:val="000000"/>
          <w:szCs w:val="22"/>
          <w:lang w:val="sl-SI"/>
        </w:rPr>
        <w:t>n</w:t>
      </w:r>
      <w:r w:rsidRPr="004A59B1">
        <w:rPr>
          <w:color w:val="000000"/>
          <w:szCs w:val="22"/>
          <w:lang w:val="sl-SI"/>
        </w:rPr>
        <w:t>i kontroliranih kliničnih preskušanj, ki bi dokazovala klinično koristnost, na primer izboljšanje bolezenskih simptomov ali povečano preživetje.</w:t>
      </w:r>
    </w:p>
    <w:p w14:paraId="5297997C" w14:textId="77777777" w:rsidR="00444D75" w:rsidRPr="004A59B1" w:rsidRDefault="00444D75" w:rsidP="009C1193">
      <w:pPr>
        <w:pStyle w:val="EndnoteText"/>
        <w:widowControl w:val="0"/>
        <w:tabs>
          <w:tab w:val="clear" w:pos="567"/>
        </w:tabs>
        <w:rPr>
          <w:color w:val="000000"/>
          <w:szCs w:val="22"/>
          <w:lang w:val="sl-SI"/>
        </w:rPr>
      </w:pPr>
    </w:p>
    <w:p w14:paraId="5297997D" w14:textId="77777777" w:rsidR="00444D75" w:rsidRPr="004A59B1" w:rsidRDefault="00444D75" w:rsidP="009C1193">
      <w:pPr>
        <w:pStyle w:val="EndnoteText"/>
        <w:widowControl w:val="0"/>
        <w:tabs>
          <w:tab w:val="clear" w:pos="567"/>
        </w:tabs>
        <w:rPr>
          <w:color w:val="000000"/>
          <w:szCs w:val="22"/>
          <w:lang w:val="sl-SI"/>
        </w:rPr>
      </w:pPr>
      <w:r w:rsidRPr="004A59B1">
        <w:rPr>
          <w:color w:val="000000"/>
          <w:szCs w:val="22"/>
          <w:lang w:val="sl-SI"/>
        </w:rPr>
        <w:t xml:space="preserve">Opravili so tri velike mednarodne odprte nekontrolirane študije druge faze pri bolnikih s </w:t>
      </w:r>
      <w:r w:rsidR="00677326" w:rsidRPr="004A59B1">
        <w:rPr>
          <w:color w:val="000000"/>
          <w:szCs w:val="22"/>
          <w:lang w:val="sl-SI"/>
        </w:rPr>
        <w:t>KML</w:t>
      </w:r>
      <w:r w:rsidRPr="004A59B1">
        <w:rPr>
          <w:color w:val="000000"/>
          <w:szCs w:val="22"/>
          <w:lang w:val="sl-SI"/>
        </w:rPr>
        <w:t xml:space="preserve">, s prisotnim kromosomom Philadelphia (Ph+), v napredovali, blastni ali pospešeni fazi bolezni, z drugimi Ph+ levkemijami ali s </w:t>
      </w:r>
      <w:r w:rsidR="00677326" w:rsidRPr="004A59B1">
        <w:rPr>
          <w:color w:val="000000"/>
          <w:szCs w:val="22"/>
          <w:lang w:val="sl-SI"/>
        </w:rPr>
        <w:t>KML</w:t>
      </w:r>
      <w:r w:rsidRPr="004A59B1">
        <w:rPr>
          <w:color w:val="000000"/>
          <w:szCs w:val="22"/>
          <w:lang w:val="sl-SI"/>
        </w:rPr>
        <w:t xml:space="preserve"> v kronični fazi, a po predhodnem neuspešnem zdravljenju z interferonom alfa (IFN). Eno veliko odprto, multicentrično, mednarodno randomizirano študijo tretje faze so opravili </w:t>
      </w:r>
      <w:r w:rsidR="00DE7EB6" w:rsidRPr="004A59B1">
        <w:rPr>
          <w:color w:val="000000"/>
          <w:szCs w:val="22"/>
          <w:lang w:val="sl-SI"/>
        </w:rPr>
        <w:t>pri</w:t>
      </w:r>
      <w:r w:rsidRPr="004A59B1">
        <w:rPr>
          <w:color w:val="000000"/>
          <w:szCs w:val="22"/>
          <w:lang w:val="sl-SI"/>
        </w:rPr>
        <w:t xml:space="preserve"> bolnikih z na novo diagnosticirano Ph+ </w:t>
      </w:r>
      <w:r w:rsidR="00677326" w:rsidRPr="004A59B1">
        <w:rPr>
          <w:color w:val="000000"/>
          <w:szCs w:val="22"/>
          <w:lang w:val="sl-SI"/>
        </w:rPr>
        <w:t>KML</w:t>
      </w:r>
      <w:r w:rsidRPr="004A59B1">
        <w:rPr>
          <w:color w:val="000000"/>
          <w:szCs w:val="22"/>
          <w:lang w:val="sl-SI"/>
        </w:rPr>
        <w:t>. Poleg tega so zdravili otroke v dveh študijah prve faze</w:t>
      </w:r>
      <w:r w:rsidR="009B43D6" w:rsidRPr="004A59B1">
        <w:rPr>
          <w:color w:val="000000"/>
          <w:szCs w:val="22"/>
          <w:lang w:val="sl-SI"/>
        </w:rPr>
        <w:t xml:space="preserve"> in eni študiji druge faze</w:t>
      </w:r>
      <w:r w:rsidRPr="004A59B1">
        <w:rPr>
          <w:color w:val="000000"/>
          <w:szCs w:val="22"/>
          <w:lang w:val="sl-SI"/>
        </w:rPr>
        <w:t>.</w:t>
      </w:r>
    </w:p>
    <w:p w14:paraId="5297997E" w14:textId="77777777" w:rsidR="00444D75" w:rsidRPr="004A59B1" w:rsidRDefault="00444D75" w:rsidP="009C1193">
      <w:pPr>
        <w:pStyle w:val="EndnoteText"/>
        <w:widowControl w:val="0"/>
        <w:tabs>
          <w:tab w:val="clear" w:pos="567"/>
        </w:tabs>
        <w:rPr>
          <w:color w:val="000000"/>
          <w:szCs w:val="22"/>
          <w:lang w:val="sl-SI"/>
        </w:rPr>
      </w:pPr>
    </w:p>
    <w:p w14:paraId="5297997F" w14:textId="77777777" w:rsidR="00444D75" w:rsidRPr="004A59B1" w:rsidRDefault="00444D75" w:rsidP="009C1193">
      <w:pPr>
        <w:pStyle w:val="EndnoteText"/>
        <w:widowControl w:val="0"/>
        <w:tabs>
          <w:tab w:val="clear" w:pos="567"/>
        </w:tabs>
        <w:rPr>
          <w:color w:val="000000"/>
          <w:szCs w:val="22"/>
          <w:lang w:val="sl-SI"/>
        </w:rPr>
      </w:pPr>
      <w:r w:rsidRPr="004A59B1">
        <w:rPr>
          <w:color w:val="000000"/>
          <w:szCs w:val="22"/>
          <w:lang w:val="sl-SI"/>
        </w:rPr>
        <w:t xml:space="preserve">V vseh kliničnih študijah je bilo 38–40 % bolnikov starih </w:t>
      </w:r>
      <w:r w:rsidRPr="004A59B1">
        <w:rPr>
          <w:color w:val="000000"/>
          <w:szCs w:val="22"/>
          <w:lang w:val="sl-SI"/>
        </w:rPr>
        <w:sym w:font="Symbol" w:char="F0B3"/>
      </w:r>
      <w:r w:rsidRPr="004A59B1">
        <w:rPr>
          <w:color w:val="000000"/>
          <w:szCs w:val="22"/>
          <w:lang w:val="sl-SI"/>
        </w:rPr>
        <w:t xml:space="preserve"> 60 let, 10–12 % bolnikov pa je bilo starih </w:t>
      </w:r>
      <w:r w:rsidRPr="004A59B1">
        <w:rPr>
          <w:color w:val="000000"/>
          <w:szCs w:val="22"/>
          <w:lang w:val="sl-SI"/>
        </w:rPr>
        <w:sym w:font="Symbol" w:char="F0B3"/>
      </w:r>
      <w:r w:rsidRPr="004A59B1">
        <w:rPr>
          <w:color w:val="000000"/>
          <w:szCs w:val="22"/>
          <w:lang w:val="sl-SI"/>
        </w:rPr>
        <w:t> 70 let.</w:t>
      </w:r>
    </w:p>
    <w:p w14:paraId="52979980" w14:textId="77777777" w:rsidR="00444D75" w:rsidRPr="004A59B1" w:rsidRDefault="00444D75" w:rsidP="009C1193">
      <w:pPr>
        <w:pStyle w:val="EndnoteText"/>
        <w:widowControl w:val="0"/>
        <w:tabs>
          <w:tab w:val="clear" w:pos="567"/>
        </w:tabs>
        <w:rPr>
          <w:color w:val="000000"/>
          <w:szCs w:val="22"/>
          <w:lang w:val="sl-SI"/>
        </w:rPr>
      </w:pPr>
    </w:p>
    <w:p w14:paraId="52979981" w14:textId="77777777" w:rsidR="00444D75" w:rsidRPr="004A59B1" w:rsidRDefault="00444D75" w:rsidP="009C1193">
      <w:pPr>
        <w:pStyle w:val="EndnoteText"/>
        <w:widowControl w:val="0"/>
        <w:rPr>
          <w:color w:val="000000"/>
          <w:szCs w:val="22"/>
          <w:lang w:val="sl-SI"/>
        </w:rPr>
      </w:pPr>
      <w:r w:rsidRPr="004A59B1">
        <w:rPr>
          <w:i/>
          <w:color w:val="000000"/>
          <w:szCs w:val="22"/>
          <w:lang w:val="sl-SI"/>
        </w:rPr>
        <w:t>Kronična faza, na novo diagnosticirana:</w:t>
      </w:r>
      <w:r w:rsidRPr="004A59B1">
        <w:rPr>
          <w:color w:val="000000"/>
          <w:szCs w:val="22"/>
          <w:lang w:val="sl-SI"/>
        </w:rPr>
        <w:t xml:space="preserve"> V tej študiji tretje faze</w:t>
      </w:r>
      <w:r w:rsidR="005642DF" w:rsidRPr="004A59B1">
        <w:rPr>
          <w:color w:val="000000"/>
          <w:szCs w:val="22"/>
          <w:lang w:val="sl-SI"/>
        </w:rPr>
        <w:t xml:space="preserve"> z odraslimi bolniki</w:t>
      </w:r>
      <w:r w:rsidRPr="004A59B1">
        <w:rPr>
          <w:color w:val="000000"/>
          <w:szCs w:val="22"/>
          <w:lang w:val="sl-SI"/>
        </w:rPr>
        <w:t xml:space="preserve"> so primerjali zdravljenje z </w:t>
      </w:r>
      <w:r w:rsidR="00D81193" w:rsidRPr="004A59B1">
        <w:rPr>
          <w:color w:val="000000"/>
          <w:szCs w:val="22"/>
          <w:lang w:val="sl-SI"/>
        </w:rPr>
        <w:t>zdravilom Glivec</w:t>
      </w:r>
      <w:r w:rsidRPr="004A59B1">
        <w:rPr>
          <w:color w:val="000000"/>
          <w:szCs w:val="22"/>
          <w:lang w:val="sl-SI"/>
        </w:rPr>
        <w:t xml:space="preserve"> kot edinim zdravilom na eni strani in s kombinacijo interferona alfa (IFN) s citarabinom (Ara-C) na drugi strani. Bolnikom, pri katerih se je pokazala odsotnost odziva (odsotnost popolnega hematološkega odziva (CHR</w:t>
      </w:r>
      <w:r w:rsidR="0006776F" w:rsidRPr="004A59B1">
        <w:rPr>
          <w:color w:val="000000"/>
          <w:szCs w:val="22"/>
          <w:lang w:val="sl-SI"/>
        </w:rPr>
        <w:t xml:space="preserve"> </w:t>
      </w:r>
      <w:r w:rsidRPr="004A59B1">
        <w:rPr>
          <w:color w:val="000000"/>
          <w:szCs w:val="22"/>
          <w:lang w:val="sl-SI"/>
        </w:rPr>
        <w:t>-</w:t>
      </w:r>
      <w:r w:rsidR="0006776F" w:rsidRPr="004A59B1">
        <w:rPr>
          <w:color w:val="000000"/>
          <w:szCs w:val="22"/>
          <w:lang w:val="sl-SI"/>
        </w:rPr>
        <w:t xml:space="preserve"> </w:t>
      </w:r>
      <w:r w:rsidRPr="00304E94">
        <w:rPr>
          <w:i/>
          <w:color w:val="000000"/>
          <w:szCs w:val="22"/>
          <w:lang w:val="sl-SI"/>
        </w:rPr>
        <w:t>complete haematological response</w:t>
      </w:r>
      <w:r w:rsidRPr="004A59B1">
        <w:rPr>
          <w:color w:val="000000"/>
          <w:szCs w:val="22"/>
          <w:lang w:val="sl-SI"/>
        </w:rPr>
        <w:t>) pri 6 mesecih, povečanje WBC, odsotnost pomembnega citogenetičnega odziva (MCyR</w:t>
      </w:r>
      <w:r w:rsidR="009F487C" w:rsidRPr="004A59B1">
        <w:rPr>
          <w:color w:val="000000"/>
          <w:szCs w:val="22"/>
          <w:lang w:val="sl-SI"/>
        </w:rPr>
        <w:t xml:space="preserve"> - </w:t>
      </w:r>
      <w:r w:rsidR="009F487C" w:rsidRPr="004A59B1">
        <w:rPr>
          <w:i/>
          <w:color w:val="000000"/>
          <w:szCs w:val="22"/>
          <w:lang w:val="sl-SI"/>
        </w:rPr>
        <w:t>major cytogenetic response</w:t>
      </w:r>
      <w:r w:rsidRPr="004A59B1">
        <w:rPr>
          <w:color w:val="000000"/>
          <w:szCs w:val="22"/>
          <w:lang w:val="sl-SI"/>
        </w:rPr>
        <w:t xml:space="preserve">) pri 24 mesecih), izguba odziva (izguba CHR ali MCyR) ali težko neprenašanje zdravljenja, je bilo dovoljeno preiti na krak alternativnega zdravljenja. Na kraku z </w:t>
      </w:r>
      <w:r w:rsidR="00D81193" w:rsidRPr="004A59B1">
        <w:rPr>
          <w:color w:val="000000"/>
          <w:szCs w:val="22"/>
          <w:lang w:val="sl-SI"/>
        </w:rPr>
        <w:t>zdravilom Glivec</w:t>
      </w:r>
      <w:r w:rsidRPr="004A59B1">
        <w:rPr>
          <w:color w:val="000000"/>
          <w:szCs w:val="22"/>
          <w:lang w:val="sl-SI"/>
        </w:rPr>
        <w:t xml:space="preserve"> so bili bolniki zdravljeni s 400 mg na dan. Na kraku z IFN so bili bolniki zdravljeni 10 dni na mesec s </w:t>
      </w:r>
      <w:r w:rsidRPr="004A59B1">
        <w:rPr>
          <w:color w:val="000000"/>
          <w:szCs w:val="22"/>
          <w:lang w:val="sl-SI"/>
        </w:rPr>
        <w:lastRenderedPageBreak/>
        <w:t>tarčnim odmerkom IFN 5 MIU/m</w:t>
      </w:r>
      <w:r w:rsidRPr="004A59B1">
        <w:rPr>
          <w:color w:val="000000"/>
          <w:szCs w:val="22"/>
          <w:vertAlign w:val="superscript"/>
          <w:lang w:val="sl-SI"/>
        </w:rPr>
        <w:t>2</w:t>
      </w:r>
      <w:r w:rsidRPr="004A59B1">
        <w:rPr>
          <w:color w:val="000000"/>
          <w:szCs w:val="22"/>
          <w:lang w:val="sl-SI"/>
        </w:rPr>
        <w:t>/dan subkutano v kombinaciji s subkutanim Ara-C 20 mg/m</w:t>
      </w:r>
      <w:r w:rsidRPr="004A59B1">
        <w:rPr>
          <w:color w:val="000000"/>
          <w:szCs w:val="22"/>
          <w:vertAlign w:val="superscript"/>
          <w:lang w:val="sl-SI"/>
        </w:rPr>
        <w:t>2</w:t>
      </w:r>
      <w:r w:rsidRPr="004A59B1">
        <w:rPr>
          <w:color w:val="000000"/>
          <w:szCs w:val="22"/>
          <w:lang w:val="sl-SI"/>
        </w:rPr>
        <w:t>/dan.</w:t>
      </w:r>
    </w:p>
    <w:p w14:paraId="52979982" w14:textId="77777777" w:rsidR="00444D75" w:rsidRPr="004A59B1" w:rsidRDefault="00444D75" w:rsidP="009C1193">
      <w:pPr>
        <w:pStyle w:val="EndnoteText"/>
        <w:widowControl w:val="0"/>
        <w:rPr>
          <w:color w:val="000000"/>
          <w:szCs w:val="22"/>
          <w:lang w:val="sl-SI"/>
        </w:rPr>
      </w:pPr>
    </w:p>
    <w:p w14:paraId="52979983" w14:textId="77777777" w:rsidR="00881B84" w:rsidRPr="004A59B1" w:rsidRDefault="00444D75" w:rsidP="009C1193">
      <w:pPr>
        <w:pStyle w:val="EndnoteText"/>
        <w:widowControl w:val="0"/>
        <w:rPr>
          <w:color w:val="000000"/>
          <w:szCs w:val="22"/>
          <w:lang w:val="sl-SI"/>
        </w:rPr>
      </w:pPr>
      <w:r w:rsidRPr="004A59B1">
        <w:rPr>
          <w:color w:val="000000"/>
          <w:szCs w:val="22"/>
          <w:lang w:val="sl-SI"/>
        </w:rPr>
        <w:t xml:space="preserve">Randomiziranih je bilo skupno 1.106 bolnikov, 553 na vsak krak. Izhodiščne značilnosti so bile med obema krakoma dobro uravnovešene. Povprečna starost je bila 51 let (razpon 18–70 let), 21,9 % bolnikov je bilo starih ≥ 60 let. Moških je bilo 59 %, žensk pa 41 %; 89,9 % je bilo belcev, 4,7 % pa črncev. </w:t>
      </w:r>
      <w:r w:rsidR="00212C01" w:rsidRPr="004A59B1">
        <w:rPr>
          <w:color w:val="000000"/>
          <w:szCs w:val="22"/>
          <w:lang w:val="sl-SI"/>
        </w:rPr>
        <w:t>Sedem</w:t>
      </w:r>
      <w:r w:rsidR="00740C34" w:rsidRPr="004A59B1">
        <w:rPr>
          <w:color w:val="000000"/>
          <w:lang w:val="sl-SI"/>
        </w:rPr>
        <w:t xml:space="preserve"> let po vključitvi zadnjega bolnika je bilo mediano trajanje zdravljenja </w:t>
      </w:r>
      <w:r w:rsidR="00FC5090" w:rsidRPr="004A59B1">
        <w:rPr>
          <w:color w:val="000000"/>
          <w:lang w:val="sl-SI"/>
        </w:rPr>
        <w:t>z</w:t>
      </w:r>
      <w:r w:rsidR="00740C34" w:rsidRPr="004A59B1">
        <w:rPr>
          <w:color w:val="000000"/>
          <w:lang w:val="sl-SI"/>
        </w:rPr>
        <w:t xml:space="preserve"> </w:t>
      </w:r>
      <w:r w:rsidR="00FC5090" w:rsidRPr="004A59B1">
        <w:rPr>
          <w:color w:val="000000"/>
          <w:lang w:val="sl-SI"/>
        </w:rPr>
        <w:t>zdravili prvega izbora</w:t>
      </w:r>
      <w:r w:rsidR="00740C34" w:rsidRPr="004A59B1">
        <w:rPr>
          <w:color w:val="000000"/>
          <w:lang w:val="sl-SI"/>
        </w:rPr>
        <w:t xml:space="preserve"> </w:t>
      </w:r>
      <w:r w:rsidR="00740C34" w:rsidRPr="004A59B1">
        <w:rPr>
          <w:color w:val="000000"/>
          <w:szCs w:val="22"/>
          <w:lang w:val="sl-SI"/>
        </w:rPr>
        <w:t xml:space="preserve">v kraku z </w:t>
      </w:r>
      <w:r w:rsidR="00FC5090" w:rsidRPr="004A59B1">
        <w:rPr>
          <w:color w:val="000000"/>
          <w:szCs w:val="22"/>
          <w:lang w:val="sl-SI"/>
        </w:rPr>
        <w:t xml:space="preserve">zdravilom </w:t>
      </w:r>
      <w:r w:rsidR="00740C34" w:rsidRPr="004A59B1">
        <w:rPr>
          <w:color w:val="000000"/>
          <w:szCs w:val="22"/>
          <w:lang w:val="sl-SI"/>
        </w:rPr>
        <w:t>Glivec</w:t>
      </w:r>
      <w:r w:rsidR="00740C34" w:rsidRPr="004A59B1">
        <w:rPr>
          <w:color w:val="000000"/>
          <w:lang w:val="sl-SI"/>
        </w:rPr>
        <w:t xml:space="preserve"> </w:t>
      </w:r>
      <w:r w:rsidR="000F3C8B" w:rsidRPr="004A59B1">
        <w:rPr>
          <w:color w:val="000000"/>
          <w:lang w:val="sl-SI"/>
        </w:rPr>
        <w:t>82</w:t>
      </w:r>
      <w:r w:rsidR="00740C34" w:rsidRPr="004A59B1">
        <w:rPr>
          <w:color w:val="000000"/>
          <w:lang w:val="sl-SI"/>
        </w:rPr>
        <w:t xml:space="preserve"> mesecev, v kraku </w:t>
      </w:r>
      <w:r w:rsidR="00740C34" w:rsidRPr="004A59B1">
        <w:rPr>
          <w:color w:val="000000"/>
          <w:szCs w:val="22"/>
          <w:lang w:val="sl-SI"/>
        </w:rPr>
        <w:t>z IFN</w:t>
      </w:r>
      <w:r w:rsidR="00740C34" w:rsidRPr="004A59B1">
        <w:rPr>
          <w:color w:val="000000"/>
          <w:lang w:val="sl-SI"/>
        </w:rPr>
        <w:t xml:space="preserve"> pa 8 mesecev. Mediano trajanje zdravljenja z </w:t>
      </w:r>
      <w:r w:rsidR="00FC5090" w:rsidRPr="004A59B1">
        <w:rPr>
          <w:color w:val="000000"/>
          <w:lang w:val="sl-SI"/>
        </w:rPr>
        <w:t xml:space="preserve">zdravilom </w:t>
      </w:r>
      <w:r w:rsidR="00740C34" w:rsidRPr="004A59B1">
        <w:rPr>
          <w:color w:val="000000"/>
          <w:lang w:val="sl-SI"/>
        </w:rPr>
        <w:t>Glivec kot</w:t>
      </w:r>
      <w:r w:rsidR="00FC5090" w:rsidRPr="004A59B1">
        <w:rPr>
          <w:color w:val="000000"/>
          <w:lang w:val="sl-SI"/>
        </w:rPr>
        <w:t xml:space="preserve"> zdravilom drugega izbora</w:t>
      </w:r>
      <w:r w:rsidR="00740C34" w:rsidRPr="004A59B1">
        <w:rPr>
          <w:color w:val="000000"/>
          <w:lang w:val="sl-SI"/>
        </w:rPr>
        <w:t xml:space="preserve"> je bilo </w:t>
      </w:r>
      <w:r w:rsidR="000F3C8B" w:rsidRPr="004A59B1">
        <w:rPr>
          <w:color w:val="000000"/>
          <w:lang w:val="sl-SI"/>
        </w:rPr>
        <w:t>64</w:t>
      </w:r>
      <w:r w:rsidR="00740C34" w:rsidRPr="004A59B1">
        <w:rPr>
          <w:color w:val="000000"/>
          <w:lang w:val="sl-SI"/>
        </w:rPr>
        <w:t xml:space="preserve"> mesecev. Povprečni odmerek v skupini vseh bolnikov, ki so prejemali </w:t>
      </w:r>
      <w:r w:rsidR="00FC5090" w:rsidRPr="004A59B1">
        <w:rPr>
          <w:color w:val="000000"/>
          <w:lang w:val="sl-SI"/>
        </w:rPr>
        <w:t xml:space="preserve">zdravilo </w:t>
      </w:r>
      <w:r w:rsidR="00740C34" w:rsidRPr="004A59B1">
        <w:rPr>
          <w:color w:val="000000"/>
          <w:lang w:val="sl-SI"/>
        </w:rPr>
        <w:t>Glivec kot zdravilo</w:t>
      </w:r>
      <w:r w:rsidR="00FC5090" w:rsidRPr="004A59B1">
        <w:rPr>
          <w:color w:val="000000"/>
          <w:lang w:val="sl-SI"/>
        </w:rPr>
        <w:t xml:space="preserve"> prvega izbora</w:t>
      </w:r>
      <w:r w:rsidR="00740C34" w:rsidRPr="004A59B1">
        <w:rPr>
          <w:color w:val="000000"/>
          <w:lang w:val="sl-SI"/>
        </w:rPr>
        <w:t>, je bil</w:t>
      </w:r>
      <w:r w:rsidR="000F3C8B" w:rsidRPr="004A59B1">
        <w:rPr>
          <w:color w:val="000000"/>
          <w:lang w:val="sl-SI"/>
        </w:rPr>
        <w:t xml:space="preserve"> 406</w:t>
      </w:r>
      <w:r w:rsidR="00740C34" w:rsidRPr="004A59B1">
        <w:rPr>
          <w:color w:val="000000"/>
          <w:lang w:val="sl-SI"/>
        </w:rPr>
        <w:t> ± </w:t>
      </w:r>
      <w:r w:rsidR="000F3C8B" w:rsidRPr="004A59B1">
        <w:rPr>
          <w:color w:val="000000"/>
          <w:lang w:val="sl-SI"/>
        </w:rPr>
        <w:t>76</w:t>
      </w:r>
      <w:r w:rsidR="00740C34" w:rsidRPr="004A59B1">
        <w:rPr>
          <w:color w:val="000000"/>
          <w:lang w:val="sl-SI"/>
        </w:rPr>
        <w:t> mg</w:t>
      </w:r>
      <w:r w:rsidR="008B4FB4" w:rsidRPr="004A59B1">
        <w:rPr>
          <w:color w:val="000000"/>
          <w:lang w:val="sl-SI"/>
        </w:rPr>
        <w:t xml:space="preserve"> na dan</w:t>
      </w:r>
      <w:r w:rsidR="00740C34" w:rsidRPr="004A59B1">
        <w:rPr>
          <w:color w:val="000000"/>
          <w:lang w:val="sl-SI"/>
        </w:rPr>
        <w:t>.</w:t>
      </w:r>
      <w:r w:rsidRPr="004A59B1">
        <w:rPr>
          <w:color w:val="000000"/>
          <w:szCs w:val="22"/>
          <w:lang w:val="sl-SI"/>
        </w:rPr>
        <w:t xml:space="preserve"> </w:t>
      </w:r>
      <w:r w:rsidR="00BE128B" w:rsidRPr="004A59B1">
        <w:rPr>
          <w:color w:val="000000"/>
          <w:szCs w:val="22"/>
          <w:lang w:val="sl-SI"/>
        </w:rPr>
        <w:t>V študiji je bil p</w:t>
      </w:r>
      <w:r w:rsidRPr="004A59B1">
        <w:rPr>
          <w:color w:val="000000"/>
          <w:szCs w:val="22"/>
          <w:lang w:val="sl-SI"/>
        </w:rPr>
        <w:t xml:space="preserve">rimarni cilj </w:t>
      </w:r>
      <w:r w:rsidR="00BE128B" w:rsidRPr="004A59B1">
        <w:rPr>
          <w:color w:val="000000"/>
          <w:szCs w:val="22"/>
          <w:lang w:val="sl-SI"/>
        </w:rPr>
        <w:t>opazovanja</w:t>
      </w:r>
      <w:r w:rsidRPr="004A59B1">
        <w:rPr>
          <w:color w:val="000000"/>
          <w:szCs w:val="22"/>
          <w:lang w:val="sl-SI"/>
        </w:rPr>
        <w:t xml:space="preserve"> glede učinkovitosti preživetje brez napredovanja bolezni. Napredovanje je bilo definirano kot katerikoli od sledečih dogodkov: napredovanje v pospešeno fazo ali blastno krizo, smrt, izguba </w:t>
      </w:r>
      <w:r w:rsidR="00BE128B" w:rsidRPr="004A59B1">
        <w:rPr>
          <w:color w:val="000000"/>
          <w:szCs w:val="22"/>
          <w:lang w:val="sl-SI"/>
        </w:rPr>
        <w:t>popolnega hematološkega odziva ali pomembnega citogenetičnega odziva</w:t>
      </w:r>
      <w:r w:rsidRPr="004A59B1">
        <w:rPr>
          <w:color w:val="000000"/>
          <w:szCs w:val="22"/>
          <w:lang w:val="sl-SI"/>
        </w:rPr>
        <w:t xml:space="preserve">, oziroma pri bolnikih, ki niso dosegli </w:t>
      </w:r>
      <w:r w:rsidR="00BE128B" w:rsidRPr="004A59B1">
        <w:rPr>
          <w:color w:val="000000"/>
          <w:szCs w:val="22"/>
          <w:lang w:val="sl-SI"/>
        </w:rPr>
        <w:t>popolnega hematološkega odziva</w:t>
      </w:r>
      <w:r w:rsidRPr="004A59B1">
        <w:rPr>
          <w:color w:val="000000"/>
          <w:szCs w:val="22"/>
          <w:lang w:val="sl-SI"/>
        </w:rPr>
        <w:t>, rast WBC kljub ustreznemu zdravljenju. Pomemben citogenet</w:t>
      </w:r>
      <w:r w:rsidR="00DE7EB6" w:rsidRPr="004A59B1">
        <w:rPr>
          <w:color w:val="000000"/>
          <w:szCs w:val="22"/>
          <w:lang w:val="sl-SI"/>
        </w:rPr>
        <w:t>ični</w:t>
      </w:r>
      <w:r w:rsidRPr="004A59B1">
        <w:rPr>
          <w:color w:val="000000"/>
          <w:szCs w:val="22"/>
          <w:lang w:val="sl-SI"/>
        </w:rPr>
        <w:t xml:space="preserve"> odziv, hematološki odziv, molekularni odziv (ovrednotenje minimalne rezidualne bolezni), čas do pospešene faze ali blastne krize in preživetje so poglavitn</w:t>
      </w:r>
      <w:r w:rsidR="00082E29" w:rsidRPr="004A59B1">
        <w:rPr>
          <w:color w:val="000000"/>
          <w:szCs w:val="22"/>
          <w:lang w:val="sl-SI"/>
        </w:rPr>
        <w:t>i</w:t>
      </w:r>
      <w:r w:rsidRPr="004A59B1">
        <w:rPr>
          <w:color w:val="000000"/>
          <w:szCs w:val="22"/>
          <w:lang w:val="sl-SI"/>
        </w:rPr>
        <w:t xml:space="preserve"> sekundarn</w:t>
      </w:r>
      <w:r w:rsidR="00082E29" w:rsidRPr="004A59B1">
        <w:rPr>
          <w:color w:val="000000"/>
          <w:szCs w:val="22"/>
          <w:lang w:val="sl-SI"/>
        </w:rPr>
        <w:t>i</w:t>
      </w:r>
      <w:r w:rsidRPr="004A59B1">
        <w:rPr>
          <w:color w:val="000000"/>
          <w:szCs w:val="22"/>
          <w:lang w:val="sl-SI"/>
        </w:rPr>
        <w:t xml:space="preserve"> </w:t>
      </w:r>
      <w:r w:rsidR="00082E29" w:rsidRPr="004A59B1">
        <w:rPr>
          <w:color w:val="000000"/>
          <w:szCs w:val="22"/>
          <w:lang w:val="sl-SI"/>
        </w:rPr>
        <w:t>cilji opazovanja</w:t>
      </w:r>
      <w:r w:rsidRPr="004A59B1">
        <w:rPr>
          <w:color w:val="000000"/>
          <w:szCs w:val="22"/>
          <w:lang w:val="sl-SI"/>
        </w:rPr>
        <w:t>. Podatke o odzivnosti kaže preglednica </w:t>
      </w:r>
      <w:r w:rsidR="00106423" w:rsidRPr="004A59B1">
        <w:rPr>
          <w:color w:val="000000"/>
          <w:szCs w:val="22"/>
          <w:lang w:val="sl-SI"/>
        </w:rPr>
        <w:t>2</w:t>
      </w:r>
      <w:r w:rsidRPr="004A59B1">
        <w:rPr>
          <w:color w:val="000000"/>
          <w:szCs w:val="22"/>
          <w:lang w:val="sl-SI"/>
        </w:rPr>
        <w:t>.</w:t>
      </w:r>
    </w:p>
    <w:p w14:paraId="52979984" w14:textId="77777777" w:rsidR="00444D75" w:rsidRPr="004A59B1" w:rsidRDefault="00444D75" w:rsidP="009C1193">
      <w:pPr>
        <w:pStyle w:val="EndnoteText"/>
        <w:widowControl w:val="0"/>
        <w:rPr>
          <w:color w:val="000000"/>
          <w:szCs w:val="22"/>
          <w:lang w:val="sl-SI"/>
        </w:rPr>
      </w:pPr>
    </w:p>
    <w:p w14:paraId="52979985" w14:textId="77777777" w:rsidR="00740C34" w:rsidRPr="004A59B1" w:rsidRDefault="00740C34" w:rsidP="009C1193">
      <w:pPr>
        <w:pStyle w:val="EndnoteText"/>
        <w:keepNext/>
        <w:keepLines/>
        <w:widowControl w:val="0"/>
        <w:tabs>
          <w:tab w:val="clear" w:pos="567"/>
          <w:tab w:val="left" w:pos="1134"/>
        </w:tabs>
        <w:rPr>
          <w:b/>
          <w:color w:val="000000"/>
          <w:szCs w:val="22"/>
          <w:lang w:val="sl-SI"/>
        </w:rPr>
      </w:pPr>
      <w:r w:rsidRPr="004A59B1">
        <w:rPr>
          <w:b/>
          <w:color w:val="000000"/>
          <w:szCs w:val="22"/>
          <w:lang w:val="sl-SI"/>
        </w:rPr>
        <w:t>Preglednica </w:t>
      </w:r>
      <w:r w:rsidR="00106423" w:rsidRPr="004A59B1">
        <w:rPr>
          <w:b/>
          <w:color w:val="000000"/>
          <w:szCs w:val="22"/>
          <w:lang w:val="sl-SI"/>
        </w:rPr>
        <w:t>2</w:t>
      </w:r>
      <w:r w:rsidRPr="004A59B1">
        <w:rPr>
          <w:b/>
          <w:color w:val="000000"/>
          <w:szCs w:val="22"/>
          <w:lang w:val="sl-SI"/>
        </w:rPr>
        <w:tab/>
        <w:t xml:space="preserve">Odziv v študiji na novo diagnosticirane </w:t>
      </w:r>
      <w:r w:rsidR="00677326" w:rsidRPr="004A59B1">
        <w:rPr>
          <w:b/>
          <w:color w:val="000000"/>
          <w:szCs w:val="22"/>
          <w:lang w:val="sl-SI"/>
        </w:rPr>
        <w:t>KML</w:t>
      </w:r>
      <w:r w:rsidRPr="004A59B1">
        <w:rPr>
          <w:b/>
          <w:color w:val="000000"/>
          <w:szCs w:val="22"/>
          <w:lang w:val="sl-SI"/>
        </w:rPr>
        <w:t xml:space="preserve"> (podatki pri </w:t>
      </w:r>
      <w:r w:rsidR="000F3C8B" w:rsidRPr="004A59B1">
        <w:rPr>
          <w:b/>
          <w:color w:val="000000"/>
          <w:szCs w:val="22"/>
          <w:lang w:val="sl-SI"/>
        </w:rPr>
        <w:t>84</w:t>
      </w:r>
      <w:r w:rsidRPr="004A59B1">
        <w:rPr>
          <w:b/>
          <w:color w:val="000000"/>
          <w:szCs w:val="22"/>
          <w:lang w:val="sl-SI"/>
        </w:rPr>
        <w:t> mesecih)</w:t>
      </w:r>
    </w:p>
    <w:p w14:paraId="52979986" w14:textId="77777777" w:rsidR="008A2E93" w:rsidRPr="004A59B1" w:rsidRDefault="008A2E93" w:rsidP="009C1193">
      <w:pPr>
        <w:pStyle w:val="EndnoteText"/>
        <w:keepNext/>
        <w:keepLines/>
        <w:widowControl w:val="0"/>
        <w:rPr>
          <w:color w:val="000000"/>
          <w:szCs w:val="22"/>
          <w:lang w:val="sl-SI"/>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8A2E93" w:rsidRPr="004A59B1" w14:paraId="5297998A" w14:textId="77777777" w:rsidTr="009C1193">
        <w:trPr>
          <w:cantSplit/>
        </w:trPr>
        <w:tc>
          <w:tcPr>
            <w:tcW w:w="3794" w:type="dxa"/>
            <w:tcBorders>
              <w:top w:val="single" w:sz="4" w:space="0" w:color="auto"/>
              <w:left w:val="single" w:sz="4" w:space="0" w:color="auto"/>
              <w:bottom w:val="nil"/>
            </w:tcBorders>
          </w:tcPr>
          <w:p w14:paraId="52979987" w14:textId="77777777" w:rsidR="008A2E93" w:rsidRPr="004A59B1" w:rsidRDefault="008A2E93" w:rsidP="009C1193">
            <w:pPr>
              <w:pStyle w:val="Table"/>
              <w:widowControl w:val="0"/>
              <w:spacing w:before="0" w:after="0"/>
              <w:rPr>
                <w:rFonts w:ascii="Times New Roman" w:hAnsi="Times New Roman"/>
                <w:color w:val="000000"/>
                <w:sz w:val="22"/>
                <w:szCs w:val="22"/>
                <w:lang w:val="sl-SI"/>
              </w:rPr>
            </w:pPr>
          </w:p>
        </w:tc>
        <w:tc>
          <w:tcPr>
            <w:tcW w:w="2693" w:type="dxa"/>
            <w:tcBorders>
              <w:top w:val="single" w:sz="4" w:space="0" w:color="auto"/>
              <w:bottom w:val="nil"/>
            </w:tcBorders>
          </w:tcPr>
          <w:p w14:paraId="52979988" w14:textId="77777777" w:rsidR="008A2E93" w:rsidRPr="004A59B1" w:rsidRDefault="008A2E93" w:rsidP="009C1193">
            <w:pPr>
              <w:pStyle w:val="Table"/>
              <w:widowControl w:val="0"/>
              <w:spacing w:before="0" w:after="0"/>
              <w:jc w:val="center"/>
              <w:rPr>
                <w:rFonts w:ascii="Times New Roman" w:hAnsi="Times New Roman"/>
                <w:b/>
                <w:color w:val="000000"/>
                <w:sz w:val="22"/>
                <w:szCs w:val="22"/>
              </w:rPr>
            </w:pPr>
            <w:r w:rsidRPr="004A59B1">
              <w:rPr>
                <w:rFonts w:ascii="Times New Roman" w:hAnsi="Times New Roman"/>
                <w:b/>
                <w:color w:val="000000"/>
                <w:sz w:val="22"/>
                <w:szCs w:val="22"/>
              </w:rPr>
              <w:t>Glivec</w:t>
            </w:r>
          </w:p>
        </w:tc>
        <w:tc>
          <w:tcPr>
            <w:tcW w:w="2718" w:type="dxa"/>
            <w:tcBorders>
              <w:top w:val="single" w:sz="4" w:space="0" w:color="auto"/>
              <w:bottom w:val="nil"/>
              <w:right w:val="single" w:sz="4" w:space="0" w:color="auto"/>
            </w:tcBorders>
          </w:tcPr>
          <w:p w14:paraId="52979989" w14:textId="77777777" w:rsidR="008A2E93" w:rsidRPr="004A59B1" w:rsidRDefault="008A2E93" w:rsidP="009C1193">
            <w:pPr>
              <w:pStyle w:val="Table"/>
              <w:widowControl w:val="0"/>
              <w:spacing w:before="0" w:after="0"/>
              <w:jc w:val="center"/>
              <w:rPr>
                <w:rFonts w:ascii="Times New Roman" w:hAnsi="Times New Roman"/>
                <w:b/>
                <w:color w:val="000000"/>
                <w:sz w:val="22"/>
                <w:szCs w:val="22"/>
              </w:rPr>
            </w:pPr>
            <w:r w:rsidRPr="004A59B1">
              <w:rPr>
                <w:rFonts w:ascii="Times New Roman" w:hAnsi="Times New Roman"/>
                <w:b/>
                <w:color w:val="000000"/>
                <w:sz w:val="22"/>
                <w:szCs w:val="22"/>
              </w:rPr>
              <w:t>IFN+Ara-C</w:t>
            </w:r>
          </w:p>
        </w:tc>
      </w:tr>
      <w:tr w:rsidR="008A2E93" w:rsidRPr="004A59B1" w14:paraId="5297998E" w14:textId="77777777" w:rsidTr="009C1193">
        <w:trPr>
          <w:cantSplit/>
        </w:trPr>
        <w:tc>
          <w:tcPr>
            <w:tcW w:w="3794" w:type="dxa"/>
            <w:tcBorders>
              <w:top w:val="nil"/>
              <w:left w:val="single" w:sz="4" w:space="0" w:color="auto"/>
              <w:bottom w:val="single" w:sz="4" w:space="0" w:color="auto"/>
            </w:tcBorders>
          </w:tcPr>
          <w:p w14:paraId="5297998B" w14:textId="77777777" w:rsidR="008A2E93" w:rsidRPr="004A59B1" w:rsidRDefault="008A2E93" w:rsidP="009C1193">
            <w:pPr>
              <w:pStyle w:val="Table"/>
              <w:widowControl w:val="0"/>
              <w:spacing w:before="0" w:after="0"/>
              <w:rPr>
                <w:rFonts w:ascii="Times New Roman" w:hAnsi="Times New Roman"/>
                <w:b/>
                <w:color w:val="000000"/>
                <w:sz w:val="22"/>
                <w:szCs w:val="22"/>
              </w:rPr>
            </w:pPr>
            <w:r w:rsidRPr="004A59B1">
              <w:rPr>
                <w:rFonts w:ascii="Times New Roman" w:hAnsi="Times New Roman"/>
                <w:b/>
                <w:color w:val="000000"/>
                <w:sz w:val="22"/>
                <w:szCs w:val="22"/>
              </w:rPr>
              <w:t>(Najboljše odzivnosti)</w:t>
            </w:r>
          </w:p>
        </w:tc>
        <w:tc>
          <w:tcPr>
            <w:tcW w:w="2693" w:type="dxa"/>
            <w:tcBorders>
              <w:top w:val="nil"/>
              <w:bottom w:val="single" w:sz="4" w:space="0" w:color="auto"/>
            </w:tcBorders>
          </w:tcPr>
          <w:p w14:paraId="5297998C" w14:textId="77777777" w:rsidR="008A2E93" w:rsidRPr="004A59B1" w:rsidRDefault="008A2E93"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n=553</w:t>
            </w:r>
          </w:p>
        </w:tc>
        <w:tc>
          <w:tcPr>
            <w:tcW w:w="2718" w:type="dxa"/>
            <w:tcBorders>
              <w:top w:val="nil"/>
              <w:bottom w:val="single" w:sz="4" w:space="0" w:color="auto"/>
              <w:right w:val="single" w:sz="4" w:space="0" w:color="auto"/>
            </w:tcBorders>
          </w:tcPr>
          <w:p w14:paraId="5297998D" w14:textId="77777777" w:rsidR="008A2E93" w:rsidRPr="004A59B1" w:rsidRDefault="008A2E93"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n=553</w:t>
            </w:r>
          </w:p>
        </w:tc>
      </w:tr>
      <w:tr w:rsidR="008A2E93" w:rsidRPr="004A59B1" w14:paraId="52979992" w14:textId="77777777" w:rsidTr="009C1193">
        <w:trPr>
          <w:cantSplit/>
        </w:trPr>
        <w:tc>
          <w:tcPr>
            <w:tcW w:w="3794" w:type="dxa"/>
            <w:tcBorders>
              <w:top w:val="nil"/>
              <w:left w:val="single" w:sz="4" w:space="0" w:color="auto"/>
            </w:tcBorders>
          </w:tcPr>
          <w:p w14:paraId="5297998F" w14:textId="77777777" w:rsidR="008A2E93" w:rsidRPr="004A59B1" w:rsidRDefault="008A2E93" w:rsidP="009C1193">
            <w:pPr>
              <w:pStyle w:val="Table"/>
              <w:widowControl w:val="0"/>
              <w:spacing w:before="0" w:after="0"/>
              <w:rPr>
                <w:rFonts w:ascii="Times New Roman" w:hAnsi="Times New Roman"/>
                <w:b/>
                <w:color w:val="000000"/>
                <w:sz w:val="22"/>
                <w:szCs w:val="22"/>
              </w:rPr>
            </w:pPr>
            <w:r w:rsidRPr="004A59B1">
              <w:rPr>
                <w:rFonts w:ascii="Times New Roman" w:hAnsi="Times New Roman"/>
                <w:b/>
                <w:color w:val="000000"/>
                <w:sz w:val="22"/>
                <w:szCs w:val="22"/>
              </w:rPr>
              <w:t>Hematološki odziv</w:t>
            </w:r>
          </w:p>
        </w:tc>
        <w:tc>
          <w:tcPr>
            <w:tcW w:w="2693" w:type="dxa"/>
            <w:tcBorders>
              <w:top w:val="nil"/>
            </w:tcBorders>
          </w:tcPr>
          <w:p w14:paraId="52979990" w14:textId="77777777" w:rsidR="008A2E93" w:rsidRPr="004A59B1" w:rsidRDefault="008A2E93" w:rsidP="009C1193">
            <w:pPr>
              <w:pStyle w:val="Table"/>
              <w:widowControl w:val="0"/>
              <w:spacing w:before="0" w:after="0"/>
              <w:jc w:val="center"/>
              <w:rPr>
                <w:rFonts w:ascii="Times New Roman" w:hAnsi="Times New Roman"/>
                <w:b/>
                <w:color w:val="000000"/>
                <w:sz w:val="22"/>
                <w:szCs w:val="22"/>
              </w:rPr>
            </w:pPr>
          </w:p>
        </w:tc>
        <w:tc>
          <w:tcPr>
            <w:tcW w:w="2718" w:type="dxa"/>
            <w:tcBorders>
              <w:top w:val="nil"/>
              <w:right w:val="single" w:sz="4" w:space="0" w:color="auto"/>
            </w:tcBorders>
          </w:tcPr>
          <w:p w14:paraId="52979991" w14:textId="77777777" w:rsidR="008A2E93" w:rsidRPr="004A59B1" w:rsidRDefault="008A2E93" w:rsidP="009C1193">
            <w:pPr>
              <w:pStyle w:val="Table"/>
              <w:widowControl w:val="0"/>
              <w:spacing w:before="0" w:after="0"/>
              <w:jc w:val="center"/>
              <w:rPr>
                <w:rFonts w:ascii="Times New Roman" w:hAnsi="Times New Roman"/>
                <w:b/>
                <w:color w:val="000000"/>
                <w:sz w:val="22"/>
                <w:szCs w:val="22"/>
              </w:rPr>
            </w:pPr>
          </w:p>
        </w:tc>
      </w:tr>
      <w:tr w:rsidR="008A2E93" w:rsidRPr="004A59B1" w14:paraId="52979996" w14:textId="77777777" w:rsidTr="009C1193">
        <w:trPr>
          <w:cantSplit/>
        </w:trPr>
        <w:tc>
          <w:tcPr>
            <w:tcW w:w="3794" w:type="dxa"/>
            <w:tcBorders>
              <w:top w:val="nil"/>
              <w:left w:val="single" w:sz="4" w:space="0" w:color="auto"/>
            </w:tcBorders>
          </w:tcPr>
          <w:p w14:paraId="52979993" w14:textId="77777777" w:rsidR="008A2E93" w:rsidRPr="004A59B1" w:rsidRDefault="008A2E93" w:rsidP="009C1193">
            <w:pPr>
              <w:pStyle w:val="Table"/>
              <w:widowControl w:val="0"/>
              <w:spacing w:before="0" w:after="0"/>
              <w:rPr>
                <w:rFonts w:ascii="Times New Roman" w:hAnsi="Times New Roman"/>
                <w:color w:val="000000"/>
                <w:sz w:val="22"/>
                <w:szCs w:val="22"/>
                <w:lang w:val="pl-PL"/>
              </w:rPr>
            </w:pPr>
            <w:r w:rsidRPr="004A59B1">
              <w:rPr>
                <w:rFonts w:ascii="Times New Roman" w:hAnsi="Times New Roman"/>
                <w:color w:val="000000"/>
                <w:sz w:val="22"/>
                <w:szCs w:val="22"/>
                <w:lang w:val="pl-PL"/>
              </w:rPr>
              <w:t>bolniki s popolnim hematološkim odzivom, število (%)</w:t>
            </w:r>
          </w:p>
        </w:tc>
        <w:tc>
          <w:tcPr>
            <w:tcW w:w="2693" w:type="dxa"/>
            <w:tcBorders>
              <w:top w:val="nil"/>
            </w:tcBorders>
          </w:tcPr>
          <w:p w14:paraId="52979994" w14:textId="77777777" w:rsidR="008A2E93" w:rsidRPr="004A59B1" w:rsidRDefault="008A2E93"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lang w:val="en-GB"/>
              </w:rPr>
              <w:t>534 (96,6 %)*</w:t>
            </w:r>
          </w:p>
        </w:tc>
        <w:tc>
          <w:tcPr>
            <w:tcW w:w="2718" w:type="dxa"/>
            <w:tcBorders>
              <w:top w:val="nil"/>
              <w:right w:val="single" w:sz="4" w:space="0" w:color="auto"/>
            </w:tcBorders>
          </w:tcPr>
          <w:p w14:paraId="52979995" w14:textId="77777777" w:rsidR="008A2E93" w:rsidRPr="004A59B1" w:rsidRDefault="008A2E93"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lang w:val="en-GB"/>
              </w:rPr>
              <w:t>313 (56,6 %)*</w:t>
            </w:r>
          </w:p>
        </w:tc>
      </w:tr>
      <w:tr w:rsidR="008A2E93" w:rsidRPr="004A59B1" w14:paraId="5297999A" w14:textId="77777777" w:rsidTr="009C1193">
        <w:trPr>
          <w:cantSplit/>
        </w:trPr>
        <w:tc>
          <w:tcPr>
            <w:tcW w:w="3794" w:type="dxa"/>
            <w:tcBorders>
              <w:left w:val="single" w:sz="4" w:space="0" w:color="auto"/>
            </w:tcBorders>
          </w:tcPr>
          <w:p w14:paraId="52979997" w14:textId="77777777" w:rsidR="008A2E93" w:rsidRPr="004A59B1" w:rsidRDefault="008A2E93" w:rsidP="009C1193">
            <w:pPr>
              <w:pStyle w:val="Table"/>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ab/>
              <w:t>[95 % interval zaupanja]</w:t>
            </w:r>
          </w:p>
        </w:tc>
        <w:tc>
          <w:tcPr>
            <w:tcW w:w="2693" w:type="dxa"/>
          </w:tcPr>
          <w:p w14:paraId="52979998" w14:textId="77777777" w:rsidR="008A2E93" w:rsidRPr="004A59B1" w:rsidRDefault="008A2E93"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lang w:val="en-GB"/>
              </w:rPr>
              <w:t>[94,7 %, 97,9 %]</w:t>
            </w:r>
          </w:p>
        </w:tc>
        <w:tc>
          <w:tcPr>
            <w:tcW w:w="2718" w:type="dxa"/>
            <w:tcBorders>
              <w:right w:val="single" w:sz="4" w:space="0" w:color="auto"/>
            </w:tcBorders>
          </w:tcPr>
          <w:p w14:paraId="52979999" w14:textId="77777777" w:rsidR="008A2E93" w:rsidRPr="004A59B1" w:rsidRDefault="008A2E93"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lang w:val="en-GB"/>
              </w:rPr>
              <w:t>[52,4 %, 60,8 %]</w:t>
            </w:r>
          </w:p>
        </w:tc>
      </w:tr>
      <w:tr w:rsidR="008A2E93" w:rsidRPr="004A59B1" w14:paraId="5297999E" w14:textId="77777777" w:rsidTr="009C1193">
        <w:trPr>
          <w:cantSplit/>
        </w:trPr>
        <w:tc>
          <w:tcPr>
            <w:tcW w:w="3794" w:type="dxa"/>
            <w:tcBorders>
              <w:left w:val="single" w:sz="4" w:space="0" w:color="auto"/>
            </w:tcBorders>
          </w:tcPr>
          <w:p w14:paraId="5297999B" w14:textId="77777777" w:rsidR="008A2E93" w:rsidRPr="004A59B1" w:rsidRDefault="008A2E93" w:rsidP="009C1193">
            <w:pPr>
              <w:pStyle w:val="Table"/>
              <w:widowControl w:val="0"/>
              <w:spacing w:before="0" w:after="0"/>
              <w:rPr>
                <w:rFonts w:ascii="Times New Roman" w:hAnsi="Times New Roman"/>
                <w:color w:val="000000"/>
                <w:sz w:val="22"/>
                <w:szCs w:val="22"/>
              </w:rPr>
            </w:pPr>
          </w:p>
        </w:tc>
        <w:tc>
          <w:tcPr>
            <w:tcW w:w="2693" w:type="dxa"/>
          </w:tcPr>
          <w:p w14:paraId="5297999C" w14:textId="77777777" w:rsidR="008A2E93" w:rsidRPr="004A59B1" w:rsidRDefault="008A2E93" w:rsidP="009C1193">
            <w:pPr>
              <w:pStyle w:val="Table"/>
              <w:widowControl w:val="0"/>
              <w:spacing w:before="0" w:after="0"/>
              <w:rPr>
                <w:rFonts w:ascii="Times New Roman" w:hAnsi="Times New Roman"/>
                <w:color w:val="000000"/>
                <w:sz w:val="22"/>
                <w:szCs w:val="22"/>
              </w:rPr>
            </w:pPr>
          </w:p>
        </w:tc>
        <w:tc>
          <w:tcPr>
            <w:tcW w:w="2718" w:type="dxa"/>
            <w:tcBorders>
              <w:right w:val="single" w:sz="4" w:space="0" w:color="auto"/>
            </w:tcBorders>
          </w:tcPr>
          <w:p w14:paraId="5297999D" w14:textId="77777777" w:rsidR="008A2E93" w:rsidRPr="004A59B1" w:rsidRDefault="008A2E93" w:rsidP="009C1193">
            <w:pPr>
              <w:pStyle w:val="Table"/>
              <w:widowControl w:val="0"/>
              <w:spacing w:before="0" w:after="0"/>
              <w:rPr>
                <w:rFonts w:ascii="Times New Roman" w:hAnsi="Times New Roman"/>
                <w:color w:val="000000"/>
                <w:sz w:val="22"/>
                <w:szCs w:val="22"/>
              </w:rPr>
            </w:pPr>
          </w:p>
        </w:tc>
      </w:tr>
      <w:tr w:rsidR="008A2E93" w:rsidRPr="004A59B1" w14:paraId="529799A2" w14:textId="77777777" w:rsidTr="009C1193">
        <w:trPr>
          <w:cantSplit/>
        </w:trPr>
        <w:tc>
          <w:tcPr>
            <w:tcW w:w="3794" w:type="dxa"/>
            <w:tcBorders>
              <w:left w:val="single" w:sz="4" w:space="0" w:color="auto"/>
            </w:tcBorders>
          </w:tcPr>
          <w:p w14:paraId="5297999F" w14:textId="77777777" w:rsidR="008A2E93" w:rsidRPr="004A59B1" w:rsidRDefault="008A2E93" w:rsidP="009C1193">
            <w:pPr>
              <w:pStyle w:val="Table"/>
              <w:widowControl w:val="0"/>
              <w:spacing w:before="0" w:after="0"/>
              <w:rPr>
                <w:rFonts w:ascii="Times New Roman" w:hAnsi="Times New Roman"/>
                <w:b/>
                <w:color w:val="000000"/>
                <w:sz w:val="22"/>
                <w:szCs w:val="22"/>
              </w:rPr>
            </w:pPr>
            <w:r w:rsidRPr="004A59B1">
              <w:rPr>
                <w:rFonts w:ascii="Times New Roman" w:hAnsi="Times New Roman"/>
                <w:b/>
                <w:color w:val="000000"/>
                <w:sz w:val="22"/>
                <w:szCs w:val="22"/>
              </w:rPr>
              <w:t>Citogenetični odziv</w:t>
            </w:r>
          </w:p>
        </w:tc>
        <w:tc>
          <w:tcPr>
            <w:tcW w:w="2693" w:type="dxa"/>
          </w:tcPr>
          <w:p w14:paraId="529799A0" w14:textId="77777777" w:rsidR="008A2E93" w:rsidRPr="004A59B1" w:rsidRDefault="008A2E93" w:rsidP="009C1193">
            <w:pPr>
              <w:pStyle w:val="Table"/>
              <w:widowControl w:val="0"/>
              <w:spacing w:before="0" w:after="0"/>
              <w:rPr>
                <w:rFonts w:ascii="Times New Roman" w:hAnsi="Times New Roman"/>
                <w:b/>
                <w:color w:val="000000"/>
                <w:sz w:val="22"/>
                <w:szCs w:val="22"/>
              </w:rPr>
            </w:pPr>
          </w:p>
        </w:tc>
        <w:tc>
          <w:tcPr>
            <w:tcW w:w="2718" w:type="dxa"/>
            <w:tcBorders>
              <w:right w:val="single" w:sz="4" w:space="0" w:color="auto"/>
            </w:tcBorders>
          </w:tcPr>
          <w:p w14:paraId="529799A1" w14:textId="77777777" w:rsidR="008A2E93" w:rsidRPr="004A59B1" w:rsidRDefault="008A2E93" w:rsidP="009C1193">
            <w:pPr>
              <w:pStyle w:val="Table"/>
              <w:widowControl w:val="0"/>
              <w:spacing w:before="0" w:after="0"/>
              <w:rPr>
                <w:rFonts w:ascii="Times New Roman" w:hAnsi="Times New Roman"/>
                <w:b/>
                <w:color w:val="000000"/>
                <w:sz w:val="22"/>
                <w:szCs w:val="22"/>
              </w:rPr>
            </w:pPr>
          </w:p>
        </w:tc>
      </w:tr>
      <w:tr w:rsidR="008A2E93" w:rsidRPr="004A59B1" w14:paraId="529799A6" w14:textId="77777777" w:rsidTr="009C1193">
        <w:trPr>
          <w:cantSplit/>
        </w:trPr>
        <w:tc>
          <w:tcPr>
            <w:tcW w:w="3794" w:type="dxa"/>
            <w:tcBorders>
              <w:left w:val="single" w:sz="4" w:space="0" w:color="auto"/>
            </w:tcBorders>
          </w:tcPr>
          <w:p w14:paraId="529799A3" w14:textId="77777777" w:rsidR="008A2E93" w:rsidRPr="004A59B1" w:rsidRDefault="008A2E93" w:rsidP="009C1193">
            <w:pPr>
              <w:pStyle w:val="Table"/>
              <w:widowControl w:val="0"/>
              <w:spacing w:before="0" w:after="0"/>
              <w:rPr>
                <w:rFonts w:ascii="Times New Roman" w:hAnsi="Times New Roman"/>
                <w:color w:val="000000"/>
                <w:sz w:val="22"/>
                <w:szCs w:val="22"/>
                <w:lang w:val="pl-PL"/>
              </w:rPr>
            </w:pPr>
            <w:r w:rsidRPr="004A59B1">
              <w:rPr>
                <w:rFonts w:ascii="Times New Roman" w:hAnsi="Times New Roman"/>
                <w:color w:val="000000"/>
                <w:sz w:val="22"/>
                <w:szCs w:val="22"/>
                <w:lang w:val="pl-PL"/>
              </w:rPr>
              <w:t>bolniki s pomembnim odzivom, število (%)</w:t>
            </w:r>
          </w:p>
        </w:tc>
        <w:tc>
          <w:tcPr>
            <w:tcW w:w="2693" w:type="dxa"/>
          </w:tcPr>
          <w:p w14:paraId="529799A4" w14:textId="77777777" w:rsidR="008A2E93" w:rsidRPr="004A59B1" w:rsidRDefault="008A2E93"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lang w:val="en-GB"/>
              </w:rPr>
              <w:t>490 (88,6 %)*</w:t>
            </w:r>
          </w:p>
        </w:tc>
        <w:tc>
          <w:tcPr>
            <w:tcW w:w="2718" w:type="dxa"/>
            <w:tcBorders>
              <w:right w:val="single" w:sz="4" w:space="0" w:color="auto"/>
            </w:tcBorders>
          </w:tcPr>
          <w:p w14:paraId="529799A5" w14:textId="77777777" w:rsidR="008A2E93" w:rsidRPr="004A59B1" w:rsidRDefault="008A2E93"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lang w:val="en-GB"/>
              </w:rPr>
              <w:t>129 (23,3 %)*</w:t>
            </w:r>
          </w:p>
        </w:tc>
      </w:tr>
      <w:tr w:rsidR="008A2E93" w:rsidRPr="004A59B1" w14:paraId="529799AA" w14:textId="77777777" w:rsidTr="009C1193">
        <w:trPr>
          <w:cantSplit/>
        </w:trPr>
        <w:tc>
          <w:tcPr>
            <w:tcW w:w="3794" w:type="dxa"/>
            <w:tcBorders>
              <w:left w:val="single" w:sz="4" w:space="0" w:color="auto"/>
            </w:tcBorders>
          </w:tcPr>
          <w:p w14:paraId="529799A7" w14:textId="77777777" w:rsidR="008A2E93" w:rsidRPr="004A59B1" w:rsidRDefault="008A2E93" w:rsidP="009C1193">
            <w:pPr>
              <w:pStyle w:val="Table"/>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ab/>
              <w:t>[95 % interval zaupanja]</w:t>
            </w:r>
          </w:p>
        </w:tc>
        <w:tc>
          <w:tcPr>
            <w:tcW w:w="2693" w:type="dxa"/>
          </w:tcPr>
          <w:p w14:paraId="529799A8" w14:textId="77777777" w:rsidR="008A2E93" w:rsidRPr="004A59B1" w:rsidRDefault="008A2E93"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lang w:val="en-GB"/>
              </w:rPr>
              <w:t>[85,7 %, 91,1 %]</w:t>
            </w:r>
          </w:p>
        </w:tc>
        <w:tc>
          <w:tcPr>
            <w:tcW w:w="2718" w:type="dxa"/>
            <w:tcBorders>
              <w:right w:val="single" w:sz="4" w:space="0" w:color="auto"/>
            </w:tcBorders>
          </w:tcPr>
          <w:p w14:paraId="529799A9" w14:textId="77777777" w:rsidR="008A2E93" w:rsidRPr="004A59B1" w:rsidRDefault="008A2E93"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lang w:val="en-GB"/>
              </w:rPr>
              <w:t>[19,9 %, 27,1 %]</w:t>
            </w:r>
          </w:p>
        </w:tc>
      </w:tr>
      <w:tr w:rsidR="008A2E93" w:rsidRPr="004A59B1" w14:paraId="529799AE" w14:textId="77777777" w:rsidTr="009C1193">
        <w:trPr>
          <w:cantSplit/>
        </w:trPr>
        <w:tc>
          <w:tcPr>
            <w:tcW w:w="3794" w:type="dxa"/>
            <w:tcBorders>
              <w:left w:val="single" w:sz="4" w:space="0" w:color="auto"/>
            </w:tcBorders>
          </w:tcPr>
          <w:p w14:paraId="529799AB" w14:textId="77777777" w:rsidR="008A2E93" w:rsidRPr="004A59B1" w:rsidRDefault="008A2E93" w:rsidP="009C1193">
            <w:pPr>
              <w:pStyle w:val="Table"/>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ab/>
              <w:t>bolniki s popolnim citogenetičnim odzivom, število (%)</w:t>
            </w:r>
          </w:p>
        </w:tc>
        <w:tc>
          <w:tcPr>
            <w:tcW w:w="2693" w:type="dxa"/>
          </w:tcPr>
          <w:p w14:paraId="529799AC" w14:textId="77777777" w:rsidR="008A2E93" w:rsidRPr="004A59B1" w:rsidRDefault="000F3C8B"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lang w:val="en-GB"/>
              </w:rPr>
              <w:t>456 (82,5</w:t>
            </w:r>
            <w:r w:rsidR="00B241EB" w:rsidRPr="004A59B1">
              <w:rPr>
                <w:rFonts w:ascii="Times New Roman" w:hAnsi="Times New Roman"/>
                <w:color w:val="000000"/>
                <w:sz w:val="22"/>
                <w:szCs w:val="22"/>
                <w:lang w:val="en-GB"/>
              </w:rPr>
              <w:t> </w:t>
            </w:r>
            <w:r w:rsidRPr="004A59B1">
              <w:rPr>
                <w:rFonts w:ascii="Times New Roman" w:hAnsi="Times New Roman"/>
                <w:color w:val="000000"/>
                <w:sz w:val="22"/>
                <w:szCs w:val="22"/>
                <w:lang w:val="en-GB"/>
              </w:rPr>
              <w:t>%)*</w:t>
            </w:r>
          </w:p>
        </w:tc>
        <w:tc>
          <w:tcPr>
            <w:tcW w:w="2718" w:type="dxa"/>
            <w:tcBorders>
              <w:right w:val="single" w:sz="4" w:space="0" w:color="auto"/>
            </w:tcBorders>
          </w:tcPr>
          <w:p w14:paraId="529799AD" w14:textId="77777777" w:rsidR="008A2E93" w:rsidRPr="004A59B1" w:rsidRDefault="008A2E93"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lang w:val="en-GB"/>
              </w:rPr>
              <w:t>64 (11,6 %)*</w:t>
            </w:r>
          </w:p>
        </w:tc>
      </w:tr>
      <w:tr w:rsidR="008A2E93" w:rsidRPr="004A59B1" w14:paraId="529799B2" w14:textId="77777777" w:rsidTr="009C1193">
        <w:trPr>
          <w:cantSplit/>
        </w:trPr>
        <w:tc>
          <w:tcPr>
            <w:tcW w:w="3794" w:type="dxa"/>
            <w:tcBorders>
              <w:left w:val="single" w:sz="4" w:space="0" w:color="auto"/>
            </w:tcBorders>
          </w:tcPr>
          <w:p w14:paraId="529799AF" w14:textId="77777777" w:rsidR="008A2E93" w:rsidRPr="004A59B1" w:rsidRDefault="008A2E93" w:rsidP="009C1193">
            <w:pPr>
              <w:pStyle w:val="Table"/>
              <w:widowControl w:val="0"/>
              <w:spacing w:before="0" w:after="0"/>
              <w:rPr>
                <w:rFonts w:ascii="Times New Roman" w:hAnsi="Times New Roman"/>
                <w:color w:val="000000"/>
                <w:sz w:val="22"/>
                <w:szCs w:val="22"/>
                <w:lang w:val="pl-PL"/>
              </w:rPr>
            </w:pPr>
            <w:r w:rsidRPr="004A59B1">
              <w:rPr>
                <w:rFonts w:ascii="Times New Roman" w:hAnsi="Times New Roman"/>
                <w:color w:val="000000"/>
                <w:sz w:val="22"/>
                <w:szCs w:val="22"/>
                <w:lang w:val="pl-PL"/>
              </w:rPr>
              <w:tab/>
              <w:t>bolniki z delnim citogenetičnim odzivom, število (%)</w:t>
            </w:r>
          </w:p>
        </w:tc>
        <w:tc>
          <w:tcPr>
            <w:tcW w:w="2693" w:type="dxa"/>
          </w:tcPr>
          <w:p w14:paraId="529799B0" w14:textId="77777777" w:rsidR="008A2E93" w:rsidRPr="004A59B1" w:rsidRDefault="000F3C8B"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lang w:val="en-GB"/>
              </w:rPr>
              <w:t>34 (6,1</w:t>
            </w:r>
            <w:r w:rsidR="00B241EB" w:rsidRPr="004A59B1">
              <w:rPr>
                <w:rFonts w:ascii="Times New Roman" w:hAnsi="Times New Roman"/>
                <w:color w:val="000000"/>
                <w:sz w:val="22"/>
                <w:szCs w:val="22"/>
                <w:lang w:val="en-GB"/>
              </w:rPr>
              <w:t> </w:t>
            </w:r>
            <w:r w:rsidRPr="004A59B1">
              <w:rPr>
                <w:rFonts w:ascii="Times New Roman" w:hAnsi="Times New Roman"/>
                <w:color w:val="000000"/>
                <w:sz w:val="22"/>
                <w:szCs w:val="22"/>
                <w:lang w:val="en-GB"/>
              </w:rPr>
              <w:t>%)</w:t>
            </w:r>
          </w:p>
        </w:tc>
        <w:tc>
          <w:tcPr>
            <w:tcW w:w="2718" w:type="dxa"/>
            <w:tcBorders>
              <w:right w:val="single" w:sz="4" w:space="0" w:color="auto"/>
            </w:tcBorders>
          </w:tcPr>
          <w:p w14:paraId="529799B1" w14:textId="77777777" w:rsidR="008A2E93" w:rsidRPr="004A59B1" w:rsidRDefault="008A2E93"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lang w:val="en-GB"/>
              </w:rPr>
              <w:t>65 (11,8 %)</w:t>
            </w:r>
          </w:p>
        </w:tc>
      </w:tr>
      <w:tr w:rsidR="008A2E93" w:rsidRPr="004A59B1" w14:paraId="529799B6" w14:textId="77777777" w:rsidTr="009C1193">
        <w:trPr>
          <w:cantSplit/>
        </w:trPr>
        <w:tc>
          <w:tcPr>
            <w:tcW w:w="3794" w:type="dxa"/>
            <w:tcBorders>
              <w:left w:val="single" w:sz="4" w:space="0" w:color="auto"/>
              <w:bottom w:val="nil"/>
            </w:tcBorders>
          </w:tcPr>
          <w:p w14:paraId="529799B3" w14:textId="77777777" w:rsidR="008A2E93" w:rsidRPr="004A59B1" w:rsidRDefault="008A2E93" w:rsidP="009C1193">
            <w:pPr>
              <w:pStyle w:val="Table"/>
              <w:widowControl w:val="0"/>
              <w:spacing w:before="0" w:after="0"/>
              <w:rPr>
                <w:rFonts w:ascii="Times New Roman" w:hAnsi="Times New Roman"/>
                <w:color w:val="000000"/>
                <w:sz w:val="22"/>
                <w:szCs w:val="22"/>
              </w:rPr>
            </w:pPr>
          </w:p>
        </w:tc>
        <w:tc>
          <w:tcPr>
            <w:tcW w:w="2693" w:type="dxa"/>
            <w:tcBorders>
              <w:bottom w:val="nil"/>
            </w:tcBorders>
          </w:tcPr>
          <w:p w14:paraId="529799B4" w14:textId="77777777" w:rsidR="008A2E93" w:rsidRPr="004A59B1" w:rsidRDefault="008A2E93" w:rsidP="009C1193">
            <w:pPr>
              <w:pStyle w:val="Table"/>
              <w:widowControl w:val="0"/>
              <w:spacing w:before="0" w:after="0"/>
              <w:rPr>
                <w:rFonts w:ascii="Times New Roman" w:hAnsi="Times New Roman"/>
                <w:color w:val="000000"/>
                <w:sz w:val="22"/>
                <w:szCs w:val="22"/>
              </w:rPr>
            </w:pPr>
          </w:p>
        </w:tc>
        <w:tc>
          <w:tcPr>
            <w:tcW w:w="2718" w:type="dxa"/>
            <w:tcBorders>
              <w:bottom w:val="nil"/>
              <w:right w:val="single" w:sz="4" w:space="0" w:color="auto"/>
            </w:tcBorders>
          </w:tcPr>
          <w:p w14:paraId="529799B5" w14:textId="77777777" w:rsidR="008A2E93" w:rsidRPr="004A59B1" w:rsidRDefault="008A2E93" w:rsidP="009C1193">
            <w:pPr>
              <w:pStyle w:val="Table"/>
              <w:widowControl w:val="0"/>
              <w:spacing w:before="0" w:after="0"/>
              <w:rPr>
                <w:rFonts w:ascii="Times New Roman" w:hAnsi="Times New Roman"/>
                <w:color w:val="000000"/>
                <w:sz w:val="22"/>
                <w:szCs w:val="22"/>
              </w:rPr>
            </w:pPr>
          </w:p>
        </w:tc>
      </w:tr>
      <w:tr w:rsidR="008A2E93" w:rsidRPr="004A59B1" w14:paraId="529799BA" w14:textId="77777777" w:rsidTr="009C1193">
        <w:trPr>
          <w:cantSplit/>
        </w:trPr>
        <w:tc>
          <w:tcPr>
            <w:tcW w:w="3794" w:type="dxa"/>
            <w:tcBorders>
              <w:left w:val="single" w:sz="4" w:space="0" w:color="auto"/>
              <w:bottom w:val="nil"/>
            </w:tcBorders>
          </w:tcPr>
          <w:p w14:paraId="529799B7" w14:textId="77777777" w:rsidR="008A2E93" w:rsidRPr="004A59B1" w:rsidRDefault="008A2E93" w:rsidP="009C1193">
            <w:pPr>
              <w:pStyle w:val="Table"/>
              <w:widowControl w:val="0"/>
              <w:spacing w:before="0" w:after="0"/>
              <w:rPr>
                <w:rFonts w:ascii="Times New Roman" w:hAnsi="Times New Roman"/>
                <w:color w:val="000000"/>
                <w:sz w:val="22"/>
                <w:szCs w:val="22"/>
              </w:rPr>
            </w:pPr>
            <w:r w:rsidRPr="004A59B1">
              <w:rPr>
                <w:rFonts w:ascii="Times New Roman" w:hAnsi="Times New Roman"/>
                <w:b/>
                <w:color w:val="000000"/>
                <w:sz w:val="22"/>
                <w:szCs w:val="22"/>
              </w:rPr>
              <w:t>Molekularni odziv</w:t>
            </w:r>
            <w:r w:rsidR="00017658" w:rsidRPr="004A59B1">
              <w:rPr>
                <w:rFonts w:ascii="Times New Roman" w:hAnsi="Times New Roman"/>
                <w:color w:val="000000"/>
                <w:sz w:val="22"/>
                <w:szCs w:val="22"/>
                <w:lang w:val="en-GB"/>
              </w:rPr>
              <w:t>**</w:t>
            </w:r>
          </w:p>
        </w:tc>
        <w:tc>
          <w:tcPr>
            <w:tcW w:w="2693" w:type="dxa"/>
            <w:tcBorders>
              <w:bottom w:val="nil"/>
            </w:tcBorders>
          </w:tcPr>
          <w:p w14:paraId="529799B8" w14:textId="77777777" w:rsidR="008A2E93" w:rsidRPr="004A59B1" w:rsidRDefault="008A2E93" w:rsidP="009C1193">
            <w:pPr>
              <w:pStyle w:val="Table"/>
              <w:widowControl w:val="0"/>
              <w:spacing w:before="0" w:after="0"/>
              <w:rPr>
                <w:rFonts w:ascii="Times New Roman" w:hAnsi="Times New Roman"/>
                <w:color w:val="000000"/>
                <w:sz w:val="22"/>
                <w:szCs w:val="22"/>
              </w:rPr>
            </w:pPr>
          </w:p>
        </w:tc>
        <w:tc>
          <w:tcPr>
            <w:tcW w:w="2718" w:type="dxa"/>
            <w:tcBorders>
              <w:bottom w:val="nil"/>
              <w:right w:val="single" w:sz="4" w:space="0" w:color="auto"/>
            </w:tcBorders>
          </w:tcPr>
          <w:p w14:paraId="529799B9" w14:textId="77777777" w:rsidR="008A2E93" w:rsidRPr="004A59B1" w:rsidRDefault="008A2E93" w:rsidP="009C1193">
            <w:pPr>
              <w:pStyle w:val="Table"/>
              <w:widowControl w:val="0"/>
              <w:spacing w:before="0" w:after="0"/>
              <w:rPr>
                <w:rFonts w:ascii="Times New Roman" w:hAnsi="Times New Roman"/>
                <w:color w:val="000000"/>
                <w:sz w:val="22"/>
                <w:szCs w:val="22"/>
              </w:rPr>
            </w:pPr>
          </w:p>
        </w:tc>
      </w:tr>
      <w:tr w:rsidR="00B241EB" w:rsidRPr="004A59B1" w14:paraId="529799BE" w14:textId="77777777" w:rsidTr="009C1193">
        <w:trPr>
          <w:cantSplit/>
        </w:trPr>
        <w:tc>
          <w:tcPr>
            <w:tcW w:w="3794" w:type="dxa"/>
            <w:tcBorders>
              <w:left w:val="single" w:sz="4" w:space="0" w:color="auto"/>
              <w:bottom w:val="nil"/>
            </w:tcBorders>
          </w:tcPr>
          <w:p w14:paraId="529799BB" w14:textId="77777777" w:rsidR="00B241EB" w:rsidRPr="004A59B1" w:rsidRDefault="00B241EB" w:rsidP="009C1193">
            <w:pPr>
              <w:pStyle w:val="Table"/>
              <w:widowControl w:val="0"/>
              <w:spacing w:before="0" w:after="0"/>
              <w:rPr>
                <w:rFonts w:ascii="Times New Roman" w:hAnsi="Times New Roman"/>
                <w:color w:val="000000"/>
                <w:sz w:val="22"/>
                <w:szCs w:val="22"/>
              </w:rPr>
            </w:pPr>
            <w:r w:rsidRPr="004A59B1">
              <w:rPr>
                <w:rFonts w:ascii="Times New Roman" w:hAnsi="Times New Roman"/>
                <w:color w:val="000000"/>
                <w:sz w:val="22"/>
                <w:szCs w:val="22"/>
                <w:lang w:val="en-GB"/>
              </w:rPr>
              <w:t>pomemben odziv pri 12 mesecih (%)</w:t>
            </w:r>
          </w:p>
        </w:tc>
        <w:tc>
          <w:tcPr>
            <w:tcW w:w="2693" w:type="dxa"/>
            <w:tcBorders>
              <w:bottom w:val="nil"/>
            </w:tcBorders>
          </w:tcPr>
          <w:p w14:paraId="529799BC" w14:textId="77777777" w:rsidR="00B241EB" w:rsidRPr="004A59B1" w:rsidRDefault="00B241EB"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lang w:val="en-GB"/>
              </w:rPr>
              <w:t>153/305=50,2 %</w:t>
            </w:r>
          </w:p>
        </w:tc>
        <w:tc>
          <w:tcPr>
            <w:tcW w:w="2718" w:type="dxa"/>
            <w:tcBorders>
              <w:bottom w:val="nil"/>
              <w:right w:val="single" w:sz="4" w:space="0" w:color="auto"/>
            </w:tcBorders>
          </w:tcPr>
          <w:p w14:paraId="529799BD" w14:textId="77777777" w:rsidR="00B241EB" w:rsidRPr="004A59B1" w:rsidRDefault="00B241EB"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lang w:val="en-GB"/>
              </w:rPr>
              <w:t>8/83=9,6 %</w:t>
            </w:r>
          </w:p>
        </w:tc>
      </w:tr>
      <w:tr w:rsidR="00B241EB" w:rsidRPr="004A59B1" w14:paraId="529799C2" w14:textId="77777777" w:rsidTr="009C1193">
        <w:trPr>
          <w:cantSplit/>
        </w:trPr>
        <w:tc>
          <w:tcPr>
            <w:tcW w:w="3794" w:type="dxa"/>
            <w:tcBorders>
              <w:left w:val="single" w:sz="4" w:space="0" w:color="auto"/>
              <w:bottom w:val="nil"/>
            </w:tcBorders>
          </w:tcPr>
          <w:p w14:paraId="529799BF" w14:textId="77777777" w:rsidR="00B241EB" w:rsidRPr="004A59B1" w:rsidRDefault="00B241EB" w:rsidP="009C1193">
            <w:pPr>
              <w:pStyle w:val="Table"/>
              <w:widowControl w:val="0"/>
              <w:spacing w:before="0" w:after="0"/>
              <w:rPr>
                <w:rFonts w:ascii="Times New Roman" w:hAnsi="Times New Roman"/>
                <w:color w:val="000000"/>
                <w:sz w:val="22"/>
                <w:szCs w:val="22"/>
              </w:rPr>
            </w:pPr>
            <w:r w:rsidRPr="004A59B1">
              <w:rPr>
                <w:rFonts w:ascii="Times New Roman" w:hAnsi="Times New Roman"/>
                <w:color w:val="000000"/>
                <w:sz w:val="22"/>
                <w:szCs w:val="22"/>
                <w:lang w:val="en-GB"/>
              </w:rPr>
              <w:t>pomemben odziv pri 24 mesecih (%)</w:t>
            </w:r>
          </w:p>
        </w:tc>
        <w:tc>
          <w:tcPr>
            <w:tcW w:w="2693" w:type="dxa"/>
            <w:tcBorders>
              <w:bottom w:val="nil"/>
            </w:tcBorders>
          </w:tcPr>
          <w:p w14:paraId="529799C0" w14:textId="77777777" w:rsidR="00B241EB" w:rsidRPr="004A59B1" w:rsidRDefault="00B241EB"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lang w:val="en-GB"/>
              </w:rPr>
              <w:t>73/104=70,2 %</w:t>
            </w:r>
          </w:p>
        </w:tc>
        <w:tc>
          <w:tcPr>
            <w:tcW w:w="2718" w:type="dxa"/>
            <w:tcBorders>
              <w:bottom w:val="nil"/>
              <w:right w:val="single" w:sz="4" w:space="0" w:color="auto"/>
            </w:tcBorders>
          </w:tcPr>
          <w:p w14:paraId="529799C1" w14:textId="77777777" w:rsidR="00B241EB" w:rsidRPr="004A59B1" w:rsidRDefault="00B241EB"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lang w:val="en-GB"/>
              </w:rPr>
              <w:t>3/12=25 %</w:t>
            </w:r>
          </w:p>
        </w:tc>
      </w:tr>
      <w:tr w:rsidR="000F3C8B" w:rsidRPr="004A59B1" w14:paraId="529799C6" w14:textId="77777777" w:rsidTr="009C1193">
        <w:trPr>
          <w:cantSplit/>
        </w:trPr>
        <w:tc>
          <w:tcPr>
            <w:tcW w:w="3794" w:type="dxa"/>
            <w:tcBorders>
              <w:left w:val="single" w:sz="4" w:space="0" w:color="auto"/>
              <w:bottom w:val="nil"/>
            </w:tcBorders>
          </w:tcPr>
          <w:p w14:paraId="529799C3" w14:textId="77777777" w:rsidR="000F3C8B" w:rsidRPr="004A59B1" w:rsidRDefault="000F3C8B" w:rsidP="009C1193">
            <w:pPr>
              <w:pStyle w:val="Table"/>
              <w:widowControl w:val="0"/>
              <w:spacing w:before="0" w:after="0"/>
              <w:rPr>
                <w:rFonts w:ascii="Times New Roman" w:hAnsi="Times New Roman"/>
                <w:color w:val="000000"/>
                <w:sz w:val="22"/>
                <w:szCs w:val="22"/>
                <w:lang w:val="en-GB"/>
              </w:rPr>
            </w:pPr>
            <w:r w:rsidRPr="004A59B1">
              <w:rPr>
                <w:rFonts w:ascii="Times New Roman" w:hAnsi="Times New Roman"/>
                <w:color w:val="000000"/>
                <w:sz w:val="22"/>
                <w:szCs w:val="22"/>
                <w:lang w:val="en-GB"/>
              </w:rPr>
              <w:t>pomemben odziv pri 84 mesecih (%)</w:t>
            </w:r>
          </w:p>
        </w:tc>
        <w:tc>
          <w:tcPr>
            <w:tcW w:w="2693" w:type="dxa"/>
            <w:tcBorders>
              <w:bottom w:val="nil"/>
            </w:tcBorders>
          </w:tcPr>
          <w:p w14:paraId="529799C4" w14:textId="77777777" w:rsidR="000F3C8B" w:rsidRPr="004A59B1" w:rsidRDefault="000F3C8B" w:rsidP="009C1193">
            <w:pPr>
              <w:pStyle w:val="Table"/>
              <w:widowControl w:val="0"/>
              <w:spacing w:before="0" w:after="0"/>
              <w:jc w:val="center"/>
              <w:rPr>
                <w:rFonts w:ascii="Times New Roman" w:hAnsi="Times New Roman"/>
                <w:color w:val="000000"/>
                <w:sz w:val="22"/>
                <w:szCs w:val="22"/>
                <w:lang w:val="en-GB"/>
              </w:rPr>
            </w:pPr>
            <w:r w:rsidRPr="004A59B1">
              <w:rPr>
                <w:rFonts w:ascii="Times New Roman" w:hAnsi="Times New Roman"/>
                <w:color w:val="000000"/>
                <w:sz w:val="22"/>
                <w:szCs w:val="22"/>
                <w:lang w:val="en-GB"/>
              </w:rPr>
              <w:t>102/116=87</w:t>
            </w:r>
            <w:r w:rsidR="00B241EB" w:rsidRPr="004A59B1">
              <w:rPr>
                <w:rFonts w:ascii="Times New Roman" w:hAnsi="Times New Roman"/>
                <w:color w:val="000000"/>
                <w:sz w:val="22"/>
                <w:szCs w:val="22"/>
                <w:lang w:val="en-GB"/>
              </w:rPr>
              <w:t>,</w:t>
            </w:r>
            <w:r w:rsidRPr="004A59B1">
              <w:rPr>
                <w:rFonts w:ascii="Times New Roman" w:hAnsi="Times New Roman"/>
                <w:color w:val="000000"/>
                <w:sz w:val="22"/>
                <w:szCs w:val="22"/>
                <w:lang w:val="en-GB"/>
              </w:rPr>
              <w:t>9</w:t>
            </w:r>
            <w:r w:rsidR="00B241EB" w:rsidRPr="004A59B1">
              <w:rPr>
                <w:rFonts w:ascii="Times New Roman" w:hAnsi="Times New Roman"/>
                <w:color w:val="000000"/>
                <w:sz w:val="22"/>
                <w:szCs w:val="22"/>
                <w:lang w:val="en-GB"/>
              </w:rPr>
              <w:t> </w:t>
            </w:r>
            <w:r w:rsidRPr="004A59B1">
              <w:rPr>
                <w:rFonts w:ascii="Times New Roman" w:hAnsi="Times New Roman"/>
                <w:color w:val="000000"/>
                <w:sz w:val="22"/>
                <w:szCs w:val="22"/>
                <w:lang w:val="en-GB"/>
              </w:rPr>
              <w:t>%</w:t>
            </w:r>
          </w:p>
        </w:tc>
        <w:tc>
          <w:tcPr>
            <w:tcW w:w="2718" w:type="dxa"/>
            <w:tcBorders>
              <w:bottom w:val="nil"/>
              <w:right w:val="single" w:sz="4" w:space="0" w:color="auto"/>
            </w:tcBorders>
          </w:tcPr>
          <w:p w14:paraId="529799C5" w14:textId="77777777" w:rsidR="000F3C8B" w:rsidRPr="004A59B1" w:rsidRDefault="000F3C8B" w:rsidP="009C1193">
            <w:pPr>
              <w:pStyle w:val="Table"/>
              <w:widowControl w:val="0"/>
              <w:spacing w:before="0" w:after="0"/>
              <w:jc w:val="center"/>
              <w:rPr>
                <w:rFonts w:ascii="Times New Roman" w:hAnsi="Times New Roman"/>
                <w:color w:val="000000"/>
                <w:sz w:val="22"/>
                <w:szCs w:val="22"/>
                <w:lang w:val="en-GB"/>
              </w:rPr>
            </w:pPr>
            <w:r w:rsidRPr="004A59B1">
              <w:rPr>
                <w:rFonts w:ascii="Times New Roman" w:hAnsi="Times New Roman"/>
                <w:color w:val="000000"/>
                <w:sz w:val="22"/>
                <w:szCs w:val="22"/>
                <w:lang w:val="en-GB"/>
              </w:rPr>
              <w:t>3/4=75</w:t>
            </w:r>
            <w:r w:rsidR="00B241EB" w:rsidRPr="004A59B1">
              <w:rPr>
                <w:rFonts w:ascii="Times New Roman" w:hAnsi="Times New Roman"/>
                <w:color w:val="000000"/>
                <w:sz w:val="22"/>
                <w:szCs w:val="22"/>
                <w:lang w:val="en-GB"/>
              </w:rPr>
              <w:t> </w:t>
            </w:r>
            <w:r w:rsidRPr="004A59B1">
              <w:rPr>
                <w:rFonts w:ascii="Times New Roman" w:hAnsi="Times New Roman"/>
                <w:color w:val="000000"/>
                <w:sz w:val="22"/>
                <w:szCs w:val="22"/>
                <w:lang w:val="en-GB"/>
              </w:rPr>
              <w:t>%</w:t>
            </w:r>
          </w:p>
        </w:tc>
      </w:tr>
      <w:tr w:rsidR="008A2E93" w:rsidRPr="004A59B1" w14:paraId="529799CD" w14:textId="77777777" w:rsidTr="009C1193">
        <w:trPr>
          <w:cantSplit/>
        </w:trPr>
        <w:tc>
          <w:tcPr>
            <w:tcW w:w="9205" w:type="dxa"/>
            <w:gridSpan w:val="3"/>
            <w:tcBorders>
              <w:top w:val="single" w:sz="4" w:space="0" w:color="auto"/>
              <w:left w:val="single" w:sz="4" w:space="0" w:color="auto"/>
              <w:bottom w:val="single" w:sz="4" w:space="0" w:color="auto"/>
              <w:right w:val="single" w:sz="4" w:space="0" w:color="auto"/>
            </w:tcBorders>
          </w:tcPr>
          <w:p w14:paraId="529799C7" w14:textId="77777777" w:rsidR="008A2E93" w:rsidRPr="004A59B1" w:rsidRDefault="008A2E93" w:rsidP="009C1193">
            <w:pPr>
              <w:pStyle w:val="Table"/>
              <w:widowControl w:val="0"/>
              <w:spacing w:before="0" w:after="0"/>
              <w:rPr>
                <w:rFonts w:ascii="Times New Roman" w:hAnsi="Times New Roman"/>
                <w:color w:val="000000"/>
                <w:sz w:val="22"/>
                <w:szCs w:val="22"/>
                <w:lang w:val="en-GB"/>
              </w:rPr>
            </w:pPr>
            <w:r w:rsidRPr="004A59B1">
              <w:rPr>
                <w:rFonts w:ascii="Times New Roman" w:hAnsi="Times New Roman"/>
                <w:color w:val="000000"/>
                <w:sz w:val="22"/>
                <w:szCs w:val="22"/>
              </w:rPr>
              <w:t xml:space="preserve">* p&lt;0,001, </w:t>
            </w:r>
            <w:r w:rsidRPr="004A59B1">
              <w:rPr>
                <w:rFonts w:ascii="Times New Roman" w:hAnsi="Times New Roman"/>
                <w:color w:val="000000"/>
                <w:sz w:val="22"/>
                <w:szCs w:val="22"/>
                <w:lang w:val="en-GB"/>
              </w:rPr>
              <w:t>Fischerjev eksaktni test</w:t>
            </w:r>
          </w:p>
          <w:p w14:paraId="529799C8" w14:textId="77777777" w:rsidR="008A2E93" w:rsidRPr="004A59B1" w:rsidRDefault="008A2E93" w:rsidP="009C1193">
            <w:pPr>
              <w:pStyle w:val="Table"/>
              <w:widowControl w:val="0"/>
              <w:spacing w:before="0" w:after="0"/>
              <w:rPr>
                <w:rFonts w:ascii="Times New Roman" w:hAnsi="Times New Roman"/>
                <w:color w:val="000000"/>
                <w:sz w:val="22"/>
                <w:szCs w:val="22"/>
                <w:lang w:val="en-GB"/>
              </w:rPr>
            </w:pPr>
            <w:r w:rsidRPr="004A59B1">
              <w:rPr>
                <w:rFonts w:ascii="Times New Roman" w:hAnsi="Times New Roman"/>
                <w:color w:val="000000"/>
                <w:sz w:val="22"/>
                <w:szCs w:val="22"/>
                <w:lang w:val="en-GB"/>
              </w:rPr>
              <w:t xml:space="preserve">** </w:t>
            </w:r>
            <w:r w:rsidR="00574EB9" w:rsidRPr="004A59B1">
              <w:rPr>
                <w:rFonts w:ascii="Times New Roman" w:hAnsi="Times New Roman"/>
                <w:color w:val="000000"/>
                <w:sz w:val="22"/>
                <w:szCs w:val="22"/>
                <w:lang w:val="en-GB"/>
              </w:rPr>
              <w:t>odstotek bolnikov z molekularnim odzivom na osnovi dostopnih razpoložljivih vzorcev</w:t>
            </w:r>
          </w:p>
          <w:p w14:paraId="529799C9" w14:textId="77777777" w:rsidR="008A2E93" w:rsidRPr="004A59B1" w:rsidRDefault="008A2E93" w:rsidP="009C1193">
            <w:pPr>
              <w:pStyle w:val="Table"/>
              <w:widowControl w:val="0"/>
              <w:spacing w:before="0" w:after="0"/>
              <w:rPr>
                <w:rFonts w:ascii="Times New Roman" w:hAnsi="Times New Roman"/>
                <w:b/>
                <w:color w:val="000000"/>
                <w:sz w:val="22"/>
                <w:szCs w:val="22"/>
                <w:lang w:val="en-GB"/>
              </w:rPr>
            </w:pPr>
            <w:r w:rsidRPr="004A59B1">
              <w:rPr>
                <w:rFonts w:ascii="Times New Roman" w:hAnsi="Times New Roman"/>
                <w:b/>
                <w:color w:val="000000"/>
                <w:sz w:val="22"/>
                <w:szCs w:val="22"/>
                <w:lang w:val="en-GB"/>
              </w:rPr>
              <w:t xml:space="preserve">Kriteriji hematološkega odziva (vsi odzivi morajo biti potrjeni po </w:t>
            </w:r>
            <w:r w:rsidRPr="004A59B1">
              <w:rPr>
                <w:rFonts w:ascii="Times New Roman" w:hAnsi="Times New Roman"/>
                <w:b/>
                <w:color w:val="000000"/>
                <w:sz w:val="22"/>
                <w:szCs w:val="22"/>
              </w:rPr>
              <w:sym w:font="Symbol" w:char="F0B3"/>
            </w:r>
            <w:r w:rsidRPr="004A59B1">
              <w:rPr>
                <w:rFonts w:ascii="Times New Roman" w:hAnsi="Times New Roman"/>
                <w:b/>
                <w:color w:val="000000"/>
                <w:sz w:val="22"/>
                <w:szCs w:val="22"/>
                <w:lang w:val="en-GB"/>
              </w:rPr>
              <w:t> 4 tednih):</w:t>
            </w:r>
          </w:p>
          <w:p w14:paraId="529799CA" w14:textId="77777777" w:rsidR="008A2E93" w:rsidRPr="004A59B1" w:rsidRDefault="008A2E93" w:rsidP="009C1193">
            <w:pPr>
              <w:pStyle w:val="Table"/>
              <w:widowControl w:val="0"/>
              <w:spacing w:before="0" w:after="0"/>
              <w:rPr>
                <w:rFonts w:ascii="Times New Roman" w:hAnsi="Times New Roman"/>
                <w:color w:val="000000"/>
                <w:sz w:val="22"/>
                <w:szCs w:val="22"/>
                <w:lang w:val="en-GB"/>
              </w:rPr>
            </w:pPr>
            <w:r w:rsidRPr="004A59B1">
              <w:rPr>
                <w:rFonts w:ascii="Times New Roman" w:hAnsi="Times New Roman"/>
                <w:color w:val="000000"/>
                <w:sz w:val="22"/>
                <w:szCs w:val="22"/>
                <w:lang w:val="en-GB"/>
              </w:rPr>
              <w:t>WBC &lt; 10 x 10</w:t>
            </w:r>
            <w:r w:rsidRPr="004A59B1">
              <w:rPr>
                <w:rFonts w:ascii="Times New Roman" w:hAnsi="Times New Roman"/>
                <w:color w:val="000000"/>
                <w:sz w:val="22"/>
                <w:szCs w:val="22"/>
                <w:vertAlign w:val="superscript"/>
                <w:lang w:val="en-GB"/>
              </w:rPr>
              <w:t>9</w:t>
            </w:r>
            <w:r w:rsidRPr="004A59B1">
              <w:rPr>
                <w:rFonts w:ascii="Times New Roman" w:hAnsi="Times New Roman"/>
                <w:color w:val="000000"/>
                <w:sz w:val="22"/>
                <w:szCs w:val="22"/>
                <w:lang w:val="en-GB"/>
              </w:rPr>
              <w:t>/l, trombociti &lt; 450 x 10</w:t>
            </w:r>
            <w:r w:rsidRPr="004A59B1">
              <w:rPr>
                <w:rFonts w:ascii="Times New Roman" w:hAnsi="Times New Roman"/>
                <w:color w:val="000000"/>
                <w:sz w:val="22"/>
                <w:szCs w:val="22"/>
                <w:vertAlign w:val="superscript"/>
                <w:lang w:val="en-GB"/>
              </w:rPr>
              <w:t>9</w:t>
            </w:r>
            <w:r w:rsidRPr="004A59B1">
              <w:rPr>
                <w:rFonts w:ascii="Times New Roman" w:hAnsi="Times New Roman"/>
                <w:color w:val="000000"/>
                <w:sz w:val="22"/>
                <w:szCs w:val="22"/>
                <w:lang w:val="en-GB"/>
              </w:rPr>
              <w:t>/l, mielociti+metamielociti &lt; 5 % v krvi, brez blastov in promielocitov v krvi, bazofilci &lt; 20 %, brez ekstramedularne prizadetosti</w:t>
            </w:r>
          </w:p>
          <w:p w14:paraId="529799CB" w14:textId="77777777" w:rsidR="008A2E93" w:rsidRPr="004A59B1" w:rsidRDefault="008A2E93" w:rsidP="009C1193">
            <w:pPr>
              <w:pStyle w:val="Table"/>
              <w:widowControl w:val="0"/>
              <w:spacing w:before="0" w:after="0"/>
              <w:rPr>
                <w:rFonts w:ascii="Times New Roman" w:hAnsi="Times New Roman"/>
                <w:color w:val="000000"/>
                <w:sz w:val="22"/>
                <w:szCs w:val="22"/>
                <w:lang w:val="en-GB"/>
              </w:rPr>
            </w:pPr>
            <w:r w:rsidRPr="004A59B1">
              <w:rPr>
                <w:rFonts w:ascii="Times New Roman" w:hAnsi="Times New Roman"/>
                <w:b/>
                <w:color w:val="000000"/>
                <w:sz w:val="22"/>
                <w:szCs w:val="22"/>
                <w:lang w:val="en-GB"/>
              </w:rPr>
              <w:t xml:space="preserve">Kriteriji citogenetičnega odziva: </w:t>
            </w:r>
            <w:r w:rsidRPr="004A59B1">
              <w:rPr>
                <w:rFonts w:ascii="Times New Roman" w:hAnsi="Times New Roman"/>
                <w:color w:val="000000"/>
                <w:sz w:val="22"/>
                <w:szCs w:val="22"/>
                <w:lang w:val="en-GB"/>
              </w:rPr>
              <w:t xml:space="preserve">popolni (0 % Ph+ metafaz), delni (1–35 %), manjši (36–65 %) ali minimalni (66–95 %). Pomemben odziv (0–35 %) </w:t>
            </w:r>
            <w:r w:rsidRPr="004A59B1">
              <w:rPr>
                <w:rFonts w:ascii="Times New Roman" w:hAnsi="Times New Roman"/>
                <w:color w:val="000000"/>
                <w:sz w:val="22"/>
                <w:szCs w:val="22"/>
                <w:lang w:val="sl-SI"/>
              </w:rPr>
              <w:t>združuje popolni in delni odziv</w:t>
            </w:r>
            <w:r w:rsidRPr="004A59B1">
              <w:rPr>
                <w:rFonts w:ascii="Times New Roman" w:hAnsi="Times New Roman"/>
                <w:color w:val="000000"/>
                <w:sz w:val="22"/>
                <w:szCs w:val="22"/>
                <w:lang w:val="en-GB"/>
              </w:rPr>
              <w:t>.</w:t>
            </w:r>
          </w:p>
          <w:p w14:paraId="529799CC" w14:textId="77777777" w:rsidR="008A2E93" w:rsidRPr="004A59B1" w:rsidRDefault="008A2E93" w:rsidP="009C1193">
            <w:pPr>
              <w:pStyle w:val="Table"/>
              <w:widowControl w:val="0"/>
              <w:spacing w:before="0" w:after="0"/>
              <w:rPr>
                <w:rFonts w:ascii="Times New Roman" w:hAnsi="Times New Roman"/>
                <w:color w:val="000000"/>
                <w:sz w:val="22"/>
                <w:szCs w:val="22"/>
                <w:lang w:val="en-GB"/>
              </w:rPr>
            </w:pPr>
            <w:r w:rsidRPr="004A59B1">
              <w:rPr>
                <w:rFonts w:ascii="Times New Roman" w:hAnsi="Times New Roman"/>
                <w:b/>
                <w:color w:val="000000"/>
                <w:sz w:val="22"/>
                <w:szCs w:val="22"/>
                <w:lang w:val="en-GB"/>
              </w:rPr>
              <w:t>Kriteriji pomembnega molekularnega odziva</w:t>
            </w:r>
            <w:r w:rsidRPr="004A59B1">
              <w:rPr>
                <w:rFonts w:ascii="Times New Roman" w:hAnsi="Times New Roman"/>
                <w:color w:val="000000"/>
                <w:sz w:val="22"/>
                <w:szCs w:val="22"/>
                <w:lang w:val="en-GB"/>
              </w:rPr>
              <w:t>: zmanjšanje količine Bcr-Abl transkriptov v periferni krvi za ≥ 3 logaritme (merjeno s kvantitativno PCR določitvijo reverzne transkriptaze v realnem času) glede na standardizirane izhodiščne vrednosti.</w:t>
            </w:r>
          </w:p>
        </w:tc>
      </w:tr>
    </w:tbl>
    <w:p w14:paraId="529799CE" w14:textId="77777777" w:rsidR="00740C34" w:rsidRPr="004A59B1" w:rsidRDefault="00740C34" w:rsidP="009C1193">
      <w:pPr>
        <w:pStyle w:val="EndnoteText"/>
        <w:widowControl w:val="0"/>
        <w:rPr>
          <w:color w:val="000000"/>
          <w:szCs w:val="22"/>
          <w:lang w:val="sl-SI"/>
        </w:rPr>
      </w:pPr>
    </w:p>
    <w:p w14:paraId="529799CF" w14:textId="77777777" w:rsidR="00B66DDF" w:rsidRPr="004A59B1" w:rsidRDefault="00B66DDF" w:rsidP="009C1193">
      <w:pPr>
        <w:pStyle w:val="EndnoteText"/>
        <w:widowControl w:val="0"/>
        <w:rPr>
          <w:color w:val="000000"/>
          <w:lang w:val="sl-SI"/>
        </w:rPr>
      </w:pPr>
      <w:r w:rsidRPr="004A59B1">
        <w:rPr>
          <w:color w:val="000000"/>
          <w:lang w:val="sl-SI"/>
        </w:rPr>
        <w:t xml:space="preserve">Stopnje popolnega hematološkega odziva, pomembnega citogenetičnega odziva in popolnega citogenetičnega odziva pri zdravljenju </w:t>
      </w:r>
      <w:r w:rsidR="00FC5090" w:rsidRPr="004A59B1">
        <w:rPr>
          <w:color w:val="000000"/>
          <w:lang w:val="sl-SI"/>
        </w:rPr>
        <w:t>z zdravilom prvega izbora</w:t>
      </w:r>
      <w:r w:rsidRPr="004A59B1">
        <w:rPr>
          <w:color w:val="000000"/>
          <w:lang w:val="sl-SI"/>
        </w:rPr>
        <w:t xml:space="preserve"> so ocenili po Kaplan-Meierjevi metodi, za katero so izide ne-odzivnosti določili na datum zadnjega pregleda. </w:t>
      </w:r>
      <w:r w:rsidR="00BE4AB6" w:rsidRPr="004A59B1">
        <w:rPr>
          <w:color w:val="000000"/>
          <w:lang w:val="sl-SI"/>
        </w:rPr>
        <w:t>Na ta način</w:t>
      </w:r>
      <w:r w:rsidRPr="004A59B1">
        <w:rPr>
          <w:color w:val="000000"/>
          <w:lang w:val="sl-SI"/>
        </w:rPr>
        <w:t xml:space="preserve"> pridobljene ocene kumulativnih stopenj odziva za zdravljenje z </w:t>
      </w:r>
      <w:r w:rsidR="00FC5090" w:rsidRPr="004A59B1">
        <w:rPr>
          <w:color w:val="000000"/>
          <w:lang w:val="sl-SI"/>
        </w:rPr>
        <w:t xml:space="preserve">zdravilom </w:t>
      </w:r>
      <w:r w:rsidRPr="004A59B1">
        <w:rPr>
          <w:color w:val="000000"/>
          <w:lang w:val="sl-SI"/>
        </w:rPr>
        <w:t xml:space="preserve">Glivec kot </w:t>
      </w:r>
      <w:r w:rsidR="00FC5090" w:rsidRPr="004A59B1">
        <w:rPr>
          <w:color w:val="000000"/>
          <w:lang w:val="sl-SI"/>
        </w:rPr>
        <w:t xml:space="preserve">zdravilom prvega izbora </w:t>
      </w:r>
      <w:r w:rsidR="00BE4AB6" w:rsidRPr="004A59B1">
        <w:rPr>
          <w:color w:val="000000"/>
          <w:lang w:val="sl-SI"/>
        </w:rPr>
        <w:t xml:space="preserve">so med 12. in </w:t>
      </w:r>
      <w:r w:rsidR="00C90F42" w:rsidRPr="004A59B1">
        <w:rPr>
          <w:color w:val="000000"/>
          <w:szCs w:val="22"/>
          <w:lang w:val="sl-SI"/>
        </w:rPr>
        <w:t>84</w:t>
      </w:r>
      <w:r w:rsidR="00BE4AB6" w:rsidRPr="004A59B1">
        <w:rPr>
          <w:color w:val="000000"/>
          <w:lang w:val="sl-SI"/>
        </w:rPr>
        <w:t>.</w:t>
      </w:r>
      <w:r w:rsidR="003E4C10" w:rsidRPr="004A59B1">
        <w:rPr>
          <w:color w:val="000000"/>
          <w:lang w:val="sl-SI"/>
        </w:rPr>
        <w:t> </w:t>
      </w:r>
      <w:r w:rsidR="00BE4AB6" w:rsidRPr="004A59B1">
        <w:rPr>
          <w:color w:val="000000"/>
          <w:lang w:val="sl-SI"/>
        </w:rPr>
        <w:t xml:space="preserve">mesecem zdravljenja pokazale izboljšanje in sicer: popolni hematološki odziv s 96,4 % na 98,4 % in popolni citogeneteični odziv z </w:t>
      </w:r>
      <w:r w:rsidR="00EC7934" w:rsidRPr="004A59B1">
        <w:rPr>
          <w:color w:val="000000"/>
          <w:lang w:val="sl-SI"/>
        </w:rPr>
        <w:t>6</w:t>
      </w:r>
      <w:r w:rsidR="00BE4AB6" w:rsidRPr="004A59B1">
        <w:rPr>
          <w:color w:val="000000"/>
          <w:lang w:val="sl-SI"/>
        </w:rPr>
        <w:t xml:space="preserve">9,5 % na </w:t>
      </w:r>
      <w:r w:rsidR="00C90F42" w:rsidRPr="004A59B1">
        <w:rPr>
          <w:color w:val="000000"/>
          <w:szCs w:val="22"/>
          <w:lang w:val="sl-SI"/>
        </w:rPr>
        <w:t>87,2</w:t>
      </w:r>
      <w:r w:rsidR="00BE4AB6" w:rsidRPr="004A59B1">
        <w:rPr>
          <w:color w:val="000000"/>
          <w:lang w:val="sl-SI"/>
        </w:rPr>
        <w:t> %.</w:t>
      </w:r>
    </w:p>
    <w:p w14:paraId="529799D0" w14:textId="77777777" w:rsidR="00B66DDF" w:rsidRPr="004A59B1" w:rsidRDefault="00B66DDF" w:rsidP="009C1193">
      <w:pPr>
        <w:pStyle w:val="EndnoteText"/>
        <w:widowControl w:val="0"/>
        <w:rPr>
          <w:color w:val="000000"/>
          <w:szCs w:val="22"/>
          <w:lang w:val="sl-SI"/>
        </w:rPr>
      </w:pPr>
    </w:p>
    <w:p w14:paraId="529799D1" w14:textId="77777777" w:rsidR="003D68F1" w:rsidRPr="004A59B1" w:rsidRDefault="003D68F1" w:rsidP="009C1193">
      <w:pPr>
        <w:pStyle w:val="EndnoteText"/>
        <w:widowControl w:val="0"/>
        <w:rPr>
          <w:color w:val="000000"/>
          <w:lang w:val="sl-SI"/>
        </w:rPr>
      </w:pPr>
      <w:r w:rsidRPr="004A59B1">
        <w:rPr>
          <w:color w:val="000000"/>
          <w:lang w:val="sl-SI"/>
        </w:rPr>
        <w:lastRenderedPageBreak/>
        <w:t xml:space="preserve">Po </w:t>
      </w:r>
      <w:r w:rsidR="00C90F42" w:rsidRPr="004A59B1">
        <w:rPr>
          <w:color w:val="000000"/>
          <w:lang w:val="sl-SI"/>
        </w:rPr>
        <w:t>7</w:t>
      </w:r>
      <w:r w:rsidR="0074624B" w:rsidRPr="004A59B1">
        <w:rPr>
          <w:color w:val="000000"/>
          <w:lang w:val="sl-SI"/>
        </w:rPr>
        <w:t> </w:t>
      </w:r>
      <w:r w:rsidRPr="004A59B1">
        <w:rPr>
          <w:color w:val="000000"/>
          <w:lang w:val="sl-SI"/>
        </w:rPr>
        <w:t xml:space="preserve">letih spremljanja je bilo v kraku z </w:t>
      </w:r>
      <w:r w:rsidR="003B3D7A" w:rsidRPr="004A59B1">
        <w:rPr>
          <w:color w:val="000000"/>
          <w:lang w:val="sl-SI"/>
        </w:rPr>
        <w:t xml:space="preserve">zdravilom </w:t>
      </w:r>
      <w:r w:rsidRPr="004A59B1">
        <w:rPr>
          <w:color w:val="000000"/>
          <w:lang w:val="sl-SI"/>
        </w:rPr>
        <w:t xml:space="preserve">Glivec </w:t>
      </w:r>
      <w:r w:rsidR="00C90F42" w:rsidRPr="004A59B1">
        <w:rPr>
          <w:color w:val="000000"/>
          <w:lang w:val="sl-SI"/>
        </w:rPr>
        <w:t xml:space="preserve">93 </w:t>
      </w:r>
      <w:r w:rsidRPr="004A59B1">
        <w:rPr>
          <w:color w:val="000000"/>
          <w:lang w:val="sl-SI"/>
        </w:rPr>
        <w:t>(</w:t>
      </w:r>
      <w:r w:rsidR="00C90F42" w:rsidRPr="004A59B1">
        <w:rPr>
          <w:color w:val="000000"/>
          <w:lang w:val="sl-SI"/>
        </w:rPr>
        <w:t>16,8</w:t>
      </w:r>
      <w:r w:rsidRPr="004A59B1">
        <w:rPr>
          <w:color w:val="000000"/>
          <w:lang w:val="sl-SI"/>
        </w:rPr>
        <w:t xml:space="preserve"> %) dogodkov, ki pomenijo napredovanje bolezni: </w:t>
      </w:r>
      <w:r w:rsidR="00C90F42" w:rsidRPr="004A59B1">
        <w:rPr>
          <w:color w:val="000000"/>
          <w:lang w:val="sl-SI"/>
        </w:rPr>
        <w:t xml:space="preserve">37 </w:t>
      </w:r>
      <w:r w:rsidRPr="004A59B1">
        <w:rPr>
          <w:color w:val="000000"/>
          <w:lang w:val="sl-SI"/>
        </w:rPr>
        <w:t>(</w:t>
      </w:r>
      <w:r w:rsidR="00C90F42" w:rsidRPr="004A59B1">
        <w:rPr>
          <w:color w:val="000000"/>
          <w:lang w:val="sl-SI"/>
        </w:rPr>
        <w:t>6,7</w:t>
      </w:r>
      <w:r w:rsidRPr="004A59B1">
        <w:rPr>
          <w:color w:val="000000"/>
          <w:lang w:val="sl-SI"/>
        </w:rPr>
        <w:t xml:space="preserve"> %) jih je vključevalo napredovanje v pospešeno fazo/blastno krizo, </w:t>
      </w:r>
      <w:r w:rsidR="007D3893" w:rsidRPr="004A59B1">
        <w:rPr>
          <w:color w:val="000000"/>
          <w:lang w:val="sl-SI"/>
        </w:rPr>
        <w:t>31</w:t>
      </w:r>
      <w:r w:rsidRPr="004A59B1">
        <w:rPr>
          <w:color w:val="000000"/>
          <w:lang w:val="sl-SI"/>
        </w:rPr>
        <w:t xml:space="preserve"> (</w:t>
      </w:r>
      <w:r w:rsidR="007D3893" w:rsidRPr="004A59B1">
        <w:rPr>
          <w:color w:val="000000"/>
          <w:lang w:val="sl-SI"/>
        </w:rPr>
        <w:t>5,6</w:t>
      </w:r>
      <w:r w:rsidRPr="004A59B1">
        <w:rPr>
          <w:color w:val="000000"/>
          <w:lang w:val="sl-SI"/>
        </w:rPr>
        <w:t xml:space="preserve"> %) izgubo pomembnega citogenetičnega odziva, </w:t>
      </w:r>
      <w:r w:rsidR="007D3893" w:rsidRPr="004A59B1">
        <w:rPr>
          <w:color w:val="000000"/>
          <w:lang w:val="sl-SI"/>
        </w:rPr>
        <w:t xml:space="preserve">15 </w:t>
      </w:r>
      <w:r w:rsidRPr="004A59B1">
        <w:rPr>
          <w:color w:val="000000"/>
          <w:lang w:val="sl-SI"/>
        </w:rPr>
        <w:t>(</w:t>
      </w:r>
      <w:r w:rsidR="007D3893" w:rsidRPr="004A59B1">
        <w:rPr>
          <w:color w:val="000000"/>
          <w:lang w:val="sl-SI"/>
        </w:rPr>
        <w:t>2,7</w:t>
      </w:r>
      <w:r w:rsidRPr="004A59B1">
        <w:rPr>
          <w:color w:val="000000"/>
          <w:lang w:val="sl-SI"/>
        </w:rPr>
        <w:t xml:space="preserve"> %) izgubo popolnega hematološkega odziva ali zvišanje WBC, </w:t>
      </w:r>
      <w:r w:rsidR="007D3893" w:rsidRPr="004A59B1">
        <w:rPr>
          <w:color w:val="000000"/>
          <w:lang w:val="sl-SI"/>
        </w:rPr>
        <w:t xml:space="preserve">10 </w:t>
      </w:r>
      <w:r w:rsidRPr="004A59B1">
        <w:rPr>
          <w:color w:val="000000"/>
          <w:lang w:val="sl-SI"/>
        </w:rPr>
        <w:t>(</w:t>
      </w:r>
      <w:r w:rsidR="007D3893" w:rsidRPr="004A59B1">
        <w:rPr>
          <w:color w:val="000000"/>
          <w:lang w:val="sl-SI"/>
        </w:rPr>
        <w:t>1,8</w:t>
      </w:r>
      <w:r w:rsidRPr="004A59B1">
        <w:rPr>
          <w:color w:val="000000"/>
          <w:lang w:val="sl-SI"/>
        </w:rPr>
        <w:t xml:space="preserve"> %) pa je bilo smrti brez povezave s </w:t>
      </w:r>
      <w:r w:rsidR="00677326" w:rsidRPr="004A59B1">
        <w:rPr>
          <w:color w:val="000000"/>
          <w:lang w:val="sl-SI"/>
        </w:rPr>
        <w:t>KML</w:t>
      </w:r>
      <w:r w:rsidRPr="004A59B1">
        <w:rPr>
          <w:color w:val="000000"/>
          <w:lang w:val="sl-SI"/>
        </w:rPr>
        <w:t xml:space="preserve">. Za razliko od tega je bilo v kraku z IFN+Ara-C </w:t>
      </w:r>
      <w:r w:rsidR="00E46BC1" w:rsidRPr="004A59B1">
        <w:rPr>
          <w:color w:val="000000"/>
          <w:lang w:val="sl-SI"/>
        </w:rPr>
        <w:t xml:space="preserve">165 </w:t>
      </w:r>
      <w:r w:rsidRPr="004A59B1">
        <w:rPr>
          <w:color w:val="000000"/>
          <w:lang w:val="sl-SI"/>
        </w:rPr>
        <w:t>(</w:t>
      </w:r>
      <w:r w:rsidR="00E46BC1" w:rsidRPr="004A59B1">
        <w:rPr>
          <w:color w:val="000000"/>
          <w:lang w:val="sl-SI"/>
        </w:rPr>
        <w:t>29,8</w:t>
      </w:r>
      <w:r w:rsidRPr="004A59B1">
        <w:rPr>
          <w:color w:val="000000"/>
          <w:lang w:val="sl-SI"/>
        </w:rPr>
        <w:t xml:space="preserve"> %) dogodkov, od tega se jih je </w:t>
      </w:r>
      <w:r w:rsidR="00E46BC1" w:rsidRPr="004A59B1">
        <w:rPr>
          <w:color w:val="000000"/>
          <w:lang w:val="sl-SI"/>
        </w:rPr>
        <w:t>130</w:t>
      </w:r>
      <w:r w:rsidR="0074624B" w:rsidRPr="004A59B1">
        <w:rPr>
          <w:color w:val="000000"/>
          <w:lang w:val="sl-SI"/>
        </w:rPr>
        <w:t> </w:t>
      </w:r>
      <w:r w:rsidRPr="004A59B1">
        <w:rPr>
          <w:color w:val="000000"/>
          <w:lang w:val="sl-SI"/>
        </w:rPr>
        <w:t xml:space="preserve">zgodilo v času zdravljenja z IFN+Ara-C kot </w:t>
      </w:r>
      <w:r w:rsidR="003B3D7A" w:rsidRPr="004A59B1">
        <w:rPr>
          <w:color w:val="000000"/>
          <w:lang w:val="sl-SI"/>
        </w:rPr>
        <w:t>zdravilom prvega izbora</w:t>
      </w:r>
      <w:r w:rsidRPr="004A59B1">
        <w:rPr>
          <w:color w:val="000000"/>
          <w:lang w:val="sl-SI"/>
        </w:rPr>
        <w:t>.</w:t>
      </w:r>
    </w:p>
    <w:p w14:paraId="529799D2" w14:textId="77777777" w:rsidR="003D68F1" w:rsidRPr="004A59B1" w:rsidRDefault="003D68F1" w:rsidP="009C1193">
      <w:pPr>
        <w:pStyle w:val="EndnoteText"/>
        <w:widowControl w:val="0"/>
        <w:rPr>
          <w:color w:val="000000"/>
          <w:szCs w:val="22"/>
          <w:lang w:val="sl-SI"/>
        </w:rPr>
      </w:pPr>
    </w:p>
    <w:p w14:paraId="529799D3" w14:textId="77777777" w:rsidR="00444D75" w:rsidRPr="004A59B1" w:rsidRDefault="00BE1333" w:rsidP="009C1193">
      <w:pPr>
        <w:pStyle w:val="EndnoteText"/>
        <w:widowControl w:val="0"/>
        <w:rPr>
          <w:color w:val="000000"/>
          <w:szCs w:val="22"/>
          <w:lang w:val="sl-SI"/>
        </w:rPr>
      </w:pPr>
      <w:r w:rsidRPr="004A59B1">
        <w:rPr>
          <w:color w:val="000000"/>
          <w:szCs w:val="22"/>
          <w:lang w:val="sl-SI"/>
        </w:rPr>
        <w:t>O</w:t>
      </w:r>
      <w:r w:rsidR="00444D75" w:rsidRPr="004A59B1">
        <w:rPr>
          <w:color w:val="000000"/>
          <w:szCs w:val="22"/>
          <w:lang w:val="sl-SI"/>
        </w:rPr>
        <w:t xml:space="preserve">cenjeni odstotek bolnikov, ki niso napredovali v pospešeno fazo ali blastno krizo pri </w:t>
      </w:r>
      <w:r w:rsidR="0011392C" w:rsidRPr="004A59B1">
        <w:rPr>
          <w:color w:val="000000"/>
          <w:szCs w:val="22"/>
          <w:lang w:val="sl-SI"/>
        </w:rPr>
        <w:t>84</w:t>
      </w:r>
      <w:r w:rsidR="00444D75" w:rsidRPr="004A59B1">
        <w:rPr>
          <w:color w:val="000000"/>
          <w:szCs w:val="22"/>
          <w:lang w:val="sl-SI"/>
        </w:rPr>
        <w:t xml:space="preserve"> mesecih, </w:t>
      </w:r>
      <w:r w:rsidRPr="004A59B1">
        <w:rPr>
          <w:color w:val="000000"/>
          <w:szCs w:val="22"/>
          <w:lang w:val="sl-SI"/>
        </w:rPr>
        <w:t xml:space="preserve">je bil </w:t>
      </w:r>
      <w:r w:rsidR="00444D75" w:rsidRPr="004A59B1">
        <w:rPr>
          <w:color w:val="000000"/>
          <w:szCs w:val="22"/>
          <w:lang w:val="sl-SI"/>
        </w:rPr>
        <w:t xml:space="preserve">bistveno večji na kraku z </w:t>
      </w:r>
      <w:r w:rsidR="003B3D7A" w:rsidRPr="004A59B1">
        <w:rPr>
          <w:color w:val="000000"/>
          <w:szCs w:val="22"/>
          <w:lang w:val="sl-SI"/>
        </w:rPr>
        <w:t xml:space="preserve">zdravilom </w:t>
      </w:r>
      <w:r w:rsidR="00444D75" w:rsidRPr="004A59B1">
        <w:rPr>
          <w:color w:val="000000"/>
          <w:szCs w:val="22"/>
          <w:lang w:val="sl-SI"/>
        </w:rPr>
        <w:t>Glivec v primerjavi s krakom z IFN (</w:t>
      </w:r>
      <w:r w:rsidR="0011392C" w:rsidRPr="004A59B1">
        <w:rPr>
          <w:color w:val="000000"/>
          <w:szCs w:val="22"/>
          <w:lang w:val="sl-SI"/>
        </w:rPr>
        <w:t>92,5</w:t>
      </w:r>
      <w:r w:rsidR="00444D75" w:rsidRPr="004A59B1">
        <w:rPr>
          <w:color w:val="000000"/>
          <w:szCs w:val="22"/>
          <w:lang w:val="sl-SI"/>
        </w:rPr>
        <w:t xml:space="preserve"> % proti </w:t>
      </w:r>
      <w:r w:rsidR="0011392C" w:rsidRPr="004A59B1">
        <w:rPr>
          <w:color w:val="000000"/>
          <w:szCs w:val="22"/>
          <w:lang w:val="sl-SI"/>
        </w:rPr>
        <w:t>85,1</w:t>
      </w:r>
      <w:r w:rsidR="00444D75" w:rsidRPr="004A59B1">
        <w:rPr>
          <w:color w:val="000000"/>
          <w:szCs w:val="22"/>
          <w:lang w:val="sl-SI"/>
        </w:rPr>
        <w:t xml:space="preserve"> %, p &lt; 0,001). </w:t>
      </w:r>
      <w:r w:rsidR="00881B84" w:rsidRPr="004A59B1">
        <w:rPr>
          <w:color w:val="000000"/>
          <w:szCs w:val="22"/>
          <w:lang w:val="sl-SI"/>
        </w:rPr>
        <w:t xml:space="preserve">Letna stopnja napredovanja </w:t>
      </w:r>
      <w:r w:rsidR="00F84A66" w:rsidRPr="004A59B1">
        <w:rPr>
          <w:color w:val="000000"/>
          <w:szCs w:val="22"/>
          <w:lang w:val="sl-SI"/>
        </w:rPr>
        <w:t xml:space="preserve">v pospešeno fazo ali blastno krizo </w:t>
      </w:r>
      <w:r w:rsidR="00881B84" w:rsidRPr="004A59B1">
        <w:rPr>
          <w:color w:val="000000"/>
          <w:szCs w:val="22"/>
          <w:lang w:val="sl-SI"/>
        </w:rPr>
        <w:t xml:space="preserve">je </w:t>
      </w:r>
      <w:r w:rsidR="00F84A66" w:rsidRPr="004A59B1">
        <w:rPr>
          <w:color w:val="000000"/>
          <w:szCs w:val="22"/>
          <w:lang w:val="sl-SI"/>
        </w:rPr>
        <w:t>upadala s trajanjem zdravljenja in je bila v četrtem in petem letu manj kot 1 % letno.</w:t>
      </w:r>
      <w:r w:rsidR="00881B84" w:rsidRPr="004A59B1">
        <w:rPr>
          <w:color w:val="000000"/>
          <w:lang w:val="sl-SI"/>
        </w:rPr>
        <w:t xml:space="preserve"> </w:t>
      </w:r>
      <w:r w:rsidR="00444D75" w:rsidRPr="004A59B1">
        <w:rPr>
          <w:color w:val="000000"/>
          <w:szCs w:val="22"/>
          <w:lang w:val="sl-SI"/>
        </w:rPr>
        <w:t xml:space="preserve">Ocenjeni delež preživelih brez napredovanja bolezni pri </w:t>
      </w:r>
      <w:r w:rsidR="00750E4F" w:rsidRPr="004A59B1">
        <w:rPr>
          <w:color w:val="000000"/>
          <w:szCs w:val="22"/>
          <w:lang w:val="sl-SI"/>
        </w:rPr>
        <w:t>84</w:t>
      </w:r>
      <w:r w:rsidR="00444D75" w:rsidRPr="004A59B1">
        <w:rPr>
          <w:color w:val="000000"/>
          <w:szCs w:val="22"/>
          <w:lang w:val="sl-SI"/>
        </w:rPr>
        <w:t xml:space="preserve"> mesecih je bil </w:t>
      </w:r>
      <w:r w:rsidR="00750E4F" w:rsidRPr="004A59B1">
        <w:rPr>
          <w:color w:val="000000"/>
          <w:szCs w:val="22"/>
          <w:lang w:val="sl-SI"/>
        </w:rPr>
        <w:t>81,2</w:t>
      </w:r>
      <w:r w:rsidR="00444D75" w:rsidRPr="004A59B1">
        <w:rPr>
          <w:color w:val="000000"/>
          <w:szCs w:val="22"/>
          <w:lang w:val="sl-SI"/>
        </w:rPr>
        <w:t xml:space="preserve"> % na kraku z </w:t>
      </w:r>
      <w:r w:rsidR="003B3D7A" w:rsidRPr="004A59B1">
        <w:rPr>
          <w:color w:val="000000"/>
          <w:szCs w:val="22"/>
          <w:lang w:val="sl-SI"/>
        </w:rPr>
        <w:t xml:space="preserve">zdravilo </w:t>
      </w:r>
      <w:r w:rsidR="00444D75" w:rsidRPr="004A59B1">
        <w:rPr>
          <w:color w:val="000000"/>
          <w:szCs w:val="22"/>
          <w:lang w:val="sl-SI"/>
        </w:rPr>
        <w:t xml:space="preserve">Glivec in </w:t>
      </w:r>
      <w:r w:rsidR="00750E4F" w:rsidRPr="004A59B1">
        <w:rPr>
          <w:color w:val="000000"/>
          <w:szCs w:val="22"/>
          <w:lang w:val="sl-SI"/>
        </w:rPr>
        <w:t>60,6</w:t>
      </w:r>
      <w:r w:rsidR="00444D75" w:rsidRPr="004A59B1">
        <w:rPr>
          <w:color w:val="000000"/>
          <w:szCs w:val="22"/>
          <w:lang w:val="sl-SI"/>
        </w:rPr>
        <w:t xml:space="preserve"> % na kontrolnem kraku </w:t>
      </w:r>
      <w:r w:rsidR="003203A4" w:rsidRPr="004A59B1">
        <w:rPr>
          <w:color w:val="000000"/>
          <w:lang w:val="sl-SI"/>
        </w:rPr>
        <w:t xml:space="preserve">(p&lt;0,001). </w:t>
      </w:r>
      <w:r w:rsidR="00F84A66" w:rsidRPr="004A59B1">
        <w:rPr>
          <w:color w:val="000000"/>
          <w:lang w:val="sl-SI"/>
        </w:rPr>
        <w:t>Tudi l</w:t>
      </w:r>
      <w:r w:rsidR="003203A4" w:rsidRPr="004A59B1">
        <w:rPr>
          <w:color w:val="000000"/>
          <w:lang w:val="sl-SI"/>
        </w:rPr>
        <w:t xml:space="preserve">etne stopnje </w:t>
      </w:r>
      <w:r w:rsidR="00F84A66" w:rsidRPr="004A59B1">
        <w:rPr>
          <w:color w:val="000000"/>
          <w:lang w:val="sl-SI"/>
        </w:rPr>
        <w:t xml:space="preserve">kakršnegakoli </w:t>
      </w:r>
      <w:r w:rsidR="003203A4" w:rsidRPr="004A59B1">
        <w:rPr>
          <w:color w:val="000000"/>
          <w:lang w:val="sl-SI"/>
        </w:rPr>
        <w:t xml:space="preserve">napredovanja bolezni za </w:t>
      </w:r>
      <w:r w:rsidR="003B3D7A" w:rsidRPr="004A59B1">
        <w:rPr>
          <w:color w:val="000000"/>
          <w:lang w:val="sl-SI"/>
        </w:rPr>
        <w:t xml:space="preserve">zdravilo </w:t>
      </w:r>
      <w:r w:rsidR="003203A4" w:rsidRPr="004A59B1">
        <w:rPr>
          <w:color w:val="000000"/>
          <w:lang w:val="sl-SI"/>
        </w:rPr>
        <w:t xml:space="preserve">Glivec </w:t>
      </w:r>
      <w:r w:rsidR="00F84A66" w:rsidRPr="004A59B1">
        <w:rPr>
          <w:color w:val="000000"/>
          <w:lang w:val="sl-SI"/>
        </w:rPr>
        <w:t>so se sčasoma zmanjševale.</w:t>
      </w:r>
    </w:p>
    <w:p w14:paraId="529799D4" w14:textId="77777777" w:rsidR="00444D75" w:rsidRPr="004A59B1" w:rsidRDefault="00444D75" w:rsidP="009C1193">
      <w:pPr>
        <w:pStyle w:val="EndnoteText"/>
        <w:widowControl w:val="0"/>
        <w:rPr>
          <w:color w:val="000000"/>
          <w:szCs w:val="22"/>
          <w:lang w:val="sl-SI"/>
        </w:rPr>
      </w:pPr>
    </w:p>
    <w:p w14:paraId="529799D5" w14:textId="77777777" w:rsidR="00672E27" w:rsidRPr="004A59B1" w:rsidRDefault="00672E27" w:rsidP="009C1193">
      <w:pPr>
        <w:pStyle w:val="EndnoteText"/>
        <w:widowControl w:val="0"/>
        <w:rPr>
          <w:color w:val="000000"/>
          <w:lang w:val="sl-SI"/>
        </w:rPr>
      </w:pPr>
      <w:r w:rsidRPr="004A59B1">
        <w:rPr>
          <w:color w:val="000000"/>
          <w:lang w:val="sl-SI"/>
        </w:rPr>
        <w:t xml:space="preserve">Skupno je umrlo </w:t>
      </w:r>
      <w:r w:rsidR="00D73CC1" w:rsidRPr="004A59B1">
        <w:rPr>
          <w:color w:val="000000"/>
          <w:lang w:val="sl-SI"/>
        </w:rPr>
        <w:t xml:space="preserve">71 </w:t>
      </w:r>
      <w:r w:rsidRPr="004A59B1">
        <w:rPr>
          <w:color w:val="000000"/>
          <w:lang w:val="sl-SI"/>
        </w:rPr>
        <w:t>(</w:t>
      </w:r>
      <w:r w:rsidR="00D73CC1" w:rsidRPr="004A59B1">
        <w:rPr>
          <w:color w:val="000000"/>
          <w:lang w:val="sl-SI"/>
        </w:rPr>
        <w:t>12,8</w:t>
      </w:r>
      <w:r w:rsidRPr="004A59B1">
        <w:rPr>
          <w:color w:val="000000"/>
          <w:lang w:val="sl-SI"/>
        </w:rPr>
        <w:t xml:space="preserve"> %) bolnikov iz skupine z </w:t>
      </w:r>
      <w:r w:rsidR="003B3D7A" w:rsidRPr="004A59B1">
        <w:rPr>
          <w:color w:val="000000"/>
          <w:lang w:val="sl-SI"/>
        </w:rPr>
        <w:t xml:space="preserve">zdravilom </w:t>
      </w:r>
      <w:r w:rsidRPr="004A59B1">
        <w:rPr>
          <w:color w:val="000000"/>
          <w:lang w:val="sl-SI"/>
        </w:rPr>
        <w:t xml:space="preserve">Glivec in </w:t>
      </w:r>
      <w:r w:rsidR="008109BB" w:rsidRPr="004A59B1">
        <w:rPr>
          <w:color w:val="000000"/>
          <w:lang w:val="sl-SI"/>
        </w:rPr>
        <w:t>85</w:t>
      </w:r>
      <w:r w:rsidRPr="004A59B1">
        <w:rPr>
          <w:color w:val="000000"/>
          <w:lang w:val="sl-SI"/>
        </w:rPr>
        <w:t xml:space="preserve"> (</w:t>
      </w:r>
      <w:r w:rsidR="008109BB" w:rsidRPr="004A59B1">
        <w:rPr>
          <w:color w:val="000000"/>
          <w:lang w:val="sl-SI"/>
        </w:rPr>
        <w:t>15,4</w:t>
      </w:r>
      <w:r w:rsidRPr="004A59B1">
        <w:rPr>
          <w:color w:val="000000"/>
          <w:lang w:val="sl-SI"/>
        </w:rPr>
        <w:t xml:space="preserve"> %) iz skupine z IFN+Ara-C. Po </w:t>
      </w:r>
      <w:r w:rsidR="008109BB" w:rsidRPr="004A59B1">
        <w:rPr>
          <w:color w:val="000000"/>
          <w:lang w:val="sl-SI"/>
        </w:rPr>
        <w:t>84</w:t>
      </w:r>
      <w:r w:rsidR="0074624B" w:rsidRPr="004A59B1">
        <w:rPr>
          <w:color w:val="000000"/>
          <w:lang w:val="sl-SI"/>
        </w:rPr>
        <w:t> </w:t>
      </w:r>
      <w:r w:rsidRPr="004A59B1">
        <w:rPr>
          <w:color w:val="000000"/>
          <w:lang w:val="sl-SI"/>
        </w:rPr>
        <w:t xml:space="preserve">mesecih je ocenjeno celotno preživetje v skupini randomizirani na </w:t>
      </w:r>
      <w:r w:rsidR="00E36658" w:rsidRPr="004A59B1">
        <w:rPr>
          <w:color w:val="000000"/>
          <w:lang w:val="sl-SI"/>
        </w:rPr>
        <w:t xml:space="preserve">zdravilo </w:t>
      </w:r>
      <w:r w:rsidRPr="004A59B1">
        <w:rPr>
          <w:color w:val="000000"/>
          <w:lang w:val="sl-SI"/>
        </w:rPr>
        <w:t xml:space="preserve">Glivec </w:t>
      </w:r>
      <w:r w:rsidR="008109BB" w:rsidRPr="004A59B1">
        <w:rPr>
          <w:color w:val="000000"/>
          <w:lang w:val="sl-SI"/>
        </w:rPr>
        <w:t>86,4</w:t>
      </w:r>
      <w:r w:rsidRPr="004A59B1">
        <w:rPr>
          <w:color w:val="000000"/>
          <w:lang w:val="sl-SI"/>
        </w:rPr>
        <w:t> % (</w:t>
      </w:r>
      <w:r w:rsidR="008109BB" w:rsidRPr="004A59B1">
        <w:rPr>
          <w:color w:val="000000"/>
          <w:lang w:val="sl-SI"/>
        </w:rPr>
        <w:t>83, 90</w:t>
      </w:r>
      <w:r w:rsidRPr="004A59B1">
        <w:rPr>
          <w:color w:val="000000"/>
          <w:lang w:val="sl-SI"/>
        </w:rPr>
        <w:t xml:space="preserve">) v primerjavi z </w:t>
      </w:r>
      <w:r w:rsidR="008109BB" w:rsidRPr="004A59B1">
        <w:rPr>
          <w:color w:val="000000"/>
          <w:lang w:val="sl-SI"/>
        </w:rPr>
        <w:t>83,3</w:t>
      </w:r>
      <w:r w:rsidRPr="004A59B1">
        <w:rPr>
          <w:color w:val="000000"/>
          <w:lang w:val="sl-SI"/>
        </w:rPr>
        <w:t> % (</w:t>
      </w:r>
      <w:r w:rsidR="008109BB" w:rsidRPr="004A59B1">
        <w:rPr>
          <w:color w:val="000000"/>
          <w:lang w:val="sl-SI"/>
        </w:rPr>
        <w:t>80, 87</w:t>
      </w:r>
      <w:r w:rsidRPr="004A59B1">
        <w:rPr>
          <w:color w:val="000000"/>
          <w:lang w:val="sl-SI"/>
        </w:rPr>
        <w:t>) v skupini randomizirani na IFN+Ara-C (p=0,0</w:t>
      </w:r>
      <w:r w:rsidR="008109BB" w:rsidRPr="004A59B1">
        <w:rPr>
          <w:color w:val="000000"/>
          <w:lang w:val="sl-SI"/>
        </w:rPr>
        <w:t>73</w:t>
      </w:r>
      <w:r w:rsidRPr="004A59B1">
        <w:rPr>
          <w:color w:val="000000"/>
          <w:lang w:val="sl-SI"/>
        </w:rPr>
        <w:t>,</w:t>
      </w:r>
      <w:r w:rsidR="00812E86" w:rsidRPr="004A59B1">
        <w:rPr>
          <w:color w:val="000000"/>
          <w:lang w:val="sl-SI"/>
        </w:rPr>
        <w:t xml:space="preserve"> test</w:t>
      </w:r>
      <w:r w:rsidRPr="004A59B1">
        <w:rPr>
          <w:color w:val="000000"/>
          <w:lang w:val="sl-SI"/>
        </w:rPr>
        <w:t xml:space="preserve"> log-rank). Na ta opazovani dogodek, ki se veže na čas do dogodka, je močno vplival velik delež bolnikov, ki so z zdravljenja z IFN+Ara-C prešli na </w:t>
      </w:r>
      <w:r w:rsidR="00E36658" w:rsidRPr="004A59B1">
        <w:rPr>
          <w:color w:val="000000"/>
          <w:lang w:val="sl-SI"/>
        </w:rPr>
        <w:t xml:space="preserve">zdravilo </w:t>
      </w:r>
      <w:r w:rsidRPr="004A59B1">
        <w:rPr>
          <w:color w:val="000000"/>
          <w:lang w:val="sl-SI"/>
        </w:rPr>
        <w:t xml:space="preserve">Glivec. Vpliv zdravljenja z </w:t>
      </w:r>
      <w:r w:rsidR="00E36658" w:rsidRPr="004A59B1">
        <w:rPr>
          <w:color w:val="000000"/>
          <w:lang w:val="sl-SI"/>
        </w:rPr>
        <w:t xml:space="preserve">zdravilom </w:t>
      </w:r>
      <w:r w:rsidRPr="004A59B1">
        <w:rPr>
          <w:color w:val="000000"/>
          <w:lang w:val="sl-SI"/>
        </w:rPr>
        <w:t xml:space="preserve">Glivec na preživetje v kronični fazi pri novo diagnosticirani </w:t>
      </w:r>
      <w:r w:rsidR="00677326" w:rsidRPr="004A59B1">
        <w:rPr>
          <w:color w:val="000000"/>
          <w:lang w:val="sl-SI"/>
        </w:rPr>
        <w:t>KML</w:t>
      </w:r>
      <w:r w:rsidRPr="004A59B1">
        <w:rPr>
          <w:color w:val="000000"/>
          <w:lang w:val="sl-SI"/>
        </w:rPr>
        <w:t xml:space="preserve"> so nadalje prei</w:t>
      </w:r>
      <w:r w:rsidR="0053302C" w:rsidRPr="004A59B1">
        <w:rPr>
          <w:color w:val="000000"/>
          <w:lang w:val="sl-SI"/>
        </w:rPr>
        <w:t>s</w:t>
      </w:r>
      <w:r w:rsidRPr="004A59B1">
        <w:rPr>
          <w:color w:val="000000"/>
          <w:lang w:val="sl-SI"/>
        </w:rPr>
        <w:t>kovali z retrospektivno analizo zgoraj opisanih podatkov o</w:t>
      </w:r>
      <w:r w:rsidR="00E36658" w:rsidRPr="004A59B1">
        <w:rPr>
          <w:color w:val="000000"/>
          <w:lang w:val="sl-SI"/>
        </w:rPr>
        <w:t xml:space="preserve"> zdravilu</w:t>
      </w:r>
      <w:r w:rsidRPr="004A59B1">
        <w:rPr>
          <w:color w:val="000000"/>
          <w:lang w:val="sl-SI"/>
        </w:rPr>
        <w:t xml:space="preserve"> Glivec </w:t>
      </w:r>
      <w:r w:rsidR="0053302C" w:rsidRPr="004A59B1">
        <w:rPr>
          <w:color w:val="000000"/>
          <w:lang w:val="sl-SI"/>
        </w:rPr>
        <w:t xml:space="preserve">skupaj </w:t>
      </w:r>
      <w:r w:rsidRPr="004A59B1">
        <w:rPr>
          <w:color w:val="000000"/>
          <w:lang w:val="sl-SI"/>
        </w:rPr>
        <w:t xml:space="preserve">s prvotnimi podatki druge študije faze III, v kateri so </w:t>
      </w:r>
      <w:r w:rsidR="002C2A87" w:rsidRPr="004A59B1">
        <w:rPr>
          <w:color w:val="000000"/>
          <w:lang w:val="sl-SI"/>
        </w:rPr>
        <w:t xml:space="preserve">uporabljali IFN+Ara-C s povsem </w:t>
      </w:r>
      <w:r w:rsidRPr="004A59B1">
        <w:rPr>
          <w:color w:val="000000"/>
          <w:lang w:val="sl-SI"/>
        </w:rPr>
        <w:t xml:space="preserve">enakim režimom zdravljenja (n=325). V tej retrospektivni analizi </w:t>
      </w:r>
      <w:r w:rsidR="0023771F" w:rsidRPr="004A59B1">
        <w:rPr>
          <w:color w:val="000000"/>
          <w:lang w:val="sl-SI"/>
        </w:rPr>
        <w:t xml:space="preserve">se je z vidika celotnega preživetja zdravilo Glivec izkazalo za boljše od </w:t>
      </w:r>
      <w:r w:rsidRPr="004A59B1">
        <w:rPr>
          <w:color w:val="000000"/>
          <w:lang w:val="sl-SI"/>
        </w:rPr>
        <w:t>IFN+Ara-C (p&lt;0,001): v 42</w:t>
      </w:r>
      <w:r w:rsidR="0074624B" w:rsidRPr="004A59B1">
        <w:rPr>
          <w:color w:val="000000"/>
          <w:lang w:val="sl-SI"/>
        </w:rPr>
        <w:t> </w:t>
      </w:r>
      <w:r w:rsidRPr="004A59B1">
        <w:rPr>
          <w:color w:val="000000"/>
          <w:lang w:val="sl-SI"/>
        </w:rPr>
        <w:t xml:space="preserve">mesecih je umrlo 47 (8,5 %) bolnikov z </w:t>
      </w:r>
      <w:r w:rsidR="0023771F" w:rsidRPr="004A59B1">
        <w:rPr>
          <w:color w:val="000000"/>
          <w:lang w:val="sl-SI"/>
        </w:rPr>
        <w:t xml:space="preserve">zdravilom </w:t>
      </w:r>
      <w:r w:rsidRPr="004A59B1">
        <w:rPr>
          <w:color w:val="000000"/>
          <w:lang w:val="sl-SI"/>
        </w:rPr>
        <w:t>Glivec in 63 (19,4 %) bolnikov z IFN+Ara-C.</w:t>
      </w:r>
    </w:p>
    <w:p w14:paraId="529799D6" w14:textId="77777777" w:rsidR="00672E27" w:rsidRPr="004A59B1" w:rsidRDefault="00672E27" w:rsidP="009C1193">
      <w:pPr>
        <w:pStyle w:val="EndnoteText"/>
        <w:widowControl w:val="0"/>
        <w:rPr>
          <w:color w:val="000000"/>
          <w:lang w:val="sl-SI"/>
        </w:rPr>
      </w:pPr>
    </w:p>
    <w:p w14:paraId="529799D7" w14:textId="77777777" w:rsidR="00672E27" w:rsidRPr="004A59B1" w:rsidRDefault="00672E27" w:rsidP="009C1193">
      <w:pPr>
        <w:pStyle w:val="EndnoteText"/>
        <w:widowControl w:val="0"/>
        <w:rPr>
          <w:color w:val="000000"/>
          <w:lang w:val="sl-SI"/>
        </w:rPr>
      </w:pPr>
      <w:r w:rsidRPr="004A59B1">
        <w:rPr>
          <w:color w:val="000000"/>
          <w:lang w:val="sl-SI"/>
        </w:rPr>
        <w:t xml:space="preserve">Stopnja citogenetičnega </w:t>
      </w:r>
      <w:r w:rsidR="00E035A5" w:rsidRPr="004A59B1">
        <w:rPr>
          <w:color w:val="000000"/>
          <w:lang w:val="sl-SI"/>
        </w:rPr>
        <w:t xml:space="preserve">in molekularnega </w:t>
      </w:r>
      <w:r w:rsidRPr="004A59B1">
        <w:rPr>
          <w:color w:val="000000"/>
          <w:lang w:val="sl-SI"/>
        </w:rPr>
        <w:t xml:space="preserve">odziva ima nedvomen učinek na dolgoročni izid pri bolnikih, zdravljenih z </w:t>
      </w:r>
      <w:r w:rsidR="00E36658" w:rsidRPr="004A59B1">
        <w:rPr>
          <w:color w:val="000000"/>
          <w:lang w:val="sl-SI"/>
        </w:rPr>
        <w:t xml:space="preserve">zdravilom </w:t>
      </w:r>
      <w:r w:rsidRPr="004A59B1">
        <w:rPr>
          <w:color w:val="000000"/>
          <w:lang w:val="sl-SI"/>
        </w:rPr>
        <w:t>Glivec. Za razliko od bolnikov s popolnim oziroma delnim citogenetičnim odzivom pri 12</w:t>
      </w:r>
      <w:r w:rsidR="0074624B" w:rsidRPr="004A59B1">
        <w:rPr>
          <w:color w:val="000000"/>
          <w:lang w:val="sl-SI"/>
        </w:rPr>
        <w:t> </w:t>
      </w:r>
      <w:r w:rsidRPr="004A59B1">
        <w:rPr>
          <w:color w:val="000000"/>
          <w:lang w:val="sl-SI"/>
        </w:rPr>
        <w:t xml:space="preserve">mesecih, od katerih pri </w:t>
      </w:r>
      <w:r w:rsidR="00734009" w:rsidRPr="004A59B1">
        <w:rPr>
          <w:color w:val="000000"/>
          <w:lang w:val="sl-SI"/>
        </w:rPr>
        <w:t>96</w:t>
      </w:r>
      <w:r w:rsidRPr="004A59B1">
        <w:rPr>
          <w:color w:val="000000"/>
          <w:lang w:val="sl-SI"/>
        </w:rPr>
        <w:t> %</w:t>
      </w:r>
      <w:r w:rsidR="002C2A87" w:rsidRPr="004A59B1">
        <w:rPr>
          <w:color w:val="000000"/>
          <w:lang w:val="sl-SI"/>
        </w:rPr>
        <w:t xml:space="preserve"> (za popolni odziv)</w:t>
      </w:r>
      <w:r w:rsidRPr="004A59B1">
        <w:rPr>
          <w:color w:val="000000"/>
          <w:lang w:val="sl-SI"/>
        </w:rPr>
        <w:t xml:space="preserve"> oziroma 93 % </w:t>
      </w:r>
      <w:r w:rsidR="002C2A87" w:rsidRPr="004A59B1">
        <w:rPr>
          <w:color w:val="000000"/>
          <w:lang w:val="sl-SI"/>
        </w:rPr>
        <w:t xml:space="preserve">(za delni odziv) </w:t>
      </w:r>
      <w:r w:rsidRPr="004A59B1">
        <w:rPr>
          <w:color w:val="000000"/>
          <w:lang w:val="sl-SI"/>
        </w:rPr>
        <w:t xml:space="preserve">ni prišlo do napredovanja </w:t>
      </w:r>
      <w:r w:rsidRPr="004A59B1">
        <w:rPr>
          <w:color w:val="000000"/>
          <w:szCs w:val="22"/>
          <w:lang w:val="sl-SI"/>
        </w:rPr>
        <w:t xml:space="preserve">bolezni v pospešeno fazo/blastno krizo po </w:t>
      </w:r>
      <w:r w:rsidR="00734009" w:rsidRPr="004A59B1">
        <w:rPr>
          <w:color w:val="000000"/>
          <w:szCs w:val="22"/>
          <w:lang w:val="sl-SI"/>
        </w:rPr>
        <w:t>84</w:t>
      </w:r>
      <w:r w:rsidR="0074624B" w:rsidRPr="004A59B1">
        <w:rPr>
          <w:color w:val="000000"/>
          <w:szCs w:val="22"/>
          <w:lang w:val="sl-SI"/>
        </w:rPr>
        <w:t> </w:t>
      </w:r>
      <w:r w:rsidRPr="004A59B1">
        <w:rPr>
          <w:color w:val="000000"/>
          <w:szCs w:val="22"/>
          <w:lang w:val="sl-SI"/>
        </w:rPr>
        <w:t>mesecih, pa od bolnikov</w:t>
      </w:r>
      <w:r w:rsidR="002C2A87" w:rsidRPr="004A59B1">
        <w:rPr>
          <w:color w:val="000000"/>
          <w:szCs w:val="22"/>
          <w:lang w:val="sl-SI"/>
        </w:rPr>
        <w:t>, ki so bili pri 12</w:t>
      </w:r>
      <w:r w:rsidR="0074624B" w:rsidRPr="004A59B1">
        <w:rPr>
          <w:color w:val="000000"/>
          <w:szCs w:val="22"/>
          <w:lang w:val="sl-SI"/>
        </w:rPr>
        <w:t> </w:t>
      </w:r>
      <w:r w:rsidR="002C2A87" w:rsidRPr="004A59B1">
        <w:rPr>
          <w:color w:val="000000"/>
          <w:szCs w:val="22"/>
          <w:lang w:val="sl-SI"/>
        </w:rPr>
        <w:t xml:space="preserve">mesecih </w:t>
      </w:r>
      <w:r w:rsidRPr="004A59B1">
        <w:rPr>
          <w:color w:val="000000"/>
          <w:szCs w:val="22"/>
          <w:lang w:val="sl-SI"/>
        </w:rPr>
        <w:t>brez pomembnega citogentičnega odziva</w:t>
      </w:r>
      <w:r w:rsidR="002C2A87" w:rsidRPr="004A59B1">
        <w:rPr>
          <w:color w:val="000000"/>
          <w:szCs w:val="22"/>
          <w:lang w:val="sl-SI"/>
        </w:rPr>
        <w:t>,</w:t>
      </w:r>
      <w:r w:rsidRPr="004A59B1">
        <w:rPr>
          <w:color w:val="000000"/>
          <w:szCs w:val="22"/>
          <w:lang w:val="sl-SI"/>
        </w:rPr>
        <w:t xml:space="preserve"> le pri </w:t>
      </w:r>
      <w:r w:rsidRPr="004A59B1">
        <w:rPr>
          <w:color w:val="000000"/>
          <w:lang w:val="sl-SI"/>
        </w:rPr>
        <w:t>81 % ni</w:t>
      </w:r>
      <w:r w:rsidRPr="004A59B1">
        <w:rPr>
          <w:color w:val="000000"/>
          <w:szCs w:val="22"/>
          <w:lang w:val="sl-SI"/>
        </w:rPr>
        <w:t xml:space="preserve"> prišlo do napredovanja bolezni v napredovalo fazo </w:t>
      </w:r>
      <w:r w:rsidR="00677326" w:rsidRPr="004A59B1">
        <w:rPr>
          <w:color w:val="000000"/>
          <w:szCs w:val="22"/>
          <w:lang w:val="sl-SI"/>
        </w:rPr>
        <w:t>KML</w:t>
      </w:r>
      <w:r w:rsidRPr="004A59B1">
        <w:rPr>
          <w:color w:val="000000"/>
          <w:szCs w:val="22"/>
          <w:lang w:val="sl-SI"/>
        </w:rPr>
        <w:t xml:space="preserve"> po </w:t>
      </w:r>
      <w:r w:rsidR="00734009" w:rsidRPr="004A59B1">
        <w:rPr>
          <w:color w:val="000000"/>
          <w:szCs w:val="22"/>
          <w:lang w:val="sl-SI"/>
        </w:rPr>
        <w:t>84</w:t>
      </w:r>
      <w:r w:rsidR="0074624B" w:rsidRPr="004A59B1">
        <w:rPr>
          <w:color w:val="000000"/>
          <w:szCs w:val="22"/>
          <w:lang w:val="sl-SI"/>
        </w:rPr>
        <w:t> </w:t>
      </w:r>
      <w:r w:rsidRPr="004A59B1">
        <w:rPr>
          <w:color w:val="000000"/>
          <w:szCs w:val="22"/>
          <w:lang w:val="sl-SI"/>
        </w:rPr>
        <w:t xml:space="preserve">mesecih </w:t>
      </w:r>
      <w:r w:rsidRPr="004A59B1">
        <w:rPr>
          <w:color w:val="000000"/>
          <w:lang w:val="sl-SI"/>
        </w:rPr>
        <w:t>(p&lt;0,001 skupno, p=0,2</w:t>
      </w:r>
      <w:r w:rsidR="00734009" w:rsidRPr="004A59B1">
        <w:rPr>
          <w:color w:val="000000"/>
          <w:lang w:val="sl-SI"/>
        </w:rPr>
        <w:t>5</w:t>
      </w:r>
      <w:r w:rsidRPr="004A59B1">
        <w:rPr>
          <w:color w:val="000000"/>
          <w:lang w:val="sl-SI"/>
        </w:rPr>
        <w:t xml:space="preserve"> med popolnim in delnim citogenetičnim odzivom). </w:t>
      </w:r>
      <w:r w:rsidR="00E035A5" w:rsidRPr="004A59B1">
        <w:rPr>
          <w:color w:val="000000"/>
          <w:lang w:val="sl-SI"/>
        </w:rPr>
        <w:t xml:space="preserve">Pri bolnikih </w:t>
      </w:r>
      <w:r w:rsidR="00E0028B" w:rsidRPr="004A59B1">
        <w:rPr>
          <w:color w:val="000000"/>
          <w:lang w:val="sl-SI"/>
        </w:rPr>
        <w:t>z zmanjšanjem števila transkriptov Bcr-Abl za vsaj 3</w:t>
      </w:r>
      <w:r w:rsidR="00B1677D" w:rsidRPr="004A59B1">
        <w:rPr>
          <w:color w:val="000000"/>
          <w:lang w:val="sl-SI"/>
        </w:rPr>
        <w:t> </w:t>
      </w:r>
      <w:r w:rsidR="00E0028B" w:rsidRPr="004A59B1">
        <w:rPr>
          <w:color w:val="000000"/>
          <w:lang w:val="sl-SI"/>
        </w:rPr>
        <w:t>logaritme pri 12</w:t>
      </w:r>
      <w:r w:rsidR="00B1677D" w:rsidRPr="004A59B1">
        <w:rPr>
          <w:color w:val="000000"/>
          <w:lang w:val="sl-SI"/>
        </w:rPr>
        <w:t> </w:t>
      </w:r>
      <w:r w:rsidR="00E0028B" w:rsidRPr="004A59B1">
        <w:rPr>
          <w:color w:val="000000"/>
          <w:lang w:val="sl-SI"/>
        </w:rPr>
        <w:t xml:space="preserve">mesecih je bila verjetnost, da bolezen ne napreduje v </w:t>
      </w:r>
      <w:r w:rsidR="00E0028B" w:rsidRPr="004A59B1">
        <w:rPr>
          <w:color w:val="000000"/>
          <w:szCs w:val="22"/>
          <w:lang w:val="sl-SI"/>
        </w:rPr>
        <w:t xml:space="preserve">pospešeno fazo/blastno krizo, po </w:t>
      </w:r>
      <w:r w:rsidR="00734009" w:rsidRPr="004A59B1">
        <w:rPr>
          <w:color w:val="000000"/>
          <w:szCs w:val="22"/>
          <w:lang w:val="sl-SI"/>
        </w:rPr>
        <w:t>84</w:t>
      </w:r>
      <w:r w:rsidR="00B1677D" w:rsidRPr="004A59B1">
        <w:rPr>
          <w:color w:val="000000"/>
          <w:szCs w:val="22"/>
          <w:lang w:val="sl-SI"/>
        </w:rPr>
        <w:t> </w:t>
      </w:r>
      <w:r w:rsidR="00E0028B" w:rsidRPr="004A59B1">
        <w:rPr>
          <w:color w:val="000000"/>
          <w:szCs w:val="22"/>
          <w:lang w:val="sl-SI"/>
        </w:rPr>
        <w:t xml:space="preserve">mesecih </w:t>
      </w:r>
      <w:r w:rsidR="00734009" w:rsidRPr="004A59B1">
        <w:rPr>
          <w:color w:val="000000"/>
          <w:szCs w:val="22"/>
          <w:lang w:val="sl-SI"/>
        </w:rPr>
        <w:t>99</w:t>
      </w:r>
      <w:r w:rsidR="00E0028B" w:rsidRPr="004A59B1">
        <w:rPr>
          <w:color w:val="000000"/>
          <w:szCs w:val="22"/>
          <w:lang w:val="sl-SI"/>
        </w:rPr>
        <w:t xml:space="preserve"> %. Izsledki so bili podobni, če so </w:t>
      </w:r>
      <w:r w:rsidR="00A303EB" w:rsidRPr="004A59B1">
        <w:rPr>
          <w:color w:val="000000"/>
          <w:szCs w:val="22"/>
          <w:lang w:val="sl-SI"/>
        </w:rPr>
        <w:t>odziv in število transkriptov ocenjevali pri 18</w:t>
      </w:r>
      <w:r w:rsidR="00B1677D" w:rsidRPr="004A59B1">
        <w:rPr>
          <w:color w:val="000000"/>
          <w:szCs w:val="22"/>
          <w:lang w:val="sl-SI"/>
        </w:rPr>
        <w:t> </w:t>
      </w:r>
      <w:r w:rsidR="00A303EB" w:rsidRPr="004A59B1">
        <w:rPr>
          <w:color w:val="000000"/>
          <w:szCs w:val="22"/>
          <w:lang w:val="sl-SI"/>
        </w:rPr>
        <w:t>mesecih.</w:t>
      </w:r>
    </w:p>
    <w:p w14:paraId="529799D8" w14:textId="77777777" w:rsidR="00672E27" w:rsidRPr="004A59B1" w:rsidRDefault="00672E27" w:rsidP="009C1193">
      <w:pPr>
        <w:pStyle w:val="EndnoteText"/>
        <w:widowControl w:val="0"/>
        <w:rPr>
          <w:color w:val="000000"/>
          <w:lang w:val="sl-SI"/>
        </w:rPr>
      </w:pPr>
    </w:p>
    <w:p w14:paraId="529799D9" w14:textId="77777777" w:rsidR="00444D75" w:rsidRPr="004A59B1" w:rsidRDefault="00444D75" w:rsidP="009C1193">
      <w:pPr>
        <w:pStyle w:val="EndnoteText"/>
        <w:widowControl w:val="0"/>
        <w:rPr>
          <w:color w:val="000000"/>
          <w:szCs w:val="22"/>
          <w:lang w:val="sl-SI"/>
        </w:rPr>
      </w:pPr>
      <w:r w:rsidRPr="004A59B1">
        <w:rPr>
          <w:color w:val="000000"/>
          <w:szCs w:val="22"/>
          <w:lang w:val="sl-SI"/>
        </w:rPr>
        <w:t xml:space="preserve">V tej študiji so bila dovoljena </w:t>
      </w:r>
      <w:r w:rsidR="00CF7C31" w:rsidRPr="004A59B1">
        <w:rPr>
          <w:color w:val="000000"/>
          <w:szCs w:val="22"/>
          <w:lang w:val="sl-SI"/>
        </w:rPr>
        <w:t xml:space="preserve">zvečanja </w:t>
      </w:r>
      <w:r w:rsidRPr="004A59B1">
        <w:rPr>
          <w:color w:val="000000"/>
          <w:szCs w:val="22"/>
          <w:lang w:val="sl-SI"/>
        </w:rPr>
        <w:t xml:space="preserve">odmerka s 400 mg na dan na 600 mg na dan, nato s 600 mg na dan na 800 mg na dan. Po 42 mesecih spremljanja je bila potrjena izguba (v 4 tednih) citogenetičnega odziva pri 11 bolnikih. Od teh 11 bolnikov so 4 bolnikom zvečali odmerek na 800 mg na dan, od njih sta 2 spet dobila citogenetični odziv (1 delnega in 1 popolnega, le-ta je dosegel tudi molekularni odziv), medtem ko je od 7 bolnikov, pri katerih odmerka niso zvečali, le eden spet dobil popolni citogenetični odziv. Odstotni delež nekaterih neželenih reakcij je bil večji pri tistih 40 bolnikih, pri katerih je bil odmerek zvečan na 800 mg na dan, kot pri populaciji bolnikov pred zvečanjem odmerka (n=551). Med pogostejšimi neželenimi reakcijami so bili gastrointestinalne krvavitve, konjunktivitis in zvišanje </w:t>
      </w:r>
      <w:r w:rsidR="00DE7EB6" w:rsidRPr="004A59B1">
        <w:rPr>
          <w:color w:val="000000"/>
          <w:szCs w:val="22"/>
          <w:lang w:val="sl-SI"/>
        </w:rPr>
        <w:t>aminotransferaz</w:t>
      </w:r>
      <w:r w:rsidRPr="004A59B1">
        <w:rPr>
          <w:color w:val="000000"/>
          <w:szCs w:val="22"/>
          <w:lang w:val="sl-SI"/>
        </w:rPr>
        <w:t xml:space="preserve"> ali bilirubina. Pri drugih neželenih reakcijah so poročali o manjši ali enaki pogostosti.</w:t>
      </w:r>
    </w:p>
    <w:p w14:paraId="529799DA" w14:textId="77777777" w:rsidR="00444D75" w:rsidRPr="004A59B1" w:rsidRDefault="00444D75" w:rsidP="009C1193">
      <w:pPr>
        <w:pStyle w:val="EndnoteText"/>
        <w:widowControl w:val="0"/>
        <w:rPr>
          <w:color w:val="000000"/>
          <w:szCs w:val="22"/>
          <w:lang w:val="sl-SI"/>
        </w:rPr>
      </w:pPr>
    </w:p>
    <w:p w14:paraId="529799DB" w14:textId="77777777" w:rsidR="00444D75" w:rsidRPr="004A59B1" w:rsidRDefault="00444D75" w:rsidP="009C1193">
      <w:pPr>
        <w:pStyle w:val="EndnoteText"/>
        <w:widowControl w:val="0"/>
        <w:tabs>
          <w:tab w:val="clear" w:pos="567"/>
        </w:tabs>
        <w:rPr>
          <w:color w:val="000000"/>
          <w:szCs w:val="22"/>
          <w:lang w:val="sl-SI"/>
        </w:rPr>
      </w:pPr>
      <w:r w:rsidRPr="004A59B1">
        <w:rPr>
          <w:i/>
          <w:color w:val="000000"/>
          <w:szCs w:val="22"/>
          <w:lang w:val="sl-SI"/>
        </w:rPr>
        <w:t xml:space="preserve">Kronična faza, neuspeh z interferonom: </w:t>
      </w:r>
      <w:r w:rsidRPr="004A59B1">
        <w:rPr>
          <w:color w:val="000000"/>
          <w:szCs w:val="22"/>
          <w:lang w:val="sl-SI"/>
        </w:rPr>
        <w:t>532 </w:t>
      </w:r>
      <w:r w:rsidR="00794E8C" w:rsidRPr="004A59B1">
        <w:rPr>
          <w:color w:val="000000"/>
          <w:szCs w:val="22"/>
          <w:lang w:val="sl-SI"/>
        </w:rPr>
        <w:t xml:space="preserve">odraslih </w:t>
      </w:r>
      <w:r w:rsidRPr="004A59B1">
        <w:rPr>
          <w:color w:val="000000"/>
          <w:szCs w:val="22"/>
          <w:lang w:val="sl-SI"/>
        </w:rPr>
        <w:t xml:space="preserve">bolnikov so zdravili z začetnim odmerkom 400 mg. Bolniki so bili razdeljeni v tri glavne kategorije: hematološki neuspeh (29 %), citogenetični neuspeh (35 %) ali neprenašanje interferona (36 %). Povprečno trajanje predhodnega zdravljenja z IFN z odmerki </w:t>
      </w:r>
      <w:r w:rsidRPr="004A59B1">
        <w:rPr>
          <w:color w:val="000000"/>
          <w:szCs w:val="22"/>
        </w:rPr>
        <w:sym w:font="Symbol" w:char="F0B3"/>
      </w:r>
      <w:r w:rsidRPr="004A59B1">
        <w:rPr>
          <w:color w:val="000000"/>
          <w:szCs w:val="22"/>
          <w:lang w:val="sl-SI"/>
        </w:rPr>
        <w:t> 25 x 10</w:t>
      </w:r>
      <w:r w:rsidRPr="004A59B1">
        <w:rPr>
          <w:color w:val="000000"/>
          <w:szCs w:val="22"/>
          <w:vertAlign w:val="superscript"/>
          <w:lang w:val="sl-SI"/>
        </w:rPr>
        <w:t>6</w:t>
      </w:r>
      <w:r w:rsidRPr="004A59B1">
        <w:rPr>
          <w:color w:val="000000"/>
          <w:szCs w:val="22"/>
          <w:lang w:val="sl-SI"/>
        </w:rPr>
        <w:t xml:space="preserve"> i.e./teden je bilo 14 mesecev, bolniki pa so bili vsi v pozni kronični fazi s povprečnim časom 32 mesecev od postavitve diagnoze. Primarna učinkovitostna spremenljivka študije je bila stopnja pomembnega citogenetičnega odziva (popolni plus delni odziv, 0 do 35 % Ph+ metafaz v kostnem mozgu).</w:t>
      </w:r>
    </w:p>
    <w:p w14:paraId="529799DC" w14:textId="77777777" w:rsidR="00444D75" w:rsidRPr="004A59B1" w:rsidRDefault="00444D75" w:rsidP="009C1193">
      <w:pPr>
        <w:pStyle w:val="EndnoteText"/>
        <w:widowControl w:val="0"/>
        <w:tabs>
          <w:tab w:val="clear" w:pos="567"/>
        </w:tabs>
        <w:rPr>
          <w:color w:val="000000"/>
          <w:szCs w:val="22"/>
          <w:lang w:val="sl-SI"/>
        </w:rPr>
      </w:pPr>
    </w:p>
    <w:p w14:paraId="529799DD" w14:textId="77777777" w:rsidR="00444D75" w:rsidRPr="004A59B1" w:rsidRDefault="00444D75" w:rsidP="009C1193">
      <w:pPr>
        <w:pStyle w:val="EndnoteText"/>
        <w:widowControl w:val="0"/>
        <w:tabs>
          <w:tab w:val="clear" w:pos="567"/>
        </w:tabs>
        <w:rPr>
          <w:color w:val="000000"/>
          <w:szCs w:val="22"/>
          <w:lang w:val="sl-SI"/>
        </w:rPr>
      </w:pPr>
      <w:r w:rsidRPr="004A59B1">
        <w:rPr>
          <w:color w:val="000000"/>
          <w:szCs w:val="22"/>
          <w:lang w:val="sl-SI"/>
        </w:rPr>
        <w:lastRenderedPageBreak/>
        <w:t>V tej študiji je 65 % bolnikov doseglo pomemben citogenetični odziv, ki je bil popoln pri 53 % (potrjen pri 43 %) bolnikov (preglednica </w:t>
      </w:r>
      <w:r w:rsidR="00106423" w:rsidRPr="004A59B1">
        <w:rPr>
          <w:color w:val="000000"/>
          <w:szCs w:val="22"/>
          <w:lang w:val="sl-SI"/>
        </w:rPr>
        <w:t>3</w:t>
      </w:r>
      <w:r w:rsidRPr="004A59B1">
        <w:rPr>
          <w:color w:val="000000"/>
          <w:szCs w:val="22"/>
          <w:lang w:val="sl-SI"/>
        </w:rPr>
        <w:t>). Popoln hematološki odziv je bil dosežen pri 95 % bolnikov.</w:t>
      </w:r>
    </w:p>
    <w:p w14:paraId="529799DE" w14:textId="77777777" w:rsidR="00444D75" w:rsidRPr="004A59B1" w:rsidRDefault="00444D75" w:rsidP="009C1193">
      <w:pPr>
        <w:pStyle w:val="EndnoteText"/>
        <w:widowControl w:val="0"/>
        <w:tabs>
          <w:tab w:val="clear" w:pos="567"/>
        </w:tabs>
        <w:rPr>
          <w:color w:val="000000"/>
          <w:szCs w:val="22"/>
          <w:lang w:val="sl-SI"/>
        </w:rPr>
      </w:pPr>
    </w:p>
    <w:p w14:paraId="529799DF" w14:textId="77777777" w:rsidR="00444D75" w:rsidRPr="004A59B1" w:rsidRDefault="00444D75" w:rsidP="009C1193">
      <w:pPr>
        <w:pStyle w:val="EndnoteText"/>
        <w:widowControl w:val="0"/>
        <w:tabs>
          <w:tab w:val="clear" w:pos="567"/>
        </w:tabs>
        <w:rPr>
          <w:color w:val="000000"/>
          <w:szCs w:val="22"/>
          <w:lang w:val="sl-SI"/>
        </w:rPr>
      </w:pPr>
      <w:r w:rsidRPr="004A59B1">
        <w:rPr>
          <w:i/>
          <w:color w:val="000000"/>
          <w:szCs w:val="22"/>
          <w:lang w:val="sl-SI"/>
        </w:rPr>
        <w:t>Pospešena faza</w:t>
      </w:r>
      <w:r w:rsidRPr="004A59B1">
        <w:rPr>
          <w:color w:val="000000"/>
          <w:szCs w:val="22"/>
          <w:lang w:val="sl-SI"/>
        </w:rPr>
        <w:t>: Vključili so 235 </w:t>
      </w:r>
      <w:r w:rsidR="00794E8C" w:rsidRPr="004A59B1">
        <w:rPr>
          <w:color w:val="000000"/>
          <w:szCs w:val="22"/>
          <w:lang w:val="sl-SI"/>
        </w:rPr>
        <w:t xml:space="preserve">odraslih </w:t>
      </w:r>
      <w:r w:rsidRPr="004A59B1">
        <w:rPr>
          <w:color w:val="000000"/>
          <w:szCs w:val="22"/>
          <w:lang w:val="sl-SI"/>
        </w:rPr>
        <w:t>bolnikov s pospešeno fazo bolezni. Prvih 77 bolnikov je začelo zdravljenje z odmerkom 400 mg, pozneje je bil protokol dopolnjen, da je omogočil večje odmerjanje in je preostalih 158 bolnikov začelo s 600 mg.</w:t>
      </w:r>
    </w:p>
    <w:p w14:paraId="529799E0" w14:textId="77777777" w:rsidR="00444D75" w:rsidRPr="004A59B1" w:rsidRDefault="00444D75" w:rsidP="009C1193">
      <w:pPr>
        <w:pStyle w:val="EndnoteText"/>
        <w:widowControl w:val="0"/>
        <w:tabs>
          <w:tab w:val="clear" w:pos="567"/>
        </w:tabs>
        <w:rPr>
          <w:color w:val="000000"/>
          <w:szCs w:val="22"/>
          <w:lang w:val="sl-SI"/>
        </w:rPr>
      </w:pPr>
    </w:p>
    <w:p w14:paraId="529799E1" w14:textId="77777777" w:rsidR="00444D75" w:rsidRPr="004A59B1" w:rsidRDefault="00444D75" w:rsidP="009C1193">
      <w:pPr>
        <w:pStyle w:val="EndnoteText"/>
        <w:widowControl w:val="0"/>
        <w:tabs>
          <w:tab w:val="clear" w:pos="567"/>
        </w:tabs>
        <w:rPr>
          <w:color w:val="000000"/>
          <w:szCs w:val="22"/>
          <w:lang w:val="sl-SI"/>
        </w:rPr>
      </w:pPr>
      <w:r w:rsidRPr="004A59B1">
        <w:rPr>
          <w:color w:val="000000"/>
          <w:szCs w:val="22"/>
          <w:lang w:val="sl-SI"/>
        </w:rPr>
        <w:t xml:space="preserve">Primarna učinkovitostna spremenljivka je bila stopnja hematološkega odziva, opisanega kot popolni hematološki odziv, kot odsotnost vseh znakov levkemije (tj., izginotje blastov iz kostnega mozga in krvi, a brez popolnega okrevanja periferne krvi kot pri popolnem odzivu), ali kot vrnitev v kronično fazo </w:t>
      </w:r>
      <w:r w:rsidR="00677326" w:rsidRPr="004A59B1">
        <w:rPr>
          <w:color w:val="000000"/>
          <w:szCs w:val="22"/>
          <w:lang w:val="sl-SI"/>
        </w:rPr>
        <w:t>KML</w:t>
      </w:r>
      <w:r w:rsidRPr="004A59B1">
        <w:rPr>
          <w:color w:val="000000"/>
          <w:szCs w:val="22"/>
          <w:lang w:val="sl-SI"/>
        </w:rPr>
        <w:t>. Potrjeni hematološki odziv je bil dosežen pri 71,5 % bolnikov (preglednica </w:t>
      </w:r>
      <w:r w:rsidR="00106423" w:rsidRPr="004A59B1">
        <w:rPr>
          <w:color w:val="000000"/>
          <w:szCs w:val="22"/>
          <w:lang w:val="sl-SI"/>
        </w:rPr>
        <w:t>3</w:t>
      </w:r>
      <w:r w:rsidRPr="004A59B1">
        <w:rPr>
          <w:color w:val="000000"/>
          <w:szCs w:val="22"/>
          <w:lang w:val="sl-SI"/>
        </w:rPr>
        <w:t>). Pri tem je pomembno, da je 27,7 % bolnikov doseglo tudi pomemben citogenetični odziv, ki je bil pri 20,4 % bolnikov popoln (potrjen pri 16 %). Za bolnike, zdravljene s 600 mg, je trenutna ocena medianega preživetja brez napredovanja bolezni in preživetja nasploh 22,9 oziroma 42,5 meseca.</w:t>
      </w:r>
    </w:p>
    <w:p w14:paraId="529799E2" w14:textId="77777777" w:rsidR="00444D75" w:rsidRPr="004A59B1" w:rsidRDefault="00444D75" w:rsidP="009C1193">
      <w:pPr>
        <w:pStyle w:val="EndnoteText"/>
        <w:widowControl w:val="0"/>
        <w:tabs>
          <w:tab w:val="clear" w:pos="567"/>
        </w:tabs>
        <w:rPr>
          <w:color w:val="000000"/>
          <w:szCs w:val="22"/>
          <w:lang w:val="sl-SI"/>
        </w:rPr>
      </w:pPr>
    </w:p>
    <w:p w14:paraId="529799E3" w14:textId="77777777" w:rsidR="00444D75" w:rsidRPr="004A59B1" w:rsidRDefault="00444D75" w:rsidP="009C1193">
      <w:pPr>
        <w:pStyle w:val="EndnoteText"/>
        <w:widowControl w:val="0"/>
        <w:tabs>
          <w:tab w:val="clear" w:pos="567"/>
        </w:tabs>
        <w:rPr>
          <w:color w:val="000000"/>
          <w:szCs w:val="22"/>
          <w:lang w:val="sl-SI"/>
        </w:rPr>
      </w:pPr>
      <w:r w:rsidRPr="004A59B1">
        <w:rPr>
          <w:i/>
          <w:color w:val="000000"/>
          <w:szCs w:val="22"/>
          <w:lang w:val="sl-SI"/>
        </w:rPr>
        <w:t>Mieloidna blastna kriza:</w:t>
      </w:r>
      <w:r w:rsidRPr="004A59B1">
        <w:rPr>
          <w:color w:val="000000"/>
          <w:szCs w:val="22"/>
          <w:lang w:val="sl-SI"/>
        </w:rPr>
        <w:t xml:space="preserve"> Vključili so 260 bolnikov z mieloidno blastno krizo. 95 bolnikov (37 %) je imelo predhodno kemoterapijo za zdravljenje bodisi pospešene faze bodisi blastne krize (»predhodno zdravljeni bolniki«), medtem ko 165 bolnikov (63 %) ni bilo predhodno zdravljenih (»nezdravljeni bolniki«). Prvih 37 bolnikov je začelo zdravljenje s 400 mg, protokol je bil pozneje dopolnjen, tako da je omogočal večje odmerjanje, tako da je preostalih 223 bolnikov začelo zdravljenje s 600 mg.</w:t>
      </w:r>
    </w:p>
    <w:p w14:paraId="529799E4" w14:textId="77777777" w:rsidR="00444D75" w:rsidRPr="004A59B1" w:rsidRDefault="00444D75" w:rsidP="009C1193">
      <w:pPr>
        <w:pStyle w:val="EndnoteText"/>
        <w:widowControl w:val="0"/>
        <w:tabs>
          <w:tab w:val="clear" w:pos="567"/>
        </w:tabs>
        <w:rPr>
          <w:color w:val="000000"/>
          <w:szCs w:val="22"/>
          <w:lang w:val="sl-SI"/>
        </w:rPr>
      </w:pPr>
    </w:p>
    <w:p w14:paraId="529799E5" w14:textId="77777777" w:rsidR="00444D75" w:rsidRPr="004A59B1" w:rsidRDefault="00444D75" w:rsidP="009C1193">
      <w:pPr>
        <w:pStyle w:val="EndnoteText"/>
        <w:widowControl w:val="0"/>
        <w:tabs>
          <w:tab w:val="clear" w:pos="567"/>
        </w:tabs>
        <w:rPr>
          <w:color w:val="000000"/>
          <w:szCs w:val="22"/>
          <w:lang w:val="sl-SI"/>
        </w:rPr>
      </w:pPr>
      <w:r w:rsidRPr="004A59B1">
        <w:rPr>
          <w:color w:val="000000"/>
          <w:szCs w:val="22"/>
          <w:lang w:val="sl-SI"/>
        </w:rPr>
        <w:t xml:space="preserve">Primarna učinkovitostna spremenljivka je bila stopnja hematološkega odziva, opisanega bodisi kot popolni hematološki odziv, kot odsotnost dokazov levkemije ali kot vrnitev v kronično fazo </w:t>
      </w:r>
      <w:r w:rsidR="00677326" w:rsidRPr="004A59B1">
        <w:rPr>
          <w:color w:val="000000"/>
          <w:szCs w:val="22"/>
          <w:lang w:val="sl-SI"/>
        </w:rPr>
        <w:t>KML</w:t>
      </w:r>
      <w:r w:rsidRPr="004A59B1">
        <w:rPr>
          <w:color w:val="000000"/>
          <w:szCs w:val="22"/>
          <w:lang w:val="sl-SI"/>
        </w:rPr>
        <w:t xml:space="preserve">, pri čemer so uporabljali enaka merila kot pri študiji v pospešeni fazi. V tej študiji je 31 % bolnikov doseglo hematološki odziv (36 % pri predhodno nezdravljenih bolnikih in 22 % pri predhodno zdravljenih bolnikih). Stopnja odziva je bila tudi večja pri bolnikih, zdravljenih s 600 mg (33 %), kot pri bolnikih, zdravljenih s 400 mg (16 %, p=0,0220). Tekoča ocena </w:t>
      </w:r>
      <w:r w:rsidR="00576E16" w:rsidRPr="004A59B1">
        <w:rPr>
          <w:color w:val="000000"/>
          <w:szCs w:val="22"/>
          <w:lang w:val="sl-SI"/>
        </w:rPr>
        <w:t xml:space="preserve">medianega </w:t>
      </w:r>
      <w:r w:rsidRPr="004A59B1">
        <w:rPr>
          <w:color w:val="000000"/>
          <w:szCs w:val="22"/>
          <w:lang w:val="sl-SI"/>
        </w:rPr>
        <w:t>preživetja predhodno nezdravljenih in zdravljenih bolnikov je bila 7,7 in 4,7 meseca.</w:t>
      </w:r>
    </w:p>
    <w:p w14:paraId="529799E6" w14:textId="77777777" w:rsidR="00444D75" w:rsidRPr="004A59B1" w:rsidRDefault="00444D75" w:rsidP="009C1193">
      <w:pPr>
        <w:pStyle w:val="EndnoteText"/>
        <w:widowControl w:val="0"/>
        <w:tabs>
          <w:tab w:val="clear" w:pos="567"/>
        </w:tabs>
        <w:rPr>
          <w:color w:val="000000"/>
          <w:szCs w:val="22"/>
          <w:lang w:val="sl-SI"/>
        </w:rPr>
      </w:pPr>
    </w:p>
    <w:p w14:paraId="529799E7" w14:textId="77777777" w:rsidR="00444D75" w:rsidRPr="004A59B1" w:rsidRDefault="00444D75" w:rsidP="009C1193">
      <w:pPr>
        <w:pStyle w:val="BodyText"/>
        <w:widowControl w:val="0"/>
        <w:spacing w:line="240" w:lineRule="auto"/>
        <w:rPr>
          <w:b w:val="0"/>
          <w:i w:val="0"/>
          <w:color w:val="000000"/>
          <w:szCs w:val="22"/>
          <w:lang w:val="sl-SI"/>
        </w:rPr>
      </w:pPr>
      <w:r w:rsidRPr="004A59B1">
        <w:rPr>
          <w:b w:val="0"/>
          <w:color w:val="000000"/>
          <w:szCs w:val="22"/>
          <w:lang w:val="sl-SI"/>
        </w:rPr>
        <w:t>Limfoidna blastna kriza:</w:t>
      </w:r>
      <w:r w:rsidRPr="004A59B1">
        <w:rPr>
          <w:b w:val="0"/>
          <w:i w:val="0"/>
          <w:color w:val="000000"/>
          <w:szCs w:val="22"/>
          <w:lang w:val="sl-SI"/>
        </w:rPr>
        <w:t xml:space="preserve"> Omejeno število bolnikov so vključili v študije prve faze (n=10). Stopnja hematološkega odziva je bila</w:t>
      </w:r>
      <w:r w:rsidRPr="004A59B1">
        <w:rPr>
          <w:color w:val="000000"/>
          <w:szCs w:val="22"/>
          <w:lang w:val="sl-SI"/>
        </w:rPr>
        <w:t xml:space="preserve"> </w:t>
      </w:r>
      <w:r w:rsidRPr="004A59B1">
        <w:rPr>
          <w:b w:val="0"/>
          <w:i w:val="0"/>
          <w:color w:val="000000"/>
          <w:szCs w:val="22"/>
          <w:lang w:val="sl-SI"/>
        </w:rPr>
        <w:t>70 %, njegovo trajanje pa 2–3 mesece.</w:t>
      </w:r>
    </w:p>
    <w:p w14:paraId="529799E8" w14:textId="77777777" w:rsidR="00444D75" w:rsidRPr="004A59B1" w:rsidRDefault="00444D75" w:rsidP="009C1193">
      <w:pPr>
        <w:pStyle w:val="EndnoteText"/>
        <w:widowControl w:val="0"/>
        <w:tabs>
          <w:tab w:val="clear" w:pos="567"/>
        </w:tabs>
        <w:rPr>
          <w:color w:val="000000"/>
          <w:szCs w:val="22"/>
          <w:lang w:val="sl-SI"/>
        </w:rPr>
      </w:pPr>
    </w:p>
    <w:p w14:paraId="529799E9" w14:textId="77777777" w:rsidR="00444D75" w:rsidRPr="004A59B1" w:rsidRDefault="00444D75" w:rsidP="009C1193">
      <w:pPr>
        <w:pStyle w:val="EndnoteText"/>
        <w:keepNext/>
        <w:keepLines/>
        <w:widowControl w:val="0"/>
        <w:tabs>
          <w:tab w:val="clear" w:pos="567"/>
          <w:tab w:val="left" w:pos="1701"/>
        </w:tabs>
        <w:rPr>
          <w:color w:val="000000"/>
          <w:szCs w:val="22"/>
          <w:lang w:val="sl-SI"/>
        </w:rPr>
      </w:pPr>
      <w:r w:rsidRPr="004A59B1">
        <w:rPr>
          <w:b/>
          <w:color w:val="000000"/>
          <w:szCs w:val="22"/>
          <w:lang w:val="sl-SI"/>
        </w:rPr>
        <w:lastRenderedPageBreak/>
        <w:t>Preglednica </w:t>
      </w:r>
      <w:r w:rsidR="00106423" w:rsidRPr="004A59B1">
        <w:rPr>
          <w:b/>
          <w:color w:val="000000"/>
          <w:szCs w:val="22"/>
          <w:lang w:val="sl-SI"/>
        </w:rPr>
        <w:t>3</w:t>
      </w:r>
      <w:r w:rsidRPr="004A59B1">
        <w:rPr>
          <w:b/>
          <w:color w:val="000000"/>
          <w:szCs w:val="22"/>
          <w:lang w:val="sl-SI"/>
        </w:rPr>
        <w:tab/>
        <w:t xml:space="preserve">Odziv pri </w:t>
      </w:r>
      <w:r w:rsidR="00794E8C" w:rsidRPr="004A59B1">
        <w:rPr>
          <w:b/>
          <w:color w:val="000000"/>
          <w:szCs w:val="22"/>
          <w:lang w:val="sl-SI"/>
        </w:rPr>
        <w:t xml:space="preserve">odraslih </w:t>
      </w:r>
      <w:r w:rsidRPr="004A59B1">
        <w:rPr>
          <w:b/>
          <w:color w:val="000000"/>
          <w:szCs w:val="22"/>
          <w:lang w:val="sl-SI"/>
        </w:rPr>
        <w:t xml:space="preserve">bolnikih s </w:t>
      </w:r>
      <w:r w:rsidR="00677326" w:rsidRPr="004A59B1">
        <w:rPr>
          <w:b/>
          <w:color w:val="000000"/>
          <w:szCs w:val="22"/>
          <w:lang w:val="sl-SI"/>
        </w:rPr>
        <w:t>KML</w:t>
      </w:r>
      <w:r w:rsidRPr="004A59B1">
        <w:rPr>
          <w:b/>
          <w:color w:val="000000"/>
          <w:szCs w:val="22"/>
          <w:lang w:val="sl-SI"/>
        </w:rPr>
        <w:t xml:space="preserve"> v kliničnih študijah</w:t>
      </w:r>
    </w:p>
    <w:p w14:paraId="529799EA" w14:textId="77777777" w:rsidR="00444D75" w:rsidRPr="004A59B1" w:rsidRDefault="00444D75" w:rsidP="009C1193">
      <w:pPr>
        <w:pStyle w:val="EndnoteText"/>
        <w:keepNext/>
        <w:keepLines/>
        <w:widowControl w:val="0"/>
        <w:tabs>
          <w:tab w:val="clear" w:pos="567"/>
        </w:tabs>
        <w:rPr>
          <w:color w:val="000000"/>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2126"/>
        <w:gridCol w:w="1985"/>
        <w:gridCol w:w="1949"/>
      </w:tblGrid>
      <w:tr w:rsidR="00444D75" w:rsidRPr="004A59B1" w14:paraId="529799F8" w14:textId="77777777" w:rsidTr="009C1193">
        <w:trPr>
          <w:cantSplit/>
        </w:trPr>
        <w:tc>
          <w:tcPr>
            <w:tcW w:w="3227" w:type="dxa"/>
            <w:tcBorders>
              <w:bottom w:val="nil"/>
            </w:tcBorders>
          </w:tcPr>
          <w:p w14:paraId="529799EB" w14:textId="77777777" w:rsidR="00444D75" w:rsidRPr="004A59B1" w:rsidRDefault="00444D75" w:rsidP="009C1193">
            <w:pPr>
              <w:pStyle w:val="EndnoteText"/>
              <w:keepNext/>
              <w:keepLines/>
              <w:widowControl w:val="0"/>
              <w:tabs>
                <w:tab w:val="clear" w:pos="567"/>
              </w:tabs>
              <w:rPr>
                <w:color w:val="000000"/>
                <w:szCs w:val="22"/>
                <w:lang w:val="sl-SI"/>
              </w:rPr>
            </w:pPr>
          </w:p>
        </w:tc>
        <w:tc>
          <w:tcPr>
            <w:tcW w:w="2126" w:type="dxa"/>
            <w:tcBorders>
              <w:bottom w:val="nil"/>
            </w:tcBorders>
          </w:tcPr>
          <w:p w14:paraId="529799EC" w14:textId="77777777" w:rsidR="00444D75" w:rsidRPr="004A59B1" w:rsidRDefault="00444D75" w:rsidP="009C1193">
            <w:pPr>
              <w:pStyle w:val="EndnoteText"/>
              <w:keepNext/>
              <w:keepLines/>
              <w:widowControl w:val="0"/>
              <w:tabs>
                <w:tab w:val="clear" w:pos="567"/>
              </w:tabs>
              <w:jc w:val="center"/>
              <w:rPr>
                <w:color w:val="000000"/>
                <w:szCs w:val="22"/>
                <w:lang w:val="sl-SI"/>
              </w:rPr>
            </w:pPr>
            <w:r w:rsidRPr="004A59B1">
              <w:rPr>
                <w:color w:val="000000"/>
                <w:szCs w:val="22"/>
                <w:lang w:val="sl-SI"/>
              </w:rPr>
              <w:t>Študija 0110</w:t>
            </w:r>
          </w:p>
          <w:p w14:paraId="529799ED" w14:textId="77777777" w:rsidR="00444D75" w:rsidRPr="004A59B1" w:rsidRDefault="00444D75" w:rsidP="009C1193">
            <w:pPr>
              <w:pStyle w:val="EndnoteText"/>
              <w:keepNext/>
              <w:keepLines/>
              <w:widowControl w:val="0"/>
              <w:tabs>
                <w:tab w:val="clear" w:pos="567"/>
              </w:tabs>
              <w:jc w:val="center"/>
              <w:rPr>
                <w:color w:val="000000"/>
                <w:szCs w:val="22"/>
                <w:lang w:val="sl-SI"/>
              </w:rPr>
            </w:pPr>
            <w:r w:rsidRPr="004A59B1">
              <w:rPr>
                <w:color w:val="000000"/>
                <w:szCs w:val="22"/>
                <w:lang w:val="sl-SI"/>
              </w:rPr>
              <w:t>podatki pri 37 mesecih</w:t>
            </w:r>
          </w:p>
          <w:p w14:paraId="529799EE" w14:textId="77777777" w:rsidR="00444D75" w:rsidRPr="004A59B1" w:rsidRDefault="00444D75" w:rsidP="009C1193">
            <w:pPr>
              <w:pStyle w:val="EndnoteText"/>
              <w:keepNext/>
              <w:keepLines/>
              <w:widowControl w:val="0"/>
              <w:tabs>
                <w:tab w:val="clear" w:pos="567"/>
              </w:tabs>
              <w:jc w:val="center"/>
              <w:rPr>
                <w:color w:val="000000"/>
                <w:szCs w:val="22"/>
                <w:lang w:val="sl-SI"/>
              </w:rPr>
            </w:pPr>
            <w:r w:rsidRPr="004A59B1">
              <w:rPr>
                <w:color w:val="000000"/>
                <w:szCs w:val="22"/>
                <w:lang w:val="sl-SI"/>
              </w:rPr>
              <w:t>kronična faza, neuspeh IFN</w:t>
            </w:r>
          </w:p>
          <w:p w14:paraId="529799EF" w14:textId="77777777" w:rsidR="00444D75" w:rsidRPr="004A59B1" w:rsidRDefault="00444D75" w:rsidP="009C1193">
            <w:pPr>
              <w:pStyle w:val="EndnoteText"/>
              <w:keepNext/>
              <w:keepLines/>
              <w:widowControl w:val="0"/>
              <w:tabs>
                <w:tab w:val="clear" w:pos="567"/>
              </w:tabs>
              <w:jc w:val="center"/>
              <w:rPr>
                <w:color w:val="000000"/>
                <w:szCs w:val="22"/>
                <w:lang w:val="sl-SI"/>
              </w:rPr>
            </w:pPr>
            <w:r w:rsidRPr="004A59B1">
              <w:rPr>
                <w:color w:val="000000"/>
                <w:szCs w:val="22"/>
                <w:lang w:val="sl-SI"/>
              </w:rPr>
              <w:t>(n=532)</w:t>
            </w:r>
          </w:p>
        </w:tc>
        <w:tc>
          <w:tcPr>
            <w:tcW w:w="1985" w:type="dxa"/>
            <w:tcBorders>
              <w:bottom w:val="nil"/>
            </w:tcBorders>
          </w:tcPr>
          <w:p w14:paraId="529799F0" w14:textId="77777777" w:rsidR="00444D75" w:rsidRPr="004A59B1" w:rsidRDefault="00444D75" w:rsidP="009C1193">
            <w:pPr>
              <w:pStyle w:val="EndnoteText"/>
              <w:keepNext/>
              <w:keepLines/>
              <w:widowControl w:val="0"/>
              <w:tabs>
                <w:tab w:val="clear" w:pos="567"/>
              </w:tabs>
              <w:jc w:val="center"/>
              <w:rPr>
                <w:color w:val="000000"/>
                <w:szCs w:val="22"/>
                <w:lang w:val="sl-SI"/>
              </w:rPr>
            </w:pPr>
            <w:r w:rsidRPr="004A59B1">
              <w:rPr>
                <w:color w:val="000000"/>
                <w:szCs w:val="22"/>
                <w:lang w:val="sl-SI"/>
              </w:rPr>
              <w:t>Študija 0109</w:t>
            </w:r>
          </w:p>
          <w:p w14:paraId="529799F1" w14:textId="77777777" w:rsidR="00444D75" w:rsidRPr="004A59B1" w:rsidRDefault="00444D75" w:rsidP="009C1193">
            <w:pPr>
              <w:pStyle w:val="EndnoteText"/>
              <w:keepNext/>
              <w:keepLines/>
              <w:widowControl w:val="0"/>
              <w:tabs>
                <w:tab w:val="clear" w:pos="567"/>
              </w:tabs>
              <w:jc w:val="center"/>
              <w:rPr>
                <w:color w:val="000000"/>
                <w:szCs w:val="22"/>
                <w:lang w:val="sl-SI"/>
              </w:rPr>
            </w:pPr>
            <w:r w:rsidRPr="004A59B1">
              <w:rPr>
                <w:color w:val="000000"/>
                <w:szCs w:val="22"/>
                <w:lang w:val="sl-SI"/>
              </w:rPr>
              <w:t>podatki pri 40,5 meseca</w:t>
            </w:r>
          </w:p>
          <w:p w14:paraId="529799F2" w14:textId="77777777" w:rsidR="00444D75" w:rsidRPr="004A59B1" w:rsidRDefault="00444D75" w:rsidP="009C1193">
            <w:pPr>
              <w:pStyle w:val="EndnoteText"/>
              <w:keepNext/>
              <w:keepLines/>
              <w:widowControl w:val="0"/>
              <w:tabs>
                <w:tab w:val="clear" w:pos="567"/>
              </w:tabs>
              <w:jc w:val="center"/>
              <w:rPr>
                <w:color w:val="000000"/>
                <w:szCs w:val="22"/>
                <w:lang w:val="sl-SI"/>
              </w:rPr>
            </w:pPr>
            <w:r w:rsidRPr="004A59B1">
              <w:rPr>
                <w:color w:val="000000"/>
                <w:szCs w:val="22"/>
                <w:lang w:val="sl-SI"/>
              </w:rPr>
              <w:t>pospešena faza</w:t>
            </w:r>
          </w:p>
          <w:p w14:paraId="529799F3" w14:textId="77777777" w:rsidR="00444D75" w:rsidRPr="004A59B1" w:rsidRDefault="00444D75" w:rsidP="009C1193">
            <w:pPr>
              <w:pStyle w:val="EndnoteText"/>
              <w:keepNext/>
              <w:keepLines/>
              <w:widowControl w:val="0"/>
              <w:tabs>
                <w:tab w:val="clear" w:pos="567"/>
              </w:tabs>
              <w:jc w:val="center"/>
              <w:rPr>
                <w:color w:val="000000"/>
                <w:szCs w:val="22"/>
                <w:lang w:val="pt-BR"/>
              </w:rPr>
            </w:pPr>
            <w:r w:rsidRPr="004A59B1">
              <w:rPr>
                <w:color w:val="000000"/>
                <w:szCs w:val="22"/>
                <w:lang w:val="pt-BR"/>
              </w:rPr>
              <w:t>(n=235)</w:t>
            </w:r>
          </w:p>
        </w:tc>
        <w:tc>
          <w:tcPr>
            <w:tcW w:w="1949" w:type="dxa"/>
            <w:tcBorders>
              <w:bottom w:val="nil"/>
            </w:tcBorders>
          </w:tcPr>
          <w:p w14:paraId="529799F4" w14:textId="77777777" w:rsidR="00444D75" w:rsidRPr="004A59B1" w:rsidRDefault="00444D75" w:rsidP="009C1193">
            <w:pPr>
              <w:pStyle w:val="EndnoteText"/>
              <w:keepNext/>
              <w:keepLines/>
              <w:widowControl w:val="0"/>
              <w:tabs>
                <w:tab w:val="clear" w:pos="567"/>
              </w:tabs>
              <w:jc w:val="center"/>
              <w:rPr>
                <w:color w:val="000000"/>
                <w:szCs w:val="22"/>
                <w:lang w:val="pl-PL"/>
              </w:rPr>
            </w:pPr>
            <w:r w:rsidRPr="004A59B1">
              <w:rPr>
                <w:color w:val="000000"/>
                <w:szCs w:val="22"/>
                <w:lang w:val="pl-PL"/>
              </w:rPr>
              <w:t>Študija 0102</w:t>
            </w:r>
          </w:p>
          <w:p w14:paraId="529799F5" w14:textId="77777777" w:rsidR="00444D75" w:rsidRPr="004A59B1" w:rsidRDefault="00444D75" w:rsidP="009C1193">
            <w:pPr>
              <w:pStyle w:val="EndnoteText"/>
              <w:keepNext/>
              <w:keepLines/>
              <w:widowControl w:val="0"/>
              <w:tabs>
                <w:tab w:val="clear" w:pos="567"/>
              </w:tabs>
              <w:jc w:val="center"/>
              <w:rPr>
                <w:color w:val="000000"/>
                <w:szCs w:val="22"/>
                <w:lang w:val="sl-SI"/>
              </w:rPr>
            </w:pPr>
            <w:r w:rsidRPr="004A59B1">
              <w:rPr>
                <w:color w:val="000000"/>
                <w:szCs w:val="22"/>
                <w:lang w:val="sl-SI"/>
              </w:rPr>
              <w:t>podatki pri 38 mesecih</w:t>
            </w:r>
          </w:p>
          <w:p w14:paraId="529799F6" w14:textId="77777777" w:rsidR="00444D75" w:rsidRPr="004A59B1" w:rsidRDefault="00444D75" w:rsidP="009C1193">
            <w:pPr>
              <w:pStyle w:val="EndnoteText"/>
              <w:keepNext/>
              <w:keepLines/>
              <w:widowControl w:val="0"/>
              <w:tabs>
                <w:tab w:val="clear" w:pos="567"/>
              </w:tabs>
              <w:jc w:val="center"/>
              <w:rPr>
                <w:color w:val="000000"/>
                <w:szCs w:val="22"/>
                <w:lang w:val="pl-PL"/>
              </w:rPr>
            </w:pPr>
            <w:r w:rsidRPr="004A59B1">
              <w:rPr>
                <w:color w:val="000000"/>
                <w:szCs w:val="22"/>
                <w:lang w:val="pl-PL"/>
              </w:rPr>
              <w:t>mieloidna blastna kriza</w:t>
            </w:r>
          </w:p>
          <w:p w14:paraId="529799F7" w14:textId="77777777" w:rsidR="00444D75" w:rsidRPr="004A59B1" w:rsidRDefault="00444D75" w:rsidP="009C1193">
            <w:pPr>
              <w:pStyle w:val="EndnoteText"/>
              <w:keepNext/>
              <w:keepLines/>
              <w:widowControl w:val="0"/>
              <w:tabs>
                <w:tab w:val="clear" w:pos="567"/>
              </w:tabs>
              <w:jc w:val="center"/>
              <w:rPr>
                <w:color w:val="000000"/>
                <w:szCs w:val="22"/>
              </w:rPr>
            </w:pPr>
            <w:r w:rsidRPr="004A59B1">
              <w:rPr>
                <w:color w:val="000000"/>
                <w:szCs w:val="22"/>
              </w:rPr>
              <w:t>(n=260)</w:t>
            </w:r>
          </w:p>
        </w:tc>
      </w:tr>
      <w:tr w:rsidR="00444D75" w:rsidRPr="004A59B1" w14:paraId="529799FB" w14:textId="77777777" w:rsidTr="009C1193">
        <w:trPr>
          <w:cantSplit/>
        </w:trPr>
        <w:tc>
          <w:tcPr>
            <w:tcW w:w="3227" w:type="dxa"/>
            <w:tcBorders>
              <w:bottom w:val="nil"/>
            </w:tcBorders>
          </w:tcPr>
          <w:p w14:paraId="529799F9" w14:textId="77777777" w:rsidR="00444D75" w:rsidRPr="004A59B1" w:rsidRDefault="00444D75" w:rsidP="009C1193">
            <w:pPr>
              <w:pStyle w:val="EndnoteText"/>
              <w:keepNext/>
              <w:keepLines/>
              <w:widowControl w:val="0"/>
              <w:tabs>
                <w:tab w:val="clear" w:pos="567"/>
              </w:tabs>
              <w:rPr>
                <w:color w:val="000000"/>
                <w:szCs w:val="22"/>
              </w:rPr>
            </w:pPr>
          </w:p>
        </w:tc>
        <w:tc>
          <w:tcPr>
            <w:tcW w:w="6060" w:type="dxa"/>
            <w:gridSpan w:val="3"/>
            <w:tcBorders>
              <w:bottom w:val="nil"/>
            </w:tcBorders>
          </w:tcPr>
          <w:p w14:paraId="529799FA" w14:textId="77777777" w:rsidR="00444D75" w:rsidRPr="004A59B1" w:rsidRDefault="00444D75" w:rsidP="009C1193">
            <w:pPr>
              <w:pStyle w:val="EndnoteText"/>
              <w:keepNext/>
              <w:keepLines/>
              <w:widowControl w:val="0"/>
              <w:tabs>
                <w:tab w:val="clear" w:pos="567"/>
              </w:tabs>
              <w:jc w:val="center"/>
              <w:rPr>
                <w:color w:val="000000"/>
                <w:szCs w:val="22"/>
              </w:rPr>
            </w:pPr>
            <w:r w:rsidRPr="004A59B1">
              <w:rPr>
                <w:color w:val="000000"/>
                <w:szCs w:val="22"/>
              </w:rPr>
              <w:t>% bolnikov (</w:t>
            </w:r>
            <w:r w:rsidR="009973B4" w:rsidRPr="004A59B1">
              <w:rPr>
                <w:color w:val="000000"/>
                <w:szCs w:val="22"/>
              </w:rPr>
              <w:t>IZ</w:t>
            </w:r>
            <w:r w:rsidR="009973B4" w:rsidRPr="004A59B1">
              <w:rPr>
                <w:color w:val="000000"/>
                <w:szCs w:val="22"/>
                <w:vertAlign w:val="subscript"/>
              </w:rPr>
              <w:t>95 </w:t>
            </w:r>
            <w:r w:rsidRPr="004A59B1">
              <w:rPr>
                <w:color w:val="000000"/>
                <w:szCs w:val="22"/>
                <w:vertAlign w:val="subscript"/>
              </w:rPr>
              <w:t>%</w:t>
            </w:r>
            <w:r w:rsidRPr="004A59B1">
              <w:rPr>
                <w:color w:val="000000"/>
                <w:szCs w:val="22"/>
              </w:rPr>
              <w:t>)</w:t>
            </w:r>
          </w:p>
        </w:tc>
      </w:tr>
      <w:tr w:rsidR="00444D75" w:rsidRPr="004A59B1" w14:paraId="52979A00" w14:textId="77777777" w:rsidTr="009C1193">
        <w:trPr>
          <w:cantSplit/>
        </w:trPr>
        <w:tc>
          <w:tcPr>
            <w:tcW w:w="3227" w:type="dxa"/>
            <w:tcBorders>
              <w:bottom w:val="nil"/>
            </w:tcBorders>
          </w:tcPr>
          <w:p w14:paraId="529799FC" w14:textId="77777777" w:rsidR="00444D75" w:rsidRPr="004A59B1" w:rsidRDefault="00444D75" w:rsidP="009C1193">
            <w:pPr>
              <w:pStyle w:val="EndnoteText"/>
              <w:keepNext/>
              <w:keepLines/>
              <w:widowControl w:val="0"/>
              <w:tabs>
                <w:tab w:val="clear" w:pos="567"/>
              </w:tabs>
              <w:rPr>
                <w:color w:val="000000"/>
                <w:szCs w:val="22"/>
              </w:rPr>
            </w:pPr>
            <w:r w:rsidRPr="004A59B1">
              <w:rPr>
                <w:color w:val="000000"/>
                <w:szCs w:val="22"/>
              </w:rPr>
              <w:t>Hematološki odziv</w:t>
            </w:r>
            <w:r w:rsidRPr="004A59B1">
              <w:rPr>
                <w:color w:val="000000"/>
                <w:szCs w:val="22"/>
                <w:vertAlign w:val="superscript"/>
              </w:rPr>
              <w:t>1</w:t>
            </w:r>
          </w:p>
        </w:tc>
        <w:tc>
          <w:tcPr>
            <w:tcW w:w="2126" w:type="dxa"/>
            <w:tcBorders>
              <w:bottom w:val="nil"/>
            </w:tcBorders>
          </w:tcPr>
          <w:p w14:paraId="529799FD" w14:textId="77777777" w:rsidR="00444D75" w:rsidRPr="004A59B1" w:rsidRDefault="00444D75" w:rsidP="009C1193">
            <w:pPr>
              <w:pStyle w:val="EndnoteText"/>
              <w:keepNext/>
              <w:keepLines/>
              <w:widowControl w:val="0"/>
              <w:tabs>
                <w:tab w:val="clear" w:pos="567"/>
              </w:tabs>
              <w:jc w:val="center"/>
              <w:rPr>
                <w:color w:val="000000"/>
                <w:szCs w:val="22"/>
              </w:rPr>
            </w:pPr>
            <w:r w:rsidRPr="004A59B1">
              <w:rPr>
                <w:color w:val="000000"/>
                <w:szCs w:val="22"/>
              </w:rPr>
              <w:t>95 % (92,3–96,3)</w:t>
            </w:r>
          </w:p>
        </w:tc>
        <w:tc>
          <w:tcPr>
            <w:tcW w:w="1985" w:type="dxa"/>
            <w:tcBorders>
              <w:bottom w:val="nil"/>
            </w:tcBorders>
          </w:tcPr>
          <w:p w14:paraId="529799FE" w14:textId="77777777" w:rsidR="00444D75" w:rsidRPr="004A59B1" w:rsidRDefault="00444D75" w:rsidP="009C1193">
            <w:pPr>
              <w:pStyle w:val="EndnoteText"/>
              <w:keepNext/>
              <w:keepLines/>
              <w:widowControl w:val="0"/>
              <w:tabs>
                <w:tab w:val="clear" w:pos="567"/>
              </w:tabs>
              <w:jc w:val="center"/>
              <w:rPr>
                <w:color w:val="000000"/>
                <w:szCs w:val="22"/>
              </w:rPr>
            </w:pPr>
            <w:r w:rsidRPr="004A59B1">
              <w:rPr>
                <w:color w:val="000000"/>
                <w:szCs w:val="22"/>
              </w:rPr>
              <w:t>71 % (65,3–77,2)</w:t>
            </w:r>
          </w:p>
        </w:tc>
        <w:tc>
          <w:tcPr>
            <w:tcW w:w="1949" w:type="dxa"/>
            <w:tcBorders>
              <w:bottom w:val="nil"/>
            </w:tcBorders>
          </w:tcPr>
          <w:p w14:paraId="529799FF" w14:textId="77777777" w:rsidR="00444D75" w:rsidRPr="004A59B1" w:rsidRDefault="00444D75" w:rsidP="009C1193">
            <w:pPr>
              <w:pStyle w:val="EndnoteText"/>
              <w:keepNext/>
              <w:keepLines/>
              <w:widowControl w:val="0"/>
              <w:tabs>
                <w:tab w:val="clear" w:pos="567"/>
              </w:tabs>
              <w:jc w:val="center"/>
              <w:rPr>
                <w:color w:val="000000"/>
                <w:szCs w:val="22"/>
              </w:rPr>
            </w:pPr>
            <w:r w:rsidRPr="004A59B1">
              <w:rPr>
                <w:color w:val="000000"/>
                <w:szCs w:val="22"/>
              </w:rPr>
              <w:t>31 % (25,2–36,8)</w:t>
            </w:r>
          </w:p>
        </w:tc>
      </w:tr>
      <w:tr w:rsidR="00444D75" w:rsidRPr="004A59B1" w14:paraId="52979A05" w14:textId="77777777" w:rsidTr="009C1193">
        <w:trPr>
          <w:cantSplit/>
        </w:trPr>
        <w:tc>
          <w:tcPr>
            <w:tcW w:w="3227" w:type="dxa"/>
            <w:tcBorders>
              <w:top w:val="nil"/>
              <w:bottom w:val="nil"/>
            </w:tcBorders>
          </w:tcPr>
          <w:p w14:paraId="52979A01" w14:textId="77777777" w:rsidR="00444D75" w:rsidRPr="004A59B1" w:rsidRDefault="00444D75" w:rsidP="009C1193">
            <w:pPr>
              <w:pStyle w:val="EndnoteText"/>
              <w:keepNext/>
              <w:keepLines/>
              <w:widowControl w:val="0"/>
              <w:tabs>
                <w:tab w:val="clear" w:pos="567"/>
              </w:tabs>
              <w:ind w:left="284"/>
              <w:rPr>
                <w:color w:val="000000"/>
                <w:szCs w:val="22"/>
              </w:rPr>
            </w:pPr>
            <w:r w:rsidRPr="004A59B1">
              <w:rPr>
                <w:color w:val="000000"/>
                <w:szCs w:val="22"/>
              </w:rPr>
              <w:t>popolni hematološki odziv (CHR)</w:t>
            </w:r>
          </w:p>
        </w:tc>
        <w:tc>
          <w:tcPr>
            <w:tcW w:w="2126" w:type="dxa"/>
            <w:tcBorders>
              <w:top w:val="nil"/>
              <w:bottom w:val="nil"/>
            </w:tcBorders>
          </w:tcPr>
          <w:p w14:paraId="52979A02" w14:textId="77777777" w:rsidR="00444D75" w:rsidRPr="004A59B1" w:rsidRDefault="00444D75" w:rsidP="009C1193">
            <w:pPr>
              <w:pStyle w:val="EndnoteText"/>
              <w:keepNext/>
              <w:keepLines/>
              <w:widowControl w:val="0"/>
              <w:tabs>
                <w:tab w:val="clear" w:pos="567"/>
              </w:tabs>
              <w:jc w:val="center"/>
              <w:rPr>
                <w:color w:val="000000"/>
                <w:szCs w:val="22"/>
              </w:rPr>
            </w:pPr>
            <w:r w:rsidRPr="004A59B1">
              <w:rPr>
                <w:color w:val="000000"/>
                <w:szCs w:val="22"/>
              </w:rPr>
              <w:t>95 %</w:t>
            </w:r>
          </w:p>
        </w:tc>
        <w:tc>
          <w:tcPr>
            <w:tcW w:w="1985" w:type="dxa"/>
            <w:tcBorders>
              <w:top w:val="nil"/>
              <w:bottom w:val="nil"/>
            </w:tcBorders>
          </w:tcPr>
          <w:p w14:paraId="52979A03" w14:textId="77777777" w:rsidR="00444D75" w:rsidRPr="004A59B1" w:rsidRDefault="00444D75" w:rsidP="009C1193">
            <w:pPr>
              <w:pStyle w:val="EndnoteText"/>
              <w:keepNext/>
              <w:keepLines/>
              <w:widowControl w:val="0"/>
              <w:tabs>
                <w:tab w:val="clear" w:pos="567"/>
              </w:tabs>
              <w:jc w:val="center"/>
              <w:rPr>
                <w:color w:val="000000"/>
                <w:szCs w:val="22"/>
              </w:rPr>
            </w:pPr>
            <w:r w:rsidRPr="004A59B1">
              <w:rPr>
                <w:color w:val="000000"/>
                <w:szCs w:val="22"/>
              </w:rPr>
              <w:t>42 %</w:t>
            </w:r>
          </w:p>
        </w:tc>
        <w:tc>
          <w:tcPr>
            <w:tcW w:w="1949" w:type="dxa"/>
            <w:tcBorders>
              <w:top w:val="nil"/>
              <w:bottom w:val="nil"/>
            </w:tcBorders>
          </w:tcPr>
          <w:p w14:paraId="52979A04" w14:textId="77777777" w:rsidR="00444D75" w:rsidRPr="004A59B1" w:rsidRDefault="00444D75" w:rsidP="009C1193">
            <w:pPr>
              <w:pStyle w:val="EndnoteText"/>
              <w:keepNext/>
              <w:keepLines/>
              <w:widowControl w:val="0"/>
              <w:tabs>
                <w:tab w:val="clear" w:pos="567"/>
              </w:tabs>
              <w:jc w:val="center"/>
              <w:rPr>
                <w:color w:val="000000"/>
                <w:szCs w:val="22"/>
              </w:rPr>
            </w:pPr>
            <w:r w:rsidRPr="004A59B1">
              <w:rPr>
                <w:color w:val="000000"/>
                <w:szCs w:val="22"/>
              </w:rPr>
              <w:t>8 %</w:t>
            </w:r>
          </w:p>
        </w:tc>
      </w:tr>
      <w:tr w:rsidR="00444D75" w:rsidRPr="004A59B1" w14:paraId="52979A0A" w14:textId="77777777" w:rsidTr="009C1193">
        <w:trPr>
          <w:cantSplit/>
        </w:trPr>
        <w:tc>
          <w:tcPr>
            <w:tcW w:w="3227" w:type="dxa"/>
            <w:tcBorders>
              <w:top w:val="nil"/>
              <w:bottom w:val="nil"/>
            </w:tcBorders>
          </w:tcPr>
          <w:p w14:paraId="52979A06" w14:textId="77777777" w:rsidR="00444D75" w:rsidRPr="004A59B1" w:rsidRDefault="00444D75" w:rsidP="009C1193">
            <w:pPr>
              <w:pStyle w:val="EndnoteText"/>
              <w:keepNext/>
              <w:keepLines/>
              <w:widowControl w:val="0"/>
              <w:tabs>
                <w:tab w:val="clear" w:pos="567"/>
              </w:tabs>
              <w:ind w:left="284"/>
              <w:rPr>
                <w:color w:val="000000"/>
                <w:szCs w:val="22"/>
              </w:rPr>
            </w:pPr>
            <w:r w:rsidRPr="004A59B1">
              <w:rPr>
                <w:color w:val="000000"/>
                <w:szCs w:val="22"/>
              </w:rPr>
              <w:t>nobenih znakov levkemije (NEL)</w:t>
            </w:r>
          </w:p>
        </w:tc>
        <w:tc>
          <w:tcPr>
            <w:tcW w:w="2126" w:type="dxa"/>
            <w:tcBorders>
              <w:top w:val="nil"/>
              <w:bottom w:val="nil"/>
            </w:tcBorders>
          </w:tcPr>
          <w:p w14:paraId="52979A07" w14:textId="77777777" w:rsidR="00444D75" w:rsidRPr="004A59B1" w:rsidRDefault="00444D75" w:rsidP="009C1193">
            <w:pPr>
              <w:pStyle w:val="EndnoteText"/>
              <w:keepNext/>
              <w:keepLines/>
              <w:widowControl w:val="0"/>
              <w:tabs>
                <w:tab w:val="clear" w:pos="567"/>
              </w:tabs>
              <w:jc w:val="center"/>
              <w:rPr>
                <w:color w:val="000000"/>
                <w:szCs w:val="22"/>
              </w:rPr>
            </w:pPr>
            <w:r w:rsidRPr="004A59B1">
              <w:rPr>
                <w:color w:val="000000"/>
                <w:szCs w:val="22"/>
              </w:rPr>
              <w:t>se smiselno ne uporablja</w:t>
            </w:r>
          </w:p>
        </w:tc>
        <w:tc>
          <w:tcPr>
            <w:tcW w:w="1985" w:type="dxa"/>
            <w:tcBorders>
              <w:top w:val="nil"/>
              <w:bottom w:val="nil"/>
            </w:tcBorders>
          </w:tcPr>
          <w:p w14:paraId="52979A08" w14:textId="77777777" w:rsidR="00444D75" w:rsidRPr="004A59B1" w:rsidRDefault="00444D75" w:rsidP="009C1193">
            <w:pPr>
              <w:pStyle w:val="EndnoteText"/>
              <w:keepNext/>
              <w:keepLines/>
              <w:widowControl w:val="0"/>
              <w:tabs>
                <w:tab w:val="clear" w:pos="567"/>
              </w:tabs>
              <w:jc w:val="center"/>
              <w:rPr>
                <w:color w:val="000000"/>
                <w:szCs w:val="22"/>
              </w:rPr>
            </w:pPr>
            <w:r w:rsidRPr="004A59B1">
              <w:rPr>
                <w:color w:val="000000"/>
                <w:szCs w:val="22"/>
              </w:rPr>
              <w:t>12 %</w:t>
            </w:r>
          </w:p>
        </w:tc>
        <w:tc>
          <w:tcPr>
            <w:tcW w:w="1949" w:type="dxa"/>
            <w:tcBorders>
              <w:top w:val="nil"/>
              <w:bottom w:val="nil"/>
            </w:tcBorders>
          </w:tcPr>
          <w:p w14:paraId="52979A09" w14:textId="77777777" w:rsidR="00444D75" w:rsidRPr="004A59B1" w:rsidRDefault="00444D75" w:rsidP="009C1193">
            <w:pPr>
              <w:pStyle w:val="EndnoteText"/>
              <w:keepNext/>
              <w:keepLines/>
              <w:widowControl w:val="0"/>
              <w:tabs>
                <w:tab w:val="clear" w:pos="567"/>
              </w:tabs>
              <w:jc w:val="center"/>
              <w:rPr>
                <w:color w:val="000000"/>
                <w:szCs w:val="22"/>
              </w:rPr>
            </w:pPr>
            <w:r w:rsidRPr="004A59B1">
              <w:rPr>
                <w:color w:val="000000"/>
                <w:szCs w:val="22"/>
              </w:rPr>
              <w:t>5 %</w:t>
            </w:r>
          </w:p>
        </w:tc>
      </w:tr>
      <w:tr w:rsidR="00444D75" w:rsidRPr="004A59B1" w14:paraId="52979A0F" w14:textId="77777777" w:rsidTr="009C1193">
        <w:trPr>
          <w:cantSplit/>
        </w:trPr>
        <w:tc>
          <w:tcPr>
            <w:tcW w:w="3227" w:type="dxa"/>
            <w:tcBorders>
              <w:top w:val="nil"/>
              <w:bottom w:val="nil"/>
            </w:tcBorders>
          </w:tcPr>
          <w:p w14:paraId="52979A0B" w14:textId="77777777" w:rsidR="00444D75" w:rsidRPr="004A59B1" w:rsidRDefault="00444D75" w:rsidP="009C1193">
            <w:pPr>
              <w:pStyle w:val="EndnoteText"/>
              <w:keepNext/>
              <w:keepLines/>
              <w:widowControl w:val="0"/>
              <w:tabs>
                <w:tab w:val="clear" w:pos="567"/>
              </w:tabs>
              <w:ind w:left="284"/>
              <w:rPr>
                <w:color w:val="000000"/>
                <w:szCs w:val="22"/>
              </w:rPr>
            </w:pPr>
            <w:r w:rsidRPr="004A59B1">
              <w:rPr>
                <w:color w:val="000000"/>
                <w:szCs w:val="22"/>
              </w:rPr>
              <w:t>vrnitev v kronično fazo (RTC)</w:t>
            </w:r>
          </w:p>
        </w:tc>
        <w:tc>
          <w:tcPr>
            <w:tcW w:w="2126" w:type="dxa"/>
            <w:tcBorders>
              <w:top w:val="nil"/>
              <w:bottom w:val="nil"/>
            </w:tcBorders>
          </w:tcPr>
          <w:p w14:paraId="52979A0C" w14:textId="77777777" w:rsidR="00444D75" w:rsidRPr="004A59B1" w:rsidRDefault="00444D75" w:rsidP="009C1193">
            <w:pPr>
              <w:pStyle w:val="EndnoteText"/>
              <w:keepNext/>
              <w:keepLines/>
              <w:widowControl w:val="0"/>
              <w:tabs>
                <w:tab w:val="clear" w:pos="567"/>
              </w:tabs>
              <w:jc w:val="center"/>
              <w:rPr>
                <w:color w:val="000000"/>
                <w:szCs w:val="22"/>
              </w:rPr>
            </w:pPr>
            <w:r w:rsidRPr="004A59B1">
              <w:rPr>
                <w:color w:val="000000"/>
                <w:szCs w:val="22"/>
              </w:rPr>
              <w:t>se smiselno ne uporablja</w:t>
            </w:r>
          </w:p>
        </w:tc>
        <w:tc>
          <w:tcPr>
            <w:tcW w:w="1985" w:type="dxa"/>
            <w:tcBorders>
              <w:top w:val="nil"/>
              <w:bottom w:val="nil"/>
            </w:tcBorders>
          </w:tcPr>
          <w:p w14:paraId="52979A0D" w14:textId="77777777" w:rsidR="00444D75" w:rsidRPr="004A59B1" w:rsidRDefault="00444D75" w:rsidP="009C1193">
            <w:pPr>
              <w:pStyle w:val="EndnoteText"/>
              <w:keepNext/>
              <w:keepLines/>
              <w:widowControl w:val="0"/>
              <w:tabs>
                <w:tab w:val="clear" w:pos="567"/>
              </w:tabs>
              <w:jc w:val="center"/>
              <w:rPr>
                <w:color w:val="000000"/>
                <w:szCs w:val="22"/>
              </w:rPr>
            </w:pPr>
            <w:r w:rsidRPr="004A59B1">
              <w:rPr>
                <w:color w:val="000000"/>
                <w:szCs w:val="22"/>
              </w:rPr>
              <w:t>17 %</w:t>
            </w:r>
          </w:p>
        </w:tc>
        <w:tc>
          <w:tcPr>
            <w:tcW w:w="1949" w:type="dxa"/>
            <w:tcBorders>
              <w:top w:val="nil"/>
              <w:bottom w:val="nil"/>
            </w:tcBorders>
          </w:tcPr>
          <w:p w14:paraId="52979A0E" w14:textId="77777777" w:rsidR="00444D75" w:rsidRPr="004A59B1" w:rsidRDefault="00444D75" w:rsidP="009C1193">
            <w:pPr>
              <w:pStyle w:val="EndnoteText"/>
              <w:keepNext/>
              <w:keepLines/>
              <w:widowControl w:val="0"/>
              <w:tabs>
                <w:tab w:val="clear" w:pos="567"/>
              </w:tabs>
              <w:jc w:val="center"/>
              <w:rPr>
                <w:color w:val="000000"/>
                <w:szCs w:val="22"/>
              </w:rPr>
            </w:pPr>
            <w:r w:rsidRPr="004A59B1">
              <w:rPr>
                <w:color w:val="000000"/>
                <w:szCs w:val="22"/>
              </w:rPr>
              <w:t>18 %</w:t>
            </w:r>
          </w:p>
        </w:tc>
      </w:tr>
      <w:tr w:rsidR="00444D75" w:rsidRPr="004A59B1" w14:paraId="52979A14" w14:textId="77777777" w:rsidTr="009C1193">
        <w:trPr>
          <w:cantSplit/>
        </w:trPr>
        <w:tc>
          <w:tcPr>
            <w:tcW w:w="3227" w:type="dxa"/>
            <w:tcBorders>
              <w:bottom w:val="nil"/>
            </w:tcBorders>
          </w:tcPr>
          <w:p w14:paraId="52979A10" w14:textId="77777777" w:rsidR="00444D75" w:rsidRPr="004A59B1" w:rsidRDefault="00444D75" w:rsidP="009C1193">
            <w:pPr>
              <w:pStyle w:val="EndnoteText"/>
              <w:keepNext/>
              <w:keepLines/>
              <w:widowControl w:val="0"/>
              <w:tabs>
                <w:tab w:val="clear" w:pos="567"/>
              </w:tabs>
              <w:rPr>
                <w:color w:val="000000"/>
                <w:szCs w:val="22"/>
              </w:rPr>
            </w:pPr>
            <w:r w:rsidRPr="004A59B1">
              <w:rPr>
                <w:color w:val="000000"/>
                <w:szCs w:val="22"/>
              </w:rPr>
              <w:t>Pomemben citogenetični odziv</w:t>
            </w:r>
            <w:r w:rsidRPr="004A59B1">
              <w:rPr>
                <w:color w:val="000000"/>
                <w:szCs w:val="22"/>
                <w:vertAlign w:val="superscript"/>
              </w:rPr>
              <w:t>2</w:t>
            </w:r>
          </w:p>
        </w:tc>
        <w:tc>
          <w:tcPr>
            <w:tcW w:w="2126" w:type="dxa"/>
            <w:tcBorders>
              <w:bottom w:val="nil"/>
            </w:tcBorders>
          </w:tcPr>
          <w:p w14:paraId="52979A11" w14:textId="77777777" w:rsidR="00444D75" w:rsidRPr="004A59B1" w:rsidRDefault="00444D75" w:rsidP="009C1193">
            <w:pPr>
              <w:pStyle w:val="EndnoteText"/>
              <w:keepNext/>
              <w:keepLines/>
              <w:widowControl w:val="0"/>
              <w:tabs>
                <w:tab w:val="clear" w:pos="567"/>
              </w:tabs>
              <w:jc w:val="center"/>
              <w:rPr>
                <w:color w:val="000000"/>
                <w:szCs w:val="22"/>
              </w:rPr>
            </w:pPr>
            <w:r w:rsidRPr="004A59B1">
              <w:rPr>
                <w:color w:val="000000"/>
                <w:szCs w:val="22"/>
              </w:rPr>
              <w:t>65 % (61,2–69,5)</w:t>
            </w:r>
          </w:p>
        </w:tc>
        <w:tc>
          <w:tcPr>
            <w:tcW w:w="1985" w:type="dxa"/>
            <w:tcBorders>
              <w:bottom w:val="nil"/>
            </w:tcBorders>
          </w:tcPr>
          <w:p w14:paraId="52979A12" w14:textId="77777777" w:rsidR="00444D75" w:rsidRPr="004A59B1" w:rsidRDefault="00444D75" w:rsidP="009C1193">
            <w:pPr>
              <w:pStyle w:val="EndnoteText"/>
              <w:keepNext/>
              <w:keepLines/>
              <w:widowControl w:val="0"/>
              <w:tabs>
                <w:tab w:val="clear" w:pos="567"/>
              </w:tabs>
              <w:jc w:val="center"/>
              <w:rPr>
                <w:color w:val="000000"/>
                <w:szCs w:val="22"/>
              </w:rPr>
            </w:pPr>
            <w:r w:rsidRPr="004A59B1">
              <w:rPr>
                <w:color w:val="000000"/>
                <w:szCs w:val="22"/>
              </w:rPr>
              <w:t>28 % (22,0–33,9)</w:t>
            </w:r>
          </w:p>
        </w:tc>
        <w:tc>
          <w:tcPr>
            <w:tcW w:w="1949" w:type="dxa"/>
            <w:tcBorders>
              <w:bottom w:val="nil"/>
            </w:tcBorders>
          </w:tcPr>
          <w:p w14:paraId="52979A13" w14:textId="77777777" w:rsidR="00444D75" w:rsidRPr="004A59B1" w:rsidRDefault="00444D75" w:rsidP="009C1193">
            <w:pPr>
              <w:pStyle w:val="EndnoteText"/>
              <w:keepNext/>
              <w:keepLines/>
              <w:widowControl w:val="0"/>
              <w:tabs>
                <w:tab w:val="clear" w:pos="567"/>
              </w:tabs>
              <w:jc w:val="center"/>
              <w:rPr>
                <w:color w:val="000000"/>
                <w:szCs w:val="22"/>
              </w:rPr>
            </w:pPr>
            <w:r w:rsidRPr="004A59B1">
              <w:rPr>
                <w:color w:val="000000"/>
                <w:szCs w:val="22"/>
              </w:rPr>
              <w:t>15 % (11,2–20,4)</w:t>
            </w:r>
          </w:p>
        </w:tc>
      </w:tr>
      <w:tr w:rsidR="00444D75" w:rsidRPr="004A59B1" w14:paraId="52979A19" w14:textId="77777777" w:rsidTr="009C1193">
        <w:trPr>
          <w:cantSplit/>
        </w:trPr>
        <w:tc>
          <w:tcPr>
            <w:tcW w:w="3227" w:type="dxa"/>
            <w:tcBorders>
              <w:top w:val="nil"/>
              <w:bottom w:val="nil"/>
            </w:tcBorders>
          </w:tcPr>
          <w:p w14:paraId="52979A15" w14:textId="77777777" w:rsidR="00444D75" w:rsidRPr="004A59B1" w:rsidRDefault="00444D75" w:rsidP="009C1193">
            <w:pPr>
              <w:pStyle w:val="EndnoteText"/>
              <w:keepNext/>
              <w:keepLines/>
              <w:widowControl w:val="0"/>
              <w:tabs>
                <w:tab w:val="clear" w:pos="567"/>
              </w:tabs>
              <w:ind w:left="284"/>
              <w:rPr>
                <w:color w:val="000000"/>
                <w:szCs w:val="22"/>
              </w:rPr>
            </w:pPr>
            <w:r w:rsidRPr="004A59B1">
              <w:rPr>
                <w:color w:val="000000"/>
                <w:szCs w:val="22"/>
              </w:rPr>
              <w:t>popoln</w:t>
            </w:r>
          </w:p>
        </w:tc>
        <w:tc>
          <w:tcPr>
            <w:tcW w:w="2126" w:type="dxa"/>
            <w:tcBorders>
              <w:top w:val="nil"/>
              <w:bottom w:val="nil"/>
            </w:tcBorders>
          </w:tcPr>
          <w:p w14:paraId="52979A16" w14:textId="77777777" w:rsidR="00444D75" w:rsidRPr="004A59B1" w:rsidRDefault="00444D75" w:rsidP="009C1193">
            <w:pPr>
              <w:pStyle w:val="EndnoteText"/>
              <w:keepNext/>
              <w:keepLines/>
              <w:widowControl w:val="0"/>
              <w:tabs>
                <w:tab w:val="clear" w:pos="567"/>
              </w:tabs>
              <w:jc w:val="center"/>
              <w:rPr>
                <w:color w:val="000000"/>
                <w:szCs w:val="22"/>
              </w:rPr>
            </w:pPr>
            <w:r w:rsidRPr="004A59B1">
              <w:rPr>
                <w:color w:val="000000"/>
                <w:szCs w:val="22"/>
              </w:rPr>
              <w:t>53 %</w:t>
            </w:r>
          </w:p>
        </w:tc>
        <w:tc>
          <w:tcPr>
            <w:tcW w:w="1985" w:type="dxa"/>
            <w:tcBorders>
              <w:top w:val="nil"/>
              <w:bottom w:val="nil"/>
            </w:tcBorders>
          </w:tcPr>
          <w:p w14:paraId="52979A17" w14:textId="77777777" w:rsidR="00444D75" w:rsidRPr="004A59B1" w:rsidRDefault="00444D75" w:rsidP="009C1193">
            <w:pPr>
              <w:pStyle w:val="EndnoteText"/>
              <w:keepNext/>
              <w:keepLines/>
              <w:widowControl w:val="0"/>
              <w:tabs>
                <w:tab w:val="clear" w:pos="567"/>
              </w:tabs>
              <w:jc w:val="center"/>
              <w:rPr>
                <w:color w:val="000000"/>
                <w:szCs w:val="22"/>
              </w:rPr>
            </w:pPr>
            <w:r w:rsidRPr="004A59B1">
              <w:rPr>
                <w:color w:val="000000"/>
                <w:szCs w:val="22"/>
              </w:rPr>
              <w:t>20 %</w:t>
            </w:r>
          </w:p>
        </w:tc>
        <w:tc>
          <w:tcPr>
            <w:tcW w:w="1949" w:type="dxa"/>
            <w:tcBorders>
              <w:top w:val="nil"/>
              <w:bottom w:val="nil"/>
            </w:tcBorders>
          </w:tcPr>
          <w:p w14:paraId="52979A18" w14:textId="77777777" w:rsidR="00444D75" w:rsidRPr="004A59B1" w:rsidRDefault="00444D75" w:rsidP="009C1193">
            <w:pPr>
              <w:pStyle w:val="EndnoteText"/>
              <w:keepNext/>
              <w:keepLines/>
              <w:widowControl w:val="0"/>
              <w:tabs>
                <w:tab w:val="clear" w:pos="567"/>
              </w:tabs>
              <w:jc w:val="center"/>
              <w:rPr>
                <w:color w:val="000000"/>
                <w:szCs w:val="22"/>
              </w:rPr>
            </w:pPr>
            <w:r w:rsidRPr="004A59B1">
              <w:rPr>
                <w:color w:val="000000"/>
                <w:szCs w:val="22"/>
              </w:rPr>
              <w:t>7 %</w:t>
            </w:r>
          </w:p>
        </w:tc>
      </w:tr>
      <w:tr w:rsidR="00444D75" w:rsidRPr="004A59B1" w14:paraId="52979A1E" w14:textId="77777777" w:rsidTr="009C1193">
        <w:trPr>
          <w:cantSplit/>
        </w:trPr>
        <w:tc>
          <w:tcPr>
            <w:tcW w:w="3227" w:type="dxa"/>
            <w:tcBorders>
              <w:top w:val="nil"/>
              <w:bottom w:val="nil"/>
            </w:tcBorders>
          </w:tcPr>
          <w:p w14:paraId="52979A1A" w14:textId="77777777" w:rsidR="00444D75" w:rsidRPr="004A59B1" w:rsidRDefault="00444D75" w:rsidP="009C1193">
            <w:pPr>
              <w:pStyle w:val="BodyTextIndent2"/>
              <w:keepNext/>
              <w:keepLines/>
              <w:widowControl w:val="0"/>
              <w:tabs>
                <w:tab w:val="clear" w:pos="567"/>
              </w:tabs>
              <w:spacing w:line="240" w:lineRule="auto"/>
              <w:ind w:left="284" w:firstLine="0"/>
              <w:jc w:val="left"/>
              <w:rPr>
                <w:b w:val="0"/>
                <w:color w:val="000000"/>
                <w:szCs w:val="22"/>
              </w:rPr>
            </w:pPr>
            <w:r w:rsidRPr="004A59B1">
              <w:rPr>
                <w:b w:val="0"/>
                <w:color w:val="000000"/>
                <w:szCs w:val="22"/>
              </w:rPr>
              <w:t>(potrjen</w:t>
            </w:r>
            <w:r w:rsidRPr="004A59B1">
              <w:rPr>
                <w:b w:val="0"/>
                <w:color w:val="000000"/>
                <w:szCs w:val="22"/>
                <w:vertAlign w:val="superscript"/>
              </w:rPr>
              <w:t>3</w:t>
            </w:r>
            <w:r w:rsidRPr="004A59B1">
              <w:rPr>
                <w:b w:val="0"/>
                <w:color w:val="000000"/>
                <w:szCs w:val="22"/>
              </w:rPr>
              <w:t>) [95 %</w:t>
            </w:r>
            <w:r w:rsidRPr="004A59B1">
              <w:rPr>
                <w:b w:val="0"/>
                <w:color w:val="000000"/>
                <w:szCs w:val="22"/>
              </w:rPr>
              <w:noBreakHyphen/>
              <w:t>ni interval zaupanja]</w:t>
            </w:r>
          </w:p>
        </w:tc>
        <w:tc>
          <w:tcPr>
            <w:tcW w:w="2126" w:type="dxa"/>
            <w:tcBorders>
              <w:top w:val="nil"/>
              <w:bottom w:val="nil"/>
            </w:tcBorders>
          </w:tcPr>
          <w:p w14:paraId="52979A1B" w14:textId="77777777" w:rsidR="00444D75" w:rsidRPr="004A59B1" w:rsidRDefault="00444D75" w:rsidP="009C1193">
            <w:pPr>
              <w:pStyle w:val="BodyTextIndent2"/>
              <w:keepNext/>
              <w:keepLines/>
              <w:widowControl w:val="0"/>
              <w:tabs>
                <w:tab w:val="clear" w:pos="567"/>
              </w:tabs>
              <w:spacing w:line="240" w:lineRule="auto"/>
              <w:jc w:val="center"/>
              <w:rPr>
                <w:b w:val="0"/>
                <w:color w:val="000000"/>
                <w:szCs w:val="22"/>
              </w:rPr>
            </w:pPr>
            <w:r w:rsidRPr="004A59B1">
              <w:rPr>
                <w:b w:val="0"/>
                <w:color w:val="000000"/>
                <w:szCs w:val="22"/>
              </w:rPr>
              <w:t>(43 %) [38,6–47,2]</w:t>
            </w:r>
          </w:p>
        </w:tc>
        <w:tc>
          <w:tcPr>
            <w:tcW w:w="1985" w:type="dxa"/>
            <w:tcBorders>
              <w:top w:val="nil"/>
              <w:bottom w:val="nil"/>
            </w:tcBorders>
          </w:tcPr>
          <w:p w14:paraId="52979A1C" w14:textId="77777777" w:rsidR="00444D75" w:rsidRPr="004A59B1" w:rsidRDefault="00444D75" w:rsidP="009C1193">
            <w:pPr>
              <w:pStyle w:val="BodyTextIndent2"/>
              <w:keepNext/>
              <w:keepLines/>
              <w:widowControl w:val="0"/>
              <w:tabs>
                <w:tab w:val="clear" w:pos="567"/>
              </w:tabs>
              <w:spacing w:line="240" w:lineRule="auto"/>
              <w:jc w:val="center"/>
              <w:rPr>
                <w:b w:val="0"/>
                <w:color w:val="000000"/>
                <w:szCs w:val="22"/>
              </w:rPr>
            </w:pPr>
            <w:r w:rsidRPr="004A59B1">
              <w:rPr>
                <w:b w:val="0"/>
                <w:color w:val="000000"/>
                <w:szCs w:val="22"/>
              </w:rPr>
              <w:t>(16 %) [11,3–21,0]</w:t>
            </w:r>
          </w:p>
        </w:tc>
        <w:tc>
          <w:tcPr>
            <w:tcW w:w="1949" w:type="dxa"/>
            <w:tcBorders>
              <w:top w:val="nil"/>
              <w:bottom w:val="nil"/>
            </w:tcBorders>
          </w:tcPr>
          <w:p w14:paraId="52979A1D" w14:textId="77777777" w:rsidR="00444D75" w:rsidRPr="004A59B1" w:rsidRDefault="00444D75" w:rsidP="009C1193">
            <w:pPr>
              <w:pStyle w:val="BodyTextIndent2"/>
              <w:keepNext/>
              <w:keepLines/>
              <w:widowControl w:val="0"/>
              <w:tabs>
                <w:tab w:val="clear" w:pos="567"/>
              </w:tabs>
              <w:spacing w:line="240" w:lineRule="auto"/>
              <w:jc w:val="center"/>
              <w:rPr>
                <w:b w:val="0"/>
                <w:color w:val="000000"/>
                <w:szCs w:val="22"/>
              </w:rPr>
            </w:pPr>
            <w:r w:rsidRPr="004A59B1">
              <w:rPr>
                <w:b w:val="0"/>
                <w:color w:val="000000"/>
                <w:szCs w:val="22"/>
              </w:rPr>
              <w:t>(2 %) [0,6–4,4]]</w:t>
            </w:r>
          </w:p>
        </w:tc>
      </w:tr>
      <w:tr w:rsidR="00444D75" w:rsidRPr="004A59B1" w14:paraId="52979A23" w14:textId="77777777" w:rsidTr="009C1193">
        <w:trPr>
          <w:cantSplit/>
        </w:trPr>
        <w:tc>
          <w:tcPr>
            <w:tcW w:w="3227" w:type="dxa"/>
            <w:tcBorders>
              <w:top w:val="nil"/>
              <w:bottom w:val="nil"/>
            </w:tcBorders>
          </w:tcPr>
          <w:p w14:paraId="52979A1F" w14:textId="77777777" w:rsidR="00444D75" w:rsidRPr="004A59B1" w:rsidRDefault="00444D75" w:rsidP="009C1193">
            <w:pPr>
              <w:pStyle w:val="EndnoteText"/>
              <w:keepNext/>
              <w:keepLines/>
              <w:widowControl w:val="0"/>
              <w:tabs>
                <w:tab w:val="clear" w:pos="567"/>
              </w:tabs>
              <w:ind w:left="284"/>
              <w:rPr>
                <w:color w:val="000000"/>
                <w:szCs w:val="22"/>
              </w:rPr>
            </w:pPr>
            <w:r w:rsidRPr="004A59B1">
              <w:rPr>
                <w:color w:val="000000"/>
                <w:szCs w:val="22"/>
              </w:rPr>
              <w:t>delen</w:t>
            </w:r>
          </w:p>
        </w:tc>
        <w:tc>
          <w:tcPr>
            <w:tcW w:w="2126" w:type="dxa"/>
            <w:tcBorders>
              <w:top w:val="nil"/>
              <w:bottom w:val="nil"/>
            </w:tcBorders>
          </w:tcPr>
          <w:p w14:paraId="52979A20" w14:textId="77777777" w:rsidR="00444D75" w:rsidRPr="004A59B1" w:rsidRDefault="00444D75" w:rsidP="009C1193">
            <w:pPr>
              <w:pStyle w:val="EndnoteText"/>
              <w:keepNext/>
              <w:keepLines/>
              <w:widowControl w:val="0"/>
              <w:tabs>
                <w:tab w:val="clear" w:pos="567"/>
              </w:tabs>
              <w:jc w:val="center"/>
              <w:rPr>
                <w:color w:val="000000"/>
                <w:szCs w:val="22"/>
              </w:rPr>
            </w:pPr>
            <w:r w:rsidRPr="004A59B1">
              <w:rPr>
                <w:color w:val="000000"/>
                <w:szCs w:val="22"/>
              </w:rPr>
              <w:t>12 %</w:t>
            </w:r>
          </w:p>
        </w:tc>
        <w:tc>
          <w:tcPr>
            <w:tcW w:w="1985" w:type="dxa"/>
            <w:tcBorders>
              <w:top w:val="nil"/>
              <w:bottom w:val="nil"/>
            </w:tcBorders>
          </w:tcPr>
          <w:p w14:paraId="52979A21" w14:textId="77777777" w:rsidR="00444D75" w:rsidRPr="004A59B1" w:rsidRDefault="00444D75" w:rsidP="009C1193">
            <w:pPr>
              <w:pStyle w:val="EndnoteText"/>
              <w:keepNext/>
              <w:keepLines/>
              <w:widowControl w:val="0"/>
              <w:tabs>
                <w:tab w:val="clear" w:pos="567"/>
              </w:tabs>
              <w:jc w:val="center"/>
              <w:rPr>
                <w:color w:val="000000"/>
                <w:szCs w:val="22"/>
              </w:rPr>
            </w:pPr>
            <w:r w:rsidRPr="004A59B1">
              <w:rPr>
                <w:color w:val="000000"/>
                <w:szCs w:val="22"/>
              </w:rPr>
              <w:t>7 %</w:t>
            </w:r>
          </w:p>
        </w:tc>
        <w:tc>
          <w:tcPr>
            <w:tcW w:w="1949" w:type="dxa"/>
            <w:tcBorders>
              <w:top w:val="nil"/>
              <w:bottom w:val="nil"/>
            </w:tcBorders>
          </w:tcPr>
          <w:p w14:paraId="52979A22" w14:textId="77777777" w:rsidR="00444D75" w:rsidRPr="004A59B1" w:rsidRDefault="00444D75" w:rsidP="009C1193">
            <w:pPr>
              <w:pStyle w:val="EndnoteText"/>
              <w:keepNext/>
              <w:keepLines/>
              <w:widowControl w:val="0"/>
              <w:tabs>
                <w:tab w:val="clear" w:pos="567"/>
              </w:tabs>
              <w:jc w:val="center"/>
              <w:rPr>
                <w:color w:val="000000"/>
                <w:szCs w:val="22"/>
              </w:rPr>
            </w:pPr>
            <w:r w:rsidRPr="004A59B1">
              <w:rPr>
                <w:color w:val="000000"/>
                <w:szCs w:val="22"/>
              </w:rPr>
              <w:t>8 %</w:t>
            </w:r>
          </w:p>
        </w:tc>
      </w:tr>
      <w:tr w:rsidR="00444D75" w:rsidRPr="003B6568" w14:paraId="52979A2C" w14:textId="77777777" w:rsidTr="009C1193">
        <w:trPr>
          <w:cantSplit/>
        </w:trPr>
        <w:tc>
          <w:tcPr>
            <w:tcW w:w="9287" w:type="dxa"/>
            <w:gridSpan w:val="4"/>
            <w:tcBorders>
              <w:top w:val="single" w:sz="4" w:space="0" w:color="auto"/>
              <w:bottom w:val="single" w:sz="4" w:space="0" w:color="auto"/>
            </w:tcBorders>
          </w:tcPr>
          <w:p w14:paraId="52979A24" w14:textId="77777777" w:rsidR="00444D75" w:rsidRPr="004A59B1" w:rsidRDefault="00444D75" w:rsidP="009C1193">
            <w:pPr>
              <w:pStyle w:val="Table"/>
              <w:widowControl w:val="0"/>
              <w:spacing w:before="0" w:after="0"/>
              <w:rPr>
                <w:rFonts w:ascii="Times New Roman" w:hAnsi="Times New Roman"/>
                <w:b/>
                <w:color w:val="000000"/>
                <w:sz w:val="22"/>
                <w:szCs w:val="22"/>
                <w:lang w:val="en-GB"/>
              </w:rPr>
            </w:pPr>
            <w:r w:rsidRPr="004A59B1">
              <w:rPr>
                <w:rFonts w:ascii="Times New Roman" w:hAnsi="Times New Roman"/>
                <w:b/>
                <w:color w:val="000000"/>
                <w:sz w:val="22"/>
                <w:szCs w:val="22"/>
                <w:vertAlign w:val="superscript"/>
                <w:lang w:val="en-GB"/>
              </w:rPr>
              <w:t>1</w:t>
            </w:r>
            <w:r w:rsidRPr="004A59B1">
              <w:rPr>
                <w:rFonts w:ascii="Times New Roman" w:hAnsi="Times New Roman"/>
                <w:b/>
                <w:color w:val="000000"/>
                <w:sz w:val="22"/>
                <w:szCs w:val="22"/>
                <w:lang w:val="sl-SI"/>
              </w:rPr>
              <w:t xml:space="preserve">Kriteriji hematološkega odziva (vsi odzivi morajo biti potrjeni po </w:t>
            </w:r>
            <w:r w:rsidRPr="004A59B1">
              <w:rPr>
                <w:rFonts w:ascii="Times New Roman" w:hAnsi="Times New Roman"/>
                <w:b/>
                <w:color w:val="000000"/>
                <w:sz w:val="22"/>
                <w:szCs w:val="22"/>
                <w:lang w:val="sl-SI"/>
              </w:rPr>
              <w:sym w:font="Symbol" w:char="F0B3"/>
            </w:r>
            <w:r w:rsidRPr="004A59B1">
              <w:rPr>
                <w:rFonts w:ascii="Times New Roman" w:hAnsi="Times New Roman"/>
                <w:b/>
                <w:color w:val="000000"/>
                <w:sz w:val="22"/>
                <w:szCs w:val="22"/>
                <w:lang w:val="sl-SI"/>
              </w:rPr>
              <w:t> 4 tednih</w:t>
            </w:r>
            <w:r w:rsidRPr="004A59B1">
              <w:rPr>
                <w:rFonts w:ascii="Times New Roman" w:hAnsi="Times New Roman"/>
                <w:b/>
                <w:color w:val="000000"/>
                <w:sz w:val="22"/>
                <w:szCs w:val="22"/>
                <w:lang w:val="en-GB"/>
              </w:rPr>
              <w:t>):</w:t>
            </w:r>
          </w:p>
          <w:p w14:paraId="52979A25" w14:textId="77777777" w:rsidR="00444D75" w:rsidRPr="004A59B1" w:rsidRDefault="00444D75" w:rsidP="009C1193">
            <w:pPr>
              <w:pStyle w:val="Table"/>
              <w:widowControl w:val="0"/>
              <w:tabs>
                <w:tab w:val="clear" w:pos="284"/>
              </w:tabs>
              <w:spacing w:before="0" w:after="0"/>
              <w:ind w:left="567" w:hanging="567"/>
              <w:rPr>
                <w:rFonts w:ascii="Times New Roman" w:hAnsi="Times New Roman"/>
                <w:color w:val="000000"/>
                <w:sz w:val="22"/>
                <w:szCs w:val="22"/>
                <w:lang w:val="en-GB"/>
              </w:rPr>
            </w:pPr>
            <w:r w:rsidRPr="004A59B1">
              <w:rPr>
                <w:rFonts w:ascii="Times New Roman" w:hAnsi="Times New Roman"/>
                <w:color w:val="000000"/>
                <w:sz w:val="22"/>
                <w:szCs w:val="22"/>
                <w:lang w:val="en-GB"/>
              </w:rPr>
              <w:t>CHR</w:t>
            </w:r>
            <w:r w:rsidRPr="004A59B1">
              <w:rPr>
                <w:rFonts w:ascii="Times New Roman" w:hAnsi="Times New Roman"/>
                <w:color w:val="000000"/>
                <w:sz w:val="22"/>
                <w:szCs w:val="22"/>
                <w:lang w:val="en-GB"/>
              </w:rPr>
              <w:tab/>
            </w:r>
            <w:r w:rsidRPr="004A59B1">
              <w:rPr>
                <w:rFonts w:ascii="Times New Roman" w:hAnsi="Times New Roman"/>
                <w:color w:val="000000"/>
                <w:sz w:val="22"/>
                <w:szCs w:val="22"/>
                <w:lang w:val="sl-SI"/>
              </w:rPr>
              <w:t xml:space="preserve">študija </w:t>
            </w:r>
            <w:r w:rsidRPr="004A59B1">
              <w:rPr>
                <w:rFonts w:ascii="Times New Roman" w:hAnsi="Times New Roman"/>
                <w:color w:val="000000"/>
                <w:sz w:val="22"/>
                <w:szCs w:val="22"/>
                <w:lang w:val="en-GB"/>
              </w:rPr>
              <w:t>0110 [WBC &lt; 10 x 10</w:t>
            </w:r>
            <w:r w:rsidRPr="004A59B1">
              <w:rPr>
                <w:rFonts w:ascii="Times New Roman" w:hAnsi="Times New Roman"/>
                <w:color w:val="000000"/>
                <w:sz w:val="22"/>
                <w:szCs w:val="22"/>
                <w:vertAlign w:val="superscript"/>
                <w:lang w:val="en-GB"/>
              </w:rPr>
              <w:t>9</w:t>
            </w:r>
            <w:r w:rsidRPr="004A59B1">
              <w:rPr>
                <w:rFonts w:ascii="Times New Roman" w:hAnsi="Times New Roman"/>
                <w:color w:val="000000"/>
                <w:sz w:val="22"/>
                <w:szCs w:val="22"/>
                <w:lang w:val="en-GB"/>
              </w:rPr>
              <w:t>/l, trombociti &lt; 450 x 10</w:t>
            </w:r>
            <w:r w:rsidRPr="004A59B1">
              <w:rPr>
                <w:rFonts w:ascii="Times New Roman" w:hAnsi="Times New Roman"/>
                <w:color w:val="000000"/>
                <w:sz w:val="22"/>
                <w:szCs w:val="22"/>
                <w:vertAlign w:val="superscript"/>
                <w:lang w:val="en-GB"/>
              </w:rPr>
              <w:t>9</w:t>
            </w:r>
            <w:r w:rsidRPr="004A59B1">
              <w:rPr>
                <w:rFonts w:ascii="Times New Roman" w:hAnsi="Times New Roman"/>
                <w:color w:val="000000"/>
                <w:sz w:val="22"/>
                <w:szCs w:val="22"/>
                <w:lang w:val="en-GB"/>
              </w:rPr>
              <w:t xml:space="preserve">/l, mielociti+metamielociti &lt; 5 % v krvi, </w:t>
            </w:r>
            <w:r w:rsidRPr="004A59B1">
              <w:rPr>
                <w:rFonts w:ascii="Times New Roman" w:hAnsi="Times New Roman"/>
                <w:color w:val="000000"/>
                <w:sz w:val="22"/>
                <w:szCs w:val="22"/>
                <w:lang w:val="sl-SI"/>
              </w:rPr>
              <w:t>brez blastov in promielocitov v krvi</w:t>
            </w:r>
            <w:r w:rsidRPr="004A59B1">
              <w:rPr>
                <w:rFonts w:ascii="Times New Roman" w:hAnsi="Times New Roman"/>
                <w:color w:val="000000"/>
                <w:sz w:val="22"/>
                <w:szCs w:val="22"/>
                <w:lang w:val="en-GB"/>
              </w:rPr>
              <w:t xml:space="preserve">, bazofilci &lt; 20 %, </w:t>
            </w:r>
            <w:r w:rsidRPr="004A59B1">
              <w:rPr>
                <w:rFonts w:ascii="Times New Roman" w:hAnsi="Times New Roman"/>
                <w:color w:val="000000"/>
                <w:sz w:val="22"/>
                <w:szCs w:val="22"/>
                <w:lang w:val="sl-SI"/>
              </w:rPr>
              <w:t>brez prizadetosti zunaj kostnega mozga</w:t>
            </w:r>
            <w:r w:rsidRPr="004A59B1">
              <w:rPr>
                <w:rFonts w:ascii="Times New Roman" w:hAnsi="Times New Roman"/>
                <w:color w:val="000000"/>
                <w:sz w:val="22"/>
                <w:szCs w:val="22"/>
                <w:lang w:val="en-GB"/>
              </w:rPr>
              <w:t xml:space="preserve">] </w:t>
            </w:r>
            <w:r w:rsidRPr="004A59B1">
              <w:rPr>
                <w:rFonts w:ascii="Times New Roman" w:hAnsi="Times New Roman"/>
                <w:color w:val="000000"/>
                <w:sz w:val="22"/>
                <w:szCs w:val="22"/>
                <w:lang w:val="sl-SI"/>
              </w:rPr>
              <w:t xml:space="preserve">in v študijah </w:t>
            </w:r>
            <w:r w:rsidRPr="004A59B1">
              <w:rPr>
                <w:rFonts w:ascii="Times New Roman" w:hAnsi="Times New Roman"/>
                <w:color w:val="000000"/>
                <w:sz w:val="22"/>
                <w:szCs w:val="22"/>
                <w:lang w:val="en-GB"/>
              </w:rPr>
              <w:t>0102 in 0109 [A</w:t>
            </w:r>
            <w:r w:rsidR="00746E65" w:rsidRPr="004A59B1">
              <w:rPr>
                <w:rFonts w:ascii="Times New Roman" w:hAnsi="Times New Roman"/>
                <w:color w:val="000000"/>
                <w:sz w:val="22"/>
                <w:szCs w:val="22"/>
                <w:lang w:val="en-GB"/>
              </w:rPr>
              <w:t>N</w:t>
            </w:r>
            <w:r w:rsidR="00CD756F" w:rsidRPr="004A59B1">
              <w:rPr>
                <w:rFonts w:ascii="Times New Roman" w:hAnsi="Times New Roman"/>
                <w:color w:val="000000"/>
                <w:sz w:val="22"/>
                <w:szCs w:val="22"/>
                <w:lang w:val="en-GB"/>
              </w:rPr>
              <w:t>C</w:t>
            </w:r>
            <w:r w:rsidRPr="004A59B1">
              <w:rPr>
                <w:rFonts w:ascii="Times New Roman" w:hAnsi="Times New Roman"/>
                <w:color w:val="000000"/>
                <w:sz w:val="22"/>
                <w:szCs w:val="22"/>
                <w:lang w:val="en-GB"/>
              </w:rPr>
              <w:t xml:space="preserve"> </w:t>
            </w:r>
            <w:r w:rsidRPr="004A59B1">
              <w:rPr>
                <w:rFonts w:ascii="Times New Roman" w:hAnsi="Times New Roman"/>
                <w:color w:val="000000"/>
                <w:sz w:val="22"/>
                <w:szCs w:val="22"/>
                <w:lang w:val="en-GB"/>
              </w:rPr>
              <w:sym w:font="Symbol" w:char="F0B3"/>
            </w:r>
            <w:r w:rsidRPr="004A59B1">
              <w:rPr>
                <w:rFonts w:ascii="Times New Roman" w:hAnsi="Times New Roman"/>
                <w:color w:val="000000"/>
                <w:sz w:val="22"/>
                <w:szCs w:val="22"/>
                <w:lang w:val="en-GB"/>
              </w:rPr>
              <w:t> 1,5 x 10</w:t>
            </w:r>
            <w:r w:rsidRPr="004A59B1">
              <w:rPr>
                <w:rFonts w:ascii="Times New Roman" w:hAnsi="Times New Roman"/>
                <w:color w:val="000000"/>
                <w:sz w:val="22"/>
                <w:szCs w:val="22"/>
                <w:vertAlign w:val="superscript"/>
                <w:lang w:val="en-GB"/>
              </w:rPr>
              <w:t>9</w:t>
            </w:r>
            <w:r w:rsidRPr="004A59B1">
              <w:rPr>
                <w:rFonts w:ascii="Times New Roman" w:hAnsi="Times New Roman"/>
                <w:color w:val="000000"/>
                <w:sz w:val="22"/>
                <w:szCs w:val="22"/>
                <w:lang w:val="en-GB"/>
              </w:rPr>
              <w:t xml:space="preserve">/l, trombociti </w:t>
            </w:r>
            <w:r w:rsidRPr="004A59B1">
              <w:rPr>
                <w:rFonts w:ascii="Times New Roman" w:hAnsi="Times New Roman"/>
                <w:color w:val="000000"/>
                <w:sz w:val="22"/>
                <w:szCs w:val="22"/>
                <w:lang w:val="en-GB"/>
              </w:rPr>
              <w:sym w:font="Symbol" w:char="F0B3"/>
            </w:r>
            <w:r w:rsidRPr="004A59B1">
              <w:rPr>
                <w:rFonts w:ascii="Times New Roman" w:hAnsi="Times New Roman"/>
                <w:color w:val="000000"/>
                <w:sz w:val="22"/>
                <w:szCs w:val="22"/>
                <w:lang w:val="en-GB"/>
              </w:rPr>
              <w:t> 100 x 10</w:t>
            </w:r>
            <w:r w:rsidRPr="004A59B1">
              <w:rPr>
                <w:rFonts w:ascii="Times New Roman" w:hAnsi="Times New Roman"/>
                <w:color w:val="000000"/>
                <w:sz w:val="22"/>
                <w:szCs w:val="22"/>
                <w:vertAlign w:val="superscript"/>
                <w:lang w:val="en-GB"/>
              </w:rPr>
              <w:t>9</w:t>
            </w:r>
            <w:r w:rsidRPr="004A59B1">
              <w:rPr>
                <w:rFonts w:ascii="Times New Roman" w:hAnsi="Times New Roman"/>
                <w:color w:val="000000"/>
                <w:sz w:val="22"/>
                <w:szCs w:val="22"/>
                <w:lang w:val="en-GB"/>
              </w:rPr>
              <w:t xml:space="preserve">/l, </w:t>
            </w:r>
            <w:r w:rsidRPr="004A59B1">
              <w:rPr>
                <w:rFonts w:ascii="Times New Roman" w:hAnsi="Times New Roman"/>
                <w:color w:val="000000"/>
                <w:sz w:val="22"/>
                <w:szCs w:val="22"/>
                <w:lang w:val="sl-SI"/>
              </w:rPr>
              <w:t>brez blastov v krvi</w:t>
            </w:r>
            <w:r w:rsidRPr="004A59B1">
              <w:rPr>
                <w:rFonts w:ascii="Times New Roman" w:hAnsi="Times New Roman"/>
                <w:color w:val="000000"/>
                <w:sz w:val="22"/>
                <w:szCs w:val="22"/>
                <w:lang w:val="en-GB"/>
              </w:rPr>
              <w:t xml:space="preserve">, </w:t>
            </w:r>
            <w:r w:rsidRPr="004A59B1">
              <w:rPr>
                <w:rFonts w:ascii="Times New Roman" w:hAnsi="Times New Roman"/>
                <w:color w:val="000000"/>
                <w:sz w:val="22"/>
                <w:szCs w:val="22"/>
                <w:lang w:val="sl-SI"/>
              </w:rPr>
              <w:t xml:space="preserve">BM blasti </w:t>
            </w:r>
            <w:r w:rsidRPr="004A59B1">
              <w:rPr>
                <w:rFonts w:ascii="Times New Roman" w:hAnsi="Times New Roman"/>
                <w:color w:val="000000"/>
                <w:sz w:val="22"/>
                <w:szCs w:val="22"/>
                <w:lang w:val="en-GB"/>
              </w:rPr>
              <w:t xml:space="preserve">&lt; 5 % </w:t>
            </w:r>
            <w:r w:rsidRPr="004A59B1">
              <w:rPr>
                <w:rFonts w:ascii="Times New Roman" w:hAnsi="Times New Roman"/>
                <w:color w:val="000000"/>
                <w:sz w:val="22"/>
                <w:szCs w:val="22"/>
                <w:lang w:val="sl-SI"/>
              </w:rPr>
              <w:t xml:space="preserve">in brez </w:t>
            </w:r>
            <w:r w:rsidR="00FC7D64" w:rsidRPr="004A59B1">
              <w:rPr>
                <w:rFonts w:ascii="Times New Roman" w:hAnsi="Times New Roman"/>
                <w:color w:val="000000"/>
                <w:sz w:val="22"/>
                <w:szCs w:val="22"/>
                <w:lang w:val="sl-SI"/>
              </w:rPr>
              <w:t>bolezni</w:t>
            </w:r>
            <w:r w:rsidRPr="004A59B1">
              <w:rPr>
                <w:rFonts w:ascii="Times New Roman" w:hAnsi="Times New Roman"/>
                <w:color w:val="000000"/>
                <w:sz w:val="22"/>
                <w:szCs w:val="22"/>
                <w:lang w:val="sl-SI"/>
              </w:rPr>
              <w:t xml:space="preserve"> zunaj kostnega mozga</w:t>
            </w:r>
            <w:r w:rsidRPr="004A59B1">
              <w:rPr>
                <w:rFonts w:ascii="Times New Roman" w:hAnsi="Times New Roman"/>
                <w:color w:val="000000"/>
                <w:sz w:val="22"/>
                <w:szCs w:val="22"/>
                <w:lang w:val="en-GB"/>
              </w:rPr>
              <w:t>]</w:t>
            </w:r>
          </w:p>
          <w:p w14:paraId="52979A26" w14:textId="77777777" w:rsidR="00444D75" w:rsidRPr="004A59B1" w:rsidRDefault="00444D75" w:rsidP="009C1193">
            <w:pPr>
              <w:pStyle w:val="Table"/>
              <w:widowControl w:val="0"/>
              <w:spacing w:before="0" w:after="0"/>
              <w:ind w:left="284" w:hanging="284"/>
              <w:rPr>
                <w:rFonts w:ascii="Times New Roman" w:hAnsi="Times New Roman"/>
                <w:color w:val="000000"/>
                <w:sz w:val="22"/>
                <w:szCs w:val="22"/>
                <w:lang w:val="it-IT"/>
              </w:rPr>
            </w:pPr>
            <w:r w:rsidRPr="004A59B1">
              <w:rPr>
                <w:rFonts w:ascii="Times New Roman" w:hAnsi="Times New Roman"/>
                <w:color w:val="000000"/>
                <w:sz w:val="22"/>
                <w:szCs w:val="22"/>
                <w:lang w:val="it-IT"/>
              </w:rPr>
              <w:t>NEL</w:t>
            </w:r>
            <w:r w:rsidRPr="004A59B1">
              <w:rPr>
                <w:rFonts w:ascii="Times New Roman" w:hAnsi="Times New Roman"/>
                <w:color w:val="000000"/>
                <w:sz w:val="22"/>
                <w:szCs w:val="22"/>
                <w:lang w:val="it-IT"/>
              </w:rPr>
              <w:tab/>
            </w:r>
            <w:r w:rsidRPr="004A59B1">
              <w:rPr>
                <w:rFonts w:ascii="Times New Roman" w:hAnsi="Times New Roman"/>
                <w:color w:val="000000"/>
                <w:sz w:val="22"/>
                <w:szCs w:val="22"/>
                <w:lang w:val="sl-SI"/>
              </w:rPr>
              <w:t>enaki kriteriji kot za CHR, a A</w:t>
            </w:r>
            <w:r w:rsidR="00746E65" w:rsidRPr="004A59B1">
              <w:rPr>
                <w:rFonts w:ascii="Times New Roman" w:hAnsi="Times New Roman"/>
                <w:color w:val="000000"/>
                <w:sz w:val="22"/>
                <w:szCs w:val="22"/>
                <w:lang w:val="sl-SI"/>
              </w:rPr>
              <w:t>N</w:t>
            </w:r>
            <w:r w:rsidR="00CD756F" w:rsidRPr="004A59B1">
              <w:rPr>
                <w:rFonts w:ascii="Times New Roman" w:hAnsi="Times New Roman"/>
                <w:color w:val="000000"/>
                <w:sz w:val="22"/>
                <w:szCs w:val="22"/>
                <w:lang w:val="sl-SI"/>
              </w:rPr>
              <w:t>C</w:t>
            </w:r>
            <w:r w:rsidRPr="004A59B1">
              <w:rPr>
                <w:rFonts w:ascii="Times New Roman" w:hAnsi="Times New Roman"/>
                <w:color w:val="000000"/>
                <w:sz w:val="22"/>
                <w:szCs w:val="22"/>
                <w:lang w:val="sl-SI"/>
              </w:rPr>
              <w:t xml:space="preserve"> </w:t>
            </w:r>
            <w:r w:rsidRPr="004A59B1">
              <w:rPr>
                <w:rFonts w:ascii="Times New Roman" w:hAnsi="Times New Roman"/>
                <w:color w:val="000000"/>
                <w:sz w:val="22"/>
                <w:szCs w:val="22"/>
                <w:lang w:val="en-GB"/>
              </w:rPr>
              <w:sym w:font="Symbol" w:char="F0B3"/>
            </w:r>
            <w:r w:rsidRPr="004A59B1">
              <w:rPr>
                <w:rFonts w:ascii="Times New Roman" w:hAnsi="Times New Roman"/>
                <w:color w:val="000000"/>
                <w:sz w:val="22"/>
                <w:szCs w:val="22"/>
                <w:lang w:val="it-IT"/>
              </w:rPr>
              <w:t> 1 x 10</w:t>
            </w:r>
            <w:r w:rsidRPr="004A59B1">
              <w:rPr>
                <w:rFonts w:ascii="Times New Roman" w:hAnsi="Times New Roman"/>
                <w:color w:val="000000"/>
                <w:sz w:val="22"/>
                <w:szCs w:val="22"/>
                <w:vertAlign w:val="superscript"/>
                <w:lang w:val="it-IT"/>
              </w:rPr>
              <w:t>9</w:t>
            </w:r>
            <w:r w:rsidRPr="004A59B1">
              <w:rPr>
                <w:rFonts w:ascii="Times New Roman" w:hAnsi="Times New Roman"/>
                <w:color w:val="000000"/>
                <w:sz w:val="22"/>
                <w:szCs w:val="22"/>
                <w:lang w:val="it-IT"/>
              </w:rPr>
              <w:t xml:space="preserve">/l in trombociti </w:t>
            </w:r>
            <w:r w:rsidRPr="004A59B1">
              <w:rPr>
                <w:rFonts w:ascii="Times New Roman" w:hAnsi="Times New Roman"/>
                <w:color w:val="000000"/>
                <w:sz w:val="22"/>
                <w:szCs w:val="22"/>
                <w:lang w:val="en-GB"/>
              </w:rPr>
              <w:sym w:font="Symbol" w:char="F0B3"/>
            </w:r>
            <w:r w:rsidRPr="004A59B1">
              <w:rPr>
                <w:rFonts w:ascii="Times New Roman" w:hAnsi="Times New Roman"/>
                <w:color w:val="000000"/>
                <w:sz w:val="22"/>
                <w:szCs w:val="22"/>
                <w:lang w:val="it-IT"/>
              </w:rPr>
              <w:t> 20 x 10</w:t>
            </w:r>
            <w:r w:rsidRPr="004A59B1">
              <w:rPr>
                <w:rFonts w:ascii="Times New Roman" w:hAnsi="Times New Roman"/>
                <w:color w:val="000000"/>
                <w:sz w:val="22"/>
                <w:szCs w:val="22"/>
                <w:vertAlign w:val="superscript"/>
                <w:lang w:val="it-IT"/>
              </w:rPr>
              <w:t>9</w:t>
            </w:r>
            <w:r w:rsidRPr="004A59B1">
              <w:rPr>
                <w:rFonts w:ascii="Times New Roman" w:hAnsi="Times New Roman"/>
                <w:color w:val="000000"/>
                <w:sz w:val="22"/>
                <w:szCs w:val="22"/>
                <w:lang w:val="it-IT"/>
              </w:rPr>
              <w:t>/l (samo 0102 in 0109)</w:t>
            </w:r>
          </w:p>
          <w:p w14:paraId="52979A27" w14:textId="77777777" w:rsidR="00444D75" w:rsidRPr="004A59B1" w:rsidRDefault="00444D75" w:rsidP="009C1193">
            <w:pPr>
              <w:pStyle w:val="Table"/>
              <w:widowControl w:val="0"/>
              <w:tabs>
                <w:tab w:val="clear" w:pos="284"/>
              </w:tabs>
              <w:spacing w:before="0" w:after="0"/>
              <w:ind w:left="567" w:hanging="567"/>
              <w:rPr>
                <w:rFonts w:ascii="Times New Roman" w:hAnsi="Times New Roman"/>
                <w:color w:val="000000"/>
                <w:sz w:val="22"/>
                <w:szCs w:val="22"/>
                <w:lang w:val="it-IT"/>
              </w:rPr>
            </w:pPr>
            <w:r w:rsidRPr="004A59B1">
              <w:rPr>
                <w:rFonts w:ascii="Times New Roman" w:hAnsi="Times New Roman"/>
                <w:color w:val="000000"/>
                <w:sz w:val="22"/>
                <w:szCs w:val="22"/>
                <w:lang w:val="it-IT"/>
              </w:rPr>
              <w:t>RTC</w:t>
            </w:r>
            <w:r w:rsidRPr="004A59B1">
              <w:rPr>
                <w:rFonts w:ascii="Times New Roman" w:hAnsi="Times New Roman"/>
                <w:color w:val="000000"/>
                <w:sz w:val="22"/>
                <w:szCs w:val="22"/>
                <w:lang w:val="it-IT"/>
              </w:rPr>
              <w:tab/>
              <w:t xml:space="preserve">&lt; 15 % </w:t>
            </w:r>
            <w:r w:rsidRPr="004A59B1">
              <w:rPr>
                <w:rFonts w:ascii="Times New Roman" w:hAnsi="Times New Roman"/>
                <w:color w:val="000000"/>
                <w:sz w:val="22"/>
                <w:szCs w:val="22"/>
                <w:lang w:val="sl-SI"/>
              </w:rPr>
              <w:t>blastov v BM in PB</w:t>
            </w:r>
            <w:r w:rsidRPr="004A59B1">
              <w:rPr>
                <w:rFonts w:ascii="Times New Roman" w:hAnsi="Times New Roman"/>
                <w:color w:val="000000"/>
                <w:sz w:val="22"/>
                <w:szCs w:val="22"/>
                <w:lang w:val="it-IT"/>
              </w:rPr>
              <w:t xml:space="preserve">, &lt; 30 % </w:t>
            </w:r>
            <w:r w:rsidRPr="004A59B1">
              <w:rPr>
                <w:rFonts w:ascii="Times New Roman" w:hAnsi="Times New Roman"/>
                <w:color w:val="000000"/>
                <w:sz w:val="22"/>
                <w:szCs w:val="22"/>
                <w:lang w:val="sl-SI"/>
              </w:rPr>
              <w:t>blastov+promielocitov v BM in PB</w:t>
            </w:r>
            <w:r w:rsidRPr="004A59B1">
              <w:rPr>
                <w:rFonts w:ascii="Times New Roman" w:hAnsi="Times New Roman"/>
                <w:color w:val="000000"/>
                <w:sz w:val="22"/>
                <w:szCs w:val="22"/>
                <w:lang w:val="it-IT"/>
              </w:rPr>
              <w:t xml:space="preserve">, &lt; 20 % bazofilcev v PB, </w:t>
            </w:r>
            <w:r w:rsidRPr="004A59B1">
              <w:rPr>
                <w:rFonts w:ascii="Times New Roman" w:hAnsi="Times New Roman"/>
                <w:color w:val="000000"/>
                <w:sz w:val="22"/>
                <w:szCs w:val="22"/>
                <w:lang w:val="sl-SI"/>
              </w:rPr>
              <w:t xml:space="preserve">brez </w:t>
            </w:r>
            <w:r w:rsidR="00FC7D64" w:rsidRPr="004A59B1">
              <w:rPr>
                <w:rFonts w:ascii="Times New Roman" w:hAnsi="Times New Roman"/>
                <w:color w:val="000000"/>
                <w:sz w:val="22"/>
                <w:szCs w:val="22"/>
                <w:lang w:val="sl-SI"/>
              </w:rPr>
              <w:t>bolezni</w:t>
            </w:r>
            <w:r w:rsidRPr="004A59B1">
              <w:rPr>
                <w:rFonts w:ascii="Times New Roman" w:hAnsi="Times New Roman"/>
                <w:color w:val="000000"/>
                <w:sz w:val="22"/>
                <w:szCs w:val="22"/>
                <w:lang w:val="sl-SI"/>
              </w:rPr>
              <w:t xml:space="preserve"> zunaj kostnega mozga, razen v vranici in jetrih </w:t>
            </w:r>
            <w:r w:rsidRPr="004A59B1">
              <w:rPr>
                <w:rFonts w:ascii="Times New Roman" w:hAnsi="Times New Roman"/>
                <w:color w:val="000000"/>
                <w:sz w:val="22"/>
                <w:szCs w:val="22"/>
                <w:lang w:val="it-IT"/>
              </w:rPr>
              <w:t>(samo za 0102 in 0109).</w:t>
            </w:r>
          </w:p>
          <w:p w14:paraId="52979A28" w14:textId="77777777" w:rsidR="00444D75" w:rsidRPr="004A59B1" w:rsidRDefault="00444D75" w:rsidP="009C1193">
            <w:pPr>
              <w:pStyle w:val="Table"/>
              <w:widowControl w:val="0"/>
              <w:tabs>
                <w:tab w:val="clear" w:pos="284"/>
              </w:tabs>
              <w:spacing w:before="0" w:after="0"/>
              <w:ind w:left="567" w:hanging="567"/>
              <w:rPr>
                <w:rFonts w:ascii="Times New Roman" w:hAnsi="Times New Roman"/>
                <w:color w:val="000000"/>
                <w:sz w:val="22"/>
                <w:szCs w:val="22"/>
                <w:lang w:val="it-IT"/>
              </w:rPr>
            </w:pPr>
            <w:r w:rsidRPr="004A59B1">
              <w:rPr>
                <w:rFonts w:ascii="Times New Roman" w:hAnsi="Times New Roman"/>
                <w:color w:val="000000"/>
                <w:sz w:val="22"/>
                <w:szCs w:val="22"/>
                <w:lang w:val="it-IT"/>
              </w:rPr>
              <w:t>BM = kostni mozeg, PB = periferna kri</w:t>
            </w:r>
          </w:p>
          <w:p w14:paraId="52979A29" w14:textId="77777777" w:rsidR="00444D75" w:rsidRPr="004A59B1" w:rsidRDefault="00444D75" w:rsidP="009C1193">
            <w:pPr>
              <w:pStyle w:val="Table"/>
              <w:widowControl w:val="0"/>
              <w:spacing w:before="0" w:after="0"/>
              <w:rPr>
                <w:rFonts w:ascii="Times New Roman" w:hAnsi="Times New Roman"/>
                <w:color w:val="000000"/>
                <w:sz w:val="22"/>
                <w:szCs w:val="22"/>
                <w:lang w:val="it-IT"/>
              </w:rPr>
            </w:pPr>
            <w:r w:rsidRPr="004A59B1">
              <w:rPr>
                <w:rFonts w:ascii="Times New Roman" w:hAnsi="Times New Roman"/>
                <w:b/>
                <w:color w:val="000000"/>
                <w:sz w:val="22"/>
                <w:szCs w:val="22"/>
                <w:vertAlign w:val="superscript"/>
                <w:lang w:val="it-IT"/>
              </w:rPr>
              <w:t xml:space="preserve">2 </w:t>
            </w:r>
            <w:r w:rsidRPr="004A59B1">
              <w:rPr>
                <w:rFonts w:ascii="Times New Roman" w:hAnsi="Times New Roman"/>
                <w:b/>
                <w:color w:val="000000"/>
                <w:sz w:val="22"/>
                <w:szCs w:val="22"/>
                <w:lang w:val="it-IT"/>
              </w:rPr>
              <w:t>Kriteriji citogenetičnega odziva:</w:t>
            </w:r>
          </w:p>
          <w:p w14:paraId="52979A2A" w14:textId="77777777" w:rsidR="00444D75" w:rsidRPr="004A59B1" w:rsidRDefault="00444D75" w:rsidP="009C1193">
            <w:pPr>
              <w:pStyle w:val="EndnoteText"/>
              <w:keepNext/>
              <w:keepLines/>
              <w:widowControl w:val="0"/>
              <w:tabs>
                <w:tab w:val="clear" w:pos="567"/>
              </w:tabs>
              <w:rPr>
                <w:color w:val="000000"/>
                <w:szCs w:val="22"/>
                <w:lang w:val="it-IT"/>
              </w:rPr>
            </w:pPr>
            <w:r w:rsidRPr="004A59B1">
              <w:rPr>
                <w:color w:val="000000"/>
                <w:szCs w:val="22"/>
                <w:lang w:val="sl-SI"/>
              </w:rPr>
              <w:t>Pomemben odziv združuje tako popolne kot delne odzive</w:t>
            </w:r>
            <w:r w:rsidRPr="004A59B1">
              <w:rPr>
                <w:color w:val="000000"/>
                <w:szCs w:val="22"/>
                <w:lang w:val="it-IT"/>
              </w:rPr>
              <w:t>: popoln (0 % Ph+ metafaz), delen (1–35 %)</w:t>
            </w:r>
          </w:p>
          <w:p w14:paraId="52979A2B" w14:textId="77777777" w:rsidR="00444D75" w:rsidRPr="004A59B1" w:rsidRDefault="00444D75" w:rsidP="009C1193">
            <w:pPr>
              <w:keepNext/>
              <w:keepLines/>
              <w:widowControl w:val="0"/>
              <w:spacing w:line="240" w:lineRule="auto"/>
              <w:rPr>
                <w:color w:val="000000"/>
                <w:szCs w:val="22"/>
                <w:lang w:val="sl-SI"/>
              </w:rPr>
            </w:pPr>
            <w:r w:rsidRPr="004A59B1">
              <w:rPr>
                <w:color w:val="000000"/>
                <w:szCs w:val="22"/>
                <w:vertAlign w:val="superscript"/>
                <w:lang w:val="it-IT"/>
              </w:rPr>
              <w:t>3</w:t>
            </w:r>
            <w:r w:rsidRPr="004A59B1">
              <w:rPr>
                <w:color w:val="000000"/>
                <w:szCs w:val="22"/>
                <w:lang w:val="sl-SI"/>
              </w:rPr>
              <w:t>Popoln citogenetični odziv, potrjen z drugo citogenetično oceno kostnega mozga, opravljeno vsaj en mesec po prvi študiji kostnega mozga</w:t>
            </w:r>
            <w:r w:rsidRPr="004A59B1">
              <w:rPr>
                <w:color w:val="000000"/>
                <w:szCs w:val="22"/>
                <w:lang w:val="it-IT"/>
              </w:rPr>
              <w:t>.</w:t>
            </w:r>
          </w:p>
        </w:tc>
      </w:tr>
    </w:tbl>
    <w:p w14:paraId="52979A2D" w14:textId="77777777" w:rsidR="00444D75" w:rsidRPr="004A59B1" w:rsidRDefault="00444D75" w:rsidP="009C1193">
      <w:pPr>
        <w:pStyle w:val="EndnoteText"/>
        <w:widowControl w:val="0"/>
        <w:tabs>
          <w:tab w:val="clear" w:pos="567"/>
        </w:tabs>
        <w:rPr>
          <w:color w:val="000000"/>
          <w:szCs w:val="22"/>
          <w:lang w:val="it-IT"/>
        </w:rPr>
      </w:pPr>
    </w:p>
    <w:p w14:paraId="52979A2E" w14:textId="77777777" w:rsidR="00794E8C" w:rsidRPr="004A59B1" w:rsidRDefault="00794E8C" w:rsidP="009C1193">
      <w:pPr>
        <w:pStyle w:val="EndnoteText"/>
        <w:widowControl w:val="0"/>
        <w:rPr>
          <w:color w:val="000000"/>
          <w:szCs w:val="22"/>
          <w:lang w:val="sl-SI"/>
        </w:rPr>
      </w:pPr>
      <w:r w:rsidRPr="004A59B1">
        <w:rPr>
          <w:i/>
          <w:color w:val="000000"/>
          <w:szCs w:val="22"/>
          <w:lang w:val="sl-SI"/>
        </w:rPr>
        <w:t>Pediatrični bolniki</w:t>
      </w:r>
      <w:r w:rsidRPr="004A59B1">
        <w:rPr>
          <w:color w:val="000000"/>
          <w:szCs w:val="22"/>
          <w:lang w:val="it-IT"/>
        </w:rPr>
        <w:t xml:space="preserve">: </w:t>
      </w:r>
      <w:r w:rsidRPr="004A59B1">
        <w:rPr>
          <w:color w:val="000000"/>
          <w:szCs w:val="22"/>
          <w:lang w:val="sl-SI"/>
        </w:rPr>
        <w:t xml:space="preserve">V preskušanje stopnjevanja odmerka prve faze so vključili skupaj 26 pediatričnih bolnikov, starih </w:t>
      </w:r>
      <w:r w:rsidRPr="004A59B1">
        <w:rPr>
          <w:color w:val="000000"/>
          <w:szCs w:val="22"/>
          <w:lang w:val="it-IT"/>
        </w:rPr>
        <w:t xml:space="preserve">&lt; 18 let, </w:t>
      </w:r>
      <w:r w:rsidRPr="004A59B1">
        <w:rPr>
          <w:color w:val="000000"/>
          <w:szCs w:val="22"/>
          <w:lang w:val="sl-SI"/>
        </w:rPr>
        <w:t xml:space="preserve">bodisi s kronično fazo </w:t>
      </w:r>
      <w:r w:rsidR="00677326" w:rsidRPr="004A59B1">
        <w:rPr>
          <w:color w:val="000000"/>
          <w:szCs w:val="22"/>
          <w:lang w:val="sl-SI"/>
        </w:rPr>
        <w:t>KML</w:t>
      </w:r>
      <w:r w:rsidRPr="004A59B1">
        <w:rPr>
          <w:color w:val="000000"/>
          <w:szCs w:val="22"/>
          <w:lang w:val="sl-SI"/>
        </w:rPr>
        <w:t xml:space="preserve"> (n=11) bodisi s </w:t>
      </w:r>
      <w:r w:rsidR="00677326" w:rsidRPr="004A59B1">
        <w:rPr>
          <w:color w:val="000000"/>
          <w:szCs w:val="22"/>
          <w:lang w:val="sl-SI"/>
        </w:rPr>
        <w:t>KML</w:t>
      </w:r>
      <w:r w:rsidRPr="004A59B1">
        <w:rPr>
          <w:color w:val="000000"/>
          <w:szCs w:val="22"/>
          <w:lang w:val="sl-SI"/>
        </w:rPr>
        <w:t xml:space="preserve"> v blastni krizi ali Ph+ akutnimi levkemijami (n=15). To je bila skupina že prej močno zdravljenih bolnikov, saj jih je pred začetkom </w:t>
      </w:r>
      <w:r w:rsidR="00576E16" w:rsidRPr="004A59B1">
        <w:rPr>
          <w:color w:val="000000"/>
          <w:szCs w:val="22"/>
          <w:lang w:val="sl-SI"/>
        </w:rPr>
        <w:t xml:space="preserve">preizkušanja </w:t>
      </w:r>
      <w:r w:rsidRPr="004A59B1">
        <w:rPr>
          <w:color w:val="000000"/>
          <w:szCs w:val="22"/>
          <w:lang w:val="sl-SI"/>
        </w:rPr>
        <w:t xml:space="preserve">46 % </w:t>
      </w:r>
      <w:r w:rsidR="00F069A5" w:rsidRPr="004A59B1">
        <w:rPr>
          <w:color w:val="000000"/>
          <w:szCs w:val="22"/>
          <w:lang w:val="sl-SI"/>
        </w:rPr>
        <w:t xml:space="preserve">imelo presaditev kostnega mozga </w:t>
      </w:r>
      <w:r w:rsidR="00CF7C31" w:rsidRPr="004A59B1">
        <w:rPr>
          <w:color w:val="000000"/>
          <w:szCs w:val="22"/>
          <w:lang w:val="sl-SI"/>
        </w:rPr>
        <w:t>(</w:t>
      </w:r>
      <w:r w:rsidRPr="004A59B1">
        <w:rPr>
          <w:color w:val="000000"/>
          <w:szCs w:val="22"/>
          <w:lang w:val="sl-SI"/>
        </w:rPr>
        <w:t>BMT</w:t>
      </w:r>
      <w:r w:rsidR="00FA6899" w:rsidRPr="004A59B1">
        <w:rPr>
          <w:color w:val="000000"/>
          <w:szCs w:val="22"/>
          <w:lang w:val="sl-SI"/>
        </w:rPr>
        <w:t xml:space="preserve"> </w:t>
      </w:r>
      <w:r w:rsidR="00F069A5" w:rsidRPr="004A59B1">
        <w:rPr>
          <w:color w:val="000000"/>
          <w:szCs w:val="22"/>
          <w:lang w:val="sl-SI"/>
        </w:rPr>
        <w:t>-</w:t>
      </w:r>
      <w:r w:rsidR="00F069A5" w:rsidRPr="004A59B1">
        <w:rPr>
          <w:i/>
          <w:lang w:val="sl-SI"/>
        </w:rPr>
        <w:t xml:space="preserve"> bone marrow transplantation)</w:t>
      </w:r>
      <w:r w:rsidRPr="004A59B1">
        <w:rPr>
          <w:color w:val="000000"/>
          <w:szCs w:val="22"/>
          <w:lang w:val="sl-SI"/>
        </w:rPr>
        <w:t xml:space="preserve">, 73 % pa kemoterapijo z več zdravili. Bolniki so bili zdravljeni z odmerki </w:t>
      </w:r>
      <w:r w:rsidR="00D81193" w:rsidRPr="004A59B1">
        <w:rPr>
          <w:color w:val="000000"/>
          <w:szCs w:val="22"/>
          <w:lang w:val="sl-SI"/>
        </w:rPr>
        <w:t>zdravila Glivec</w:t>
      </w:r>
      <w:r w:rsidRPr="004A59B1">
        <w:rPr>
          <w:color w:val="000000"/>
          <w:szCs w:val="22"/>
          <w:lang w:val="sl-SI"/>
        </w:rPr>
        <w:t xml:space="preserve"> 260 mg/m</w:t>
      </w:r>
      <w:r w:rsidRPr="004A59B1">
        <w:rPr>
          <w:color w:val="000000"/>
          <w:szCs w:val="22"/>
          <w:vertAlign w:val="superscript"/>
          <w:lang w:val="sl-SI"/>
        </w:rPr>
        <w:t>2</w:t>
      </w:r>
      <w:r w:rsidRPr="004A59B1">
        <w:rPr>
          <w:color w:val="000000"/>
          <w:szCs w:val="22"/>
          <w:lang w:val="sl-SI"/>
        </w:rPr>
        <w:t>/dan (n=5), 340 mg/m</w:t>
      </w:r>
      <w:r w:rsidRPr="004A59B1">
        <w:rPr>
          <w:color w:val="000000"/>
          <w:szCs w:val="22"/>
          <w:vertAlign w:val="superscript"/>
          <w:lang w:val="sl-SI"/>
        </w:rPr>
        <w:t>2</w:t>
      </w:r>
      <w:r w:rsidRPr="004A59B1">
        <w:rPr>
          <w:color w:val="000000"/>
          <w:szCs w:val="22"/>
          <w:lang w:val="sl-SI"/>
        </w:rPr>
        <w:t>/dan (n=9), 440 mg/m</w:t>
      </w:r>
      <w:r w:rsidRPr="004A59B1">
        <w:rPr>
          <w:color w:val="000000"/>
          <w:szCs w:val="22"/>
          <w:vertAlign w:val="superscript"/>
          <w:lang w:val="sl-SI"/>
        </w:rPr>
        <w:t>2</w:t>
      </w:r>
      <w:r w:rsidRPr="004A59B1">
        <w:rPr>
          <w:color w:val="000000"/>
          <w:szCs w:val="22"/>
          <w:lang w:val="sl-SI"/>
        </w:rPr>
        <w:t>/dan (n=7) in 570 mg/m</w:t>
      </w:r>
      <w:r w:rsidRPr="004A59B1">
        <w:rPr>
          <w:color w:val="000000"/>
          <w:szCs w:val="22"/>
          <w:vertAlign w:val="superscript"/>
          <w:lang w:val="sl-SI"/>
        </w:rPr>
        <w:t>2</w:t>
      </w:r>
      <w:r w:rsidRPr="004A59B1">
        <w:rPr>
          <w:color w:val="000000"/>
          <w:szCs w:val="22"/>
          <w:lang w:val="sl-SI"/>
        </w:rPr>
        <w:t xml:space="preserve">/dan (n=5). Od 9 bolnikov s kronično fazo </w:t>
      </w:r>
      <w:r w:rsidR="00677326" w:rsidRPr="004A59B1">
        <w:rPr>
          <w:color w:val="000000"/>
          <w:szCs w:val="22"/>
          <w:lang w:val="sl-SI"/>
        </w:rPr>
        <w:t>KML</w:t>
      </w:r>
      <w:r w:rsidRPr="004A59B1">
        <w:rPr>
          <w:color w:val="000000"/>
          <w:szCs w:val="22"/>
          <w:lang w:val="sl-SI"/>
        </w:rPr>
        <w:t xml:space="preserve"> in razpoložljivimi citogenetičnimi podatki so 4 (44 %) in 3 (33 %) bolniki dosegli popolni oziroma delni citogenetični odziv pri 77</w:t>
      </w:r>
      <w:r w:rsidRPr="004A59B1">
        <w:rPr>
          <w:color w:val="000000"/>
          <w:szCs w:val="22"/>
          <w:lang w:val="sl-SI"/>
        </w:rPr>
        <w:noBreakHyphen/>
        <w:t>odstotni stopnji MCyR.</w:t>
      </w:r>
    </w:p>
    <w:p w14:paraId="52979A2F" w14:textId="77777777" w:rsidR="00794E8C" w:rsidRPr="004A59B1" w:rsidRDefault="00794E8C" w:rsidP="009C1193">
      <w:pPr>
        <w:pStyle w:val="EndnoteText"/>
        <w:widowControl w:val="0"/>
        <w:rPr>
          <w:color w:val="000000"/>
          <w:szCs w:val="22"/>
          <w:lang w:val="sl-SI"/>
        </w:rPr>
      </w:pPr>
    </w:p>
    <w:p w14:paraId="52979A30" w14:textId="77777777" w:rsidR="00794E8C" w:rsidRPr="004A59B1" w:rsidRDefault="00794E8C" w:rsidP="009C1193">
      <w:pPr>
        <w:pStyle w:val="EndnoteText"/>
        <w:widowControl w:val="0"/>
        <w:rPr>
          <w:color w:val="000000"/>
          <w:szCs w:val="22"/>
          <w:lang w:val="sl-SI"/>
        </w:rPr>
      </w:pPr>
      <w:r w:rsidRPr="004A59B1">
        <w:rPr>
          <w:color w:val="000000"/>
          <w:szCs w:val="22"/>
          <w:lang w:val="sl-SI"/>
        </w:rPr>
        <w:t xml:space="preserve">V odprto, multicentrično preskušanje faze II z eno skupino so vključili skupno 51 pediatričnih bolnikov z na novo diagnosticirano in nezdravljeno </w:t>
      </w:r>
      <w:r w:rsidR="00677326" w:rsidRPr="004A59B1">
        <w:rPr>
          <w:color w:val="000000"/>
          <w:szCs w:val="22"/>
          <w:lang w:val="sl-SI"/>
        </w:rPr>
        <w:t>KML</w:t>
      </w:r>
      <w:r w:rsidRPr="004A59B1">
        <w:rPr>
          <w:color w:val="000000"/>
          <w:szCs w:val="22"/>
          <w:lang w:val="sl-SI"/>
        </w:rPr>
        <w:t xml:space="preserve"> v kronični fazi. Bolniki so bili zdravljeni z odmerki </w:t>
      </w:r>
      <w:r w:rsidR="00D81193" w:rsidRPr="004A59B1">
        <w:rPr>
          <w:color w:val="000000"/>
          <w:szCs w:val="22"/>
          <w:lang w:val="sl-SI"/>
        </w:rPr>
        <w:t>zdravila Glivec</w:t>
      </w:r>
      <w:r w:rsidRPr="004A59B1">
        <w:rPr>
          <w:color w:val="000000"/>
          <w:szCs w:val="22"/>
          <w:lang w:val="sl-SI"/>
        </w:rPr>
        <w:t xml:space="preserve"> 340 mg/m</w:t>
      </w:r>
      <w:r w:rsidRPr="004A59B1">
        <w:rPr>
          <w:color w:val="000000"/>
          <w:szCs w:val="22"/>
          <w:vertAlign w:val="superscript"/>
          <w:lang w:val="sl-SI"/>
        </w:rPr>
        <w:t>2</w:t>
      </w:r>
      <w:r w:rsidRPr="004A59B1">
        <w:rPr>
          <w:color w:val="000000"/>
          <w:szCs w:val="22"/>
          <w:lang w:val="sl-SI"/>
        </w:rPr>
        <w:t xml:space="preserve">/dan brez prekinitev; toksičnih učinkov, zaradi katerih bi zmanjševali odmerjanje, ni bilo. Zdravljenje z </w:t>
      </w:r>
      <w:r w:rsidR="00D81193" w:rsidRPr="004A59B1">
        <w:rPr>
          <w:color w:val="000000"/>
          <w:szCs w:val="22"/>
          <w:lang w:val="sl-SI"/>
        </w:rPr>
        <w:t>zdravilom Glivec</w:t>
      </w:r>
      <w:r w:rsidRPr="004A59B1">
        <w:rPr>
          <w:color w:val="000000"/>
          <w:szCs w:val="22"/>
          <w:lang w:val="sl-SI"/>
        </w:rPr>
        <w:t xml:space="preserve"> povzroči hiter odziv pri na novo diagnosticiranih pediatričnih bolnikih s popolnim hematološkim odzivom 78 % po 8 tednih zdravljenja. Ob veliki stopnji popolnega hematološkega odziva je prišlo tudi do popolnega citogenetičnega odziva (CCyR</w:t>
      </w:r>
      <w:r w:rsidR="009F487C" w:rsidRPr="004A59B1">
        <w:rPr>
          <w:color w:val="000000"/>
          <w:szCs w:val="22"/>
          <w:lang w:val="sl-SI"/>
        </w:rPr>
        <w:t xml:space="preserve"> - </w:t>
      </w:r>
      <w:r w:rsidR="009F487C" w:rsidRPr="00304E94">
        <w:rPr>
          <w:i/>
          <w:color w:val="000000"/>
          <w:szCs w:val="22"/>
          <w:lang w:val="sl-SI"/>
        </w:rPr>
        <w:t>complete cytogenetic response</w:t>
      </w:r>
      <w:r w:rsidRPr="004A59B1">
        <w:rPr>
          <w:color w:val="000000"/>
          <w:szCs w:val="22"/>
          <w:lang w:val="sl-SI"/>
        </w:rPr>
        <w:t>) v 65 %, kar je primerljivo z zabeleženimi rezultati pri odraslih. Poleg tega so zabeležili tudi delen citogenetični odziv (PCyR</w:t>
      </w:r>
      <w:r w:rsidR="009F487C" w:rsidRPr="004A59B1">
        <w:rPr>
          <w:color w:val="000000"/>
          <w:szCs w:val="22"/>
          <w:lang w:val="sl-SI"/>
        </w:rPr>
        <w:t xml:space="preserve"> - </w:t>
      </w:r>
      <w:r w:rsidR="009F487C" w:rsidRPr="00304E94">
        <w:rPr>
          <w:i/>
          <w:color w:val="000000"/>
          <w:szCs w:val="22"/>
          <w:lang w:val="sl-SI"/>
        </w:rPr>
        <w:t>partial cytogenetic response</w:t>
      </w:r>
      <w:r w:rsidRPr="004A59B1">
        <w:rPr>
          <w:color w:val="000000"/>
          <w:szCs w:val="22"/>
          <w:lang w:val="sl-SI"/>
        </w:rPr>
        <w:t xml:space="preserve">) pri 16 % bolnikov ob 81 % s pomembnim citogentičnim odzivom. Večina bolnikov, ki je dosegla popolni citogenetični odziv, ga je dosegla med 3. in 10. mesecem </w:t>
      </w:r>
      <w:r w:rsidR="00F069A5" w:rsidRPr="004A59B1">
        <w:rPr>
          <w:color w:val="000000"/>
          <w:szCs w:val="22"/>
          <w:lang w:val="sl-SI"/>
        </w:rPr>
        <w:t>z medianim</w:t>
      </w:r>
      <w:r w:rsidRPr="004A59B1">
        <w:rPr>
          <w:color w:val="000000"/>
          <w:szCs w:val="22"/>
          <w:lang w:val="sl-SI"/>
        </w:rPr>
        <w:t xml:space="preserve"> časom do odziva 5,6 meseca glede na Kaplan-Meierjevo oceno.</w:t>
      </w:r>
    </w:p>
    <w:p w14:paraId="52979A31" w14:textId="77777777" w:rsidR="009B3A61" w:rsidRPr="004A59B1" w:rsidRDefault="009B3A61" w:rsidP="009C1193">
      <w:pPr>
        <w:widowControl w:val="0"/>
        <w:tabs>
          <w:tab w:val="clear" w:pos="567"/>
        </w:tabs>
        <w:autoSpaceDE w:val="0"/>
        <w:autoSpaceDN w:val="0"/>
        <w:adjustRightInd w:val="0"/>
        <w:spacing w:line="240" w:lineRule="auto"/>
        <w:rPr>
          <w:color w:val="000000"/>
          <w:lang w:val="sl-SI"/>
        </w:rPr>
      </w:pPr>
    </w:p>
    <w:p w14:paraId="52979A32" w14:textId="77777777" w:rsidR="003F00F3" w:rsidRPr="004A59B1" w:rsidRDefault="003F00F3" w:rsidP="009C1193">
      <w:pPr>
        <w:widowControl w:val="0"/>
        <w:rPr>
          <w:color w:val="000000"/>
          <w:lang w:val="sl-SI"/>
        </w:rPr>
      </w:pPr>
      <w:r w:rsidRPr="004A59B1">
        <w:rPr>
          <w:color w:val="000000"/>
          <w:lang w:val="sl-SI"/>
        </w:rPr>
        <w:t xml:space="preserve">Evropska agencija za zdravila je odstopila od obveze za predložitev rezultatov študij z zdravilom </w:t>
      </w:r>
      <w:r w:rsidRPr="004A59B1">
        <w:rPr>
          <w:color w:val="000000"/>
          <w:lang w:val="sl-SI"/>
        </w:rPr>
        <w:lastRenderedPageBreak/>
        <w:t>Glivec za vse skupine pediatrične populacije</w:t>
      </w:r>
      <w:r w:rsidR="001B319E" w:rsidRPr="004A59B1">
        <w:rPr>
          <w:color w:val="000000"/>
          <w:lang w:val="sl-SI"/>
        </w:rPr>
        <w:t xml:space="preserve"> s </w:t>
      </w:r>
      <w:r w:rsidR="001B319E" w:rsidRPr="004A59B1">
        <w:rPr>
          <w:color w:val="000000"/>
          <w:szCs w:val="22"/>
          <w:lang w:val="sl-SI"/>
        </w:rPr>
        <w:t xml:space="preserve">kronično mieloično levkemijo s prisotnim kromosomom Philadelphia (s translokacijo bcr-abl) </w:t>
      </w:r>
      <w:r w:rsidR="001B319E" w:rsidRPr="004A59B1">
        <w:rPr>
          <w:color w:val="000000"/>
          <w:lang w:val="sl-SI"/>
        </w:rPr>
        <w:t>(za podatke o uporabi pri pediatrični populaciji glejte poglavje 4.2).</w:t>
      </w:r>
    </w:p>
    <w:p w14:paraId="52979A33" w14:textId="77777777" w:rsidR="0071527F" w:rsidRPr="004A59B1" w:rsidRDefault="0071527F" w:rsidP="009C1193">
      <w:pPr>
        <w:pStyle w:val="EndnoteText"/>
        <w:widowControl w:val="0"/>
        <w:rPr>
          <w:color w:val="000000"/>
          <w:szCs w:val="22"/>
          <w:u w:val="single"/>
          <w:lang w:val="sl-SI"/>
        </w:rPr>
      </w:pPr>
    </w:p>
    <w:p w14:paraId="52979A34" w14:textId="77777777" w:rsidR="0071527F" w:rsidRPr="004A59B1" w:rsidRDefault="0071527F" w:rsidP="009C1193">
      <w:pPr>
        <w:pStyle w:val="EndnoteText"/>
        <w:keepNext/>
        <w:widowControl w:val="0"/>
        <w:rPr>
          <w:color w:val="000000"/>
          <w:szCs w:val="22"/>
          <w:u w:val="single"/>
          <w:lang w:val="sl-SI"/>
        </w:rPr>
      </w:pPr>
      <w:r w:rsidRPr="004A59B1">
        <w:rPr>
          <w:color w:val="000000"/>
          <w:szCs w:val="22"/>
          <w:u w:val="single"/>
          <w:lang w:val="sl-SI"/>
        </w:rPr>
        <w:t>Klinične študije pri Ph+ ALL</w:t>
      </w:r>
    </w:p>
    <w:p w14:paraId="52979A35" w14:textId="77777777" w:rsidR="0071527F" w:rsidRPr="004A59B1" w:rsidRDefault="0071527F" w:rsidP="009C1193">
      <w:pPr>
        <w:pStyle w:val="EndnoteText"/>
        <w:widowControl w:val="0"/>
        <w:tabs>
          <w:tab w:val="clear" w:pos="567"/>
        </w:tabs>
        <w:rPr>
          <w:rFonts w:eastAsia="MS Mincho"/>
          <w:color w:val="000000"/>
          <w:szCs w:val="22"/>
          <w:lang w:val="sl-SI" w:eastAsia="ja-JP"/>
        </w:rPr>
      </w:pPr>
      <w:r w:rsidRPr="004A59B1">
        <w:rPr>
          <w:i/>
          <w:color w:val="000000"/>
          <w:szCs w:val="22"/>
          <w:lang w:val="sl-SI"/>
        </w:rPr>
        <w:t>Novo odkrita Ph+ ALL</w:t>
      </w:r>
      <w:r w:rsidRPr="004A59B1">
        <w:rPr>
          <w:color w:val="000000"/>
          <w:szCs w:val="22"/>
          <w:lang w:val="sl-SI"/>
        </w:rPr>
        <w:t>: V kontrolirani študiji (ADE10) imatiniba v primerjavi z indukcijo s kemoterapijo pri 55 bolnikih z novo odkrito boleznijo, ki so bili stari 55 let ali več, je imatinib kot edino zdravilo povzročil značilno večji delež bolnikov s popolnim hematološkim odzivom kot kemoterapija (96,3 % v primerjavi s 50 %; p=0,0001). Ko so imatinib uporabili kot reševalno zdravljenje pri bolnikih, pri katerih ni bilo odziva ali pa je bil odziv na kemoterapijo slab, je 9 bolnikov od 11 (81,8 %) doseglo popolni hematološki odziv. Ta klinični učinek je bil povezan z večjim zmanjšanjem količine transkriptov bcr-abl pri bolnikih, zdravljenih z imatinibom, kot pri skupini, zdravljeni s kemoterapijo po 2 tednih zdravljenja (p=0,02). Vsi bolniki so prejeli imatinib in konsolidacijsko kemoterapijo po indukciji (glejte preglednico </w:t>
      </w:r>
      <w:r w:rsidR="00106423" w:rsidRPr="004A59B1">
        <w:rPr>
          <w:color w:val="000000"/>
          <w:szCs w:val="22"/>
          <w:lang w:val="sl-SI"/>
        </w:rPr>
        <w:t>4</w:t>
      </w:r>
      <w:r w:rsidRPr="004A59B1">
        <w:rPr>
          <w:color w:val="000000"/>
          <w:szCs w:val="22"/>
          <w:lang w:val="sl-SI"/>
        </w:rPr>
        <w:t xml:space="preserve">). Ravni transkriptov bcr-abl so bile po 8 tednih v obeh krakih enake. Kot je bilo pričakovati glede na načrt </w:t>
      </w:r>
      <w:r w:rsidR="00F64413" w:rsidRPr="004A59B1">
        <w:rPr>
          <w:color w:val="000000"/>
          <w:szCs w:val="22"/>
          <w:lang w:val="sl-SI"/>
        </w:rPr>
        <w:t>študije</w:t>
      </w:r>
      <w:r w:rsidRPr="004A59B1">
        <w:rPr>
          <w:color w:val="000000"/>
          <w:szCs w:val="22"/>
          <w:lang w:val="sl-SI"/>
        </w:rPr>
        <w:t xml:space="preserve">, ni bilo nobene razlike v trajanju remisij, preživetju brez bolezni ali preživetju nasploh, čeprav so imeli bolniki s popolnim molekularnim odzivom in tisti z minimalno rezidualno boleznijo boljši izid glede trajanja remisije </w:t>
      </w:r>
      <w:r w:rsidRPr="004A59B1">
        <w:rPr>
          <w:rFonts w:eastAsia="MS Mincho"/>
          <w:color w:val="000000"/>
          <w:szCs w:val="22"/>
          <w:lang w:val="sl-SI" w:eastAsia="ja-JP"/>
        </w:rPr>
        <w:t>(p=0,01)</w:t>
      </w:r>
      <w:r w:rsidRPr="004A59B1">
        <w:rPr>
          <w:color w:val="000000"/>
          <w:szCs w:val="22"/>
          <w:lang w:val="sl-SI"/>
        </w:rPr>
        <w:t xml:space="preserve"> in preživetja brez bolezni </w:t>
      </w:r>
      <w:r w:rsidRPr="004A59B1">
        <w:rPr>
          <w:rFonts w:eastAsia="MS Mincho"/>
          <w:color w:val="000000"/>
          <w:szCs w:val="22"/>
          <w:lang w:val="sl-SI" w:eastAsia="ja-JP"/>
        </w:rPr>
        <w:t>(p=0,02).</w:t>
      </w:r>
    </w:p>
    <w:p w14:paraId="52979A36" w14:textId="77777777" w:rsidR="0071527F" w:rsidRPr="004A59B1" w:rsidRDefault="0071527F" w:rsidP="009C1193">
      <w:pPr>
        <w:pStyle w:val="EndnoteText"/>
        <w:widowControl w:val="0"/>
        <w:tabs>
          <w:tab w:val="clear" w:pos="567"/>
        </w:tabs>
        <w:rPr>
          <w:color w:val="000000"/>
          <w:szCs w:val="22"/>
          <w:lang w:val="sl-SI"/>
        </w:rPr>
      </w:pPr>
    </w:p>
    <w:p w14:paraId="52979A37" w14:textId="77777777" w:rsidR="0071527F" w:rsidRPr="004A59B1" w:rsidRDefault="0071527F" w:rsidP="009C1193">
      <w:pPr>
        <w:pStyle w:val="EndnoteText"/>
        <w:widowControl w:val="0"/>
        <w:rPr>
          <w:color w:val="000000"/>
          <w:szCs w:val="22"/>
          <w:lang w:val="sl-SI"/>
        </w:rPr>
      </w:pPr>
      <w:r w:rsidRPr="004A59B1">
        <w:rPr>
          <w:color w:val="000000"/>
          <w:szCs w:val="22"/>
          <w:lang w:val="sl-SI"/>
        </w:rPr>
        <w:t xml:space="preserve">Pri populaciji 211 bolnikov z novo odkrito Ph+ ALL iz štirih nekontroliranih kliničnih </w:t>
      </w:r>
      <w:r w:rsidR="00F64413" w:rsidRPr="004A59B1">
        <w:rPr>
          <w:color w:val="000000"/>
          <w:szCs w:val="22"/>
          <w:lang w:val="sl-SI"/>
        </w:rPr>
        <w:t>študij</w:t>
      </w:r>
      <w:r w:rsidRPr="004A59B1">
        <w:rPr>
          <w:color w:val="000000"/>
          <w:szCs w:val="22"/>
          <w:lang w:val="sl-SI"/>
        </w:rPr>
        <w:t xml:space="preserve"> (AAU02, ADE04, AJP01 in AUS01) se rezultati ujemajo z zgoraj opisanimi. Imatinib je v kombinaciji z indukcijo s kemoterapijo (glejte preglednico </w:t>
      </w:r>
      <w:r w:rsidR="00106423" w:rsidRPr="004A59B1">
        <w:rPr>
          <w:color w:val="000000"/>
          <w:szCs w:val="22"/>
          <w:lang w:val="sl-SI"/>
        </w:rPr>
        <w:t>4</w:t>
      </w:r>
      <w:r w:rsidRPr="004A59B1">
        <w:rPr>
          <w:color w:val="000000"/>
          <w:szCs w:val="22"/>
          <w:lang w:val="sl-SI"/>
        </w:rPr>
        <w:t>) povzročil popolni hematološki odziv pri 93 % (147 od 158 </w:t>
      </w:r>
      <w:r w:rsidR="00FC0527" w:rsidRPr="004A59B1">
        <w:rPr>
          <w:color w:val="000000"/>
          <w:szCs w:val="22"/>
          <w:lang w:val="sl-SI"/>
        </w:rPr>
        <w:t>za oceno primernih</w:t>
      </w:r>
      <w:r w:rsidRPr="004A59B1">
        <w:rPr>
          <w:color w:val="000000"/>
          <w:szCs w:val="22"/>
          <w:lang w:val="sl-SI"/>
        </w:rPr>
        <w:t xml:space="preserve"> bolnikov) in pomembni citogenetični odziv pri 90 % (19 od 21 </w:t>
      </w:r>
      <w:r w:rsidR="00FC0527" w:rsidRPr="004A59B1">
        <w:rPr>
          <w:color w:val="000000"/>
          <w:szCs w:val="22"/>
          <w:lang w:val="sl-SI"/>
        </w:rPr>
        <w:t>za oceno primernih</w:t>
      </w:r>
      <w:r w:rsidRPr="004A59B1">
        <w:rPr>
          <w:color w:val="000000"/>
          <w:szCs w:val="22"/>
          <w:lang w:val="sl-SI"/>
        </w:rPr>
        <w:t xml:space="preserve"> bolnikov). Delež bolnikov s popolnim molekularnim odzivom je bil 48 % (49 od 102 </w:t>
      </w:r>
      <w:r w:rsidR="00FC0527" w:rsidRPr="004A59B1">
        <w:rPr>
          <w:color w:val="000000"/>
          <w:szCs w:val="22"/>
          <w:lang w:val="sl-SI"/>
        </w:rPr>
        <w:t>za oceno primernih</w:t>
      </w:r>
      <w:r w:rsidRPr="004A59B1">
        <w:rPr>
          <w:color w:val="000000"/>
          <w:szCs w:val="22"/>
          <w:lang w:val="sl-SI"/>
        </w:rPr>
        <w:t xml:space="preserve"> bolnikov). V dveh študijah (AJP01 in AUS01) sta preživetje brez bolezni (</w:t>
      </w:r>
      <w:r w:rsidR="00F64413" w:rsidRPr="004A59B1">
        <w:rPr>
          <w:color w:val="000000"/>
          <w:szCs w:val="22"/>
          <w:lang w:val="sl-SI"/>
        </w:rPr>
        <w:t xml:space="preserve">DSF - </w:t>
      </w:r>
      <w:r w:rsidRPr="00304E94">
        <w:rPr>
          <w:i/>
          <w:color w:val="000000"/>
          <w:szCs w:val="22"/>
          <w:lang w:val="sl-SI"/>
        </w:rPr>
        <w:t>disease-free survival</w:t>
      </w:r>
      <w:r w:rsidR="00DE7EB6" w:rsidRPr="004A59B1">
        <w:rPr>
          <w:color w:val="000000"/>
          <w:szCs w:val="22"/>
          <w:lang w:val="sl-SI"/>
        </w:rPr>
        <w:t>)</w:t>
      </w:r>
      <w:r w:rsidRPr="004A59B1">
        <w:rPr>
          <w:color w:val="000000"/>
          <w:szCs w:val="22"/>
          <w:lang w:val="sl-SI"/>
        </w:rPr>
        <w:t xml:space="preserve"> in celokupno preživetje (</w:t>
      </w:r>
      <w:r w:rsidR="00F64413" w:rsidRPr="004A59B1">
        <w:rPr>
          <w:color w:val="000000"/>
          <w:szCs w:val="22"/>
          <w:lang w:val="sl-SI"/>
        </w:rPr>
        <w:t xml:space="preserve">OS - </w:t>
      </w:r>
      <w:r w:rsidRPr="00304E94">
        <w:rPr>
          <w:i/>
          <w:color w:val="000000"/>
          <w:szCs w:val="22"/>
          <w:lang w:val="sl-SI"/>
        </w:rPr>
        <w:t>overall survival</w:t>
      </w:r>
      <w:r w:rsidRPr="004A59B1">
        <w:rPr>
          <w:color w:val="000000"/>
          <w:szCs w:val="22"/>
          <w:lang w:val="sl-SI"/>
        </w:rPr>
        <w:t xml:space="preserve">) </w:t>
      </w:r>
      <w:r w:rsidR="00F069A5" w:rsidRPr="004A59B1">
        <w:rPr>
          <w:color w:val="000000"/>
          <w:szCs w:val="22"/>
          <w:lang w:val="sl-SI"/>
        </w:rPr>
        <w:t>konstantno</w:t>
      </w:r>
      <w:r w:rsidRPr="004A59B1">
        <w:rPr>
          <w:color w:val="000000"/>
          <w:szCs w:val="22"/>
          <w:lang w:val="sl-SI"/>
        </w:rPr>
        <w:t xml:space="preserve"> presegala 1 leto in sta bila daljša kot pri zgodovinskih kontrolah (DFS p&lt;0,001; OS p&lt;0,0001).</w:t>
      </w:r>
    </w:p>
    <w:p w14:paraId="52979A38" w14:textId="77777777" w:rsidR="00266FD9" w:rsidRPr="004A59B1" w:rsidRDefault="00266FD9" w:rsidP="009C1193">
      <w:pPr>
        <w:pStyle w:val="EndnoteText"/>
        <w:widowControl w:val="0"/>
        <w:rPr>
          <w:color w:val="000000"/>
          <w:szCs w:val="22"/>
          <w:lang w:val="sl-SI"/>
        </w:rPr>
      </w:pPr>
    </w:p>
    <w:p w14:paraId="52979A39" w14:textId="77777777" w:rsidR="00266FD9" w:rsidRPr="004A59B1" w:rsidRDefault="00266FD9" w:rsidP="009C1193">
      <w:pPr>
        <w:pStyle w:val="EndnoteText"/>
        <w:keepNext/>
        <w:keepLines/>
        <w:widowControl w:val="0"/>
        <w:rPr>
          <w:b/>
          <w:bCs/>
          <w:color w:val="000000"/>
          <w:szCs w:val="22"/>
          <w:lang w:val="sl-SI"/>
        </w:rPr>
      </w:pPr>
      <w:r w:rsidRPr="004A59B1">
        <w:rPr>
          <w:b/>
          <w:bCs/>
          <w:color w:val="000000"/>
          <w:szCs w:val="22"/>
          <w:lang w:val="sl-SI"/>
        </w:rPr>
        <w:t>Preglednica </w:t>
      </w:r>
      <w:r w:rsidR="00106423" w:rsidRPr="004A59B1">
        <w:rPr>
          <w:b/>
          <w:bCs/>
          <w:color w:val="000000"/>
          <w:szCs w:val="22"/>
          <w:lang w:val="sl-SI"/>
        </w:rPr>
        <w:t>4</w:t>
      </w:r>
      <w:r w:rsidRPr="004A59B1">
        <w:rPr>
          <w:b/>
          <w:bCs/>
          <w:color w:val="000000"/>
          <w:szCs w:val="22"/>
          <w:lang w:val="sl-SI"/>
        </w:rPr>
        <w:tab/>
        <w:t>K</w:t>
      </w:r>
      <w:r w:rsidRPr="004A59B1">
        <w:rPr>
          <w:b/>
          <w:color w:val="000000"/>
          <w:szCs w:val="22"/>
          <w:lang w:val="sl-SI"/>
        </w:rPr>
        <w:t>emoterapevtske sheme, uporabljene v kombinaciji z imatinibom</w:t>
      </w:r>
    </w:p>
    <w:p w14:paraId="52979A3A" w14:textId="77777777" w:rsidR="00266FD9" w:rsidRPr="004A59B1" w:rsidRDefault="00266FD9" w:rsidP="009C1193">
      <w:pPr>
        <w:pStyle w:val="EndnoteText"/>
        <w:keepNext/>
        <w:keepLines/>
        <w:widowControl w:val="0"/>
        <w:rPr>
          <w:color w:val="000000"/>
          <w:szCs w:val="22"/>
          <w:lang w:val="sl-SI"/>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266FD9" w:rsidRPr="004A59B1" w14:paraId="52979A3D" w14:textId="77777777" w:rsidTr="008F282C">
        <w:trPr>
          <w:cantSplit/>
        </w:trPr>
        <w:tc>
          <w:tcPr>
            <w:tcW w:w="2148" w:type="dxa"/>
            <w:tcBorders>
              <w:top w:val="single" w:sz="4" w:space="0" w:color="auto"/>
              <w:bottom w:val="single" w:sz="4" w:space="0" w:color="auto"/>
            </w:tcBorders>
            <w:shd w:val="clear" w:color="auto" w:fill="auto"/>
          </w:tcPr>
          <w:p w14:paraId="52979A3B" w14:textId="77777777" w:rsidR="00266FD9" w:rsidRPr="004A59B1" w:rsidRDefault="00266FD9" w:rsidP="009C1193">
            <w:pPr>
              <w:pStyle w:val="Table"/>
              <w:widowControl w:val="0"/>
              <w:spacing w:before="0" w:after="0"/>
              <w:rPr>
                <w:rFonts w:ascii="Times New Roman" w:hAnsi="Times New Roman"/>
                <w:color w:val="000000"/>
                <w:sz w:val="22"/>
                <w:szCs w:val="22"/>
              </w:rPr>
            </w:pPr>
            <w:r w:rsidRPr="004A59B1">
              <w:rPr>
                <w:rFonts w:ascii="Times New Roman" w:hAnsi="Times New Roman"/>
                <w:b/>
                <w:color w:val="000000"/>
                <w:sz w:val="22"/>
                <w:szCs w:val="22"/>
                <w:lang w:val="sl-SI"/>
              </w:rPr>
              <w:t>Študija</w:t>
            </w:r>
            <w:r w:rsidRPr="004A59B1">
              <w:rPr>
                <w:rFonts w:ascii="Times New Roman" w:hAnsi="Times New Roman"/>
                <w:b/>
                <w:color w:val="000000"/>
                <w:sz w:val="22"/>
                <w:szCs w:val="22"/>
              </w:rPr>
              <w:t xml:space="preserve"> ADE10</w:t>
            </w:r>
          </w:p>
        </w:tc>
        <w:tc>
          <w:tcPr>
            <w:tcW w:w="6732" w:type="dxa"/>
            <w:gridSpan w:val="4"/>
            <w:tcBorders>
              <w:top w:val="single" w:sz="4" w:space="0" w:color="auto"/>
              <w:bottom w:val="single" w:sz="4" w:space="0" w:color="auto"/>
            </w:tcBorders>
            <w:shd w:val="clear" w:color="auto" w:fill="auto"/>
          </w:tcPr>
          <w:p w14:paraId="52979A3C" w14:textId="77777777" w:rsidR="00266FD9" w:rsidRPr="004A59B1" w:rsidRDefault="00266FD9" w:rsidP="009C1193">
            <w:pPr>
              <w:pStyle w:val="Table"/>
              <w:widowControl w:val="0"/>
              <w:spacing w:before="0" w:after="0"/>
              <w:rPr>
                <w:rFonts w:ascii="Times New Roman" w:hAnsi="Times New Roman"/>
                <w:color w:val="000000"/>
                <w:sz w:val="22"/>
                <w:szCs w:val="22"/>
              </w:rPr>
            </w:pPr>
          </w:p>
        </w:tc>
      </w:tr>
      <w:tr w:rsidR="00266FD9" w:rsidRPr="004A59B1" w14:paraId="52979A42" w14:textId="77777777" w:rsidTr="008F282C">
        <w:trPr>
          <w:cantSplit/>
        </w:trPr>
        <w:tc>
          <w:tcPr>
            <w:tcW w:w="2148" w:type="dxa"/>
            <w:tcBorders>
              <w:top w:val="single" w:sz="4" w:space="0" w:color="auto"/>
              <w:bottom w:val="single" w:sz="4" w:space="0" w:color="auto"/>
            </w:tcBorders>
            <w:shd w:val="clear" w:color="auto" w:fill="auto"/>
          </w:tcPr>
          <w:p w14:paraId="52979A3E" w14:textId="77777777" w:rsidR="00266FD9" w:rsidRPr="004A59B1" w:rsidRDefault="00266FD9" w:rsidP="009C1193">
            <w:pPr>
              <w:pStyle w:val="Table"/>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predhodna faza</w:t>
            </w:r>
          </w:p>
        </w:tc>
        <w:tc>
          <w:tcPr>
            <w:tcW w:w="6732" w:type="dxa"/>
            <w:gridSpan w:val="4"/>
            <w:tcBorders>
              <w:top w:val="single" w:sz="4" w:space="0" w:color="auto"/>
              <w:bottom w:val="single" w:sz="4" w:space="0" w:color="auto"/>
            </w:tcBorders>
            <w:shd w:val="clear" w:color="auto" w:fill="auto"/>
          </w:tcPr>
          <w:p w14:paraId="52979A3F" w14:textId="77777777" w:rsidR="00E349F7" w:rsidRPr="004A59B1" w:rsidRDefault="00266FD9" w:rsidP="009C1193">
            <w:pPr>
              <w:pStyle w:val="Table"/>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DEX 10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peroralno, 1.-5. dan;</w:t>
            </w:r>
          </w:p>
          <w:p w14:paraId="52979A40" w14:textId="77777777" w:rsidR="00E349F7" w:rsidRPr="004A59B1" w:rsidRDefault="00266FD9" w:rsidP="009C1193">
            <w:pPr>
              <w:pStyle w:val="Table"/>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CP 200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3., 4., 5. dan;</w:t>
            </w:r>
          </w:p>
          <w:p w14:paraId="52979A41" w14:textId="77777777" w:rsidR="00266FD9" w:rsidRPr="004A59B1" w:rsidRDefault="00266FD9" w:rsidP="009C1193">
            <w:pPr>
              <w:pStyle w:val="Table"/>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MTX 12 mg intratekalno, 1. dan</w:t>
            </w:r>
          </w:p>
        </w:tc>
      </w:tr>
      <w:tr w:rsidR="00266FD9" w:rsidRPr="003B6568" w14:paraId="52979A49" w14:textId="77777777" w:rsidTr="008F282C">
        <w:trPr>
          <w:cantSplit/>
        </w:trPr>
        <w:tc>
          <w:tcPr>
            <w:tcW w:w="2148" w:type="dxa"/>
            <w:tcBorders>
              <w:top w:val="single" w:sz="4" w:space="0" w:color="auto"/>
              <w:bottom w:val="single" w:sz="4" w:space="0" w:color="auto"/>
            </w:tcBorders>
            <w:shd w:val="clear" w:color="auto" w:fill="auto"/>
          </w:tcPr>
          <w:p w14:paraId="52979A43" w14:textId="77777777" w:rsidR="00266FD9" w:rsidRPr="004A59B1" w:rsidRDefault="00266FD9" w:rsidP="009C1193">
            <w:pPr>
              <w:pStyle w:val="Table"/>
              <w:keepNext w:val="0"/>
              <w:widowControl w:val="0"/>
              <w:spacing w:before="0" w:after="0"/>
              <w:rPr>
                <w:rFonts w:ascii="Times New Roman" w:hAnsi="Times New Roman"/>
                <w:color w:val="000000"/>
                <w:sz w:val="22"/>
                <w:szCs w:val="22"/>
              </w:rPr>
            </w:pPr>
            <w:r w:rsidRPr="004A59B1">
              <w:rPr>
                <w:rFonts w:ascii="Times New Roman" w:hAnsi="Times New Roman"/>
                <w:color w:val="000000"/>
                <w:sz w:val="22"/>
                <w:szCs w:val="22"/>
                <w:lang w:val="en-GB"/>
              </w:rPr>
              <w:t>indukcija remisije</w:t>
            </w:r>
          </w:p>
        </w:tc>
        <w:tc>
          <w:tcPr>
            <w:tcW w:w="6732" w:type="dxa"/>
            <w:gridSpan w:val="4"/>
            <w:tcBorders>
              <w:top w:val="single" w:sz="4" w:space="0" w:color="auto"/>
              <w:bottom w:val="single" w:sz="4" w:space="0" w:color="auto"/>
            </w:tcBorders>
            <w:shd w:val="clear" w:color="auto" w:fill="auto"/>
          </w:tcPr>
          <w:p w14:paraId="52979A44" w14:textId="77777777" w:rsidR="00E349F7" w:rsidRPr="004A59B1" w:rsidRDefault="00266FD9" w:rsidP="009C1193">
            <w:pPr>
              <w:pStyle w:val="Table"/>
              <w:keepNext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DEX 10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peroralno, 6.-7., 13.-16. dan;</w:t>
            </w:r>
          </w:p>
          <w:p w14:paraId="52979A45" w14:textId="77777777" w:rsidR="00E349F7" w:rsidRPr="004A59B1" w:rsidRDefault="00266FD9" w:rsidP="009C1193">
            <w:pPr>
              <w:pStyle w:val="Table"/>
              <w:keepNext w:val="0"/>
              <w:widowControl w:val="0"/>
              <w:spacing w:before="0" w:after="0"/>
              <w:rPr>
                <w:rFonts w:ascii="Times New Roman" w:hAnsi="Times New Roman"/>
                <w:color w:val="000000"/>
                <w:sz w:val="22"/>
                <w:szCs w:val="22"/>
                <w:lang w:val="de-DE"/>
              </w:rPr>
            </w:pPr>
            <w:r w:rsidRPr="004A59B1">
              <w:rPr>
                <w:rFonts w:ascii="Times New Roman" w:hAnsi="Times New Roman"/>
                <w:color w:val="000000"/>
                <w:sz w:val="22"/>
                <w:szCs w:val="22"/>
                <w:lang w:val="de-DE"/>
              </w:rPr>
              <w:t>VCR 1 mg i.v., 7. in 14. dan;</w:t>
            </w:r>
          </w:p>
          <w:p w14:paraId="52979A46" w14:textId="77777777" w:rsidR="00E349F7" w:rsidRPr="004A59B1" w:rsidRDefault="00266FD9" w:rsidP="009C1193">
            <w:pPr>
              <w:pStyle w:val="Table"/>
              <w:keepNext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IDA 8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(0,5 ur</w:t>
            </w:r>
            <w:r w:rsidR="00493AF0" w:rsidRPr="004A59B1">
              <w:rPr>
                <w:rFonts w:ascii="Times New Roman" w:hAnsi="Times New Roman"/>
                <w:color w:val="000000"/>
                <w:sz w:val="22"/>
                <w:szCs w:val="22"/>
                <w:lang w:val="es-ES"/>
              </w:rPr>
              <w:t>e</w:t>
            </w:r>
            <w:r w:rsidRPr="004A59B1">
              <w:rPr>
                <w:rFonts w:ascii="Times New Roman" w:hAnsi="Times New Roman"/>
                <w:color w:val="000000"/>
                <w:sz w:val="22"/>
                <w:szCs w:val="22"/>
                <w:lang w:val="es-ES"/>
              </w:rPr>
              <w:t>), 7., 8., 14., 15. dan;</w:t>
            </w:r>
          </w:p>
          <w:p w14:paraId="52979A47" w14:textId="77777777" w:rsidR="00E349F7" w:rsidRPr="004A59B1" w:rsidRDefault="00266FD9" w:rsidP="009C1193">
            <w:pPr>
              <w:pStyle w:val="Table"/>
              <w:keepNext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CP 500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i.v.(1 ura) 1. dan;</w:t>
            </w:r>
          </w:p>
          <w:p w14:paraId="52979A48" w14:textId="77777777" w:rsidR="00266FD9" w:rsidRPr="004A59B1" w:rsidRDefault="00266FD9" w:rsidP="009C1193">
            <w:pPr>
              <w:pStyle w:val="Table"/>
              <w:keepNext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Ara-C 60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22.-25., 29.-32. dan</w:t>
            </w:r>
          </w:p>
        </w:tc>
      </w:tr>
      <w:tr w:rsidR="00266FD9" w:rsidRPr="004A59B1" w14:paraId="52979A4D" w14:textId="77777777" w:rsidTr="008F282C">
        <w:trPr>
          <w:cantSplit/>
        </w:trPr>
        <w:tc>
          <w:tcPr>
            <w:tcW w:w="2148" w:type="dxa"/>
            <w:tcBorders>
              <w:top w:val="single" w:sz="4" w:space="0" w:color="auto"/>
              <w:bottom w:val="single" w:sz="4" w:space="0" w:color="auto"/>
            </w:tcBorders>
            <w:shd w:val="clear" w:color="auto" w:fill="auto"/>
          </w:tcPr>
          <w:p w14:paraId="52979A4A" w14:textId="77777777" w:rsidR="00266FD9" w:rsidRPr="004A59B1" w:rsidRDefault="00266FD9" w:rsidP="009C1193">
            <w:pPr>
              <w:pStyle w:val="Table"/>
              <w:keepNext w:val="0"/>
              <w:widowControl w:val="0"/>
              <w:spacing w:before="0" w:after="0"/>
              <w:rPr>
                <w:rFonts w:ascii="Times New Roman" w:hAnsi="Times New Roman"/>
                <w:color w:val="000000"/>
                <w:sz w:val="22"/>
                <w:szCs w:val="22"/>
                <w:lang w:val="pl-PL"/>
              </w:rPr>
            </w:pPr>
            <w:r w:rsidRPr="004A59B1">
              <w:rPr>
                <w:rFonts w:ascii="Times New Roman" w:hAnsi="Times New Roman"/>
                <w:color w:val="000000"/>
                <w:sz w:val="22"/>
                <w:szCs w:val="22"/>
                <w:lang w:val="pl-PL"/>
              </w:rPr>
              <w:t>konsolidacijska terapija I, III, V</w:t>
            </w:r>
          </w:p>
        </w:tc>
        <w:tc>
          <w:tcPr>
            <w:tcW w:w="6732" w:type="dxa"/>
            <w:gridSpan w:val="4"/>
            <w:tcBorders>
              <w:top w:val="single" w:sz="4" w:space="0" w:color="auto"/>
              <w:bottom w:val="single" w:sz="4" w:space="0" w:color="auto"/>
            </w:tcBorders>
            <w:shd w:val="clear" w:color="auto" w:fill="auto"/>
          </w:tcPr>
          <w:p w14:paraId="52979A4B" w14:textId="77777777" w:rsidR="00E349F7" w:rsidRPr="004A59B1" w:rsidRDefault="00266FD9" w:rsidP="009C1193">
            <w:pPr>
              <w:pStyle w:val="Table"/>
              <w:keepNext w:val="0"/>
              <w:widowControl w:val="0"/>
              <w:spacing w:before="0" w:after="0"/>
              <w:rPr>
                <w:rFonts w:ascii="Times New Roman" w:hAnsi="Times New Roman"/>
                <w:color w:val="000000"/>
                <w:sz w:val="22"/>
                <w:szCs w:val="22"/>
                <w:lang w:val="pl-PL"/>
              </w:rPr>
            </w:pPr>
            <w:r w:rsidRPr="004A59B1">
              <w:rPr>
                <w:rFonts w:ascii="Times New Roman" w:hAnsi="Times New Roman"/>
                <w:color w:val="000000"/>
                <w:sz w:val="22"/>
                <w:szCs w:val="22"/>
                <w:lang w:val="pl-PL"/>
              </w:rPr>
              <w:t>MTX 500 mg/m</w:t>
            </w:r>
            <w:r w:rsidRPr="004A59B1">
              <w:rPr>
                <w:rFonts w:ascii="Times New Roman" w:hAnsi="Times New Roman"/>
                <w:color w:val="000000"/>
                <w:sz w:val="22"/>
                <w:szCs w:val="22"/>
                <w:vertAlign w:val="superscript"/>
                <w:lang w:val="pl-PL"/>
              </w:rPr>
              <w:t>2</w:t>
            </w:r>
            <w:r w:rsidRPr="004A59B1">
              <w:rPr>
                <w:rFonts w:ascii="Times New Roman" w:hAnsi="Times New Roman"/>
                <w:color w:val="000000"/>
                <w:sz w:val="22"/>
                <w:szCs w:val="22"/>
                <w:lang w:val="pl-PL"/>
              </w:rPr>
              <w:t xml:space="preserve"> i.v. (24 ur), 1., 15. dan;</w:t>
            </w:r>
          </w:p>
          <w:p w14:paraId="52979A4C" w14:textId="77777777" w:rsidR="00266FD9" w:rsidRPr="004A59B1" w:rsidRDefault="00266FD9" w:rsidP="009C1193">
            <w:pPr>
              <w:pStyle w:val="Table"/>
              <w:keepNext w:val="0"/>
              <w:widowControl w:val="0"/>
              <w:spacing w:before="0" w:after="0"/>
              <w:rPr>
                <w:rFonts w:ascii="Times New Roman" w:hAnsi="Times New Roman"/>
                <w:color w:val="000000"/>
                <w:sz w:val="22"/>
                <w:szCs w:val="22"/>
                <w:lang w:val="pl-PL"/>
              </w:rPr>
            </w:pPr>
            <w:r w:rsidRPr="004A59B1">
              <w:rPr>
                <w:rFonts w:ascii="Times New Roman" w:hAnsi="Times New Roman"/>
                <w:color w:val="000000"/>
                <w:sz w:val="22"/>
                <w:szCs w:val="22"/>
                <w:lang w:val="pl-PL"/>
              </w:rPr>
              <w:t>6-MP 25 mg/m</w:t>
            </w:r>
            <w:r w:rsidRPr="004A59B1">
              <w:rPr>
                <w:rFonts w:ascii="Times New Roman" w:hAnsi="Times New Roman"/>
                <w:color w:val="000000"/>
                <w:sz w:val="22"/>
                <w:szCs w:val="22"/>
                <w:vertAlign w:val="superscript"/>
                <w:lang w:val="pl-PL"/>
              </w:rPr>
              <w:t>2</w:t>
            </w:r>
            <w:r w:rsidRPr="004A59B1">
              <w:rPr>
                <w:rFonts w:ascii="Times New Roman" w:hAnsi="Times New Roman"/>
                <w:color w:val="000000"/>
                <w:sz w:val="22"/>
                <w:szCs w:val="22"/>
                <w:lang w:val="pl-PL"/>
              </w:rPr>
              <w:t xml:space="preserve"> peroralno, 1.-20. dan</w:t>
            </w:r>
          </w:p>
        </w:tc>
      </w:tr>
      <w:tr w:rsidR="00266FD9" w:rsidRPr="004A59B1" w14:paraId="52979A51" w14:textId="77777777" w:rsidTr="008F282C">
        <w:trPr>
          <w:cantSplit/>
        </w:trPr>
        <w:tc>
          <w:tcPr>
            <w:tcW w:w="2148" w:type="dxa"/>
            <w:tcBorders>
              <w:top w:val="single" w:sz="4" w:space="0" w:color="auto"/>
              <w:bottom w:val="single" w:sz="4" w:space="0" w:color="auto"/>
            </w:tcBorders>
            <w:shd w:val="clear" w:color="auto" w:fill="auto"/>
          </w:tcPr>
          <w:p w14:paraId="52979A4E" w14:textId="77777777" w:rsidR="00266FD9" w:rsidRPr="004A59B1" w:rsidRDefault="00266FD9" w:rsidP="009C1193">
            <w:pPr>
              <w:pStyle w:val="Table"/>
              <w:keepNext w:val="0"/>
              <w:widowControl w:val="0"/>
              <w:spacing w:before="0" w:after="0"/>
              <w:rPr>
                <w:rFonts w:ascii="Times New Roman" w:hAnsi="Times New Roman"/>
                <w:color w:val="000000"/>
                <w:sz w:val="22"/>
                <w:szCs w:val="22"/>
              </w:rPr>
            </w:pPr>
            <w:r w:rsidRPr="004A59B1">
              <w:rPr>
                <w:rFonts w:ascii="Times New Roman" w:hAnsi="Times New Roman"/>
                <w:color w:val="000000"/>
                <w:sz w:val="22"/>
                <w:szCs w:val="22"/>
                <w:lang w:val="de-DE"/>
              </w:rPr>
              <w:t xml:space="preserve">konsolidacijska terapija </w:t>
            </w:r>
            <w:r w:rsidRPr="004A59B1">
              <w:rPr>
                <w:rFonts w:ascii="Times New Roman" w:hAnsi="Times New Roman"/>
                <w:color w:val="000000"/>
                <w:sz w:val="22"/>
                <w:szCs w:val="22"/>
              </w:rPr>
              <w:t>II, IV</w:t>
            </w:r>
          </w:p>
        </w:tc>
        <w:tc>
          <w:tcPr>
            <w:tcW w:w="6732" w:type="dxa"/>
            <w:gridSpan w:val="4"/>
            <w:tcBorders>
              <w:top w:val="single" w:sz="4" w:space="0" w:color="auto"/>
              <w:bottom w:val="single" w:sz="4" w:space="0" w:color="auto"/>
            </w:tcBorders>
            <w:shd w:val="clear" w:color="auto" w:fill="auto"/>
          </w:tcPr>
          <w:p w14:paraId="52979A4F" w14:textId="77777777" w:rsidR="00E349F7" w:rsidRPr="004A59B1" w:rsidRDefault="00266FD9" w:rsidP="009C1193">
            <w:pPr>
              <w:pStyle w:val="Table"/>
              <w:keepNext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Ara-C 75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(1 ura), 1.-5. dan;</w:t>
            </w:r>
          </w:p>
          <w:p w14:paraId="52979A50" w14:textId="77777777" w:rsidR="00266FD9" w:rsidRPr="004A59B1" w:rsidRDefault="00266FD9" w:rsidP="009C1193">
            <w:pPr>
              <w:pStyle w:val="Table"/>
              <w:keepNext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VM26 60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(1 ura), 1.-5. dan</w:t>
            </w:r>
          </w:p>
        </w:tc>
      </w:tr>
      <w:tr w:rsidR="00266FD9" w:rsidRPr="004A59B1" w14:paraId="52979A57" w14:textId="77777777" w:rsidTr="008F282C">
        <w:trPr>
          <w:cantSplit/>
        </w:trPr>
        <w:tc>
          <w:tcPr>
            <w:tcW w:w="2148" w:type="dxa"/>
            <w:tcBorders>
              <w:top w:val="single" w:sz="4" w:space="0" w:color="auto"/>
              <w:bottom w:val="single" w:sz="4" w:space="0" w:color="auto"/>
            </w:tcBorders>
            <w:shd w:val="clear" w:color="auto" w:fill="auto"/>
          </w:tcPr>
          <w:p w14:paraId="52979A52" w14:textId="77777777" w:rsidR="00266FD9" w:rsidRPr="004A59B1" w:rsidRDefault="00266FD9" w:rsidP="009C1193">
            <w:pPr>
              <w:pStyle w:val="Table"/>
              <w:widowControl w:val="0"/>
              <w:spacing w:before="0" w:after="0"/>
              <w:rPr>
                <w:rFonts w:ascii="Times New Roman" w:hAnsi="Times New Roman"/>
                <w:b/>
                <w:color w:val="000000"/>
                <w:sz w:val="22"/>
                <w:szCs w:val="22"/>
              </w:rPr>
            </w:pPr>
            <w:r w:rsidRPr="004A59B1">
              <w:rPr>
                <w:rFonts w:ascii="Times New Roman" w:hAnsi="Times New Roman"/>
                <w:b/>
                <w:color w:val="000000"/>
                <w:sz w:val="22"/>
                <w:szCs w:val="22"/>
                <w:lang w:val="pt-BR"/>
              </w:rPr>
              <w:t xml:space="preserve">Študija </w:t>
            </w:r>
            <w:r w:rsidRPr="004A59B1">
              <w:rPr>
                <w:rFonts w:ascii="Times New Roman" w:hAnsi="Times New Roman"/>
                <w:b/>
                <w:color w:val="000000"/>
                <w:sz w:val="22"/>
                <w:szCs w:val="22"/>
              </w:rPr>
              <w:t>AAU02</w:t>
            </w:r>
          </w:p>
        </w:tc>
        <w:tc>
          <w:tcPr>
            <w:tcW w:w="2652" w:type="dxa"/>
            <w:tcBorders>
              <w:top w:val="single" w:sz="4" w:space="0" w:color="auto"/>
              <w:bottom w:val="single" w:sz="4" w:space="0" w:color="auto"/>
            </w:tcBorders>
            <w:shd w:val="clear" w:color="auto" w:fill="auto"/>
          </w:tcPr>
          <w:p w14:paraId="52979A53" w14:textId="77777777" w:rsidR="00266FD9" w:rsidRPr="004A59B1" w:rsidRDefault="00266FD9" w:rsidP="009C1193">
            <w:pPr>
              <w:pStyle w:val="Table"/>
              <w:widowControl w:val="0"/>
              <w:spacing w:before="0" w:after="0"/>
              <w:rPr>
                <w:rFonts w:ascii="Times New Roman" w:hAnsi="Times New Roman"/>
                <w:color w:val="000000"/>
                <w:sz w:val="22"/>
                <w:szCs w:val="22"/>
              </w:rPr>
            </w:pPr>
          </w:p>
        </w:tc>
        <w:tc>
          <w:tcPr>
            <w:tcW w:w="1080" w:type="dxa"/>
            <w:tcBorders>
              <w:top w:val="single" w:sz="4" w:space="0" w:color="auto"/>
              <w:bottom w:val="single" w:sz="4" w:space="0" w:color="auto"/>
            </w:tcBorders>
          </w:tcPr>
          <w:p w14:paraId="52979A54" w14:textId="77777777" w:rsidR="00266FD9" w:rsidRPr="004A59B1" w:rsidRDefault="00266FD9" w:rsidP="009C1193">
            <w:pPr>
              <w:pStyle w:val="Table"/>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52979A55" w14:textId="77777777" w:rsidR="00266FD9" w:rsidRPr="004A59B1" w:rsidRDefault="00266FD9" w:rsidP="009C1193">
            <w:pPr>
              <w:pStyle w:val="Table"/>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52979A56" w14:textId="77777777" w:rsidR="00266FD9" w:rsidRPr="004A59B1" w:rsidRDefault="00266FD9" w:rsidP="009C1193">
            <w:pPr>
              <w:pStyle w:val="Table"/>
              <w:widowControl w:val="0"/>
              <w:spacing w:before="0" w:after="0"/>
              <w:rPr>
                <w:rFonts w:ascii="Times New Roman" w:hAnsi="Times New Roman"/>
                <w:color w:val="000000"/>
                <w:sz w:val="22"/>
                <w:szCs w:val="22"/>
              </w:rPr>
            </w:pPr>
          </w:p>
        </w:tc>
      </w:tr>
      <w:tr w:rsidR="00266FD9" w:rsidRPr="003B6568" w14:paraId="52979A61" w14:textId="77777777" w:rsidTr="008F282C">
        <w:trPr>
          <w:cantSplit/>
        </w:trPr>
        <w:tc>
          <w:tcPr>
            <w:tcW w:w="2148" w:type="dxa"/>
            <w:tcBorders>
              <w:top w:val="single" w:sz="4" w:space="0" w:color="auto"/>
              <w:bottom w:val="single" w:sz="4" w:space="0" w:color="auto"/>
            </w:tcBorders>
            <w:shd w:val="clear" w:color="auto" w:fill="auto"/>
          </w:tcPr>
          <w:p w14:paraId="52979A58" w14:textId="77777777" w:rsidR="00266FD9" w:rsidRPr="004A59B1" w:rsidRDefault="00266FD9" w:rsidP="009C1193">
            <w:pPr>
              <w:pStyle w:val="Table"/>
              <w:keepNext w:val="0"/>
              <w:widowControl w:val="0"/>
              <w:spacing w:before="0" w:after="0"/>
              <w:rPr>
                <w:rFonts w:ascii="Times New Roman" w:hAnsi="Times New Roman"/>
                <w:color w:val="000000"/>
                <w:sz w:val="22"/>
                <w:szCs w:val="22"/>
                <w:lang w:val="en-GB"/>
              </w:rPr>
            </w:pPr>
            <w:r w:rsidRPr="004A59B1">
              <w:rPr>
                <w:rFonts w:ascii="Times New Roman" w:hAnsi="Times New Roman"/>
                <w:color w:val="000000"/>
                <w:sz w:val="22"/>
                <w:szCs w:val="22"/>
                <w:lang w:val="en-GB"/>
              </w:rPr>
              <w:t>indukcijsko zdravljenje (novo odkrita Ph+ ALL)</w:t>
            </w:r>
          </w:p>
        </w:tc>
        <w:tc>
          <w:tcPr>
            <w:tcW w:w="6732" w:type="dxa"/>
            <w:gridSpan w:val="4"/>
            <w:tcBorders>
              <w:top w:val="single" w:sz="4" w:space="0" w:color="auto"/>
              <w:bottom w:val="single" w:sz="4" w:space="0" w:color="auto"/>
            </w:tcBorders>
            <w:shd w:val="clear" w:color="auto" w:fill="auto"/>
          </w:tcPr>
          <w:p w14:paraId="52979A59" w14:textId="77777777" w:rsidR="00E349F7" w:rsidRPr="004A59B1" w:rsidRDefault="00266FD9" w:rsidP="009C1193">
            <w:pPr>
              <w:pStyle w:val="Table"/>
              <w:keepNext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daunorubicin 30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1.-3., 15.-16. dan;</w:t>
            </w:r>
          </w:p>
          <w:p w14:paraId="52979A5A" w14:textId="77777777" w:rsidR="00E349F7" w:rsidRPr="004A59B1" w:rsidRDefault="00266FD9" w:rsidP="009C1193">
            <w:pPr>
              <w:pStyle w:val="Table"/>
              <w:keepNext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VCR skupni odmerek 2 mg i.v., 1., 8., 15., 22. dan;</w:t>
            </w:r>
          </w:p>
          <w:p w14:paraId="52979A5B" w14:textId="77777777" w:rsidR="00E349F7" w:rsidRPr="004A59B1" w:rsidRDefault="00266FD9" w:rsidP="009C1193">
            <w:pPr>
              <w:pStyle w:val="Table"/>
              <w:keepNext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CP 750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1., 8. dan;</w:t>
            </w:r>
          </w:p>
          <w:p w14:paraId="52979A5C" w14:textId="77777777" w:rsidR="00E349F7" w:rsidRPr="004A59B1" w:rsidRDefault="00266FD9" w:rsidP="009C1193">
            <w:pPr>
              <w:pStyle w:val="Table"/>
              <w:keepNext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prednizon 60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peroralno, 1.-7., 15.-21. dan;</w:t>
            </w:r>
          </w:p>
          <w:p w14:paraId="52979A5D" w14:textId="77777777" w:rsidR="00E349F7" w:rsidRPr="004A59B1" w:rsidRDefault="00266FD9" w:rsidP="009C1193">
            <w:pPr>
              <w:pStyle w:val="Table"/>
              <w:keepNext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IDA 9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peroralno, 1.-28. dan;</w:t>
            </w:r>
          </w:p>
          <w:p w14:paraId="52979A5E" w14:textId="77777777" w:rsidR="00E349F7" w:rsidRPr="004A59B1" w:rsidRDefault="00266FD9" w:rsidP="009C1193">
            <w:pPr>
              <w:pStyle w:val="Table"/>
              <w:keepNext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MTX 15 mg intratekalno,1., 8., 15., 22. dan;</w:t>
            </w:r>
          </w:p>
          <w:p w14:paraId="52979A5F" w14:textId="77777777" w:rsidR="00E349F7" w:rsidRPr="004A59B1" w:rsidRDefault="00266FD9" w:rsidP="009C1193">
            <w:pPr>
              <w:pStyle w:val="Table"/>
              <w:keepNext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Ara-C 40 mg intratekalno, 1., 8., 15., 22. dan;</w:t>
            </w:r>
          </w:p>
          <w:p w14:paraId="52979A60" w14:textId="77777777" w:rsidR="00266FD9" w:rsidRPr="002227FB" w:rsidRDefault="00266FD9" w:rsidP="009C1193">
            <w:pPr>
              <w:pStyle w:val="Table"/>
              <w:keepNext w:val="0"/>
              <w:widowControl w:val="0"/>
              <w:spacing w:before="0" w:after="0"/>
              <w:rPr>
                <w:rFonts w:ascii="Times New Roman" w:hAnsi="Times New Roman"/>
                <w:color w:val="000000"/>
                <w:sz w:val="22"/>
                <w:szCs w:val="22"/>
                <w:lang w:val="es-ES"/>
              </w:rPr>
            </w:pPr>
            <w:r w:rsidRPr="002227FB">
              <w:rPr>
                <w:rFonts w:ascii="Times New Roman" w:hAnsi="Times New Roman"/>
                <w:color w:val="000000"/>
                <w:sz w:val="22"/>
                <w:szCs w:val="22"/>
                <w:lang w:val="es-ES"/>
              </w:rPr>
              <w:t>metilprednizolon 40 mg intratekalno, 1., 8., 15., 22. dan</w:t>
            </w:r>
          </w:p>
        </w:tc>
      </w:tr>
      <w:tr w:rsidR="00266FD9" w:rsidRPr="004A59B1" w14:paraId="52979A67" w14:textId="77777777" w:rsidTr="008F282C">
        <w:trPr>
          <w:cantSplit/>
        </w:trPr>
        <w:tc>
          <w:tcPr>
            <w:tcW w:w="2148" w:type="dxa"/>
            <w:tcBorders>
              <w:top w:val="single" w:sz="4" w:space="0" w:color="auto"/>
              <w:bottom w:val="single" w:sz="4" w:space="0" w:color="auto"/>
            </w:tcBorders>
            <w:shd w:val="clear" w:color="auto" w:fill="auto"/>
          </w:tcPr>
          <w:p w14:paraId="52979A62" w14:textId="77777777" w:rsidR="00266FD9" w:rsidRPr="004A59B1" w:rsidRDefault="00266FD9" w:rsidP="009C1193">
            <w:pPr>
              <w:pStyle w:val="Table"/>
              <w:keepNext w:val="0"/>
              <w:widowControl w:val="0"/>
              <w:spacing w:before="0" w:after="0"/>
              <w:rPr>
                <w:rFonts w:ascii="Times New Roman" w:hAnsi="Times New Roman"/>
                <w:color w:val="000000"/>
                <w:sz w:val="22"/>
                <w:szCs w:val="22"/>
                <w:lang w:val="de-CH"/>
              </w:rPr>
            </w:pPr>
            <w:r w:rsidRPr="004A59B1">
              <w:rPr>
                <w:rFonts w:ascii="Times New Roman" w:hAnsi="Times New Roman"/>
                <w:color w:val="000000"/>
                <w:sz w:val="22"/>
                <w:szCs w:val="22"/>
                <w:lang w:val="de-CH"/>
              </w:rPr>
              <w:t>konsolidacija (novo odkrita Ph+ ALL)</w:t>
            </w:r>
          </w:p>
        </w:tc>
        <w:tc>
          <w:tcPr>
            <w:tcW w:w="6732" w:type="dxa"/>
            <w:gridSpan w:val="4"/>
            <w:tcBorders>
              <w:top w:val="single" w:sz="4" w:space="0" w:color="auto"/>
              <w:bottom w:val="single" w:sz="4" w:space="0" w:color="auto"/>
            </w:tcBorders>
            <w:shd w:val="clear" w:color="auto" w:fill="auto"/>
          </w:tcPr>
          <w:p w14:paraId="52979A63" w14:textId="77777777" w:rsidR="00E349F7" w:rsidRPr="004A59B1" w:rsidRDefault="00266FD9" w:rsidP="009C1193">
            <w:pPr>
              <w:pStyle w:val="Table"/>
              <w:keepNext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Ara-C 1.000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/12 ur i.v.(3 ure), 1.-4. dan;</w:t>
            </w:r>
          </w:p>
          <w:p w14:paraId="52979A64" w14:textId="77777777" w:rsidR="00E349F7" w:rsidRPr="004A59B1" w:rsidRDefault="00266FD9" w:rsidP="009C1193">
            <w:pPr>
              <w:pStyle w:val="Table"/>
              <w:keepNext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mitoksantron 10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3.-5. dan;</w:t>
            </w:r>
          </w:p>
          <w:p w14:paraId="52979A65" w14:textId="77777777" w:rsidR="00E349F7" w:rsidRPr="004A59B1" w:rsidRDefault="00266FD9" w:rsidP="009C1193">
            <w:pPr>
              <w:pStyle w:val="Table"/>
              <w:keepNext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MTX 15 mg intratekalno, 1.dan;</w:t>
            </w:r>
          </w:p>
          <w:p w14:paraId="52979A66" w14:textId="77777777" w:rsidR="00266FD9" w:rsidRPr="004A59B1" w:rsidRDefault="00266FD9" w:rsidP="009C1193">
            <w:pPr>
              <w:pStyle w:val="Table"/>
              <w:keepNext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metilprednizolon 40 mg intratekalno, 1. dan</w:t>
            </w:r>
          </w:p>
        </w:tc>
      </w:tr>
      <w:tr w:rsidR="00266FD9" w:rsidRPr="004A59B1" w14:paraId="52979A6C" w14:textId="77777777" w:rsidTr="008F282C">
        <w:trPr>
          <w:cantSplit/>
        </w:trPr>
        <w:tc>
          <w:tcPr>
            <w:tcW w:w="4800" w:type="dxa"/>
            <w:gridSpan w:val="2"/>
            <w:tcBorders>
              <w:top w:val="single" w:sz="4" w:space="0" w:color="auto"/>
              <w:bottom w:val="single" w:sz="4" w:space="0" w:color="auto"/>
            </w:tcBorders>
            <w:shd w:val="clear" w:color="auto" w:fill="auto"/>
          </w:tcPr>
          <w:p w14:paraId="52979A68" w14:textId="77777777" w:rsidR="00266FD9" w:rsidRPr="004A59B1" w:rsidRDefault="00266FD9" w:rsidP="009C1193">
            <w:pPr>
              <w:pStyle w:val="Table"/>
              <w:widowControl w:val="0"/>
              <w:spacing w:before="0" w:after="0"/>
              <w:rPr>
                <w:rFonts w:ascii="Times New Roman" w:hAnsi="Times New Roman"/>
                <w:b/>
                <w:color w:val="000000"/>
                <w:sz w:val="22"/>
                <w:szCs w:val="22"/>
              </w:rPr>
            </w:pPr>
            <w:r w:rsidRPr="004A59B1">
              <w:rPr>
                <w:rFonts w:ascii="Times New Roman" w:hAnsi="Times New Roman"/>
                <w:b/>
                <w:color w:val="000000"/>
                <w:sz w:val="22"/>
                <w:szCs w:val="22"/>
                <w:lang w:val="de-DE"/>
              </w:rPr>
              <w:lastRenderedPageBreak/>
              <w:t>Študija</w:t>
            </w:r>
            <w:r w:rsidRPr="004A59B1">
              <w:rPr>
                <w:rFonts w:ascii="Times New Roman" w:hAnsi="Times New Roman"/>
                <w:b/>
                <w:color w:val="000000"/>
                <w:sz w:val="22"/>
                <w:szCs w:val="22"/>
              </w:rPr>
              <w:t xml:space="preserve"> ADE04</w:t>
            </w:r>
          </w:p>
        </w:tc>
        <w:tc>
          <w:tcPr>
            <w:tcW w:w="1080" w:type="dxa"/>
            <w:tcBorders>
              <w:top w:val="single" w:sz="4" w:space="0" w:color="auto"/>
              <w:bottom w:val="single" w:sz="4" w:space="0" w:color="auto"/>
            </w:tcBorders>
          </w:tcPr>
          <w:p w14:paraId="52979A69" w14:textId="77777777" w:rsidR="00266FD9" w:rsidRPr="004A59B1" w:rsidRDefault="00266FD9" w:rsidP="009C1193">
            <w:pPr>
              <w:pStyle w:val="Table"/>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52979A6A" w14:textId="77777777" w:rsidR="00266FD9" w:rsidRPr="004A59B1" w:rsidRDefault="00266FD9" w:rsidP="009C1193">
            <w:pPr>
              <w:pStyle w:val="Table"/>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52979A6B" w14:textId="77777777" w:rsidR="00266FD9" w:rsidRPr="004A59B1" w:rsidRDefault="00266FD9" w:rsidP="009C1193">
            <w:pPr>
              <w:pStyle w:val="Table"/>
              <w:widowControl w:val="0"/>
              <w:spacing w:before="0" w:after="0"/>
              <w:rPr>
                <w:rFonts w:ascii="Times New Roman" w:hAnsi="Times New Roman"/>
                <w:color w:val="000000"/>
                <w:sz w:val="22"/>
                <w:szCs w:val="22"/>
              </w:rPr>
            </w:pPr>
          </w:p>
        </w:tc>
      </w:tr>
      <w:tr w:rsidR="00266FD9" w:rsidRPr="004A59B1" w14:paraId="52979A71" w14:textId="77777777" w:rsidTr="008F282C">
        <w:trPr>
          <w:cantSplit/>
        </w:trPr>
        <w:tc>
          <w:tcPr>
            <w:tcW w:w="2148" w:type="dxa"/>
            <w:tcBorders>
              <w:top w:val="single" w:sz="4" w:space="0" w:color="auto"/>
              <w:bottom w:val="single" w:sz="4" w:space="0" w:color="auto"/>
            </w:tcBorders>
            <w:shd w:val="clear" w:color="auto" w:fill="auto"/>
          </w:tcPr>
          <w:p w14:paraId="52979A6D" w14:textId="77777777" w:rsidR="00266FD9" w:rsidRPr="004A59B1" w:rsidRDefault="00266FD9" w:rsidP="009C1193">
            <w:pPr>
              <w:pStyle w:val="Table"/>
              <w:keepNext w:val="0"/>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predhodna faza</w:t>
            </w:r>
          </w:p>
        </w:tc>
        <w:tc>
          <w:tcPr>
            <w:tcW w:w="6732" w:type="dxa"/>
            <w:gridSpan w:val="4"/>
            <w:tcBorders>
              <w:top w:val="single" w:sz="4" w:space="0" w:color="auto"/>
              <w:bottom w:val="single" w:sz="4" w:space="0" w:color="auto"/>
            </w:tcBorders>
            <w:shd w:val="clear" w:color="auto" w:fill="auto"/>
          </w:tcPr>
          <w:p w14:paraId="52979A6E" w14:textId="77777777" w:rsidR="00A62537" w:rsidRPr="004A59B1" w:rsidRDefault="00266FD9" w:rsidP="009C1193">
            <w:pPr>
              <w:pStyle w:val="Table"/>
              <w:keepNext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DEX 10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peroralno, 1.-5. dan;</w:t>
            </w:r>
          </w:p>
          <w:p w14:paraId="52979A6F" w14:textId="77777777" w:rsidR="00A62537" w:rsidRPr="004A59B1" w:rsidRDefault="00266FD9" w:rsidP="009C1193">
            <w:pPr>
              <w:pStyle w:val="Table"/>
              <w:keepNext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CP 200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3.-5. dan;</w:t>
            </w:r>
          </w:p>
          <w:p w14:paraId="52979A70" w14:textId="77777777" w:rsidR="00266FD9" w:rsidRPr="004A59B1" w:rsidRDefault="00266FD9" w:rsidP="009C1193">
            <w:pPr>
              <w:pStyle w:val="Table"/>
              <w:keepNext w:val="0"/>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MTX 15 mg intratekalno, 1. dan</w:t>
            </w:r>
          </w:p>
        </w:tc>
      </w:tr>
      <w:tr w:rsidR="00266FD9" w:rsidRPr="003B6568" w14:paraId="52979A76" w14:textId="77777777" w:rsidTr="008F282C">
        <w:trPr>
          <w:cantSplit/>
        </w:trPr>
        <w:tc>
          <w:tcPr>
            <w:tcW w:w="2148" w:type="dxa"/>
            <w:tcBorders>
              <w:top w:val="single" w:sz="4" w:space="0" w:color="auto"/>
              <w:bottom w:val="single" w:sz="4" w:space="0" w:color="auto"/>
            </w:tcBorders>
            <w:shd w:val="clear" w:color="auto" w:fill="auto"/>
          </w:tcPr>
          <w:p w14:paraId="52979A72" w14:textId="77777777" w:rsidR="00266FD9" w:rsidRPr="004A59B1" w:rsidRDefault="00266FD9" w:rsidP="009C1193">
            <w:pPr>
              <w:pStyle w:val="Table"/>
              <w:keepNext w:val="0"/>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indukcijsko zdravljenje I</w:t>
            </w:r>
          </w:p>
        </w:tc>
        <w:tc>
          <w:tcPr>
            <w:tcW w:w="6732" w:type="dxa"/>
            <w:gridSpan w:val="4"/>
            <w:tcBorders>
              <w:top w:val="single" w:sz="4" w:space="0" w:color="auto"/>
              <w:bottom w:val="single" w:sz="4" w:space="0" w:color="auto"/>
            </w:tcBorders>
            <w:shd w:val="clear" w:color="auto" w:fill="auto"/>
          </w:tcPr>
          <w:p w14:paraId="52979A73" w14:textId="77777777" w:rsidR="00A62537" w:rsidRPr="004A59B1" w:rsidRDefault="00266FD9" w:rsidP="009C1193">
            <w:pPr>
              <w:pStyle w:val="Table"/>
              <w:keepNext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DEX 10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peroralno, 1.-5. dan;</w:t>
            </w:r>
          </w:p>
          <w:p w14:paraId="52979A74" w14:textId="77777777" w:rsidR="00A62537" w:rsidRPr="004A59B1" w:rsidRDefault="00266FD9" w:rsidP="009C1193">
            <w:pPr>
              <w:pStyle w:val="Table"/>
              <w:keepNext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VCR 2 mg i.v., 6., 13., 20. dan;</w:t>
            </w:r>
          </w:p>
          <w:p w14:paraId="52979A75" w14:textId="77777777" w:rsidR="00266FD9" w:rsidRPr="004A59B1" w:rsidRDefault="00266FD9" w:rsidP="009C1193">
            <w:pPr>
              <w:pStyle w:val="Table"/>
              <w:keepNext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daunorubicin 45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6.-7., 13.-14. dan</w:t>
            </w:r>
          </w:p>
        </w:tc>
      </w:tr>
      <w:tr w:rsidR="00266FD9" w:rsidRPr="004A59B1" w14:paraId="52979A7B" w14:textId="77777777" w:rsidTr="008F282C">
        <w:trPr>
          <w:cantSplit/>
        </w:trPr>
        <w:tc>
          <w:tcPr>
            <w:tcW w:w="2148" w:type="dxa"/>
            <w:tcBorders>
              <w:top w:val="single" w:sz="4" w:space="0" w:color="auto"/>
              <w:bottom w:val="single" w:sz="4" w:space="0" w:color="auto"/>
            </w:tcBorders>
            <w:shd w:val="clear" w:color="auto" w:fill="auto"/>
          </w:tcPr>
          <w:p w14:paraId="52979A77" w14:textId="77777777" w:rsidR="00266FD9" w:rsidRPr="004A59B1" w:rsidRDefault="00266FD9" w:rsidP="009C1193">
            <w:pPr>
              <w:pStyle w:val="Table"/>
              <w:keepNext w:val="0"/>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indukcijsko zdravljenje II</w:t>
            </w:r>
          </w:p>
        </w:tc>
        <w:tc>
          <w:tcPr>
            <w:tcW w:w="6732" w:type="dxa"/>
            <w:gridSpan w:val="4"/>
            <w:tcBorders>
              <w:top w:val="single" w:sz="4" w:space="0" w:color="auto"/>
              <w:bottom w:val="single" w:sz="4" w:space="0" w:color="auto"/>
            </w:tcBorders>
            <w:shd w:val="clear" w:color="auto" w:fill="auto"/>
          </w:tcPr>
          <w:p w14:paraId="52979A78" w14:textId="77777777" w:rsidR="00A62537" w:rsidRPr="004A59B1" w:rsidRDefault="00266FD9" w:rsidP="009C1193">
            <w:pPr>
              <w:pStyle w:val="Table"/>
              <w:keepNext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CP 1 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(1 ura), 26., 46. dan;</w:t>
            </w:r>
          </w:p>
          <w:p w14:paraId="52979A79" w14:textId="77777777" w:rsidR="00A62537" w:rsidRPr="004A59B1" w:rsidRDefault="00266FD9" w:rsidP="009C1193">
            <w:pPr>
              <w:pStyle w:val="Table"/>
              <w:keepNext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Ara-C 75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(1 ura), 28.-31., 35.-38., 42.-45. dan;</w:t>
            </w:r>
          </w:p>
          <w:p w14:paraId="52979A7A" w14:textId="77777777" w:rsidR="00266FD9" w:rsidRPr="004A59B1" w:rsidRDefault="00266FD9" w:rsidP="009C1193">
            <w:pPr>
              <w:pStyle w:val="Table"/>
              <w:keepNext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6-MP 60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peroralno, 26.-46. dan</w:t>
            </w:r>
          </w:p>
        </w:tc>
      </w:tr>
      <w:tr w:rsidR="00266FD9" w:rsidRPr="004A59B1" w14:paraId="52979A82" w14:textId="77777777" w:rsidTr="008F282C">
        <w:trPr>
          <w:cantSplit/>
        </w:trPr>
        <w:tc>
          <w:tcPr>
            <w:tcW w:w="2148" w:type="dxa"/>
            <w:tcBorders>
              <w:top w:val="nil"/>
              <w:bottom w:val="single" w:sz="4" w:space="0" w:color="auto"/>
            </w:tcBorders>
            <w:shd w:val="clear" w:color="auto" w:fill="auto"/>
          </w:tcPr>
          <w:p w14:paraId="52979A7C" w14:textId="77777777" w:rsidR="00266FD9" w:rsidRPr="004A59B1" w:rsidRDefault="00266FD9" w:rsidP="009C1193">
            <w:pPr>
              <w:pStyle w:val="Table"/>
              <w:keepNext w:val="0"/>
              <w:widowControl w:val="0"/>
              <w:spacing w:before="0" w:after="0"/>
              <w:rPr>
                <w:rFonts w:ascii="Times New Roman" w:hAnsi="Times New Roman"/>
                <w:color w:val="000000"/>
                <w:sz w:val="22"/>
                <w:szCs w:val="22"/>
              </w:rPr>
            </w:pPr>
            <w:r w:rsidRPr="004A59B1">
              <w:rPr>
                <w:rFonts w:ascii="Times New Roman" w:hAnsi="Times New Roman"/>
                <w:color w:val="000000"/>
                <w:sz w:val="22"/>
                <w:szCs w:val="22"/>
                <w:lang w:val="pl-PL"/>
              </w:rPr>
              <w:t>k</w:t>
            </w:r>
            <w:r w:rsidRPr="004A59B1">
              <w:rPr>
                <w:rFonts w:ascii="Times New Roman" w:hAnsi="Times New Roman"/>
                <w:color w:val="000000"/>
                <w:sz w:val="22"/>
                <w:szCs w:val="22"/>
              </w:rPr>
              <w:t>onsolidacijsko zdravljenje</w:t>
            </w:r>
          </w:p>
        </w:tc>
        <w:tc>
          <w:tcPr>
            <w:tcW w:w="6732" w:type="dxa"/>
            <w:gridSpan w:val="4"/>
            <w:tcBorders>
              <w:top w:val="nil"/>
              <w:bottom w:val="single" w:sz="4" w:space="0" w:color="auto"/>
            </w:tcBorders>
            <w:shd w:val="clear" w:color="auto" w:fill="auto"/>
          </w:tcPr>
          <w:p w14:paraId="52979A7D" w14:textId="77777777" w:rsidR="00A62537" w:rsidRPr="004A59B1" w:rsidRDefault="00266FD9" w:rsidP="009C1193">
            <w:pPr>
              <w:pStyle w:val="Table"/>
              <w:keepNext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DEX 10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peroralno, 1.-5. dan;</w:t>
            </w:r>
          </w:p>
          <w:p w14:paraId="52979A7E" w14:textId="77777777" w:rsidR="00A62537" w:rsidRPr="004A59B1" w:rsidRDefault="00266FD9" w:rsidP="009C1193">
            <w:pPr>
              <w:pStyle w:val="Table"/>
              <w:keepNext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vindezin 3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1. dan;</w:t>
            </w:r>
          </w:p>
          <w:p w14:paraId="52979A7F" w14:textId="77777777" w:rsidR="00A62537" w:rsidRPr="004A59B1" w:rsidRDefault="00266FD9" w:rsidP="009C1193">
            <w:pPr>
              <w:pStyle w:val="Table"/>
              <w:keepNext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MTX 1,5 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(24 ur), 1. dan;</w:t>
            </w:r>
          </w:p>
          <w:p w14:paraId="52979A80" w14:textId="77777777" w:rsidR="00A62537" w:rsidRPr="004A59B1" w:rsidRDefault="00266FD9" w:rsidP="009C1193">
            <w:pPr>
              <w:pStyle w:val="Table"/>
              <w:keepNext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etopozid 250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(1 ura) 4.-5. dan;</w:t>
            </w:r>
          </w:p>
          <w:p w14:paraId="52979A81" w14:textId="77777777" w:rsidR="00266FD9" w:rsidRPr="004A59B1" w:rsidRDefault="00266FD9" w:rsidP="009C1193">
            <w:pPr>
              <w:pStyle w:val="Table"/>
              <w:keepNext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Ara-C 2x 2 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(3 ure, na 12 ur), 5. dan</w:t>
            </w:r>
          </w:p>
        </w:tc>
      </w:tr>
      <w:tr w:rsidR="00266FD9" w:rsidRPr="004A59B1" w14:paraId="52979A88" w14:textId="77777777" w:rsidTr="008F282C">
        <w:trPr>
          <w:cantSplit/>
        </w:trPr>
        <w:tc>
          <w:tcPr>
            <w:tcW w:w="2148" w:type="dxa"/>
            <w:tcBorders>
              <w:top w:val="nil"/>
              <w:bottom w:val="single" w:sz="4" w:space="0" w:color="auto"/>
            </w:tcBorders>
            <w:shd w:val="clear" w:color="auto" w:fill="auto"/>
          </w:tcPr>
          <w:p w14:paraId="52979A83" w14:textId="77777777" w:rsidR="00266FD9" w:rsidRPr="004A59B1" w:rsidRDefault="00266FD9" w:rsidP="009C1193">
            <w:pPr>
              <w:pStyle w:val="Table"/>
              <w:widowControl w:val="0"/>
              <w:spacing w:before="0" w:after="0"/>
              <w:rPr>
                <w:rFonts w:ascii="Times New Roman" w:hAnsi="Times New Roman"/>
                <w:b/>
                <w:color w:val="000000"/>
                <w:sz w:val="22"/>
                <w:szCs w:val="22"/>
              </w:rPr>
            </w:pPr>
            <w:r w:rsidRPr="004A59B1">
              <w:rPr>
                <w:rFonts w:ascii="Times New Roman" w:hAnsi="Times New Roman"/>
                <w:b/>
                <w:color w:val="000000"/>
                <w:sz w:val="22"/>
                <w:szCs w:val="22"/>
              </w:rPr>
              <w:t>Študija AJP01</w:t>
            </w:r>
          </w:p>
        </w:tc>
        <w:tc>
          <w:tcPr>
            <w:tcW w:w="2652" w:type="dxa"/>
            <w:tcBorders>
              <w:top w:val="nil"/>
              <w:bottom w:val="single" w:sz="4" w:space="0" w:color="auto"/>
            </w:tcBorders>
            <w:shd w:val="clear" w:color="auto" w:fill="auto"/>
          </w:tcPr>
          <w:p w14:paraId="52979A84" w14:textId="77777777" w:rsidR="00266FD9" w:rsidRPr="004A59B1" w:rsidRDefault="00266FD9" w:rsidP="009C1193">
            <w:pPr>
              <w:pStyle w:val="Table"/>
              <w:widowControl w:val="0"/>
              <w:spacing w:before="0" w:after="0"/>
              <w:rPr>
                <w:rFonts w:ascii="Times New Roman" w:hAnsi="Times New Roman"/>
                <w:color w:val="000000"/>
                <w:sz w:val="22"/>
                <w:szCs w:val="22"/>
              </w:rPr>
            </w:pPr>
          </w:p>
        </w:tc>
        <w:tc>
          <w:tcPr>
            <w:tcW w:w="1080" w:type="dxa"/>
            <w:tcBorders>
              <w:top w:val="nil"/>
              <w:bottom w:val="single" w:sz="4" w:space="0" w:color="auto"/>
            </w:tcBorders>
          </w:tcPr>
          <w:p w14:paraId="52979A85" w14:textId="77777777" w:rsidR="00266FD9" w:rsidRPr="004A59B1" w:rsidRDefault="00266FD9" w:rsidP="009C1193">
            <w:pPr>
              <w:pStyle w:val="Table"/>
              <w:widowControl w:val="0"/>
              <w:spacing w:before="0" w:after="0"/>
              <w:rPr>
                <w:rFonts w:ascii="Times New Roman" w:hAnsi="Times New Roman"/>
                <w:color w:val="000000"/>
                <w:sz w:val="22"/>
                <w:szCs w:val="22"/>
              </w:rPr>
            </w:pPr>
          </w:p>
        </w:tc>
        <w:tc>
          <w:tcPr>
            <w:tcW w:w="1380" w:type="dxa"/>
            <w:tcBorders>
              <w:top w:val="nil"/>
              <w:bottom w:val="single" w:sz="4" w:space="0" w:color="auto"/>
            </w:tcBorders>
          </w:tcPr>
          <w:p w14:paraId="52979A86" w14:textId="77777777" w:rsidR="00266FD9" w:rsidRPr="004A59B1" w:rsidRDefault="00266FD9" w:rsidP="009C1193">
            <w:pPr>
              <w:pStyle w:val="Table"/>
              <w:widowControl w:val="0"/>
              <w:spacing w:before="0" w:after="0"/>
              <w:rPr>
                <w:rFonts w:ascii="Times New Roman" w:hAnsi="Times New Roman"/>
                <w:color w:val="000000"/>
                <w:sz w:val="22"/>
                <w:szCs w:val="22"/>
              </w:rPr>
            </w:pPr>
          </w:p>
        </w:tc>
        <w:tc>
          <w:tcPr>
            <w:tcW w:w="1620" w:type="dxa"/>
            <w:tcBorders>
              <w:top w:val="nil"/>
              <w:bottom w:val="single" w:sz="4" w:space="0" w:color="auto"/>
            </w:tcBorders>
          </w:tcPr>
          <w:p w14:paraId="52979A87" w14:textId="77777777" w:rsidR="00266FD9" w:rsidRPr="004A59B1" w:rsidRDefault="00266FD9" w:rsidP="009C1193">
            <w:pPr>
              <w:pStyle w:val="Table"/>
              <w:widowControl w:val="0"/>
              <w:spacing w:before="0" w:after="0"/>
              <w:rPr>
                <w:rFonts w:ascii="Times New Roman" w:hAnsi="Times New Roman"/>
                <w:color w:val="000000"/>
                <w:sz w:val="22"/>
                <w:szCs w:val="22"/>
              </w:rPr>
            </w:pPr>
          </w:p>
        </w:tc>
      </w:tr>
      <w:tr w:rsidR="00266FD9" w:rsidRPr="004A59B1" w14:paraId="52979A8E" w14:textId="77777777" w:rsidTr="008F282C">
        <w:trPr>
          <w:cantSplit/>
        </w:trPr>
        <w:tc>
          <w:tcPr>
            <w:tcW w:w="2148" w:type="dxa"/>
            <w:tcBorders>
              <w:top w:val="nil"/>
              <w:bottom w:val="single" w:sz="4" w:space="0" w:color="auto"/>
            </w:tcBorders>
            <w:shd w:val="clear" w:color="auto" w:fill="auto"/>
          </w:tcPr>
          <w:p w14:paraId="52979A89" w14:textId="77777777" w:rsidR="00266FD9" w:rsidRPr="004A59B1" w:rsidRDefault="00266FD9" w:rsidP="009C1193">
            <w:pPr>
              <w:pStyle w:val="Table"/>
              <w:keepNext w:val="0"/>
              <w:widowControl w:val="0"/>
              <w:spacing w:before="0" w:after="0"/>
              <w:jc w:val="both"/>
              <w:rPr>
                <w:rFonts w:ascii="Times New Roman" w:hAnsi="Times New Roman"/>
                <w:color w:val="000000"/>
                <w:sz w:val="22"/>
                <w:szCs w:val="22"/>
              </w:rPr>
            </w:pPr>
            <w:r w:rsidRPr="004A59B1">
              <w:rPr>
                <w:rFonts w:ascii="Times New Roman" w:hAnsi="Times New Roman"/>
                <w:color w:val="000000"/>
                <w:sz w:val="22"/>
                <w:szCs w:val="22"/>
              </w:rPr>
              <w:t>indukcijsko zdravljenje</w:t>
            </w:r>
          </w:p>
        </w:tc>
        <w:tc>
          <w:tcPr>
            <w:tcW w:w="6732" w:type="dxa"/>
            <w:gridSpan w:val="4"/>
            <w:tcBorders>
              <w:top w:val="nil"/>
              <w:bottom w:val="single" w:sz="4" w:space="0" w:color="auto"/>
            </w:tcBorders>
            <w:shd w:val="clear" w:color="auto" w:fill="auto"/>
          </w:tcPr>
          <w:p w14:paraId="52979A8A" w14:textId="77777777" w:rsidR="00A62537" w:rsidRPr="004A59B1" w:rsidRDefault="00266FD9" w:rsidP="009C1193">
            <w:pPr>
              <w:pStyle w:val="Table"/>
              <w:keepNext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CP 1,2 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(3 ure), 1. dan;</w:t>
            </w:r>
          </w:p>
          <w:p w14:paraId="52979A8B" w14:textId="77777777" w:rsidR="00A62537" w:rsidRPr="004A59B1" w:rsidRDefault="00266FD9" w:rsidP="009C1193">
            <w:pPr>
              <w:pStyle w:val="Table"/>
              <w:keepNext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daunorubicin 60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(1 ura), 1.-3. dan;</w:t>
            </w:r>
          </w:p>
          <w:p w14:paraId="52979A8C" w14:textId="77777777" w:rsidR="00A62537" w:rsidRPr="004A59B1" w:rsidRDefault="00266FD9" w:rsidP="009C1193">
            <w:pPr>
              <w:pStyle w:val="Table"/>
              <w:keepNext w:val="0"/>
              <w:widowControl w:val="0"/>
              <w:spacing w:before="0" w:after="0"/>
              <w:rPr>
                <w:rFonts w:ascii="Times New Roman" w:hAnsi="Times New Roman"/>
                <w:color w:val="000000"/>
                <w:sz w:val="22"/>
                <w:szCs w:val="22"/>
                <w:lang w:val="de-DE"/>
              </w:rPr>
            </w:pPr>
            <w:r w:rsidRPr="004A59B1">
              <w:rPr>
                <w:rFonts w:ascii="Times New Roman" w:hAnsi="Times New Roman"/>
                <w:color w:val="000000"/>
                <w:sz w:val="22"/>
                <w:szCs w:val="22"/>
                <w:lang w:val="de-DE"/>
              </w:rPr>
              <w:t>vinkristin 1,3 mg/m</w:t>
            </w:r>
            <w:r w:rsidRPr="004A59B1">
              <w:rPr>
                <w:rFonts w:ascii="Times New Roman" w:hAnsi="Times New Roman"/>
                <w:color w:val="000000"/>
                <w:sz w:val="22"/>
                <w:szCs w:val="22"/>
                <w:vertAlign w:val="superscript"/>
                <w:lang w:val="de-DE"/>
              </w:rPr>
              <w:t>2</w:t>
            </w:r>
            <w:r w:rsidRPr="004A59B1">
              <w:rPr>
                <w:rFonts w:ascii="Times New Roman" w:hAnsi="Times New Roman"/>
                <w:color w:val="000000"/>
                <w:sz w:val="22"/>
                <w:szCs w:val="22"/>
                <w:lang w:val="de-DE"/>
              </w:rPr>
              <w:t xml:space="preserve"> i.v., 1., 8., 15., 21. dan;</w:t>
            </w:r>
          </w:p>
          <w:p w14:paraId="52979A8D" w14:textId="77777777" w:rsidR="00266FD9" w:rsidRPr="004A59B1" w:rsidRDefault="00266FD9" w:rsidP="009C1193">
            <w:pPr>
              <w:pStyle w:val="Table"/>
              <w:keepNext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prednizolon 60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/dan peroralno</w:t>
            </w:r>
          </w:p>
        </w:tc>
      </w:tr>
      <w:tr w:rsidR="00266FD9" w:rsidRPr="004A59B1" w14:paraId="52979A91" w14:textId="77777777" w:rsidTr="008F282C">
        <w:trPr>
          <w:cantSplit/>
        </w:trPr>
        <w:tc>
          <w:tcPr>
            <w:tcW w:w="2148" w:type="dxa"/>
            <w:tcBorders>
              <w:top w:val="single" w:sz="4" w:space="0" w:color="auto"/>
              <w:bottom w:val="single" w:sz="4" w:space="0" w:color="auto"/>
            </w:tcBorders>
            <w:shd w:val="clear" w:color="auto" w:fill="auto"/>
          </w:tcPr>
          <w:p w14:paraId="52979A8F" w14:textId="77777777" w:rsidR="00266FD9" w:rsidRPr="004A59B1" w:rsidRDefault="00266FD9" w:rsidP="009C1193">
            <w:pPr>
              <w:pStyle w:val="Table"/>
              <w:keepNext w:val="0"/>
              <w:widowControl w:val="0"/>
              <w:tabs>
                <w:tab w:val="left" w:pos="0"/>
              </w:tabs>
              <w:spacing w:before="0" w:after="0"/>
              <w:rPr>
                <w:rFonts w:ascii="Times New Roman" w:hAnsi="Times New Roman"/>
                <w:color w:val="000000"/>
                <w:sz w:val="22"/>
                <w:szCs w:val="22"/>
              </w:rPr>
            </w:pPr>
            <w:r w:rsidRPr="004A59B1">
              <w:rPr>
                <w:rFonts w:ascii="Times New Roman" w:hAnsi="Times New Roman"/>
                <w:color w:val="000000"/>
                <w:sz w:val="22"/>
                <w:szCs w:val="22"/>
              </w:rPr>
              <w:t>konsolidacijsko zdravljenje</w:t>
            </w:r>
          </w:p>
        </w:tc>
        <w:tc>
          <w:tcPr>
            <w:tcW w:w="6732" w:type="dxa"/>
            <w:gridSpan w:val="4"/>
            <w:tcBorders>
              <w:top w:val="single" w:sz="4" w:space="0" w:color="auto"/>
              <w:bottom w:val="single" w:sz="4" w:space="0" w:color="auto"/>
            </w:tcBorders>
            <w:shd w:val="clear" w:color="auto" w:fill="auto"/>
          </w:tcPr>
          <w:p w14:paraId="52979A90" w14:textId="77777777" w:rsidR="00266FD9" w:rsidRPr="004A59B1" w:rsidRDefault="00266FD9" w:rsidP="009C1193">
            <w:pPr>
              <w:pStyle w:val="Table"/>
              <w:keepNext w:val="0"/>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izmenična kemoterapija: visokoodmerna kemoterapija z MTX 1 g/m</w:t>
            </w:r>
            <w:r w:rsidRPr="004A59B1">
              <w:rPr>
                <w:rFonts w:ascii="Times New Roman" w:hAnsi="Times New Roman"/>
                <w:color w:val="000000"/>
                <w:sz w:val="22"/>
                <w:szCs w:val="22"/>
                <w:vertAlign w:val="superscript"/>
              </w:rPr>
              <w:t>2</w:t>
            </w:r>
            <w:r w:rsidRPr="004A59B1">
              <w:rPr>
                <w:rFonts w:ascii="Times New Roman" w:hAnsi="Times New Roman"/>
                <w:color w:val="000000"/>
                <w:sz w:val="22"/>
                <w:szCs w:val="22"/>
              </w:rPr>
              <w:t xml:space="preserve"> i.v. (24 ur), 1.dan in Ara-C 2 g/m</w:t>
            </w:r>
            <w:r w:rsidRPr="004A59B1">
              <w:rPr>
                <w:rFonts w:ascii="Times New Roman" w:hAnsi="Times New Roman"/>
                <w:color w:val="000000"/>
                <w:sz w:val="22"/>
                <w:szCs w:val="22"/>
                <w:vertAlign w:val="superscript"/>
              </w:rPr>
              <w:t>2</w:t>
            </w:r>
            <w:r w:rsidRPr="004A59B1">
              <w:rPr>
                <w:rFonts w:ascii="Times New Roman" w:hAnsi="Times New Roman"/>
                <w:color w:val="000000"/>
                <w:sz w:val="22"/>
                <w:szCs w:val="22"/>
              </w:rPr>
              <w:t xml:space="preserve"> i.v. (na 12 ur), 2.-3. dan, v 4 ciklusih</w:t>
            </w:r>
          </w:p>
        </w:tc>
      </w:tr>
      <w:tr w:rsidR="00266FD9" w:rsidRPr="004A59B1" w14:paraId="52979A95" w14:textId="77777777" w:rsidTr="008F282C">
        <w:trPr>
          <w:cantSplit/>
        </w:trPr>
        <w:tc>
          <w:tcPr>
            <w:tcW w:w="2148" w:type="dxa"/>
            <w:tcBorders>
              <w:top w:val="single" w:sz="4" w:space="0" w:color="auto"/>
              <w:bottom w:val="single" w:sz="4" w:space="0" w:color="auto"/>
            </w:tcBorders>
            <w:shd w:val="clear" w:color="auto" w:fill="auto"/>
          </w:tcPr>
          <w:p w14:paraId="52979A92" w14:textId="77777777" w:rsidR="00266FD9" w:rsidRPr="004A59B1" w:rsidRDefault="00266FD9" w:rsidP="009C1193">
            <w:pPr>
              <w:pStyle w:val="Table"/>
              <w:keepNext w:val="0"/>
              <w:widowControl w:val="0"/>
              <w:tabs>
                <w:tab w:val="left" w:pos="0"/>
              </w:tabs>
              <w:spacing w:before="0" w:after="0"/>
              <w:rPr>
                <w:rFonts w:ascii="Times New Roman" w:hAnsi="Times New Roman"/>
                <w:color w:val="000000"/>
                <w:sz w:val="22"/>
                <w:szCs w:val="22"/>
              </w:rPr>
            </w:pPr>
            <w:r w:rsidRPr="004A59B1">
              <w:rPr>
                <w:rFonts w:ascii="Times New Roman" w:hAnsi="Times New Roman"/>
                <w:color w:val="000000"/>
                <w:sz w:val="22"/>
                <w:szCs w:val="22"/>
                <w:lang w:val="en-GB"/>
              </w:rPr>
              <w:t>vzdrževanje</w:t>
            </w:r>
          </w:p>
        </w:tc>
        <w:tc>
          <w:tcPr>
            <w:tcW w:w="6732" w:type="dxa"/>
            <w:gridSpan w:val="4"/>
            <w:tcBorders>
              <w:top w:val="single" w:sz="4" w:space="0" w:color="auto"/>
              <w:bottom w:val="single" w:sz="4" w:space="0" w:color="auto"/>
            </w:tcBorders>
            <w:shd w:val="clear" w:color="auto" w:fill="auto"/>
          </w:tcPr>
          <w:p w14:paraId="52979A93" w14:textId="77777777" w:rsidR="00A62537" w:rsidRPr="004A59B1" w:rsidRDefault="00266FD9" w:rsidP="009C1193">
            <w:pPr>
              <w:pStyle w:val="Table"/>
              <w:keepNext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VCR 1,3 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1. dan;</w:t>
            </w:r>
          </w:p>
          <w:p w14:paraId="52979A94" w14:textId="77777777" w:rsidR="00266FD9" w:rsidRPr="004A59B1" w:rsidRDefault="00266FD9" w:rsidP="009C1193">
            <w:pPr>
              <w:pStyle w:val="Table"/>
              <w:keepNext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prednizolon 60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peroralno, 1.-5. dan</w:t>
            </w:r>
          </w:p>
        </w:tc>
      </w:tr>
      <w:tr w:rsidR="00266FD9" w:rsidRPr="004A59B1" w14:paraId="52979A9A" w14:textId="77777777" w:rsidTr="008F282C">
        <w:trPr>
          <w:cantSplit/>
        </w:trPr>
        <w:tc>
          <w:tcPr>
            <w:tcW w:w="4800" w:type="dxa"/>
            <w:gridSpan w:val="2"/>
            <w:tcBorders>
              <w:top w:val="single" w:sz="4" w:space="0" w:color="auto"/>
              <w:bottom w:val="single" w:sz="4" w:space="0" w:color="auto"/>
            </w:tcBorders>
            <w:shd w:val="clear" w:color="auto" w:fill="auto"/>
          </w:tcPr>
          <w:p w14:paraId="52979A96" w14:textId="77777777" w:rsidR="00266FD9" w:rsidRPr="004A59B1" w:rsidRDefault="00266FD9" w:rsidP="009C1193">
            <w:pPr>
              <w:pStyle w:val="Table"/>
              <w:widowControl w:val="0"/>
              <w:spacing w:before="0" w:after="0"/>
              <w:rPr>
                <w:rFonts w:ascii="Times New Roman" w:hAnsi="Times New Roman"/>
                <w:color w:val="000000"/>
                <w:sz w:val="22"/>
                <w:szCs w:val="22"/>
              </w:rPr>
            </w:pPr>
            <w:r w:rsidRPr="004A59B1">
              <w:rPr>
                <w:rFonts w:ascii="Times New Roman" w:hAnsi="Times New Roman"/>
                <w:b/>
                <w:color w:val="000000"/>
                <w:sz w:val="22"/>
                <w:szCs w:val="22"/>
                <w:lang w:val="en-GB"/>
              </w:rPr>
              <w:t xml:space="preserve">Študija </w:t>
            </w:r>
            <w:r w:rsidRPr="004A59B1">
              <w:rPr>
                <w:rFonts w:ascii="Times New Roman" w:hAnsi="Times New Roman"/>
                <w:b/>
                <w:color w:val="000000"/>
                <w:sz w:val="22"/>
                <w:szCs w:val="22"/>
              </w:rPr>
              <w:t>AUS01</w:t>
            </w:r>
          </w:p>
        </w:tc>
        <w:tc>
          <w:tcPr>
            <w:tcW w:w="1080" w:type="dxa"/>
            <w:tcBorders>
              <w:top w:val="single" w:sz="4" w:space="0" w:color="auto"/>
              <w:bottom w:val="single" w:sz="4" w:space="0" w:color="auto"/>
            </w:tcBorders>
          </w:tcPr>
          <w:p w14:paraId="52979A97" w14:textId="77777777" w:rsidR="00266FD9" w:rsidRPr="004A59B1" w:rsidRDefault="00266FD9" w:rsidP="009C1193">
            <w:pPr>
              <w:pStyle w:val="Table"/>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52979A98" w14:textId="77777777" w:rsidR="00266FD9" w:rsidRPr="004A59B1" w:rsidRDefault="00266FD9" w:rsidP="009C1193">
            <w:pPr>
              <w:pStyle w:val="Table"/>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52979A99" w14:textId="77777777" w:rsidR="00266FD9" w:rsidRPr="004A59B1" w:rsidRDefault="00266FD9" w:rsidP="009C1193">
            <w:pPr>
              <w:pStyle w:val="Table"/>
              <w:widowControl w:val="0"/>
              <w:spacing w:before="0" w:after="0"/>
              <w:rPr>
                <w:rFonts w:ascii="Times New Roman" w:hAnsi="Times New Roman"/>
                <w:color w:val="000000"/>
                <w:sz w:val="22"/>
                <w:szCs w:val="22"/>
              </w:rPr>
            </w:pPr>
          </w:p>
        </w:tc>
      </w:tr>
      <w:tr w:rsidR="00266FD9" w:rsidRPr="003B6568" w14:paraId="52979AA0" w14:textId="77777777" w:rsidTr="008F282C">
        <w:trPr>
          <w:cantSplit/>
        </w:trPr>
        <w:tc>
          <w:tcPr>
            <w:tcW w:w="2148" w:type="dxa"/>
            <w:tcBorders>
              <w:top w:val="single" w:sz="4" w:space="0" w:color="auto"/>
              <w:bottom w:val="single" w:sz="4" w:space="0" w:color="auto"/>
            </w:tcBorders>
            <w:shd w:val="clear" w:color="auto" w:fill="auto"/>
          </w:tcPr>
          <w:p w14:paraId="52979A9B" w14:textId="77777777" w:rsidR="00266FD9" w:rsidRPr="004A59B1" w:rsidRDefault="00266FD9" w:rsidP="009C1193">
            <w:pPr>
              <w:pStyle w:val="Table"/>
              <w:keepNext w:val="0"/>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indukcijsko-konsolidacijsko zdravljenje</w:t>
            </w:r>
          </w:p>
        </w:tc>
        <w:tc>
          <w:tcPr>
            <w:tcW w:w="6732" w:type="dxa"/>
            <w:gridSpan w:val="4"/>
            <w:tcBorders>
              <w:top w:val="single" w:sz="4" w:space="0" w:color="auto"/>
              <w:bottom w:val="single" w:sz="4" w:space="0" w:color="auto"/>
            </w:tcBorders>
            <w:shd w:val="clear" w:color="auto" w:fill="auto"/>
          </w:tcPr>
          <w:p w14:paraId="52979A9C" w14:textId="77777777" w:rsidR="00A62537" w:rsidRPr="002227FB" w:rsidRDefault="00266FD9" w:rsidP="009C1193">
            <w:pPr>
              <w:pStyle w:val="Table"/>
              <w:keepNext w:val="0"/>
              <w:widowControl w:val="0"/>
              <w:spacing w:before="0" w:after="0"/>
              <w:rPr>
                <w:rFonts w:ascii="Times New Roman" w:hAnsi="Times New Roman"/>
                <w:color w:val="000000"/>
                <w:sz w:val="22"/>
                <w:szCs w:val="22"/>
                <w:lang w:val="de-CH"/>
              </w:rPr>
            </w:pPr>
            <w:r w:rsidRPr="002227FB">
              <w:rPr>
                <w:rFonts w:ascii="Times New Roman" w:hAnsi="Times New Roman"/>
                <w:color w:val="000000"/>
                <w:sz w:val="22"/>
                <w:szCs w:val="22"/>
                <w:lang w:val="de-CH"/>
              </w:rPr>
              <w:t>hyper-CVAD shema: CP 300 mg/m</w:t>
            </w:r>
            <w:r w:rsidRPr="002227FB">
              <w:rPr>
                <w:rFonts w:ascii="Times New Roman" w:hAnsi="Times New Roman"/>
                <w:color w:val="000000"/>
                <w:sz w:val="22"/>
                <w:szCs w:val="22"/>
                <w:vertAlign w:val="superscript"/>
                <w:lang w:val="de-CH"/>
              </w:rPr>
              <w:t>2</w:t>
            </w:r>
            <w:r w:rsidRPr="002227FB">
              <w:rPr>
                <w:rFonts w:ascii="Times New Roman" w:hAnsi="Times New Roman"/>
                <w:color w:val="000000"/>
                <w:sz w:val="22"/>
                <w:szCs w:val="22"/>
                <w:lang w:val="de-CH"/>
              </w:rPr>
              <w:t xml:space="preserve"> i.v. (3 ure, na 12 ur), 1.-3. dan;</w:t>
            </w:r>
          </w:p>
          <w:p w14:paraId="52979A9D" w14:textId="77777777" w:rsidR="00A62537" w:rsidRPr="004A59B1" w:rsidRDefault="00266FD9" w:rsidP="009C1193">
            <w:pPr>
              <w:pStyle w:val="Table"/>
              <w:keepNext w:val="0"/>
              <w:widowControl w:val="0"/>
              <w:spacing w:before="0" w:after="0"/>
              <w:rPr>
                <w:rFonts w:ascii="Times New Roman" w:hAnsi="Times New Roman"/>
                <w:color w:val="000000"/>
                <w:sz w:val="22"/>
                <w:szCs w:val="22"/>
                <w:lang w:val="de-DE"/>
              </w:rPr>
            </w:pPr>
            <w:r w:rsidRPr="004A59B1">
              <w:rPr>
                <w:rFonts w:ascii="Times New Roman" w:hAnsi="Times New Roman"/>
                <w:color w:val="000000"/>
                <w:sz w:val="22"/>
                <w:szCs w:val="22"/>
                <w:lang w:val="de-DE"/>
              </w:rPr>
              <w:t>vinkristin 2 mg i.v., 4., 11. dan;</w:t>
            </w:r>
          </w:p>
          <w:p w14:paraId="52979A9E" w14:textId="77777777" w:rsidR="00A62537" w:rsidRPr="004A59B1" w:rsidRDefault="00266FD9" w:rsidP="009C1193">
            <w:pPr>
              <w:pStyle w:val="Table"/>
              <w:keepNext w:val="0"/>
              <w:widowControl w:val="0"/>
              <w:spacing w:before="0" w:after="0"/>
              <w:rPr>
                <w:rFonts w:ascii="Times New Roman" w:hAnsi="Times New Roman"/>
                <w:color w:val="000000"/>
                <w:sz w:val="22"/>
                <w:szCs w:val="22"/>
                <w:lang w:val="de-DE"/>
              </w:rPr>
            </w:pPr>
            <w:r w:rsidRPr="004A59B1">
              <w:rPr>
                <w:rFonts w:ascii="Times New Roman" w:hAnsi="Times New Roman"/>
                <w:color w:val="000000"/>
                <w:sz w:val="22"/>
                <w:szCs w:val="22"/>
                <w:lang w:val="de-DE"/>
              </w:rPr>
              <w:t>doksorubicin 50 mg/m</w:t>
            </w:r>
            <w:r w:rsidRPr="004A59B1">
              <w:rPr>
                <w:rFonts w:ascii="Times New Roman" w:hAnsi="Times New Roman"/>
                <w:color w:val="000000"/>
                <w:sz w:val="22"/>
                <w:szCs w:val="22"/>
                <w:vertAlign w:val="superscript"/>
                <w:lang w:val="de-DE"/>
              </w:rPr>
              <w:t>2</w:t>
            </w:r>
            <w:r w:rsidRPr="004A59B1">
              <w:rPr>
                <w:rFonts w:ascii="Times New Roman" w:hAnsi="Times New Roman"/>
                <w:color w:val="000000"/>
                <w:sz w:val="22"/>
                <w:szCs w:val="22"/>
                <w:lang w:val="de-DE"/>
              </w:rPr>
              <w:t xml:space="preserve"> i.v. (24 ur), 4. dan;</w:t>
            </w:r>
          </w:p>
          <w:p w14:paraId="52979A9F" w14:textId="77777777" w:rsidR="00266FD9" w:rsidRPr="004A59B1" w:rsidRDefault="00266FD9" w:rsidP="009C1193">
            <w:pPr>
              <w:pStyle w:val="Table"/>
              <w:keepNext w:val="0"/>
              <w:widowControl w:val="0"/>
              <w:spacing w:before="0" w:after="0"/>
              <w:rPr>
                <w:rFonts w:ascii="Times New Roman" w:hAnsi="Times New Roman"/>
                <w:color w:val="000000"/>
                <w:sz w:val="22"/>
                <w:szCs w:val="22"/>
                <w:lang w:val="de-DE"/>
              </w:rPr>
            </w:pPr>
            <w:r w:rsidRPr="004A59B1">
              <w:rPr>
                <w:rFonts w:ascii="Times New Roman" w:hAnsi="Times New Roman"/>
                <w:color w:val="000000"/>
                <w:sz w:val="22"/>
                <w:szCs w:val="22"/>
                <w:lang w:val="de-DE"/>
              </w:rPr>
              <w:t>DEX 40 mg/dan 1.-4. in 11.-14. dan, izmenjaje z MTX 1 g/m</w:t>
            </w:r>
            <w:r w:rsidRPr="004A59B1">
              <w:rPr>
                <w:rFonts w:ascii="Times New Roman" w:hAnsi="Times New Roman"/>
                <w:color w:val="000000"/>
                <w:sz w:val="22"/>
                <w:szCs w:val="22"/>
                <w:vertAlign w:val="superscript"/>
                <w:lang w:val="de-DE"/>
              </w:rPr>
              <w:t>2</w:t>
            </w:r>
            <w:r w:rsidRPr="004A59B1">
              <w:rPr>
                <w:rFonts w:ascii="Times New Roman" w:hAnsi="Times New Roman"/>
                <w:color w:val="000000"/>
                <w:sz w:val="22"/>
                <w:szCs w:val="22"/>
                <w:lang w:val="de-DE"/>
              </w:rPr>
              <w:t xml:space="preserve"> i.v. (24 ur), 1. dan, Ara-C 1 g/m</w:t>
            </w:r>
            <w:r w:rsidRPr="004A59B1">
              <w:rPr>
                <w:rFonts w:ascii="Times New Roman" w:hAnsi="Times New Roman"/>
                <w:color w:val="000000"/>
                <w:sz w:val="22"/>
                <w:szCs w:val="22"/>
                <w:vertAlign w:val="superscript"/>
                <w:lang w:val="de-DE"/>
              </w:rPr>
              <w:t>2</w:t>
            </w:r>
            <w:r w:rsidRPr="004A59B1">
              <w:rPr>
                <w:rFonts w:ascii="Times New Roman" w:hAnsi="Times New Roman"/>
                <w:color w:val="000000"/>
                <w:sz w:val="22"/>
                <w:szCs w:val="22"/>
                <w:lang w:val="de-DE"/>
              </w:rPr>
              <w:t xml:space="preserve"> i.v. (2 uri, na 12 ur), 2.-3. dan (skupno 8 kur)</w:t>
            </w:r>
          </w:p>
        </w:tc>
      </w:tr>
      <w:tr w:rsidR="00266FD9" w:rsidRPr="004A59B1" w14:paraId="52979AA4" w14:textId="77777777" w:rsidTr="008F282C">
        <w:trPr>
          <w:cantSplit/>
        </w:trPr>
        <w:tc>
          <w:tcPr>
            <w:tcW w:w="2148" w:type="dxa"/>
            <w:tcBorders>
              <w:top w:val="single" w:sz="4" w:space="0" w:color="auto"/>
              <w:bottom w:val="single" w:sz="4" w:space="0" w:color="auto"/>
            </w:tcBorders>
            <w:shd w:val="clear" w:color="auto" w:fill="auto"/>
          </w:tcPr>
          <w:p w14:paraId="52979AA1" w14:textId="77777777" w:rsidR="00266FD9" w:rsidRPr="004A59B1" w:rsidRDefault="00266FD9" w:rsidP="009C1193">
            <w:pPr>
              <w:pStyle w:val="Table"/>
              <w:keepNext w:val="0"/>
              <w:widowControl w:val="0"/>
              <w:spacing w:before="0" w:after="0"/>
              <w:rPr>
                <w:rFonts w:ascii="Times New Roman" w:hAnsi="Times New Roman"/>
                <w:color w:val="000000"/>
                <w:sz w:val="22"/>
                <w:szCs w:val="22"/>
              </w:rPr>
            </w:pPr>
            <w:r w:rsidRPr="004A59B1">
              <w:rPr>
                <w:rFonts w:ascii="Times New Roman" w:hAnsi="Times New Roman"/>
                <w:color w:val="000000"/>
                <w:sz w:val="22"/>
                <w:szCs w:val="22"/>
                <w:lang w:val="en-GB"/>
              </w:rPr>
              <w:t>vzdrževanje</w:t>
            </w:r>
          </w:p>
        </w:tc>
        <w:tc>
          <w:tcPr>
            <w:tcW w:w="6732" w:type="dxa"/>
            <w:gridSpan w:val="4"/>
            <w:tcBorders>
              <w:top w:val="single" w:sz="4" w:space="0" w:color="auto"/>
              <w:bottom w:val="single" w:sz="4" w:space="0" w:color="auto"/>
            </w:tcBorders>
            <w:shd w:val="clear" w:color="auto" w:fill="auto"/>
          </w:tcPr>
          <w:p w14:paraId="52979AA2" w14:textId="77777777" w:rsidR="00A62537" w:rsidRPr="004A59B1" w:rsidRDefault="00266FD9" w:rsidP="009C1193">
            <w:pPr>
              <w:pStyle w:val="Table"/>
              <w:keepNext w:val="0"/>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VCR 2 mg i.v. mesečno v obdobju 13 mesecev;</w:t>
            </w:r>
          </w:p>
          <w:p w14:paraId="52979AA3" w14:textId="77777777" w:rsidR="00266FD9" w:rsidRPr="004A59B1" w:rsidRDefault="00266FD9" w:rsidP="009C1193">
            <w:pPr>
              <w:pStyle w:val="Table"/>
              <w:keepNext w:val="0"/>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prednizolon 200 mg peroralno, 5 dni na mesec v obdobju 13 mesecev</w:t>
            </w:r>
          </w:p>
        </w:tc>
      </w:tr>
      <w:tr w:rsidR="00266FD9" w:rsidRPr="004A59B1" w14:paraId="52979AA6" w14:textId="77777777" w:rsidTr="008F282C">
        <w:trPr>
          <w:cantSplit/>
        </w:trPr>
        <w:tc>
          <w:tcPr>
            <w:tcW w:w="8880" w:type="dxa"/>
            <w:gridSpan w:val="5"/>
            <w:tcBorders>
              <w:top w:val="single" w:sz="4" w:space="0" w:color="auto"/>
              <w:bottom w:val="single" w:sz="4" w:space="0" w:color="auto"/>
            </w:tcBorders>
            <w:shd w:val="clear" w:color="auto" w:fill="auto"/>
          </w:tcPr>
          <w:p w14:paraId="52979AA5" w14:textId="77777777" w:rsidR="00266FD9" w:rsidRPr="004A59B1" w:rsidRDefault="00266FD9" w:rsidP="009C1193">
            <w:pPr>
              <w:pStyle w:val="Table"/>
              <w:keepNext w:val="0"/>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Vse terapevtske sheme vključujejo aplikacijo kortikosteroidov za zaščito centralnega živčnega sistema.</w:t>
            </w:r>
          </w:p>
        </w:tc>
      </w:tr>
      <w:tr w:rsidR="00266FD9" w:rsidRPr="004A59B1" w14:paraId="52979AA8" w14:textId="77777777" w:rsidTr="008F282C">
        <w:trPr>
          <w:cantSplit/>
        </w:trPr>
        <w:tc>
          <w:tcPr>
            <w:tcW w:w="8880" w:type="dxa"/>
            <w:gridSpan w:val="5"/>
            <w:tcBorders>
              <w:top w:val="single" w:sz="4" w:space="0" w:color="auto"/>
              <w:bottom w:val="single" w:sz="4" w:space="0" w:color="auto"/>
            </w:tcBorders>
            <w:shd w:val="clear" w:color="auto" w:fill="auto"/>
          </w:tcPr>
          <w:p w14:paraId="52979AA7" w14:textId="77777777" w:rsidR="00266FD9" w:rsidRPr="004A59B1" w:rsidRDefault="00266FD9" w:rsidP="009C1193">
            <w:pPr>
              <w:pStyle w:val="Table"/>
              <w:keepNext w:val="0"/>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Ara-C: citozin arabinozid; CP: ciklofosfamid; DEX: deksametazon; MTX: metotreksat; 6-MP: 6-merkaptopurin; VM26: tenipozid; VCR: vinkristin; IDA: idarubicin; i.v.: intravensko</w:t>
            </w:r>
          </w:p>
        </w:tc>
      </w:tr>
    </w:tbl>
    <w:p w14:paraId="52979AA9" w14:textId="77777777" w:rsidR="00266FD9" w:rsidRPr="004A59B1" w:rsidRDefault="00266FD9" w:rsidP="009C1193">
      <w:pPr>
        <w:pStyle w:val="Text"/>
        <w:widowControl w:val="0"/>
        <w:spacing w:before="0"/>
        <w:jc w:val="left"/>
        <w:rPr>
          <w:color w:val="000000"/>
          <w:sz w:val="22"/>
          <w:szCs w:val="22"/>
          <w:lang w:val="sl-SI"/>
        </w:rPr>
      </w:pPr>
    </w:p>
    <w:p w14:paraId="52979AAA" w14:textId="77777777" w:rsidR="00275074" w:rsidRPr="004A59B1" w:rsidRDefault="00275074" w:rsidP="009C1193">
      <w:pPr>
        <w:pStyle w:val="EndnoteText"/>
        <w:widowControl w:val="0"/>
        <w:rPr>
          <w:color w:val="000000"/>
          <w:lang w:val="sl-SI"/>
        </w:rPr>
      </w:pPr>
      <w:r w:rsidRPr="004A59B1">
        <w:rPr>
          <w:i/>
          <w:color w:val="000000"/>
          <w:lang w:val="sl-SI"/>
        </w:rPr>
        <w:t>Pediatrični bolniki</w:t>
      </w:r>
      <w:r w:rsidRPr="004A59B1">
        <w:rPr>
          <w:color w:val="000000"/>
          <w:lang w:val="sl-SI"/>
        </w:rPr>
        <w:t>:</w:t>
      </w:r>
      <w:r w:rsidRPr="004A59B1">
        <w:rPr>
          <w:lang w:val="sl-SI"/>
        </w:rPr>
        <w:t xml:space="preserve"> V </w:t>
      </w:r>
      <w:r w:rsidR="00957229" w:rsidRPr="004A59B1">
        <w:rPr>
          <w:lang w:val="sl-SI"/>
        </w:rPr>
        <w:t xml:space="preserve">odprto, </w:t>
      </w:r>
      <w:r w:rsidR="002644EC" w:rsidRPr="004A59B1">
        <w:rPr>
          <w:lang w:val="sl-SI"/>
        </w:rPr>
        <w:t xml:space="preserve">nerandomizirano, </w:t>
      </w:r>
      <w:r w:rsidR="00957229" w:rsidRPr="004A59B1">
        <w:rPr>
          <w:lang w:val="sl-SI"/>
        </w:rPr>
        <w:t xml:space="preserve">multicentrično </w:t>
      </w:r>
      <w:r w:rsidR="00CF7C31" w:rsidRPr="004A59B1">
        <w:rPr>
          <w:lang w:val="sl-SI"/>
        </w:rPr>
        <w:t>pre</w:t>
      </w:r>
      <w:r w:rsidR="00E308B2" w:rsidRPr="004A59B1">
        <w:rPr>
          <w:lang w:val="sl-SI"/>
        </w:rPr>
        <w:t>iz</w:t>
      </w:r>
      <w:r w:rsidR="00CF7C31" w:rsidRPr="004A59B1">
        <w:rPr>
          <w:lang w:val="sl-SI"/>
        </w:rPr>
        <w:t xml:space="preserve">kušanje </w:t>
      </w:r>
      <w:r w:rsidR="002644EC" w:rsidRPr="004A59B1">
        <w:rPr>
          <w:lang w:val="sl-SI"/>
        </w:rPr>
        <w:t xml:space="preserve">faze III z oznako </w:t>
      </w:r>
      <w:r w:rsidRPr="004A59B1">
        <w:rPr>
          <w:color w:val="000000"/>
          <w:lang w:val="sl-SI"/>
        </w:rPr>
        <w:t xml:space="preserve">I2301 </w:t>
      </w:r>
      <w:r w:rsidR="002644EC" w:rsidRPr="004A59B1">
        <w:rPr>
          <w:color w:val="000000"/>
          <w:lang w:val="sl-SI"/>
        </w:rPr>
        <w:t xml:space="preserve">in z zaporednimi kohortami </w:t>
      </w:r>
      <w:r w:rsidRPr="004A59B1">
        <w:rPr>
          <w:color w:val="000000"/>
          <w:lang w:val="sl-SI"/>
        </w:rPr>
        <w:t xml:space="preserve">so vključili skupno </w:t>
      </w:r>
      <w:r w:rsidR="00957229" w:rsidRPr="004A59B1">
        <w:rPr>
          <w:color w:val="000000"/>
          <w:lang w:val="sl-SI"/>
        </w:rPr>
        <w:t xml:space="preserve">93 otrok, mladostnikov in mladih odraslih </w:t>
      </w:r>
      <w:r w:rsidRPr="004A59B1">
        <w:rPr>
          <w:color w:val="000000"/>
          <w:lang w:val="sl-SI"/>
        </w:rPr>
        <w:t>(</w:t>
      </w:r>
      <w:r w:rsidR="00957229" w:rsidRPr="004A59B1">
        <w:rPr>
          <w:color w:val="000000"/>
          <w:lang w:val="sl-SI"/>
        </w:rPr>
        <w:t xml:space="preserve">starih od </w:t>
      </w:r>
      <w:r w:rsidRPr="004A59B1">
        <w:rPr>
          <w:color w:val="000000"/>
          <w:lang w:val="sl-SI"/>
        </w:rPr>
        <w:t>1</w:t>
      </w:r>
      <w:r w:rsidR="00957229" w:rsidRPr="004A59B1">
        <w:rPr>
          <w:color w:val="000000"/>
          <w:lang w:val="sl-SI"/>
        </w:rPr>
        <w:t xml:space="preserve"> do </w:t>
      </w:r>
      <w:r w:rsidRPr="004A59B1">
        <w:rPr>
          <w:color w:val="000000"/>
          <w:lang w:val="sl-SI"/>
        </w:rPr>
        <w:t>22 </w:t>
      </w:r>
      <w:r w:rsidR="00957229" w:rsidRPr="004A59B1">
        <w:rPr>
          <w:color w:val="000000"/>
          <w:lang w:val="sl-SI"/>
        </w:rPr>
        <w:t>let</w:t>
      </w:r>
      <w:r w:rsidRPr="004A59B1">
        <w:rPr>
          <w:color w:val="000000"/>
          <w:lang w:val="sl-SI"/>
        </w:rPr>
        <w:t xml:space="preserve">) </w:t>
      </w:r>
      <w:r w:rsidR="00957229" w:rsidRPr="004A59B1">
        <w:rPr>
          <w:color w:val="000000"/>
          <w:lang w:val="sl-SI"/>
        </w:rPr>
        <w:t xml:space="preserve">s </w:t>
      </w:r>
      <w:r w:rsidRPr="004A59B1">
        <w:rPr>
          <w:color w:val="000000"/>
          <w:lang w:val="sl-SI"/>
        </w:rPr>
        <w:t xml:space="preserve">Ph+ ALL </w:t>
      </w:r>
      <w:r w:rsidR="002644EC" w:rsidRPr="004A59B1">
        <w:rPr>
          <w:color w:val="000000"/>
          <w:lang w:val="sl-SI"/>
        </w:rPr>
        <w:t xml:space="preserve">in jih zdravili z zdravilom </w:t>
      </w:r>
      <w:r w:rsidRPr="004A59B1">
        <w:rPr>
          <w:color w:val="000000"/>
          <w:lang w:val="sl-SI"/>
        </w:rPr>
        <w:t>Glivec (340 mg/m</w:t>
      </w:r>
      <w:r w:rsidRPr="004A59B1">
        <w:rPr>
          <w:color w:val="000000"/>
          <w:vertAlign w:val="superscript"/>
          <w:lang w:val="sl-SI"/>
        </w:rPr>
        <w:t>2</w:t>
      </w:r>
      <w:r w:rsidRPr="004A59B1">
        <w:rPr>
          <w:color w:val="000000"/>
          <w:lang w:val="sl-SI"/>
        </w:rPr>
        <w:t>/da</w:t>
      </w:r>
      <w:r w:rsidR="002644EC" w:rsidRPr="004A59B1">
        <w:rPr>
          <w:color w:val="000000"/>
          <w:lang w:val="sl-SI"/>
        </w:rPr>
        <w:t>n</w:t>
      </w:r>
      <w:r w:rsidRPr="004A59B1">
        <w:rPr>
          <w:color w:val="000000"/>
          <w:lang w:val="sl-SI"/>
        </w:rPr>
        <w:t xml:space="preserve">) </w:t>
      </w:r>
      <w:r w:rsidR="002644EC" w:rsidRPr="004A59B1">
        <w:rPr>
          <w:color w:val="000000"/>
          <w:lang w:val="sl-SI"/>
        </w:rPr>
        <w:t>v kombinaciji z intenzivno kemoterapijo po indukcijskem zdravljenju</w:t>
      </w:r>
      <w:r w:rsidRPr="004A59B1">
        <w:rPr>
          <w:color w:val="000000"/>
          <w:lang w:val="sl-SI"/>
        </w:rPr>
        <w:t xml:space="preserve">. </w:t>
      </w:r>
      <w:r w:rsidR="002644EC" w:rsidRPr="004A59B1">
        <w:rPr>
          <w:color w:val="000000"/>
          <w:lang w:val="sl-SI"/>
        </w:rPr>
        <w:t>Bolnikom v kohortah 1</w:t>
      </w:r>
      <w:r w:rsidR="00C80401" w:rsidRPr="004A59B1">
        <w:rPr>
          <w:color w:val="000000"/>
          <w:lang w:val="sl-SI"/>
        </w:rPr>
        <w:noBreakHyphen/>
      </w:r>
      <w:r w:rsidR="002644EC" w:rsidRPr="004A59B1">
        <w:rPr>
          <w:color w:val="000000"/>
          <w:lang w:val="sl-SI"/>
        </w:rPr>
        <w:t xml:space="preserve">5 so zdravilo </w:t>
      </w:r>
      <w:r w:rsidRPr="004A59B1">
        <w:rPr>
          <w:color w:val="000000"/>
          <w:lang w:val="sl-SI"/>
        </w:rPr>
        <w:t>G</w:t>
      </w:r>
      <w:r w:rsidR="002644EC" w:rsidRPr="004A59B1">
        <w:rPr>
          <w:color w:val="000000"/>
          <w:lang w:val="sl-SI"/>
        </w:rPr>
        <w:t>l</w:t>
      </w:r>
      <w:r w:rsidRPr="004A59B1">
        <w:rPr>
          <w:color w:val="000000"/>
          <w:lang w:val="sl-SI"/>
        </w:rPr>
        <w:t xml:space="preserve">ivec </w:t>
      </w:r>
      <w:r w:rsidR="002644EC" w:rsidRPr="004A59B1">
        <w:rPr>
          <w:color w:val="000000"/>
          <w:lang w:val="sl-SI"/>
        </w:rPr>
        <w:t>odmerjali intermitentno, pri čemer je bilo v vsaki nadaljnji kohorti trajanje zdravljenja daljše, začetek zdravljenja z zdravilom Glivec pa zgodn</w:t>
      </w:r>
      <w:r w:rsidR="00E94324" w:rsidRPr="004A59B1">
        <w:rPr>
          <w:color w:val="000000"/>
          <w:lang w:val="sl-SI"/>
        </w:rPr>
        <w:t>e</w:t>
      </w:r>
      <w:r w:rsidR="002644EC" w:rsidRPr="004A59B1">
        <w:rPr>
          <w:color w:val="000000"/>
          <w:lang w:val="sl-SI"/>
        </w:rPr>
        <w:t>jš</w:t>
      </w:r>
      <w:r w:rsidR="00E94324" w:rsidRPr="004A59B1">
        <w:rPr>
          <w:color w:val="000000"/>
          <w:lang w:val="sl-SI"/>
        </w:rPr>
        <w:t>i</w:t>
      </w:r>
      <w:r w:rsidR="002644EC" w:rsidRPr="004A59B1">
        <w:rPr>
          <w:color w:val="000000"/>
          <w:lang w:val="sl-SI"/>
        </w:rPr>
        <w:t xml:space="preserve">, tako da </w:t>
      </w:r>
      <w:r w:rsidR="003F7A0D" w:rsidRPr="004A59B1">
        <w:rPr>
          <w:color w:val="000000"/>
          <w:lang w:val="sl-SI"/>
        </w:rPr>
        <w:t>je bila v 1. </w:t>
      </w:r>
      <w:r w:rsidR="002644EC" w:rsidRPr="004A59B1">
        <w:rPr>
          <w:color w:val="000000"/>
          <w:lang w:val="sl-SI"/>
        </w:rPr>
        <w:t xml:space="preserve">kohorti </w:t>
      </w:r>
      <w:r w:rsidR="003F7A0D" w:rsidRPr="004A59B1">
        <w:rPr>
          <w:color w:val="000000"/>
          <w:lang w:val="sl-SI"/>
        </w:rPr>
        <w:t xml:space="preserve">intenzivnost zdravljenja z zdravilom Glivec najnižja, v 5. kohorti pa najvišja </w:t>
      </w:r>
      <w:r w:rsidRPr="004A59B1">
        <w:rPr>
          <w:color w:val="000000"/>
          <w:lang w:val="sl-SI"/>
        </w:rPr>
        <w:t>(</w:t>
      </w:r>
      <w:r w:rsidR="003F7A0D" w:rsidRPr="004A59B1">
        <w:rPr>
          <w:color w:val="000000"/>
          <w:lang w:val="sl-SI"/>
        </w:rPr>
        <w:t>najdaljše trajanje zdravljenja glede na število dni neprekinjenega enkrat dnevnega odmerjanja zdravila Glivec</w:t>
      </w:r>
      <w:r w:rsidR="00281880" w:rsidRPr="004A59B1">
        <w:rPr>
          <w:color w:val="000000"/>
          <w:lang w:val="sl-SI"/>
        </w:rPr>
        <w:t xml:space="preserve"> pri prvem poteku kemoterapije</w:t>
      </w:r>
      <w:r w:rsidRPr="004A59B1">
        <w:rPr>
          <w:color w:val="000000"/>
          <w:lang w:val="sl-SI"/>
        </w:rPr>
        <w:t xml:space="preserve">). </w:t>
      </w:r>
      <w:r w:rsidR="00281880" w:rsidRPr="004A59B1">
        <w:rPr>
          <w:color w:val="000000"/>
          <w:lang w:val="sl-SI"/>
        </w:rPr>
        <w:t>Pri bolnikih v 5. kohorti (n=50) je neprekinjena vsakodnevna izpostavljenost zdravilu Glivec zgodaj v poteku zdravljenja v kombinaciji s kemoterapijo povečala delež bolnikov s 4-letnim preživetjem brez dogodkov (EFS -</w:t>
      </w:r>
      <w:r w:rsidRPr="004A59B1">
        <w:rPr>
          <w:color w:val="000000"/>
          <w:lang w:val="sl-SI"/>
        </w:rPr>
        <w:t xml:space="preserve"> </w:t>
      </w:r>
      <w:r w:rsidR="00281880" w:rsidRPr="00304E94">
        <w:rPr>
          <w:i/>
          <w:color w:val="000000"/>
          <w:lang w:val="sl-SI"/>
        </w:rPr>
        <w:t>event-free survival</w:t>
      </w:r>
      <w:r w:rsidRPr="004A59B1">
        <w:rPr>
          <w:color w:val="000000"/>
          <w:lang w:val="sl-SI"/>
        </w:rPr>
        <w:t xml:space="preserve">) </w:t>
      </w:r>
      <w:r w:rsidR="00281880" w:rsidRPr="004A59B1">
        <w:rPr>
          <w:color w:val="000000"/>
          <w:lang w:val="sl-SI"/>
        </w:rPr>
        <w:t xml:space="preserve">v primerjavi z zgodovinskimi kontrolami </w:t>
      </w:r>
      <w:r w:rsidRPr="004A59B1">
        <w:rPr>
          <w:color w:val="000000"/>
          <w:lang w:val="sl-SI"/>
        </w:rPr>
        <w:t xml:space="preserve">(n=120), </w:t>
      </w:r>
      <w:r w:rsidR="00F069A5" w:rsidRPr="004A59B1">
        <w:rPr>
          <w:color w:val="000000"/>
          <w:lang w:val="sl-SI"/>
        </w:rPr>
        <w:t xml:space="preserve">kjer so bolniki prejeli </w:t>
      </w:r>
      <w:r w:rsidRPr="004A59B1">
        <w:rPr>
          <w:color w:val="000000"/>
          <w:lang w:val="sl-SI"/>
        </w:rPr>
        <w:t>standard</w:t>
      </w:r>
      <w:r w:rsidR="00281880" w:rsidRPr="004A59B1">
        <w:rPr>
          <w:color w:val="000000"/>
          <w:lang w:val="sl-SI"/>
        </w:rPr>
        <w:t xml:space="preserve">no kemoterapijo brez zdravila </w:t>
      </w:r>
      <w:r w:rsidRPr="004A59B1">
        <w:rPr>
          <w:color w:val="000000"/>
          <w:lang w:val="sl-SI"/>
        </w:rPr>
        <w:t>Glivec (69</w:t>
      </w:r>
      <w:r w:rsidR="00281880" w:rsidRPr="004A59B1">
        <w:rPr>
          <w:color w:val="000000"/>
          <w:lang w:val="sl-SI"/>
        </w:rPr>
        <w:t>,</w:t>
      </w:r>
      <w:r w:rsidRPr="004A59B1">
        <w:rPr>
          <w:color w:val="000000"/>
          <w:lang w:val="sl-SI"/>
        </w:rPr>
        <w:t>6</w:t>
      </w:r>
      <w:r w:rsidR="00281880" w:rsidRPr="004A59B1">
        <w:rPr>
          <w:color w:val="000000"/>
          <w:lang w:val="sl-SI"/>
        </w:rPr>
        <w:t> </w:t>
      </w:r>
      <w:r w:rsidRPr="004A59B1">
        <w:rPr>
          <w:color w:val="000000"/>
          <w:lang w:val="sl-SI"/>
        </w:rPr>
        <w:t>% v</w:t>
      </w:r>
      <w:r w:rsidR="00281880" w:rsidRPr="004A59B1">
        <w:rPr>
          <w:color w:val="000000"/>
          <w:lang w:val="sl-SI"/>
        </w:rPr>
        <w:t xml:space="preserve"> primerjavi z </w:t>
      </w:r>
      <w:r w:rsidRPr="004A59B1">
        <w:rPr>
          <w:color w:val="000000"/>
          <w:lang w:val="sl-SI"/>
        </w:rPr>
        <w:t>31</w:t>
      </w:r>
      <w:r w:rsidR="00281880" w:rsidRPr="004A59B1">
        <w:rPr>
          <w:color w:val="000000"/>
          <w:lang w:val="sl-SI"/>
        </w:rPr>
        <w:t>,</w:t>
      </w:r>
      <w:r w:rsidRPr="004A59B1">
        <w:rPr>
          <w:color w:val="000000"/>
          <w:lang w:val="sl-SI"/>
        </w:rPr>
        <w:t>6</w:t>
      </w:r>
      <w:r w:rsidR="00281880" w:rsidRPr="004A59B1">
        <w:rPr>
          <w:color w:val="000000"/>
          <w:lang w:val="sl-SI"/>
        </w:rPr>
        <w:t> </w:t>
      </w:r>
      <w:r w:rsidRPr="004A59B1">
        <w:rPr>
          <w:color w:val="000000"/>
          <w:lang w:val="sl-SI"/>
        </w:rPr>
        <w:t>%</w:t>
      </w:r>
      <w:r w:rsidR="00281880" w:rsidRPr="004A59B1">
        <w:rPr>
          <w:color w:val="000000"/>
          <w:lang w:val="sl-SI"/>
        </w:rPr>
        <w:t>)</w:t>
      </w:r>
      <w:r w:rsidRPr="004A59B1">
        <w:rPr>
          <w:color w:val="000000"/>
          <w:lang w:val="sl-SI"/>
        </w:rPr>
        <w:t xml:space="preserve">. </w:t>
      </w:r>
      <w:r w:rsidR="00281880" w:rsidRPr="004A59B1">
        <w:rPr>
          <w:color w:val="000000"/>
          <w:lang w:val="sl-SI"/>
        </w:rPr>
        <w:t xml:space="preserve">Ocenjen delež bolnikov s </w:t>
      </w:r>
      <w:r w:rsidRPr="004A59B1">
        <w:rPr>
          <w:color w:val="000000"/>
          <w:lang w:val="sl-SI"/>
        </w:rPr>
        <w:t>4-</w:t>
      </w:r>
      <w:r w:rsidR="00281880" w:rsidRPr="004A59B1">
        <w:rPr>
          <w:color w:val="000000"/>
          <w:lang w:val="sl-SI"/>
        </w:rPr>
        <w:t>letnim celokupnim preživetjem (</w:t>
      </w:r>
      <w:r w:rsidRPr="004A59B1">
        <w:rPr>
          <w:color w:val="000000"/>
          <w:lang w:val="sl-SI"/>
        </w:rPr>
        <w:t>OS</w:t>
      </w:r>
      <w:r w:rsidR="00281880" w:rsidRPr="004A59B1">
        <w:rPr>
          <w:color w:val="000000"/>
          <w:lang w:val="sl-SI"/>
        </w:rPr>
        <w:t xml:space="preserve"> -</w:t>
      </w:r>
      <w:r w:rsidRPr="004A59B1">
        <w:rPr>
          <w:color w:val="000000"/>
          <w:lang w:val="sl-SI"/>
        </w:rPr>
        <w:t xml:space="preserve"> </w:t>
      </w:r>
      <w:r w:rsidR="00281880" w:rsidRPr="00304E94">
        <w:rPr>
          <w:i/>
          <w:color w:val="000000"/>
          <w:lang w:val="sl-SI"/>
        </w:rPr>
        <w:t>overall survival</w:t>
      </w:r>
      <w:r w:rsidR="00281880" w:rsidRPr="004A59B1">
        <w:rPr>
          <w:color w:val="000000"/>
          <w:lang w:val="sl-SI"/>
        </w:rPr>
        <w:t xml:space="preserve">) v 5. kohorti </w:t>
      </w:r>
      <w:r w:rsidR="00A764DE" w:rsidRPr="004A59B1">
        <w:rPr>
          <w:color w:val="000000"/>
          <w:lang w:val="sl-SI"/>
        </w:rPr>
        <w:t xml:space="preserve">je bil </w:t>
      </w:r>
      <w:r w:rsidRPr="004A59B1">
        <w:rPr>
          <w:color w:val="000000"/>
          <w:lang w:val="sl-SI"/>
        </w:rPr>
        <w:t>83</w:t>
      </w:r>
      <w:r w:rsidR="00A764DE" w:rsidRPr="004A59B1">
        <w:rPr>
          <w:color w:val="000000"/>
          <w:lang w:val="sl-SI"/>
        </w:rPr>
        <w:t>,</w:t>
      </w:r>
      <w:r w:rsidRPr="004A59B1">
        <w:rPr>
          <w:color w:val="000000"/>
          <w:lang w:val="sl-SI"/>
        </w:rPr>
        <w:t>6</w:t>
      </w:r>
      <w:r w:rsidR="00A764DE" w:rsidRPr="004A59B1">
        <w:rPr>
          <w:color w:val="000000"/>
          <w:lang w:val="sl-SI"/>
        </w:rPr>
        <w:t> </w:t>
      </w:r>
      <w:r w:rsidRPr="004A59B1">
        <w:rPr>
          <w:color w:val="000000"/>
          <w:lang w:val="sl-SI"/>
        </w:rPr>
        <w:t xml:space="preserve">% </w:t>
      </w:r>
      <w:r w:rsidR="00A764DE" w:rsidRPr="004A59B1">
        <w:rPr>
          <w:color w:val="000000"/>
          <w:lang w:val="sl-SI"/>
        </w:rPr>
        <w:t xml:space="preserve">v primerjavi s </w:t>
      </w:r>
      <w:r w:rsidRPr="004A59B1">
        <w:rPr>
          <w:color w:val="000000"/>
          <w:lang w:val="sl-SI"/>
        </w:rPr>
        <w:t>44</w:t>
      </w:r>
      <w:r w:rsidR="00A764DE" w:rsidRPr="004A59B1">
        <w:rPr>
          <w:color w:val="000000"/>
          <w:lang w:val="sl-SI"/>
        </w:rPr>
        <w:t>,</w:t>
      </w:r>
      <w:r w:rsidRPr="004A59B1">
        <w:rPr>
          <w:color w:val="000000"/>
          <w:lang w:val="sl-SI"/>
        </w:rPr>
        <w:t>8</w:t>
      </w:r>
      <w:r w:rsidR="00A764DE" w:rsidRPr="004A59B1">
        <w:rPr>
          <w:color w:val="000000"/>
          <w:lang w:val="sl-SI"/>
        </w:rPr>
        <w:t> </w:t>
      </w:r>
      <w:r w:rsidRPr="004A59B1">
        <w:rPr>
          <w:color w:val="000000"/>
          <w:lang w:val="sl-SI"/>
        </w:rPr>
        <w:t xml:space="preserve">% </w:t>
      </w:r>
      <w:r w:rsidR="00A764DE" w:rsidRPr="004A59B1">
        <w:rPr>
          <w:color w:val="000000"/>
          <w:lang w:val="sl-SI"/>
        </w:rPr>
        <w:t>pri zgodovinskih kontrolah</w:t>
      </w:r>
      <w:r w:rsidRPr="004A59B1">
        <w:rPr>
          <w:color w:val="000000"/>
          <w:lang w:val="sl-SI"/>
        </w:rPr>
        <w:t>. 20</w:t>
      </w:r>
      <w:r w:rsidR="00A764DE" w:rsidRPr="004A59B1">
        <w:rPr>
          <w:color w:val="000000"/>
          <w:lang w:val="sl-SI"/>
        </w:rPr>
        <w:t xml:space="preserve"> od </w:t>
      </w:r>
      <w:r w:rsidRPr="004A59B1">
        <w:rPr>
          <w:color w:val="000000"/>
          <w:lang w:val="sl-SI"/>
        </w:rPr>
        <w:t>50</w:t>
      </w:r>
      <w:r w:rsidR="00A764DE" w:rsidRPr="004A59B1">
        <w:rPr>
          <w:color w:val="000000"/>
          <w:lang w:val="sl-SI"/>
        </w:rPr>
        <w:t> bolniko</w:t>
      </w:r>
      <w:r w:rsidR="007D70C5" w:rsidRPr="004A59B1">
        <w:rPr>
          <w:color w:val="000000"/>
          <w:lang w:val="sl-SI"/>
        </w:rPr>
        <w:t>m</w:t>
      </w:r>
      <w:r w:rsidR="00A764DE" w:rsidRPr="004A59B1">
        <w:rPr>
          <w:color w:val="000000"/>
          <w:lang w:val="sl-SI"/>
        </w:rPr>
        <w:t xml:space="preserve"> </w:t>
      </w:r>
      <w:r w:rsidRPr="004A59B1">
        <w:rPr>
          <w:color w:val="000000"/>
          <w:lang w:val="sl-SI"/>
        </w:rPr>
        <w:t>(40</w:t>
      </w:r>
      <w:r w:rsidR="00A764DE" w:rsidRPr="004A59B1">
        <w:rPr>
          <w:color w:val="000000"/>
          <w:lang w:val="sl-SI"/>
        </w:rPr>
        <w:t> </w:t>
      </w:r>
      <w:r w:rsidRPr="004A59B1">
        <w:rPr>
          <w:color w:val="000000"/>
          <w:lang w:val="sl-SI"/>
        </w:rPr>
        <w:t xml:space="preserve">%) </w:t>
      </w:r>
      <w:r w:rsidR="00A764DE" w:rsidRPr="004A59B1">
        <w:rPr>
          <w:color w:val="000000"/>
          <w:lang w:val="sl-SI"/>
        </w:rPr>
        <w:t xml:space="preserve">v 5. kohorti </w:t>
      </w:r>
      <w:r w:rsidR="009C3E3E" w:rsidRPr="004A59B1">
        <w:rPr>
          <w:color w:val="000000"/>
          <w:lang w:val="sl-SI"/>
        </w:rPr>
        <w:t>so presadili krvotvorne matične celice.</w:t>
      </w:r>
    </w:p>
    <w:p w14:paraId="52979AAB" w14:textId="77777777" w:rsidR="00275074" w:rsidRPr="004A59B1" w:rsidRDefault="00275074" w:rsidP="009C1193">
      <w:pPr>
        <w:pStyle w:val="EndnoteText"/>
        <w:widowControl w:val="0"/>
        <w:rPr>
          <w:color w:val="000000"/>
          <w:lang w:val="sl-SI"/>
        </w:rPr>
      </w:pPr>
    </w:p>
    <w:p w14:paraId="52979AAC" w14:textId="77777777" w:rsidR="00275074" w:rsidRPr="004A59B1" w:rsidRDefault="00E43497" w:rsidP="009C1193">
      <w:pPr>
        <w:pStyle w:val="EndnoteText"/>
        <w:keepNext/>
        <w:keepLines/>
        <w:widowControl w:val="0"/>
        <w:tabs>
          <w:tab w:val="clear" w:pos="567"/>
        </w:tabs>
        <w:ind w:left="1701" w:hanging="1701"/>
        <w:rPr>
          <w:b/>
          <w:color w:val="000000"/>
          <w:lang w:val="sl-SI"/>
        </w:rPr>
      </w:pPr>
      <w:r w:rsidRPr="004A59B1">
        <w:rPr>
          <w:b/>
          <w:color w:val="000000"/>
          <w:lang w:val="sl-SI"/>
        </w:rPr>
        <w:lastRenderedPageBreak/>
        <w:t>Preglednica</w:t>
      </w:r>
      <w:r w:rsidR="00275074" w:rsidRPr="004A59B1">
        <w:rPr>
          <w:b/>
          <w:color w:val="000000"/>
          <w:lang w:val="sl-SI"/>
        </w:rPr>
        <w:t> </w:t>
      </w:r>
      <w:r w:rsidR="00106423" w:rsidRPr="004A59B1">
        <w:rPr>
          <w:b/>
          <w:color w:val="000000"/>
          <w:lang w:val="sl-SI"/>
        </w:rPr>
        <w:t>5</w:t>
      </w:r>
      <w:r w:rsidR="00275074" w:rsidRPr="004A59B1">
        <w:rPr>
          <w:b/>
          <w:color w:val="000000"/>
          <w:lang w:val="sl-SI"/>
        </w:rPr>
        <w:tab/>
      </w:r>
      <w:r w:rsidRPr="004A59B1">
        <w:rPr>
          <w:b/>
          <w:bCs/>
          <w:color w:val="000000"/>
          <w:szCs w:val="22"/>
          <w:lang w:val="sl-SI"/>
        </w:rPr>
        <w:t>K</w:t>
      </w:r>
      <w:r w:rsidRPr="004A59B1">
        <w:rPr>
          <w:b/>
          <w:color w:val="000000"/>
          <w:szCs w:val="22"/>
          <w:lang w:val="sl-SI"/>
        </w:rPr>
        <w:t>emoterapevtske sheme, uporabljene v kombinaciji z imatinibom</w:t>
      </w:r>
      <w:r w:rsidRPr="004A59B1">
        <w:rPr>
          <w:b/>
          <w:color w:val="000000"/>
          <w:lang w:val="sl-SI"/>
        </w:rPr>
        <w:t xml:space="preserve"> v študiji </w:t>
      </w:r>
      <w:r w:rsidR="00275074" w:rsidRPr="004A59B1">
        <w:rPr>
          <w:b/>
          <w:color w:val="000000"/>
          <w:lang w:val="sl-SI"/>
        </w:rPr>
        <w:t>I2301</w:t>
      </w:r>
    </w:p>
    <w:p w14:paraId="52979AAD" w14:textId="77777777" w:rsidR="00275074" w:rsidRPr="004A59B1" w:rsidRDefault="00275074" w:rsidP="009C1193">
      <w:pPr>
        <w:pStyle w:val="EndnoteText"/>
        <w:keepNext/>
        <w:keepLines/>
        <w:widowControl w:val="0"/>
        <w:rPr>
          <w:color w:val="000000"/>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3"/>
        <w:gridCol w:w="6728"/>
      </w:tblGrid>
      <w:tr w:rsidR="00CE28EE" w:rsidRPr="004A59B1" w14:paraId="52979AB6" w14:textId="77777777" w:rsidTr="008F282C">
        <w:trPr>
          <w:cantSplit/>
        </w:trPr>
        <w:tc>
          <w:tcPr>
            <w:tcW w:w="2358" w:type="dxa"/>
            <w:shd w:val="clear" w:color="auto" w:fill="auto"/>
          </w:tcPr>
          <w:p w14:paraId="52979AAE" w14:textId="77777777" w:rsidR="00275074" w:rsidRPr="004A59B1" w:rsidRDefault="00B26E57" w:rsidP="009C1193">
            <w:pPr>
              <w:pStyle w:val="EndnoteText"/>
              <w:keepNext/>
              <w:keepLines/>
              <w:widowControl w:val="0"/>
              <w:rPr>
                <w:color w:val="000000"/>
              </w:rPr>
            </w:pPr>
            <w:r w:rsidRPr="004A59B1">
              <w:rPr>
                <w:color w:val="000000"/>
              </w:rPr>
              <w:t>1. konsolidacijski blok</w:t>
            </w:r>
          </w:p>
          <w:p w14:paraId="52979AAF" w14:textId="77777777" w:rsidR="00275074" w:rsidRPr="004A59B1" w:rsidRDefault="00275074" w:rsidP="009C1193">
            <w:pPr>
              <w:pStyle w:val="EndnoteText"/>
              <w:keepNext/>
              <w:keepLines/>
              <w:widowControl w:val="0"/>
              <w:rPr>
                <w:color w:val="000000"/>
              </w:rPr>
            </w:pPr>
            <w:r w:rsidRPr="004A59B1">
              <w:rPr>
                <w:color w:val="000000"/>
              </w:rPr>
              <w:t>(3 </w:t>
            </w:r>
            <w:r w:rsidR="00B26E57" w:rsidRPr="004A59B1">
              <w:rPr>
                <w:color w:val="000000"/>
              </w:rPr>
              <w:t>tedne</w:t>
            </w:r>
            <w:r w:rsidRPr="004A59B1">
              <w:rPr>
                <w:color w:val="000000"/>
              </w:rPr>
              <w:t>)</w:t>
            </w:r>
          </w:p>
        </w:tc>
        <w:tc>
          <w:tcPr>
            <w:tcW w:w="6929" w:type="dxa"/>
            <w:shd w:val="clear" w:color="auto" w:fill="auto"/>
          </w:tcPr>
          <w:p w14:paraId="52979AB0" w14:textId="77777777" w:rsidR="00275074" w:rsidRPr="004A59B1" w:rsidRDefault="00275074" w:rsidP="009C1193">
            <w:pPr>
              <w:pStyle w:val="EndnoteText"/>
              <w:keepNext/>
              <w:keepLines/>
              <w:widowControl w:val="0"/>
              <w:rPr>
                <w:color w:val="000000"/>
                <w:lang w:val="es-ES"/>
              </w:rPr>
            </w:pPr>
            <w:r w:rsidRPr="004A59B1">
              <w:rPr>
                <w:color w:val="000000"/>
                <w:lang w:val="es-ES"/>
              </w:rPr>
              <w:t>VP-16 (100 mg/m</w:t>
            </w:r>
            <w:r w:rsidRPr="004A59B1">
              <w:rPr>
                <w:color w:val="000000"/>
                <w:vertAlign w:val="superscript"/>
                <w:lang w:val="es-ES"/>
              </w:rPr>
              <w:t>2</w:t>
            </w:r>
            <w:r w:rsidRPr="004A59B1">
              <w:rPr>
                <w:color w:val="000000"/>
                <w:lang w:val="es-ES"/>
              </w:rPr>
              <w:t>/da</w:t>
            </w:r>
            <w:r w:rsidR="00B26E57" w:rsidRPr="004A59B1">
              <w:rPr>
                <w:color w:val="000000"/>
                <w:lang w:val="es-ES"/>
              </w:rPr>
              <w:t>n</w:t>
            </w:r>
            <w:r w:rsidRPr="004A59B1">
              <w:rPr>
                <w:color w:val="000000"/>
                <w:lang w:val="es-ES"/>
              </w:rPr>
              <w:t xml:space="preserve">, </w:t>
            </w:r>
            <w:r w:rsidR="00B26E57" w:rsidRPr="004A59B1">
              <w:rPr>
                <w:color w:val="000000"/>
                <w:lang w:val="es-ES"/>
              </w:rPr>
              <w:t xml:space="preserve">i.v. </w:t>
            </w:r>
            <w:r w:rsidRPr="004A59B1">
              <w:rPr>
                <w:color w:val="000000"/>
                <w:lang w:val="es-ES"/>
              </w:rPr>
              <w:t>): 1</w:t>
            </w:r>
            <w:r w:rsidR="00B26E57" w:rsidRPr="004A59B1">
              <w:rPr>
                <w:color w:val="000000"/>
                <w:lang w:val="es-ES"/>
              </w:rPr>
              <w:t>.</w:t>
            </w:r>
            <w:r w:rsidRPr="004A59B1">
              <w:rPr>
                <w:color w:val="000000"/>
                <w:lang w:val="es-ES"/>
              </w:rPr>
              <w:noBreakHyphen/>
              <w:t>5</w:t>
            </w:r>
            <w:r w:rsidR="00B26E57" w:rsidRPr="004A59B1">
              <w:rPr>
                <w:color w:val="000000"/>
                <w:lang w:val="es-ES"/>
              </w:rPr>
              <w:t>. dan</w:t>
            </w:r>
          </w:p>
          <w:p w14:paraId="52979AB1" w14:textId="77777777" w:rsidR="00275074" w:rsidRPr="004A59B1" w:rsidRDefault="00B26E57" w:rsidP="009C1193">
            <w:pPr>
              <w:pStyle w:val="EndnoteText"/>
              <w:keepNext/>
              <w:keepLines/>
              <w:widowControl w:val="0"/>
              <w:rPr>
                <w:color w:val="000000"/>
                <w:lang w:val="es-ES"/>
              </w:rPr>
            </w:pPr>
            <w:r w:rsidRPr="004A59B1">
              <w:rPr>
                <w:color w:val="000000"/>
                <w:lang w:val="es-ES"/>
              </w:rPr>
              <w:t>i</w:t>
            </w:r>
            <w:r w:rsidR="00275074" w:rsidRPr="004A59B1">
              <w:rPr>
                <w:color w:val="000000"/>
                <w:lang w:val="es-ES"/>
              </w:rPr>
              <w:t>fosfamid (1</w:t>
            </w:r>
            <w:r w:rsidRPr="004A59B1">
              <w:rPr>
                <w:color w:val="000000"/>
                <w:lang w:val="es-ES"/>
              </w:rPr>
              <w:t>,</w:t>
            </w:r>
            <w:r w:rsidR="00275074" w:rsidRPr="004A59B1">
              <w:rPr>
                <w:color w:val="000000"/>
                <w:lang w:val="es-ES"/>
              </w:rPr>
              <w:t>8 g/m</w:t>
            </w:r>
            <w:r w:rsidR="00275074" w:rsidRPr="004A59B1">
              <w:rPr>
                <w:color w:val="000000"/>
                <w:vertAlign w:val="superscript"/>
                <w:lang w:val="es-ES"/>
              </w:rPr>
              <w:t>2</w:t>
            </w:r>
            <w:r w:rsidR="00275074" w:rsidRPr="004A59B1">
              <w:rPr>
                <w:color w:val="000000"/>
                <w:lang w:val="es-ES"/>
              </w:rPr>
              <w:t>/da</w:t>
            </w:r>
            <w:r w:rsidRPr="004A59B1">
              <w:rPr>
                <w:color w:val="000000"/>
                <w:lang w:val="es-ES"/>
              </w:rPr>
              <w:t>n</w:t>
            </w:r>
            <w:r w:rsidR="00275074" w:rsidRPr="004A59B1">
              <w:rPr>
                <w:color w:val="000000"/>
                <w:lang w:val="es-ES"/>
              </w:rPr>
              <w:t xml:space="preserve">, </w:t>
            </w:r>
            <w:r w:rsidRPr="004A59B1">
              <w:rPr>
                <w:color w:val="000000"/>
                <w:lang w:val="es-ES"/>
              </w:rPr>
              <w:t xml:space="preserve">i.v. </w:t>
            </w:r>
            <w:r w:rsidR="00275074" w:rsidRPr="004A59B1">
              <w:rPr>
                <w:color w:val="000000"/>
                <w:lang w:val="es-ES"/>
              </w:rPr>
              <w:t xml:space="preserve">): </w:t>
            </w:r>
            <w:r w:rsidRPr="004A59B1">
              <w:rPr>
                <w:color w:val="000000"/>
                <w:lang w:val="es-ES"/>
              </w:rPr>
              <w:t>1.</w:t>
            </w:r>
            <w:r w:rsidR="00592BCF" w:rsidRPr="004A59B1">
              <w:rPr>
                <w:color w:val="000000"/>
                <w:lang w:val="es-ES"/>
              </w:rPr>
              <w:noBreakHyphen/>
            </w:r>
            <w:r w:rsidRPr="004A59B1">
              <w:rPr>
                <w:color w:val="000000"/>
                <w:lang w:val="es-ES"/>
              </w:rPr>
              <w:t>5. dan</w:t>
            </w:r>
          </w:p>
          <w:p w14:paraId="52979AB2" w14:textId="77777777" w:rsidR="00275074" w:rsidRPr="004A59B1" w:rsidRDefault="00275074" w:rsidP="009C1193">
            <w:pPr>
              <w:pStyle w:val="EndnoteText"/>
              <w:keepNext/>
              <w:keepLines/>
              <w:widowControl w:val="0"/>
              <w:rPr>
                <w:color w:val="000000"/>
                <w:lang w:val="es-ES"/>
              </w:rPr>
            </w:pPr>
            <w:r w:rsidRPr="004A59B1">
              <w:rPr>
                <w:color w:val="000000"/>
                <w:lang w:val="es-ES"/>
              </w:rPr>
              <w:t>MESNA (360 mg/m</w:t>
            </w:r>
            <w:r w:rsidRPr="004A59B1">
              <w:rPr>
                <w:color w:val="000000"/>
                <w:vertAlign w:val="superscript"/>
                <w:lang w:val="es-ES"/>
              </w:rPr>
              <w:t>2</w:t>
            </w:r>
            <w:r w:rsidRPr="004A59B1">
              <w:rPr>
                <w:color w:val="000000"/>
                <w:lang w:val="es-ES"/>
              </w:rPr>
              <w:t>/</w:t>
            </w:r>
            <w:r w:rsidR="00592BCF" w:rsidRPr="004A59B1">
              <w:rPr>
                <w:color w:val="000000"/>
                <w:lang w:val="es-ES"/>
              </w:rPr>
              <w:t>odmerek vsake 3 ure</w:t>
            </w:r>
            <w:r w:rsidRPr="004A59B1">
              <w:rPr>
                <w:color w:val="000000"/>
                <w:lang w:val="es-ES"/>
              </w:rPr>
              <w:t xml:space="preserve">, </w:t>
            </w:r>
            <w:r w:rsidR="00592BCF" w:rsidRPr="004A59B1">
              <w:rPr>
                <w:color w:val="000000"/>
                <w:lang w:val="es-ES"/>
              </w:rPr>
              <w:t xml:space="preserve">x </w:t>
            </w:r>
            <w:r w:rsidRPr="004A59B1">
              <w:rPr>
                <w:color w:val="000000"/>
                <w:lang w:val="es-ES"/>
              </w:rPr>
              <w:t xml:space="preserve">8 </w:t>
            </w:r>
            <w:r w:rsidR="00592BCF" w:rsidRPr="004A59B1">
              <w:rPr>
                <w:color w:val="000000"/>
                <w:lang w:val="es-ES"/>
              </w:rPr>
              <w:t>odmerkov</w:t>
            </w:r>
            <w:r w:rsidRPr="004A59B1">
              <w:rPr>
                <w:color w:val="000000"/>
                <w:lang w:val="es-ES"/>
              </w:rPr>
              <w:t>/da</w:t>
            </w:r>
            <w:r w:rsidR="00592BCF" w:rsidRPr="004A59B1">
              <w:rPr>
                <w:color w:val="000000"/>
                <w:lang w:val="es-ES"/>
              </w:rPr>
              <w:t>n</w:t>
            </w:r>
            <w:r w:rsidRPr="004A59B1">
              <w:rPr>
                <w:color w:val="000000"/>
                <w:lang w:val="es-ES"/>
              </w:rPr>
              <w:t xml:space="preserve">, </w:t>
            </w:r>
            <w:r w:rsidR="000B6E89" w:rsidRPr="004A59B1">
              <w:rPr>
                <w:color w:val="000000"/>
                <w:lang w:val="es-ES"/>
              </w:rPr>
              <w:t>i.v.</w:t>
            </w:r>
            <w:r w:rsidRPr="004A59B1">
              <w:rPr>
                <w:color w:val="000000"/>
                <w:lang w:val="es-ES"/>
              </w:rPr>
              <w:t xml:space="preserve">): </w:t>
            </w:r>
            <w:r w:rsidR="00B26E57" w:rsidRPr="004A59B1">
              <w:rPr>
                <w:color w:val="000000"/>
                <w:lang w:val="es-ES"/>
              </w:rPr>
              <w:t>1.</w:t>
            </w:r>
            <w:r w:rsidR="00592BCF" w:rsidRPr="004A59B1">
              <w:rPr>
                <w:color w:val="000000"/>
                <w:lang w:val="es-ES"/>
              </w:rPr>
              <w:noBreakHyphen/>
            </w:r>
            <w:r w:rsidR="00B26E57" w:rsidRPr="004A59B1">
              <w:rPr>
                <w:color w:val="000000"/>
                <w:lang w:val="es-ES"/>
              </w:rPr>
              <w:t>5. dan</w:t>
            </w:r>
          </w:p>
          <w:p w14:paraId="52979AB3" w14:textId="77777777" w:rsidR="00275074" w:rsidRPr="004A59B1" w:rsidRDefault="00275074" w:rsidP="009C1193">
            <w:pPr>
              <w:pStyle w:val="EndnoteText"/>
              <w:keepNext/>
              <w:keepLines/>
              <w:widowControl w:val="0"/>
              <w:rPr>
                <w:color w:val="000000"/>
                <w:lang w:val="es-ES"/>
              </w:rPr>
            </w:pPr>
            <w:r w:rsidRPr="004A59B1">
              <w:rPr>
                <w:color w:val="000000"/>
                <w:lang w:val="es-ES"/>
              </w:rPr>
              <w:t>G-CSF (5 </w:t>
            </w:r>
            <w:r w:rsidRPr="004A59B1">
              <w:rPr>
                <w:color w:val="000000"/>
              </w:rPr>
              <w:t>μ</w:t>
            </w:r>
            <w:r w:rsidRPr="004A59B1">
              <w:rPr>
                <w:color w:val="000000"/>
                <w:lang w:val="es-ES"/>
              </w:rPr>
              <w:t xml:space="preserve">g/kg, </w:t>
            </w:r>
            <w:r w:rsidR="00592BCF" w:rsidRPr="004A59B1">
              <w:rPr>
                <w:color w:val="000000"/>
                <w:lang w:val="es-ES"/>
              </w:rPr>
              <w:t>s.c.</w:t>
            </w:r>
            <w:r w:rsidRPr="004A59B1">
              <w:rPr>
                <w:color w:val="000000"/>
                <w:lang w:val="es-ES"/>
              </w:rPr>
              <w:t>): 6</w:t>
            </w:r>
            <w:r w:rsidR="00592BCF" w:rsidRPr="004A59B1">
              <w:rPr>
                <w:color w:val="000000"/>
                <w:lang w:val="es-ES"/>
              </w:rPr>
              <w:t>.</w:t>
            </w:r>
            <w:r w:rsidRPr="004A59B1">
              <w:rPr>
                <w:color w:val="000000"/>
                <w:lang w:val="es-ES"/>
              </w:rPr>
              <w:noBreakHyphen/>
              <w:t>15</w:t>
            </w:r>
            <w:r w:rsidR="00592BCF" w:rsidRPr="004A59B1">
              <w:rPr>
                <w:color w:val="000000"/>
                <w:lang w:val="es-ES"/>
              </w:rPr>
              <w:t xml:space="preserve">. dan oziroma do </w:t>
            </w:r>
            <w:r w:rsidRPr="004A59B1">
              <w:rPr>
                <w:color w:val="000000"/>
                <w:lang w:val="es-ES"/>
              </w:rPr>
              <w:t>ANC &gt; 1500 po</w:t>
            </w:r>
            <w:r w:rsidR="000B6E89" w:rsidRPr="004A59B1">
              <w:rPr>
                <w:color w:val="000000"/>
                <w:lang w:val="es-ES"/>
              </w:rPr>
              <w:t xml:space="preserve"> doseženem najnižjem številu</w:t>
            </w:r>
          </w:p>
          <w:p w14:paraId="52979AB4" w14:textId="77777777" w:rsidR="00275074" w:rsidRPr="004A59B1" w:rsidRDefault="00140F55" w:rsidP="009C1193">
            <w:pPr>
              <w:pStyle w:val="EndnoteText"/>
              <w:keepNext/>
              <w:keepLines/>
              <w:widowControl w:val="0"/>
              <w:rPr>
                <w:color w:val="000000"/>
                <w:lang w:val="de-DE"/>
              </w:rPr>
            </w:pPr>
            <w:r w:rsidRPr="004A59B1">
              <w:rPr>
                <w:color w:val="000000"/>
                <w:lang w:val="de-DE"/>
              </w:rPr>
              <w:t>i.t.</w:t>
            </w:r>
            <w:r w:rsidR="00275074" w:rsidRPr="004A59B1">
              <w:rPr>
                <w:color w:val="000000"/>
                <w:lang w:val="de-DE"/>
              </w:rPr>
              <w:t xml:space="preserve"> </w:t>
            </w:r>
            <w:r w:rsidR="000B6E89" w:rsidRPr="004A59B1">
              <w:rPr>
                <w:color w:val="000000"/>
                <w:lang w:val="de-DE"/>
              </w:rPr>
              <w:t>m</w:t>
            </w:r>
            <w:r w:rsidR="00275074" w:rsidRPr="004A59B1">
              <w:rPr>
                <w:color w:val="000000"/>
                <w:lang w:val="de-DE"/>
              </w:rPr>
              <w:t>etotre</w:t>
            </w:r>
            <w:r w:rsidR="000B6E89" w:rsidRPr="004A59B1">
              <w:rPr>
                <w:color w:val="000000"/>
                <w:lang w:val="de-DE"/>
              </w:rPr>
              <w:t>ks</w:t>
            </w:r>
            <w:r w:rsidR="00275074" w:rsidRPr="004A59B1">
              <w:rPr>
                <w:color w:val="000000"/>
                <w:lang w:val="de-DE"/>
              </w:rPr>
              <w:t>at (</w:t>
            </w:r>
            <w:r w:rsidR="000B6E89" w:rsidRPr="004A59B1">
              <w:rPr>
                <w:color w:val="000000"/>
                <w:lang w:val="de-DE"/>
              </w:rPr>
              <w:t>prilagojen na starost</w:t>
            </w:r>
            <w:r w:rsidR="00275074" w:rsidRPr="004A59B1">
              <w:rPr>
                <w:color w:val="000000"/>
                <w:lang w:val="de-DE"/>
              </w:rPr>
              <w:t xml:space="preserve">): </w:t>
            </w:r>
            <w:r w:rsidR="000B6E89" w:rsidRPr="004A59B1">
              <w:rPr>
                <w:color w:val="000000"/>
                <w:lang w:val="de-DE"/>
              </w:rPr>
              <w:t>SAMO 1. dan</w:t>
            </w:r>
          </w:p>
          <w:p w14:paraId="52979AB5" w14:textId="77777777" w:rsidR="00275074" w:rsidRPr="004A59B1" w:rsidRDefault="000B6E89" w:rsidP="009C1193">
            <w:pPr>
              <w:pStyle w:val="EndnoteText"/>
              <w:keepNext/>
              <w:keepLines/>
              <w:widowControl w:val="0"/>
              <w:rPr>
                <w:color w:val="000000"/>
                <w:lang w:val="de-DE"/>
              </w:rPr>
            </w:pPr>
            <w:r w:rsidRPr="004A59B1">
              <w:rPr>
                <w:color w:val="000000"/>
                <w:lang w:val="de-DE"/>
              </w:rPr>
              <w:t>trojn</w:t>
            </w:r>
            <w:r w:rsidR="00140F55" w:rsidRPr="004A59B1">
              <w:rPr>
                <w:color w:val="000000"/>
                <w:lang w:val="de-DE"/>
              </w:rPr>
              <w:t>o i.t.</w:t>
            </w:r>
            <w:r w:rsidRPr="004A59B1">
              <w:rPr>
                <w:color w:val="000000"/>
                <w:lang w:val="de-DE"/>
              </w:rPr>
              <w:t xml:space="preserve"> zdravljenje </w:t>
            </w:r>
            <w:r w:rsidR="00275074" w:rsidRPr="004A59B1">
              <w:rPr>
                <w:color w:val="000000"/>
                <w:lang w:val="de-DE"/>
              </w:rPr>
              <w:t>(</w:t>
            </w:r>
            <w:r w:rsidRPr="004A59B1">
              <w:rPr>
                <w:color w:val="000000"/>
                <w:lang w:val="de-DE"/>
              </w:rPr>
              <w:t>prilagojeno na starost</w:t>
            </w:r>
            <w:r w:rsidR="00275074" w:rsidRPr="004A59B1">
              <w:rPr>
                <w:color w:val="000000"/>
                <w:lang w:val="de-DE"/>
              </w:rPr>
              <w:t xml:space="preserve">): </w:t>
            </w:r>
            <w:r w:rsidRPr="004A59B1">
              <w:rPr>
                <w:color w:val="000000"/>
                <w:lang w:val="de-DE"/>
              </w:rPr>
              <w:t>8. in 15.</w:t>
            </w:r>
            <w:r w:rsidR="00330F1D" w:rsidRPr="004A59B1">
              <w:rPr>
                <w:color w:val="000000"/>
                <w:lang w:val="de-DE"/>
              </w:rPr>
              <w:t> </w:t>
            </w:r>
            <w:r w:rsidRPr="004A59B1">
              <w:rPr>
                <w:lang w:val="de-DE"/>
              </w:rPr>
              <w:t>dan</w:t>
            </w:r>
          </w:p>
        </w:tc>
      </w:tr>
      <w:tr w:rsidR="00CE28EE" w:rsidRPr="004A59B1" w14:paraId="52979ABE" w14:textId="77777777" w:rsidTr="008F282C">
        <w:trPr>
          <w:cantSplit/>
        </w:trPr>
        <w:tc>
          <w:tcPr>
            <w:tcW w:w="2358" w:type="dxa"/>
            <w:shd w:val="clear" w:color="auto" w:fill="auto"/>
          </w:tcPr>
          <w:p w14:paraId="52979AB7" w14:textId="77777777" w:rsidR="000B6E89" w:rsidRPr="004A59B1" w:rsidRDefault="000B6E89" w:rsidP="009C1193">
            <w:pPr>
              <w:pStyle w:val="EndnoteText"/>
              <w:widowControl w:val="0"/>
              <w:rPr>
                <w:color w:val="000000"/>
              </w:rPr>
            </w:pPr>
            <w:r w:rsidRPr="004A59B1">
              <w:rPr>
                <w:color w:val="000000"/>
              </w:rPr>
              <w:t>2. konsolidacijski blok</w:t>
            </w:r>
          </w:p>
          <w:p w14:paraId="52979AB8" w14:textId="77777777" w:rsidR="00275074" w:rsidRPr="004A59B1" w:rsidRDefault="000B6E89" w:rsidP="009C1193">
            <w:pPr>
              <w:pStyle w:val="EndnoteText"/>
              <w:widowControl w:val="0"/>
              <w:rPr>
                <w:color w:val="000000"/>
              </w:rPr>
            </w:pPr>
            <w:r w:rsidRPr="004A59B1">
              <w:rPr>
                <w:color w:val="000000"/>
              </w:rPr>
              <w:t>(3 tedne)</w:t>
            </w:r>
          </w:p>
        </w:tc>
        <w:tc>
          <w:tcPr>
            <w:tcW w:w="6929" w:type="dxa"/>
            <w:shd w:val="clear" w:color="auto" w:fill="auto"/>
          </w:tcPr>
          <w:p w14:paraId="52979AB9" w14:textId="77777777" w:rsidR="00275074" w:rsidRPr="004A59B1" w:rsidRDefault="000B6E89" w:rsidP="009C1193">
            <w:pPr>
              <w:pStyle w:val="EndnoteText"/>
              <w:widowControl w:val="0"/>
              <w:rPr>
                <w:color w:val="000000"/>
              </w:rPr>
            </w:pPr>
            <w:r w:rsidRPr="004A59B1">
              <w:rPr>
                <w:color w:val="000000"/>
              </w:rPr>
              <w:t>m</w:t>
            </w:r>
            <w:r w:rsidR="00275074" w:rsidRPr="004A59B1">
              <w:rPr>
                <w:color w:val="000000"/>
              </w:rPr>
              <w:t>etotre</w:t>
            </w:r>
            <w:r w:rsidRPr="004A59B1">
              <w:rPr>
                <w:color w:val="000000"/>
              </w:rPr>
              <w:t>ks</w:t>
            </w:r>
            <w:r w:rsidR="00275074" w:rsidRPr="004A59B1">
              <w:rPr>
                <w:color w:val="000000"/>
              </w:rPr>
              <w:t>at (5 g/m</w:t>
            </w:r>
            <w:r w:rsidR="00275074" w:rsidRPr="004A59B1">
              <w:rPr>
                <w:color w:val="000000"/>
                <w:vertAlign w:val="superscript"/>
              </w:rPr>
              <w:t>2</w:t>
            </w:r>
            <w:r w:rsidR="00275074" w:rsidRPr="004A59B1">
              <w:rPr>
                <w:color w:val="000000"/>
              </w:rPr>
              <w:t xml:space="preserve"> </w:t>
            </w:r>
            <w:r w:rsidR="00140F55" w:rsidRPr="004A59B1">
              <w:rPr>
                <w:color w:val="000000"/>
              </w:rPr>
              <w:t xml:space="preserve">v času </w:t>
            </w:r>
            <w:r w:rsidR="00275074" w:rsidRPr="004A59B1">
              <w:rPr>
                <w:color w:val="000000"/>
              </w:rPr>
              <w:t>24 </w:t>
            </w:r>
            <w:r w:rsidR="00140F55" w:rsidRPr="004A59B1">
              <w:rPr>
                <w:color w:val="000000"/>
              </w:rPr>
              <w:t>ur</w:t>
            </w:r>
            <w:r w:rsidR="00275074" w:rsidRPr="004A59B1">
              <w:rPr>
                <w:color w:val="000000"/>
              </w:rPr>
              <w:t xml:space="preserve">, </w:t>
            </w:r>
            <w:r w:rsidR="00B26E57" w:rsidRPr="004A59B1">
              <w:rPr>
                <w:color w:val="000000"/>
              </w:rPr>
              <w:t>i.v.</w:t>
            </w:r>
            <w:r w:rsidR="00275074" w:rsidRPr="004A59B1">
              <w:rPr>
                <w:color w:val="000000"/>
              </w:rPr>
              <w:t xml:space="preserve">): </w:t>
            </w:r>
            <w:r w:rsidR="00140F55" w:rsidRPr="004A59B1">
              <w:rPr>
                <w:color w:val="000000"/>
              </w:rPr>
              <w:t>1. dan</w:t>
            </w:r>
          </w:p>
          <w:p w14:paraId="52979ABA" w14:textId="77777777" w:rsidR="00275074" w:rsidRPr="004A59B1" w:rsidRDefault="00140F55" w:rsidP="009C1193">
            <w:pPr>
              <w:pStyle w:val="EndnoteText"/>
              <w:widowControl w:val="0"/>
              <w:rPr>
                <w:color w:val="000000"/>
              </w:rPr>
            </w:pPr>
            <w:r w:rsidRPr="004A59B1">
              <w:rPr>
                <w:color w:val="000000"/>
              </w:rPr>
              <w:t>levk</w:t>
            </w:r>
            <w:r w:rsidR="00275074" w:rsidRPr="004A59B1">
              <w:rPr>
                <w:color w:val="000000"/>
              </w:rPr>
              <w:t>ovorin (75 mg/m</w:t>
            </w:r>
            <w:r w:rsidR="00275074" w:rsidRPr="004A59B1">
              <w:rPr>
                <w:color w:val="000000"/>
                <w:vertAlign w:val="superscript"/>
              </w:rPr>
              <w:t>2</w:t>
            </w:r>
            <w:r w:rsidR="00275074" w:rsidRPr="004A59B1">
              <w:rPr>
                <w:color w:val="000000"/>
              </w:rPr>
              <w:t xml:space="preserve"> </w:t>
            </w:r>
            <w:r w:rsidRPr="004A59B1">
              <w:rPr>
                <w:color w:val="000000"/>
              </w:rPr>
              <w:t xml:space="preserve">36 ur po začetku, </w:t>
            </w:r>
            <w:r w:rsidR="00B26E57" w:rsidRPr="004A59B1">
              <w:rPr>
                <w:color w:val="000000"/>
              </w:rPr>
              <w:t>i.v.</w:t>
            </w:r>
            <w:r w:rsidR="00275074" w:rsidRPr="004A59B1">
              <w:rPr>
                <w:color w:val="000000"/>
              </w:rPr>
              <w:t>; 15 mg/m</w:t>
            </w:r>
            <w:r w:rsidR="00275074" w:rsidRPr="004A59B1">
              <w:rPr>
                <w:color w:val="000000"/>
                <w:vertAlign w:val="superscript"/>
              </w:rPr>
              <w:t>2</w:t>
            </w:r>
            <w:r w:rsidR="00275074" w:rsidRPr="004A59B1">
              <w:rPr>
                <w:color w:val="000000"/>
              </w:rPr>
              <w:t xml:space="preserve"> </w:t>
            </w:r>
            <w:r w:rsidR="00B26E57" w:rsidRPr="004A59B1">
              <w:rPr>
                <w:color w:val="000000"/>
              </w:rPr>
              <w:t xml:space="preserve">i.v. </w:t>
            </w:r>
            <w:r w:rsidRPr="004A59B1">
              <w:rPr>
                <w:color w:val="000000"/>
              </w:rPr>
              <w:t xml:space="preserve">ali peroralno vsakih 6 ur </w:t>
            </w:r>
            <w:r w:rsidR="00275074" w:rsidRPr="004A59B1">
              <w:rPr>
                <w:color w:val="000000"/>
              </w:rPr>
              <w:t>x 6 </w:t>
            </w:r>
            <w:r w:rsidRPr="004A59B1">
              <w:rPr>
                <w:color w:val="000000"/>
              </w:rPr>
              <w:t>odmerkov</w:t>
            </w:r>
            <w:r w:rsidR="00275074" w:rsidRPr="004A59B1">
              <w:rPr>
                <w:color w:val="000000"/>
              </w:rPr>
              <w:t>)</w:t>
            </w:r>
            <w:r w:rsidRPr="004A59B1">
              <w:rPr>
                <w:color w:val="000000"/>
              </w:rPr>
              <w:t xml:space="preserve"> </w:t>
            </w:r>
            <w:r w:rsidR="00275074" w:rsidRPr="004A59B1">
              <w:rPr>
                <w:color w:val="000000"/>
              </w:rPr>
              <w:t>iii:</w:t>
            </w:r>
            <w:r w:rsidR="00E27D72" w:rsidRPr="004A59B1">
              <w:rPr>
                <w:color w:val="000000"/>
              </w:rPr>
              <w:t xml:space="preserve"> </w:t>
            </w:r>
            <w:r w:rsidRPr="004A59B1">
              <w:rPr>
                <w:color w:val="000000"/>
              </w:rPr>
              <w:t>2. in 3.</w:t>
            </w:r>
            <w:r w:rsidR="00330F1D" w:rsidRPr="004A59B1">
              <w:rPr>
                <w:color w:val="000000"/>
              </w:rPr>
              <w:t> </w:t>
            </w:r>
            <w:r w:rsidRPr="004A59B1">
              <w:t>dan</w:t>
            </w:r>
          </w:p>
          <w:p w14:paraId="52979ABB" w14:textId="77777777" w:rsidR="00275074" w:rsidRPr="004A59B1" w:rsidRDefault="005441CC" w:rsidP="009C1193">
            <w:pPr>
              <w:pStyle w:val="EndnoteText"/>
              <w:widowControl w:val="0"/>
              <w:rPr>
                <w:color w:val="000000"/>
              </w:rPr>
            </w:pPr>
            <w:r w:rsidRPr="004A59B1">
              <w:rPr>
                <w:color w:val="000000"/>
              </w:rPr>
              <w:t>trojno i.t. zdravljenje</w:t>
            </w:r>
            <w:r w:rsidR="00275074" w:rsidRPr="004A59B1">
              <w:rPr>
                <w:color w:val="000000"/>
              </w:rPr>
              <w:t xml:space="preserve"> (</w:t>
            </w:r>
            <w:r w:rsidRPr="004A59B1">
              <w:rPr>
                <w:color w:val="000000"/>
              </w:rPr>
              <w:t>prilagojeno na starost)</w:t>
            </w:r>
            <w:r w:rsidR="00275074" w:rsidRPr="004A59B1">
              <w:rPr>
                <w:color w:val="000000"/>
              </w:rPr>
              <w:t xml:space="preserve">: </w:t>
            </w:r>
            <w:r w:rsidRPr="004A59B1">
              <w:rPr>
                <w:color w:val="000000"/>
              </w:rPr>
              <w:t>1. </w:t>
            </w:r>
            <w:r w:rsidR="00275074" w:rsidRPr="004A59B1">
              <w:rPr>
                <w:color w:val="000000"/>
              </w:rPr>
              <w:t>da</w:t>
            </w:r>
            <w:r w:rsidRPr="004A59B1">
              <w:rPr>
                <w:color w:val="000000"/>
              </w:rPr>
              <w:t>n</w:t>
            </w:r>
          </w:p>
          <w:p w14:paraId="52979ABC" w14:textId="77777777" w:rsidR="00275074" w:rsidRPr="00304E94" w:rsidRDefault="00275074" w:rsidP="009C1193">
            <w:pPr>
              <w:pStyle w:val="EndnoteText"/>
              <w:widowControl w:val="0"/>
              <w:rPr>
                <w:color w:val="000000"/>
              </w:rPr>
            </w:pPr>
            <w:r w:rsidRPr="00304E94">
              <w:rPr>
                <w:color w:val="000000"/>
              </w:rPr>
              <w:t>ARA-C (3 g/m</w:t>
            </w:r>
            <w:r w:rsidRPr="00304E94">
              <w:rPr>
                <w:color w:val="000000"/>
                <w:vertAlign w:val="superscript"/>
              </w:rPr>
              <w:t>2</w:t>
            </w:r>
            <w:r w:rsidRPr="00304E94">
              <w:rPr>
                <w:color w:val="000000"/>
              </w:rPr>
              <w:t>/</w:t>
            </w:r>
            <w:r w:rsidR="005441CC" w:rsidRPr="00304E94">
              <w:rPr>
                <w:color w:val="000000"/>
              </w:rPr>
              <w:t>odmer</w:t>
            </w:r>
            <w:r w:rsidR="007D70C5" w:rsidRPr="00304E94">
              <w:rPr>
                <w:color w:val="000000"/>
              </w:rPr>
              <w:t>ek</w:t>
            </w:r>
            <w:r w:rsidR="005441CC" w:rsidRPr="00304E94">
              <w:rPr>
                <w:color w:val="000000"/>
              </w:rPr>
              <w:t xml:space="preserve"> vsakih </w:t>
            </w:r>
            <w:r w:rsidRPr="00304E94">
              <w:rPr>
                <w:color w:val="000000"/>
              </w:rPr>
              <w:t>12 </w:t>
            </w:r>
            <w:r w:rsidR="005441CC" w:rsidRPr="00304E94">
              <w:rPr>
                <w:color w:val="000000"/>
              </w:rPr>
              <w:t>ur</w:t>
            </w:r>
            <w:r w:rsidRPr="00304E94">
              <w:rPr>
                <w:color w:val="000000"/>
              </w:rPr>
              <w:t xml:space="preserve"> x 4, </w:t>
            </w:r>
            <w:r w:rsidR="00B26E57" w:rsidRPr="00304E94">
              <w:rPr>
                <w:color w:val="000000"/>
              </w:rPr>
              <w:t>i.v.</w:t>
            </w:r>
            <w:r w:rsidRPr="00304E94">
              <w:rPr>
                <w:color w:val="000000"/>
              </w:rPr>
              <w:t>):2</w:t>
            </w:r>
            <w:r w:rsidR="005441CC" w:rsidRPr="00304E94">
              <w:rPr>
                <w:color w:val="000000"/>
              </w:rPr>
              <w:t>. in 3. dan</w:t>
            </w:r>
          </w:p>
          <w:p w14:paraId="52979ABD" w14:textId="77777777" w:rsidR="00275074" w:rsidRPr="004A59B1" w:rsidRDefault="00275074" w:rsidP="009C1193">
            <w:pPr>
              <w:pStyle w:val="EndnoteText"/>
              <w:widowControl w:val="0"/>
              <w:rPr>
                <w:color w:val="000000"/>
              </w:rPr>
            </w:pPr>
            <w:r w:rsidRPr="004A59B1">
              <w:rPr>
                <w:color w:val="000000"/>
              </w:rPr>
              <w:t xml:space="preserve">G-CSF (5 μg/kg, </w:t>
            </w:r>
            <w:r w:rsidR="005441CC" w:rsidRPr="004A59B1">
              <w:rPr>
                <w:color w:val="000000"/>
              </w:rPr>
              <w:t>s.c.</w:t>
            </w:r>
            <w:r w:rsidRPr="004A59B1">
              <w:rPr>
                <w:color w:val="000000"/>
              </w:rPr>
              <w:t>): 4</w:t>
            </w:r>
            <w:r w:rsidR="005441CC" w:rsidRPr="004A59B1">
              <w:rPr>
                <w:color w:val="000000"/>
              </w:rPr>
              <w:t>.</w:t>
            </w:r>
            <w:r w:rsidRPr="004A59B1">
              <w:rPr>
                <w:color w:val="000000"/>
              </w:rPr>
              <w:t>-13</w:t>
            </w:r>
            <w:r w:rsidR="005441CC" w:rsidRPr="004A59B1">
              <w:rPr>
                <w:color w:val="000000"/>
              </w:rPr>
              <w:t>.</w:t>
            </w:r>
            <w:r w:rsidR="00330F1D" w:rsidRPr="004A59B1">
              <w:rPr>
                <w:color w:val="000000"/>
              </w:rPr>
              <w:t> </w:t>
            </w:r>
            <w:r w:rsidR="005441CC" w:rsidRPr="004A59B1">
              <w:t xml:space="preserve">dan oziroma </w:t>
            </w:r>
            <w:r w:rsidR="005441CC" w:rsidRPr="004A59B1">
              <w:rPr>
                <w:color w:val="000000"/>
              </w:rPr>
              <w:t>do ANC &gt; 1500 po doseženem najnižjem številu</w:t>
            </w:r>
          </w:p>
        </w:tc>
      </w:tr>
      <w:tr w:rsidR="00CE28EE" w:rsidRPr="003B6568" w14:paraId="52979AC8" w14:textId="77777777" w:rsidTr="008F282C">
        <w:trPr>
          <w:cantSplit/>
        </w:trPr>
        <w:tc>
          <w:tcPr>
            <w:tcW w:w="2358" w:type="dxa"/>
            <w:shd w:val="clear" w:color="auto" w:fill="auto"/>
          </w:tcPr>
          <w:p w14:paraId="52979ABF" w14:textId="77777777" w:rsidR="00275074" w:rsidRPr="004A59B1" w:rsidRDefault="005441CC" w:rsidP="009C1193">
            <w:pPr>
              <w:pStyle w:val="EndnoteText"/>
              <w:widowControl w:val="0"/>
              <w:rPr>
                <w:color w:val="000000"/>
              </w:rPr>
            </w:pPr>
            <w:r w:rsidRPr="004A59B1">
              <w:rPr>
                <w:color w:val="000000"/>
              </w:rPr>
              <w:t xml:space="preserve">1. reindukcijski </w:t>
            </w:r>
            <w:r w:rsidR="00275074" w:rsidRPr="004A59B1">
              <w:rPr>
                <w:color w:val="000000"/>
              </w:rPr>
              <w:t>blok</w:t>
            </w:r>
          </w:p>
          <w:p w14:paraId="52979AC0" w14:textId="77777777" w:rsidR="00275074" w:rsidRPr="004A59B1" w:rsidRDefault="00275074" w:rsidP="009C1193">
            <w:pPr>
              <w:pStyle w:val="EndnoteText"/>
              <w:widowControl w:val="0"/>
              <w:rPr>
                <w:color w:val="000000"/>
              </w:rPr>
            </w:pPr>
            <w:r w:rsidRPr="004A59B1">
              <w:rPr>
                <w:color w:val="000000"/>
              </w:rPr>
              <w:t>(3 </w:t>
            </w:r>
            <w:r w:rsidR="005441CC" w:rsidRPr="004A59B1">
              <w:rPr>
                <w:color w:val="000000"/>
              </w:rPr>
              <w:t>tedne</w:t>
            </w:r>
            <w:r w:rsidRPr="004A59B1">
              <w:rPr>
                <w:color w:val="000000"/>
              </w:rPr>
              <w:t>)</w:t>
            </w:r>
          </w:p>
        </w:tc>
        <w:tc>
          <w:tcPr>
            <w:tcW w:w="6929" w:type="dxa"/>
            <w:shd w:val="clear" w:color="auto" w:fill="auto"/>
          </w:tcPr>
          <w:p w14:paraId="52979AC1" w14:textId="77777777" w:rsidR="00275074" w:rsidRPr="003F2EE1" w:rsidRDefault="005441CC" w:rsidP="009C1193">
            <w:pPr>
              <w:pStyle w:val="EndnoteText"/>
              <w:widowControl w:val="0"/>
              <w:rPr>
                <w:color w:val="000000"/>
                <w:lang w:val="de-CH"/>
              </w:rPr>
            </w:pPr>
            <w:r w:rsidRPr="003F2EE1">
              <w:rPr>
                <w:color w:val="000000"/>
                <w:lang w:val="de-CH"/>
              </w:rPr>
              <w:t>VCR (1,</w:t>
            </w:r>
            <w:r w:rsidR="00275074" w:rsidRPr="003F2EE1">
              <w:rPr>
                <w:color w:val="000000"/>
                <w:lang w:val="de-CH"/>
              </w:rPr>
              <w:t>5 mg/m</w:t>
            </w:r>
            <w:r w:rsidR="00275074" w:rsidRPr="003F2EE1">
              <w:rPr>
                <w:color w:val="000000"/>
                <w:vertAlign w:val="superscript"/>
                <w:lang w:val="de-CH"/>
              </w:rPr>
              <w:t>2</w:t>
            </w:r>
            <w:r w:rsidR="00275074" w:rsidRPr="003F2EE1">
              <w:rPr>
                <w:color w:val="000000"/>
                <w:lang w:val="de-CH"/>
              </w:rPr>
              <w:t>/da</w:t>
            </w:r>
            <w:r w:rsidRPr="003F2EE1">
              <w:rPr>
                <w:color w:val="000000"/>
                <w:lang w:val="de-CH"/>
              </w:rPr>
              <w:t>n</w:t>
            </w:r>
            <w:r w:rsidR="00275074" w:rsidRPr="003F2EE1">
              <w:rPr>
                <w:color w:val="000000"/>
                <w:lang w:val="de-CH"/>
              </w:rPr>
              <w:t xml:space="preserve">, </w:t>
            </w:r>
            <w:r w:rsidR="00B26E57" w:rsidRPr="003F2EE1">
              <w:rPr>
                <w:color w:val="000000"/>
                <w:lang w:val="de-CH"/>
              </w:rPr>
              <w:t>i.v.</w:t>
            </w:r>
            <w:r w:rsidR="00275074" w:rsidRPr="003F2EE1">
              <w:rPr>
                <w:color w:val="000000"/>
                <w:lang w:val="de-CH"/>
              </w:rPr>
              <w:t>):1</w:t>
            </w:r>
            <w:r w:rsidRPr="003F2EE1">
              <w:rPr>
                <w:color w:val="000000"/>
                <w:lang w:val="de-CH"/>
              </w:rPr>
              <w:t>.</w:t>
            </w:r>
            <w:r w:rsidR="00275074" w:rsidRPr="003F2EE1">
              <w:rPr>
                <w:color w:val="000000"/>
                <w:lang w:val="de-CH"/>
              </w:rPr>
              <w:t>, 8</w:t>
            </w:r>
            <w:r w:rsidRPr="003F2EE1">
              <w:rPr>
                <w:color w:val="000000"/>
                <w:lang w:val="de-CH"/>
              </w:rPr>
              <w:t>. in 1</w:t>
            </w:r>
            <w:r w:rsidR="00275074" w:rsidRPr="003F2EE1">
              <w:rPr>
                <w:color w:val="000000"/>
                <w:lang w:val="de-CH"/>
              </w:rPr>
              <w:t>5</w:t>
            </w:r>
            <w:r w:rsidRPr="003F2EE1">
              <w:rPr>
                <w:color w:val="000000"/>
                <w:lang w:val="de-CH"/>
              </w:rPr>
              <w:t>. dan</w:t>
            </w:r>
          </w:p>
          <w:p w14:paraId="52979AC2" w14:textId="77777777" w:rsidR="00275074" w:rsidRPr="003F2EE1" w:rsidRDefault="00275074" w:rsidP="009C1193">
            <w:pPr>
              <w:pStyle w:val="EndnoteText"/>
              <w:widowControl w:val="0"/>
              <w:rPr>
                <w:color w:val="000000"/>
                <w:lang w:val="de-CH"/>
              </w:rPr>
            </w:pPr>
            <w:r w:rsidRPr="003F2EE1">
              <w:rPr>
                <w:color w:val="000000"/>
                <w:lang w:val="de-CH"/>
              </w:rPr>
              <w:t>DAUN (45 mg/m</w:t>
            </w:r>
            <w:r w:rsidRPr="003F2EE1">
              <w:rPr>
                <w:color w:val="000000"/>
                <w:vertAlign w:val="superscript"/>
                <w:lang w:val="de-CH"/>
              </w:rPr>
              <w:t>2</w:t>
            </w:r>
            <w:r w:rsidRPr="003F2EE1">
              <w:rPr>
                <w:color w:val="000000"/>
                <w:lang w:val="de-CH"/>
              </w:rPr>
              <w:t>/da</w:t>
            </w:r>
            <w:r w:rsidR="005441CC" w:rsidRPr="003F2EE1">
              <w:rPr>
                <w:color w:val="000000"/>
                <w:lang w:val="de-CH"/>
              </w:rPr>
              <w:t>n</w:t>
            </w:r>
            <w:r w:rsidRPr="003F2EE1">
              <w:rPr>
                <w:color w:val="000000"/>
                <w:lang w:val="de-CH"/>
              </w:rPr>
              <w:t xml:space="preserve"> bolus, </w:t>
            </w:r>
            <w:r w:rsidR="00B26E57" w:rsidRPr="003F2EE1">
              <w:rPr>
                <w:color w:val="000000"/>
                <w:lang w:val="de-CH"/>
              </w:rPr>
              <w:t>i.v.</w:t>
            </w:r>
            <w:r w:rsidRPr="003F2EE1">
              <w:rPr>
                <w:color w:val="000000"/>
                <w:lang w:val="de-CH"/>
              </w:rPr>
              <w:t xml:space="preserve">): </w:t>
            </w:r>
            <w:r w:rsidR="00CE28EE" w:rsidRPr="003F2EE1">
              <w:rPr>
                <w:color w:val="000000"/>
                <w:lang w:val="de-CH"/>
              </w:rPr>
              <w:t>1. in 2. dan</w:t>
            </w:r>
          </w:p>
          <w:p w14:paraId="52979AC3" w14:textId="77777777" w:rsidR="00275074" w:rsidRPr="003F2EE1" w:rsidRDefault="00275074" w:rsidP="009C1193">
            <w:pPr>
              <w:pStyle w:val="EndnoteText"/>
              <w:widowControl w:val="0"/>
              <w:rPr>
                <w:color w:val="000000"/>
                <w:lang w:val="de-CH"/>
              </w:rPr>
            </w:pPr>
            <w:r w:rsidRPr="003F2EE1">
              <w:rPr>
                <w:color w:val="000000"/>
                <w:lang w:val="de-CH"/>
              </w:rPr>
              <w:t>CPM (250 mg/m</w:t>
            </w:r>
            <w:r w:rsidRPr="003F2EE1">
              <w:rPr>
                <w:color w:val="000000"/>
                <w:vertAlign w:val="superscript"/>
                <w:lang w:val="de-CH"/>
              </w:rPr>
              <w:t>2</w:t>
            </w:r>
            <w:r w:rsidRPr="003F2EE1">
              <w:rPr>
                <w:color w:val="000000"/>
                <w:lang w:val="de-CH"/>
              </w:rPr>
              <w:t>/</w:t>
            </w:r>
            <w:r w:rsidR="00CE28EE" w:rsidRPr="003F2EE1">
              <w:rPr>
                <w:color w:val="000000"/>
                <w:lang w:val="de-CH"/>
              </w:rPr>
              <w:t xml:space="preserve">odmerek vsakih 12 ur </w:t>
            </w:r>
            <w:r w:rsidRPr="003F2EE1">
              <w:rPr>
                <w:color w:val="000000"/>
                <w:lang w:val="de-CH"/>
              </w:rPr>
              <w:t>x 4 </w:t>
            </w:r>
            <w:r w:rsidR="00CE28EE" w:rsidRPr="003F2EE1">
              <w:rPr>
                <w:color w:val="000000"/>
                <w:lang w:val="de-CH"/>
              </w:rPr>
              <w:t>odmerki</w:t>
            </w:r>
            <w:r w:rsidRPr="003F2EE1">
              <w:rPr>
                <w:color w:val="000000"/>
                <w:lang w:val="de-CH"/>
              </w:rPr>
              <w:t xml:space="preserve">, </w:t>
            </w:r>
            <w:r w:rsidR="00B26E57" w:rsidRPr="003F2EE1">
              <w:rPr>
                <w:color w:val="000000"/>
                <w:lang w:val="de-CH"/>
              </w:rPr>
              <w:t>i.v.</w:t>
            </w:r>
            <w:r w:rsidRPr="003F2EE1">
              <w:rPr>
                <w:color w:val="000000"/>
                <w:lang w:val="de-CH"/>
              </w:rPr>
              <w:t>): 3</w:t>
            </w:r>
            <w:r w:rsidR="00CE28EE" w:rsidRPr="003F2EE1">
              <w:rPr>
                <w:color w:val="000000"/>
                <w:lang w:val="de-CH"/>
              </w:rPr>
              <w:t>. in 4. dan</w:t>
            </w:r>
          </w:p>
          <w:p w14:paraId="52979AC4" w14:textId="77777777" w:rsidR="00275074" w:rsidRPr="004A59B1" w:rsidRDefault="00CE28EE" w:rsidP="009C1193">
            <w:pPr>
              <w:pStyle w:val="EndnoteText"/>
              <w:widowControl w:val="0"/>
              <w:rPr>
                <w:color w:val="000000"/>
                <w:lang w:val="es-ES"/>
              </w:rPr>
            </w:pPr>
            <w:r w:rsidRPr="004A59B1">
              <w:rPr>
                <w:color w:val="000000"/>
                <w:lang w:val="es-ES"/>
              </w:rPr>
              <w:t>PEG-ASP (2500 i.e.</w:t>
            </w:r>
            <w:r w:rsidR="00275074" w:rsidRPr="004A59B1">
              <w:rPr>
                <w:color w:val="000000"/>
                <w:lang w:val="es-ES"/>
              </w:rPr>
              <w:t>/m</w:t>
            </w:r>
            <w:r w:rsidR="00275074" w:rsidRPr="004A59B1">
              <w:rPr>
                <w:color w:val="000000"/>
                <w:vertAlign w:val="superscript"/>
                <w:lang w:val="es-ES"/>
              </w:rPr>
              <w:t>2</w:t>
            </w:r>
            <w:r w:rsidR="00275074" w:rsidRPr="004A59B1">
              <w:rPr>
                <w:color w:val="000000"/>
                <w:lang w:val="es-ES"/>
              </w:rPr>
              <w:t>,</w:t>
            </w:r>
            <w:r w:rsidRPr="004A59B1">
              <w:rPr>
                <w:color w:val="000000"/>
                <w:lang w:val="es-ES"/>
              </w:rPr>
              <w:t>i.m.</w:t>
            </w:r>
            <w:r w:rsidR="00275074" w:rsidRPr="004A59B1">
              <w:rPr>
                <w:color w:val="000000"/>
                <w:lang w:val="es-ES"/>
              </w:rPr>
              <w:t xml:space="preserve">): </w:t>
            </w:r>
            <w:r w:rsidRPr="004A59B1">
              <w:rPr>
                <w:color w:val="000000"/>
                <w:lang w:val="es-ES"/>
              </w:rPr>
              <w:t>4. dan</w:t>
            </w:r>
          </w:p>
          <w:p w14:paraId="52979AC5" w14:textId="77777777" w:rsidR="00275074" w:rsidRPr="004A59B1" w:rsidRDefault="00275074" w:rsidP="009C1193">
            <w:pPr>
              <w:pStyle w:val="EndnoteText"/>
              <w:widowControl w:val="0"/>
              <w:rPr>
                <w:color w:val="000000"/>
                <w:lang w:val="es-ES"/>
              </w:rPr>
            </w:pPr>
            <w:r w:rsidRPr="004A59B1">
              <w:rPr>
                <w:color w:val="000000"/>
                <w:lang w:val="es-ES"/>
              </w:rPr>
              <w:t>G-CSF (5 </w:t>
            </w:r>
            <w:r w:rsidRPr="004A59B1">
              <w:rPr>
                <w:color w:val="000000"/>
              </w:rPr>
              <w:t>μ</w:t>
            </w:r>
            <w:r w:rsidRPr="004A59B1">
              <w:rPr>
                <w:color w:val="000000"/>
                <w:lang w:val="es-ES"/>
              </w:rPr>
              <w:t xml:space="preserve">g/kg, </w:t>
            </w:r>
            <w:r w:rsidR="00CE28EE" w:rsidRPr="004A59B1">
              <w:rPr>
                <w:color w:val="000000"/>
                <w:lang w:val="es-ES"/>
              </w:rPr>
              <w:t>s.c</w:t>
            </w:r>
            <w:r w:rsidR="00330F1D" w:rsidRPr="004A59B1">
              <w:rPr>
                <w:color w:val="000000"/>
                <w:lang w:val="es-ES"/>
              </w:rPr>
              <w:t>.</w:t>
            </w:r>
            <w:r w:rsidR="00CE28EE" w:rsidRPr="004A59B1">
              <w:rPr>
                <w:color w:val="000000"/>
                <w:lang w:val="es-ES"/>
              </w:rPr>
              <w:t>)</w:t>
            </w:r>
            <w:r w:rsidRPr="004A59B1">
              <w:rPr>
                <w:color w:val="000000"/>
                <w:lang w:val="es-ES"/>
              </w:rPr>
              <w:t>: 5</w:t>
            </w:r>
            <w:r w:rsidR="00CE28EE" w:rsidRPr="004A59B1">
              <w:rPr>
                <w:color w:val="000000"/>
                <w:lang w:val="es-ES"/>
              </w:rPr>
              <w:t>.</w:t>
            </w:r>
            <w:r w:rsidRPr="004A59B1">
              <w:rPr>
                <w:color w:val="000000"/>
                <w:lang w:val="es-ES"/>
              </w:rPr>
              <w:noBreakHyphen/>
              <w:t>14</w:t>
            </w:r>
            <w:r w:rsidR="00CE28EE" w:rsidRPr="004A59B1">
              <w:rPr>
                <w:color w:val="000000"/>
                <w:lang w:val="es-ES"/>
              </w:rPr>
              <w:t>. dan o</w:t>
            </w:r>
            <w:r w:rsidR="00CE28EE" w:rsidRPr="004A59B1">
              <w:rPr>
                <w:lang w:val="es-ES"/>
              </w:rPr>
              <w:t xml:space="preserve">ziroma </w:t>
            </w:r>
            <w:r w:rsidR="00CE28EE" w:rsidRPr="004A59B1">
              <w:rPr>
                <w:color w:val="000000"/>
                <w:lang w:val="es-ES"/>
              </w:rPr>
              <w:t>do ANC &gt; 1500 po doseženem najnižjem številu</w:t>
            </w:r>
          </w:p>
          <w:p w14:paraId="52979AC6" w14:textId="77777777" w:rsidR="00CE28EE" w:rsidRPr="004A59B1" w:rsidRDefault="00CE28EE" w:rsidP="009C1193">
            <w:pPr>
              <w:pStyle w:val="EndnoteText"/>
              <w:widowControl w:val="0"/>
              <w:rPr>
                <w:color w:val="000000"/>
                <w:lang w:val="es-ES"/>
              </w:rPr>
            </w:pPr>
            <w:r w:rsidRPr="004A59B1">
              <w:rPr>
                <w:color w:val="000000"/>
                <w:lang w:val="es-ES"/>
              </w:rPr>
              <w:t xml:space="preserve">trojno i.t. zdravljenje </w:t>
            </w:r>
            <w:r w:rsidR="00275074" w:rsidRPr="004A59B1">
              <w:rPr>
                <w:color w:val="000000"/>
                <w:lang w:val="es-ES"/>
              </w:rPr>
              <w:t>(</w:t>
            </w:r>
            <w:r w:rsidRPr="004A59B1">
              <w:rPr>
                <w:color w:val="000000"/>
                <w:lang w:val="es-ES"/>
              </w:rPr>
              <w:t>prilagojeno na starost</w:t>
            </w:r>
            <w:r w:rsidR="00275074" w:rsidRPr="004A59B1">
              <w:rPr>
                <w:color w:val="000000"/>
                <w:lang w:val="es-ES"/>
              </w:rPr>
              <w:t xml:space="preserve">): </w:t>
            </w:r>
            <w:r w:rsidRPr="004A59B1">
              <w:rPr>
                <w:color w:val="000000"/>
                <w:lang w:val="es-ES"/>
              </w:rPr>
              <w:t>1. in 15. dan</w:t>
            </w:r>
          </w:p>
          <w:p w14:paraId="52979AC7" w14:textId="77777777" w:rsidR="00275074" w:rsidRPr="004A59B1" w:rsidRDefault="00275074" w:rsidP="009C1193">
            <w:pPr>
              <w:pStyle w:val="EndnoteText"/>
              <w:widowControl w:val="0"/>
              <w:rPr>
                <w:color w:val="000000"/>
                <w:lang w:val="es-ES"/>
              </w:rPr>
            </w:pPr>
            <w:r w:rsidRPr="004A59B1">
              <w:rPr>
                <w:color w:val="000000"/>
                <w:lang w:val="es-ES"/>
              </w:rPr>
              <w:t>DEX (6 mg/m</w:t>
            </w:r>
            <w:r w:rsidRPr="004A59B1">
              <w:rPr>
                <w:color w:val="000000"/>
                <w:vertAlign w:val="superscript"/>
                <w:lang w:val="es-ES"/>
              </w:rPr>
              <w:t>2</w:t>
            </w:r>
            <w:r w:rsidRPr="004A59B1">
              <w:rPr>
                <w:color w:val="000000"/>
                <w:lang w:val="es-ES"/>
              </w:rPr>
              <w:t>/da</w:t>
            </w:r>
            <w:r w:rsidR="00CE28EE" w:rsidRPr="004A59B1">
              <w:rPr>
                <w:color w:val="000000"/>
                <w:lang w:val="es-ES"/>
              </w:rPr>
              <w:t>n</w:t>
            </w:r>
            <w:r w:rsidRPr="004A59B1">
              <w:rPr>
                <w:color w:val="000000"/>
                <w:lang w:val="es-ES"/>
              </w:rPr>
              <w:t xml:space="preserve">, </w:t>
            </w:r>
            <w:r w:rsidR="00CE28EE" w:rsidRPr="004A59B1">
              <w:rPr>
                <w:color w:val="000000"/>
                <w:lang w:val="es-ES"/>
              </w:rPr>
              <w:t>peroralno</w:t>
            </w:r>
            <w:r w:rsidRPr="004A59B1">
              <w:rPr>
                <w:color w:val="000000"/>
                <w:lang w:val="es-ES"/>
              </w:rPr>
              <w:t>): 1</w:t>
            </w:r>
            <w:r w:rsidR="00CE28EE" w:rsidRPr="004A59B1">
              <w:rPr>
                <w:color w:val="000000"/>
                <w:lang w:val="es-ES"/>
              </w:rPr>
              <w:t>.</w:t>
            </w:r>
            <w:r w:rsidRPr="004A59B1">
              <w:rPr>
                <w:color w:val="000000"/>
                <w:lang w:val="es-ES"/>
              </w:rPr>
              <w:noBreakHyphen/>
              <w:t>7</w:t>
            </w:r>
            <w:r w:rsidR="00CE28EE" w:rsidRPr="004A59B1">
              <w:rPr>
                <w:color w:val="000000"/>
                <w:lang w:val="es-ES"/>
              </w:rPr>
              <w:t xml:space="preserve">. dan in </w:t>
            </w:r>
            <w:r w:rsidRPr="004A59B1">
              <w:rPr>
                <w:color w:val="000000"/>
                <w:lang w:val="es-ES"/>
              </w:rPr>
              <w:t>15</w:t>
            </w:r>
            <w:r w:rsidR="00CE28EE" w:rsidRPr="004A59B1">
              <w:rPr>
                <w:color w:val="000000"/>
                <w:lang w:val="es-ES"/>
              </w:rPr>
              <w:t>.</w:t>
            </w:r>
            <w:r w:rsidRPr="004A59B1">
              <w:rPr>
                <w:color w:val="000000"/>
                <w:lang w:val="es-ES"/>
              </w:rPr>
              <w:noBreakHyphen/>
              <w:t>21</w:t>
            </w:r>
            <w:r w:rsidR="00CE28EE" w:rsidRPr="004A59B1">
              <w:rPr>
                <w:color w:val="000000"/>
                <w:lang w:val="es-ES"/>
              </w:rPr>
              <w:t>. dan</w:t>
            </w:r>
          </w:p>
        </w:tc>
      </w:tr>
      <w:tr w:rsidR="00CE28EE" w:rsidRPr="004A59B1" w14:paraId="52979AD4" w14:textId="77777777" w:rsidTr="008F282C">
        <w:trPr>
          <w:cantSplit/>
        </w:trPr>
        <w:tc>
          <w:tcPr>
            <w:tcW w:w="2358" w:type="dxa"/>
            <w:shd w:val="clear" w:color="auto" w:fill="auto"/>
          </w:tcPr>
          <w:p w14:paraId="52979AC9" w14:textId="77777777" w:rsidR="00275074" w:rsidRPr="004A59B1" w:rsidRDefault="00CE28EE" w:rsidP="009C1193">
            <w:pPr>
              <w:pStyle w:val="EndnoteText"/>
              <w:widowControl w:val="0"/>
              <w:rPr>
                <w:color w:val="000000"/>
              </w:rPr>
            </w:pPr>
            <w:r w:rsidRPr="004A59B1">
              <w:rPr>
                <w:color w:val="000000"/>
              </w:rPr>
              <w:t xml:space="preserve">1. intenzifikacijski blok </w:t>
            </w:r>
          </w:p>
          <w:p w14:paraId="52979ACA" w14:textId="77777777" w:rsidR="00275074" w:rsidRPr="004A59B1" w:rsidRDefault="00275074" w:rsidP="009C1193">
            <w:pPr>
              <w:pStyle w:val="EndnoteText"/>
              <w:widowControl w:val="0"/>
              <w:rPr>
                <w:color w:val="000000"/>
              </w:rPr>
            </w:pPr>
            <w:r w:rsidRPr="004A59B1">
              <w:rPr>
                <w:color w:val="000000"/>
              </w:rPr>
              <w:t>(9 </w:t>
            </w:r>
            <w:r w:rsidR="00B1157B" w:rsidRPr="004A59B1">
              <w:rPr>
                <w:color w:val="000000"/>
              </w:rPr>
              <w:t>te</w:t>
            </w:r>
            <w:r w:rsidR="00CE28EE" w:rsidRPr="004A59B1">
              <w:rPr>
                <w:color w:val="000000"/>
              </w:rPr>
              <w:t>d</w:t>
            </w:r>
            <w:r w:rsidR="00B1157B" w:rsidRPr="004A59B1">
              <w:rPr>
                <w:color w:val="000000"/>
              </w:rPr>
              <w:t>n</w:t>
            </w:r>
            <w:r w:rsidR="00CE28EE" w:rsidRPr="004A59B1">
              <w:rPr>
                <w:color w:val="000000"/>
              </w:rPr>
              <w:t>ov</w:t>
            </w:r>
            <w:r w:rsidRPr="004A59B1">
              <w:rPr>
                <w:color w:val="000000"/>
              </w:rPr>
              <w:t>)</w:t>
            </w:r>
          </w:p>
        </w:tc>
        <w:tc>
          <w:tcPr>
            <w:tcW w:w="6929" w:type="dxa"/>
            <w:shd w:val="clear" w:color="auto" w:fill="auto"/>
          </w:tcPr>
          <w:p w14:paraId="52979ACB" w14:textId="77777777" w:rsidR="00275074" w:rsidRPr="003F2EE1" w:rsidRDefault="00CE28EE" w:rsidP="009C1193">
            <w:pPr>
              <w:pStyle w:val="EndnoteText"/>
              <w:widowControl w:val="0"/>
              <w:rPr>
                <w:color w:val="000000"/>
                <w:lang w:val="de-CH"/>
              </w:rPr>
            </w:pPr>
            <w:r w:rsidRPr="003F2EE1">
              <w:rPr>
                <w:color w:val="000000"/>
                <w:lang w:val="de-CH"/>
              </w:rPr>
              <w:t>m</w:t>
            </w:r>
            <w:r w:rsidR="00275074" w:rsidRPr="003F2EE1">
              <w:rPr>
                <w:color w:val="000000"/>
                <w:lang w:val="de-CH"/>
              </w:rPr>
              <w:t>etotre</w:t>
            </w:r>
            <w:r w:rsidRPr="003F2EE1">
              <w:rPr>
                <w:color w:val="000000"/>
                <w:lang w:val="de-CH"/>
              </w:rPr>
              <w:t>ks</w:t>
            </w:r>
            <w:r w:rsidR="00275074" w:rsidRPr="003F2EE1">
              <w:rPr>
                <w:color w:val="000000"/>
                <w:lang w:val="de-CH"/>
              </w:rPr>
              <w:t>at (5 g/m</w:t>
            </w:r>
            <w:r w:rsidR="00275074" w:rsidRPr="003F2EE1">
              <w:rPr>
                <w:color w:val="000000"/>
                <w:vertAlign w:val="superscript"/>
                <w:lang w:val="de-CH"/>
              </w:rPr>
              <w:t>2</w:t>
            </w:r>
            <w:r w:rsidR="00275074" w:rsidRPr="003F2EE1">
              <w:rPr>
                <w:color w:val="000000"/>
                <w:lang w:val="de-CH"/>
              </w:rPr>
              <w:t xml:space="preserve"> </w:t>
            </w:r>
            <w:r w:rsidR="00E27D72" w:rsidRPr="003F2EE1">
              <w:rPr>
                <w:color w:val="000000"/>
                <w:lang w:val="de-CH"/>
              </w:rPr>
              <w:t>v času 24 ur</w:t>
            </w:r>
            <w:r w:rsidR="00275074" w:rsidRPr="003F2EE1">
              <w:rPr>
                <w:color w:val="000000"/>
                <w:lang w:val="de-CH"/>
              </w:rPr>
              <w:t xml:space="preserve">, </w:t>
            </w:r>
            <w:r w:rsidR="00E27D72" w:rsidRPr="003F2EE1">
              <w:rPr>
                <w:color w:val="000000"/>
                <w:lang w:val="de-CH"/>
              </w:rPr>
              <w:t>i.v.</w:t>
            </w:r>
            <w:r w:rsidR="00275074" w:rsidRPr="003F2EE1">
              <w:rPr>
                <w:color w:val="000000"/>
                <w:lang w:val="de-CH"/>
              </w:rPr>
              <w:t>): 1</w:t>
            </w:r>
            <w:r w:rsidR="00E27D72" w:rsidRPr="003F2EE1">
              <w:rPr>
                <w:color w:val="000000"/>
                <w:lang w:val="de-CH"/>
              </w:rPr>
              <w:t xml:space="preserve">. in </w:t>
            </w:r>
            <w:r w:rsidR="00275074" w:rsidRPr="003F2EE1">
              <w:rPr>
                <w:color w:val="000000"/>
                <w:lang w:val="de-CH"/>
              </w:rPr>
              <w:t>15</w:t>
            </w:r>
            <w:r w:rsidR="00E27D72" w:rsidRPr="003F2EE1">
              <w:rPr>
                <w:color w:val="000000"/>
                <w:lang w:val="de-CH"/>
              </w:rPr>
              <w:t>. dan</w:t>
            </w:r>
          </w:p>
          <w:p w14:paraId="52979ACC" w14:textId="77777777" w:rsidR="00275074" w:rsidRPr="003F2EE1" w:rsidRDefault="00E27D72" w:rsidP="009C1193">
            <w:pPr>
              <w:pStyle w:val="EndnoteText"/>
              <w:widowControl w:val="0"/>
              <w:rPr>
                <w:color w:val="000000"/>
                <w:lang w:val="de-CH"/>
              </w:rPr>
            </w:pPr>
            <w:r w:rsidRPr="003F2EE1">
              <w:rPr>
                <w:color w:val="000000"/>
                <w:lang w:val="de-CH"/>
              </w:rPr>
              <w:t>l</w:t>
            </w:r>
            <w:r w:rsidR="00275074" w:rsidRPr="003F2EE1">
              <w:rPr>
                <w:color w:val="000000"/>
                <w:lang w:val="de-CH"/>
              </w:rPr>
              <w:t>e</w:t>
            </w:r>
            <w:r w:rsidRPr="003F2EE1">
              <w:rPr>
                <w:color w:val="000000"/>
                <w:lang w:val="de-CH"/>
              </w:rPr>
              <w:t>vk</w:t>
            </w:r>
            <w:r w:rsidR="00275074" w:rsidRPr="003F2EE1">
              <w:rPr>
                <w:color w:val="000000"/>
                <w:lang w:val="de-CH"/>
              </w:rPr>
              <w:t>ovorin (75 mg/m</w:t>
            </w:r>
            <w:r w:rsidR="00275074" w:rsidRPr="003F2EE1">
              <w:rPr>
                <w:color w:val="000000"/>
                <w:vertAlign w:val="superscript"/>
                <w:lang w:val="de-CH"/>
              </w:rPr>
              <w:t>2</w:t>
            </w:r>
            <w:r w:rsidR="00275074" w:rsidRPr="003F2EE1">
              <w:rPr>
                <w:color w:val="000000"/>
                <w:lang w:val="de-CH"/>
              </w:rPr>
              <w:t xml:space="preserve"> 36</w:t>
            </w:r>
            <w:r w:rsidRPr="003F2EE1">
              <w:rPr>
                <w:color w:val="000000"/>
                <w:lang w:val="de-CH"/>
              </w:rPr>
              <w:t> ur po začetku</w:t>
            </w:r>
            <w:r w:rsidR="00275074" w:rsidRPr="003F2EE1">
              <w:rPr>
                <w:color w:val="000000"/>
                <w:lang w:val="de-CH"/>
              </w:rPr>
              <w:t xml:space="preserve">, </w:t>
            </w:r>
            <w:r w:rsidR="00B26E57" w:rsidRPr="003F2EE1">
              <w:rPr>
                <w:color w:val="000000"/>
                <w:lang w:val="de-CH"/>
              </w:rPr>
              <w:t>i.v.</w:t>
            </w:r>
            <w:r w:rsidR="00275074" w:rsidRPr="003F2EE1">
              <w:rPr>
                <w:color w:val="000000"/>
                <w:lang w:val="de-CH"/>
              </w:rPr>
              <w:t>; 15 mg/m</w:t>
            </w:r>
            <w:r w:rsidR="00275074" w:rsidRPr="003F2EE1">
              <w:rPr>
                <w:color w:val="000000"/>
                <w:vertAlign w:val="superscript"/>
                <w:lang w:val="de-CH"/>
              </w:rPr>
              <w:t>2</w:t>
            </w:r>
            <w:r w:rsidR="00275074" w:rsidRPr="003F2EE1">
              <w:rPr>
                <w:color w:val="000000"/>
                <w:lang w:val="de-CH"/>
              </w:rPr>
              <w:t xml:space="preserve"> </w:t>
            </w:r>
            <w:r w:rsidR="00B26E57" w:rsidRPr="003F2EE1">
              <w:rPr>
                <w:color w:val="000000"/>
                <w:lang w:val="de-CH"/>
              </w:rPr>
              <w:t xml:space="preserve">i.v. </w:t>
            </w:r>
            <w:r w:rsidRPr="003F2EE1">
              <w:rPr>
                <w:color w:val="000000"/>
                <w:lang w:val="de-CH"/>
              </w:rPr>
              <w:t>ali peroralno vsakih 6 ur x 6 odmerkov) iii: 2., 3., 16. in 17. dan</w:t>
            </w:r>
          </w:p>
          <w:p w14:paraId="52979ACD" w14:textId="77777777" w:rsidR="00E27D72" w:rsidRPr="003F2EE1" w:rsidRDefault="00E27D72" w:rsidP="009C1193">
            <w:pPr>
              <w:pStyle w:val="EndnoteText"/>
              <w:widowControl w:val="0"/>
              <w:rPr>
                <w:color w:val="000000"/>
                <w:lang w:val="de-CH"/>
              </w:rPr>
            </w:pPr>
            <w:r w:rsidRPr="003F2EE1">
              <w:rPr>
                <w:color w:val="000000"/>
                <w:lang w:val="de-CH"/>
              </w:rPr>
              <w:t>trojno i.t. zdravljenje (prilagojeno na starost): 1. in 22. dan</w:t>
            </w:r>
          </w:p>
          <w:p w14:paraId="52979ACE" w14:textId="77777777" w:rsidR="00275074" w:rsidRPr="004A59B1" w:rsidRDefault="00275074" w:rsidP="009C1193">
            <w:pPr>
              <w:pStyle w:val="EndnoteText"/>
              <w:widowControl w:val="0"/>
              <w:rPr>
                <w:color w:val="000000"/>
                <w:lang w:val="es-ES"/>
              </w:rPr>
            </w:pPr>
            <w:r w:rsidRPr="004A59B1">
              <w:rPr>
                <w:color w:val="000000"/>
                <w:lang w:val="es-ES"/>
              </w:rPr>
              <w:t>VP-16 (100 mg/m</w:t>
            </w:r>
            <w:r w:rsidRPr="004A59B1">
              <w:rPr>
                <w:color w:val="000000"/>
                <w:vertAlign w:val="superscript"/>
                <w:lang w:val="es-ES"/>
              </w:rPr>
              <w:t>2</w:t>
            </w:r>
            <w:r w:rsidRPr="004A59B1">
              <w:rPr>
                <w:color w:val="000000"/>
                <w:lang w:val="es-ES"/>
              </w:rPr>
              <w:t>/da</w:t>
            </w:r>
            <w:r w:rsidR="00E27D72" w:rsidRPr="004A59B1">
              <w:rPr>
                <w:color w:val="000000"/>
                <w:lang w:val="es-ES"/>
              </w:rPr>
              <w:t>n</w:t>
            </w:r>
            <w:r w:rsidRPr="004A59B1">
              <w:rPr>
                <w:color w:val="000000"/>
                <w:lang w:val="es-ES"/>
              </w:rPr>
              <w:t xml:space="preserve">, </w:t>
            </w:r>
            <w:r w:rsidR="00B26E57" w:rsidRPr="004A59B1">
              <w:rPr>
                <w:color w:val="000000"/>
                <w:lang w:val="es-ES"/>
              </w:rPr>
              <w:t>i.v.</w:t>
            </w:r>
            <w:r w:rsidR="00E27D72" w:rsidRPr="004A59B1">
              <w:rPr>
                <w:color w:val="000000"/>
                <w:lang w:val="es-ES"/>
              </w:rPr>
              <w:t xml:space="preserve">): </w:t>
            </w:r>
            <w:r w:rsidRPr="004A59B1">
              <w:rPr>
                <w:color w:val="000000"/>
                <w:lang w:val="es-ES"/>
              </w:rPr>
              <w:t>22</w:t>
            </w:r>
            <w:r w:rsidR="00E27D72" w:rsidRPr="004A59B1">
              <w:rPr>
                <w:color w:val="000000"/>
                <w:lang w:val="es-ES"/>
              </w:rPr>
              <w:t>.</w:t>
            </w:r>
            <w:r w:rsidRPr="004A59B1">
              <w:rPr>
                <w:color w:val="000000"/>
                <w:lang w:val="es-ES"/>
              </w:rPr>
              <w:noBreakHyphen/>
              <w:t>26</w:t>
            </w:r>
            <w:r w:rsidR="00E27D72" w:rsidRPr="004A59B1">
              <w:rPr>
                <w:color w:val="000000"/>
                <w:lang w:val="es-ES"/>
              </w:rPr>
              <w:t>. dan</w:t>
            </w:r>
          </w:p>
          <w:p w14:paraId="52979ACF" w14:textId="77777777" w:rsidR="00275074" w:rsidRPr="004A59B1" w:rsidRDefault="00275074" w:rsidP="009C1193">
            <w:pPr>
              <w:pStyle w:val="EndnoteText"/>
              <w:widowControl w:val="0"/>
              <w:rPr>
                <w:color w:val="000000"/>
                <w:lang w:val="es-ES"/>
              </w:rPr>
            </w:pPr>
            <w:r w:rsidRPr="004A59B1">
              <w:rPr>
                <w:color w:val="000000"/>
                <w:lang w:val="es-ES"/>
              </w:rPr>
              <w:t>CPM (300 mg/m</w:t>
            </w:r>
            <w:r w:rsidRPr="004A59B1">
              <w:rPr>
                <w:color w:val="000000"/>
                <w:vertAlign w:val="superscript"/>
                <w:lang w:val="es-ES"/>
              </w:rPr>
              <w:t>2</w:t>
            </w:r>
            <w:r w:rsidRPr="004A59B1">
              <w:rPr>
                <w:color w:val="000000"/>
                <w:lang w:val="es-ES"/>
              </w:rPr>
              <w:t>/da</w:t>
            </w:r>
            <w:r w:rsidR="00E27D72" w:rsidRPr="004A59B1">
              <w:rPr>
                <w:color w:val="000000"/>
                <w:lang w:val="es-ES"/>
              </w:rPr>
              <w:t>n</w:t>
            </w:r>
            <w:r w:rsidRPr="004A59B1">
              <w:rPr>
                <w:color w:val="000000"/>
                <w:lang w:val="es-ES"/>
              </w:rPr>
              <w:t xml:space="preserve">, </w:t>
            </w:r>
            <w:r w:rsidR="00B26E57" w:rsidRPr="004A59B1">
              <w:rPr>
                <w:color w:val="000000"/>
                <w:lang w:val="es-ES"/>
              </w:rPr>
              <w:t>i.v.</w:t>
            </w:r>
            <w:r w:rsidRPr="004A59B1">
              <w:rPr>
                <w:color w:val="000000"/>
                <w:lang w:val="es-ES"/>
              </w:rPr>
              <w:t xml:space="preserve">): </w:t>
            </w:r>
            <w:r w:rsidR="00E27D72" w:rsidRPr="004A59B1">
              <w:rPr>
                <w:color w:val="000000"/>
                <w:lang w:val="es-ES"/>
              </w:rPr>
              <w:t>22.</w:t>
            </w:r>
            <w:r w:rsidR="00E27D72" w:rsidRPr="004A59B1">
              <w:rPr>
                <w:color w:val="000000"/>
                <w:lang w:val="es-ES"/>
              </w:rPr>
              <w:noBreakHyphen/>
              <w:t>26. dan</w:t>
            </w:r>
          </w:p>
          <w:p w14:paraId="52979AD0" w14:textId="77777777" w:rsidR="00275074" w:rsidRPr="004A59B1" w:rsidRDefault="00275074" w:rsidP="009C1193">
            <w:pPr>
              <w:pStyle w:val="EndnoteText"/>
              <w:widowControl w:val="0"/>
              <w:rPr>
                <w:color w:val="000000"/>
                <w:lang w:val="es-ES"/>
              </w:rPr>
            </w:pPr>
            <w:r w:rsidRPr="004A59B1">
              <w:rPr>
                <w:color w:val="000000"/>
                <w:lang w:val="es-ES"/>
              </w:rPr>
              <w:t>MESNA (150 mg/m</w:t>
            </w:r>
            <w:r w:rsidRPr="004A59B1">
              <w:rPr>
                <w:color w:val="000000"/>
                <w:vertAlign w:val="superscript"/>
                <w:lang w:val="es-ES"/>
              </w:rPr>
              <w:t>2</w:t>
            </w:r>
            <w:r w:rsidRPr="004A59B1">
              <w:rPr>
                <w:color w:val="000000"/>
                <w:lang w:val="es-ES"/>
              </w:rPr>
              <w:t>/da</w:t>
            </w:r>
            <w:r w:rsidR="00E27D72" w:rsidRPr="004A59B1">
              <w:rPr>
                <w:color w:val="000000"/>
                <w:lang w:val="es-ES"/>
              </w:rPr>
              <w:t>n</w:t>
            </w:r>
            <w:r w:rsidRPr="004A59B1">
              <w:rPr>
                <w:color w:val="000000"/>
                <w:lang w:val="es-ES"/>
              </w:rPr>
              <w:t xml:space="preserve">, </w:t>
            </w:r>
            <w:r w:rsidR="00B26E57" w:rsidRPr="004A59B1">
              <w:rPr>
                <w:color w:val="000000"/>
                <w:lang w:val="es-ES"/>
              </w:rPr>
              <w:t>i.v.</w:t>
            </w:r>
            <w:r w:rsidRPr="004A59B1">
              <w:rPr>
                <w:color w:val="000000"/>
                <w:lang w:val="es-ES"/>
              </w:rPr>
              <w:t xml:space="preserve">): </w:t>
            </w:r>
            <w:r w:rsidR="00E27D72" w:rsidRPr="004A59B1">
              <w:rPr>
                <w:color w:val="000000"/>
                <w:lang w:val="es-ES"/>
              </w:rPr>
              <w:t>22.</w:t>
            </w:r>
            <w:r w:rsidR="00E27D72" w:rsidRPr="004A59B1">
              <w:rPr>
                <w:color w:val="000000"/>
                <w:lang w:val="es-ES"/>
              </w:rPr>
              <w:noBreakHyphen/>
              <w:t>26. dan</w:t>
            </w:r>
          </w:p>
          <w:p w14:paraId="52979AD1" w14:textId="77777777" w:rsidR="00275074" w:rsidRPr="004A59B1" w:rsidRDefault="00275074" w:rsidP="009C1193">
            <w:pPr>
              <w:pStyle w:val="EndnoteText"/>
              <w:widowControl w:val="0"/>
              <w:rPr>
                <w:color w:val="000000"/>
                <w:lang w:val="es-ES"/>
              </w:rPr>
            </w:pPr>
            <w:r w:rsidRPr="004A59B1">
              <w:rPr>
                <w:color w:val="000000"/>
                <w:lang w:val="es-ES"/>
              </w:rPr>
              <w:t>G-CSF (5 </w:t>
            </w:r>
            <w:r w:rsidRPr="004A59B1">
              <w:rPr>
                <w:color w:val="000000"/>
              </w:rPr>
              <w:t>μ</w:t>
            </w:r>
            <w:r w:rsidRPr="004A59B1">
              <w:rPr>
                <w:color w:val="000000"/>
                <w:lang w:val="es-ES"/>
              </w:rPr>
              <w:t xml:space="preserve">g/kg, </w:t>
            </w:r>
            <w:r w:rsidR="00E27D72" w:rsidRPr="004A59B1">
              <w:rPr>
                <w:color w:val="000000"/>
                <w:lang w:val="es-ES"/>
              </w:rPr>
              <w:t>s.c.)</w:t>
            </w:r>
            <w:r w:rsidRPr="004A59B1">
              <w:rPr>
                <w:color w:val="000000"/>
                <w:lang w:val="es-ES"/>
              </w:rPr>
              <w:t>:27</w:t>
            </w:r>
            <w:r w:rsidR="00E27D72" w:rsidRPr="004A59B1">
              <w:rPr>
                <w:color w:val="000000"/>
                <w:lang w:val="es-ES"/>
              </w:rPr>
              <w:t>.</w:t>
            </w:r>
            <w:r w:rsidRPr="004A59B1">
              <w:rPr>
                <w:color w:val="000000"/>
                <w:lang w:val="es-ES"/>
              </w:rPr>
              <w:t>-36</w:t>
            </w:r>
            <w:r w:rsidR="00E27D72" w:rsidRPr="004A59B1">
              <w:rPr>
                <w:color w:val="000000"/>
                <w:lang w:val="es-ES"/>
              </w:rPr>
              <w:t>. dan o</w:t>
            </w:r>
            <w:r w:rsidR="00E27D72" w:rsidRPr="004A59B1">
              <w:rPr>
                <w:lang w:val="es-ES"/>
              </w:rPr>
              <w:t xml:space="preserve">ziroma </w:t>
            </w:r>
            <w:r w:rsidR="00E27D72" w:rsidRPr="004A59B1">
              <w:rPr>
                <w:color w:val="000000"/>
                <w:lang w:val="es-ES"/>
              </w:rPr>
              <w:t>do ANC &gt; 1500 po doseženem najnižjem številu</w:t>
            </w:r>
          </w:p>
          <w:p w14:paraId="52979AD2" w14:textId="77777777" w:rsidR="00275074" w:rsidRPr="004A59B1" w:rsidRDefault="00275074" w:rsidP="009C1193">
            <w:pPr>
              <w:pStyle w:val="EndnoteText"/>
              <w:widowControl w:val="0"/>
              <w:rPr>
                <w:color w:val="000000"/>
                <w:lang w:val="es-ES"/>
              </w:rPr>
            </w:pPr>
            <w:r w:rsidRPr="004A59B1">
              <w:rPr>
                <w:color w:val="000000"/>
                <w:lang w:val="es-ES"/>
              </w:rPr>
              <w:t>ARA-C (3 g/m</w:t>
            </w:r>
            <w:r w:rsidRPr="004A59B1">
              <w:rPr>
                <w:color w:val="000000"/>
                <w:vertAlign w:val="superscript"/>
                <w:lang w:val="es-ES"/>
              </w:rPr>
              <w:t>2</w:t>
            </w:r>
            <w:r w:rsidRPr="004A59B1">
              <w:rPr>
                <w:color w:val="000000"/>
                <w:lang w:val="es-ES"/>
              </w:rPr>
              <w:t xml:space="preserve">, </w:t>
            </w:r>
            <w:r w:rsidR="00E27D72" w:rsidRPr="004A59B1">
              <w:rPr>
                <w:color w:val="000000"/>
                <w:lang w:val="es-ES"/>
              </w:rPr>
              <w:t>vsakih 1</w:t>
            </w:r>
            <w:r w:rsidRPr="004A59B1">
              <w:rPr>
                <w:color w:val="000000"/>
                <w:lang w:val="es-ES"/>
              </w:rPr>
              <w:t>2</w:t>
            </w:r>
            <w:r w:rsidR="00E27D72" w:rsidRPr="004A59B1">
              <w:rPr>
                <w:color w:val="000000"/>
                <w:lang w:val="es-ES"/>
              </w:rPr>
              <w:t> ur</w:t>
            </w:r>
            <w:r w:rsidRPr="004A59B1">
              <w:rPr>
                <w:color w:val="000000"/>
                <w:lang w:val="es-ES"/>
              </w:rPr>
              <w:t xml:space="preserve">, </w:t>
            </w:r>
            <w:r w:rsidR="00E27D72" w:rsidRPr="004A59B1">
              <w:rPr>
                <w:color w:val="000000"/>
                <w:lang w:val="es-ES"/>
              </w:rPr>
              <w:t>i.v.)</w:t>
            </w:r>
            <w:r w:rsidRPr="004A59B1">
              <w:rPr>
                <w:color w:val="000000"/>
                <w:lang w:val="es-ES"/>
              </w:rPr>
              <w:t>: 43</w:t>
            </w:r>
            <w:r w:rsidR="00E27D72" w:rsidRPr="004A59B1">
              <w:rPr>
                <w:color w:val="000000"/>
                <w:lang w:val="es-ES"/>
              </w:rPr>
              <w:t xml:space="preserve">. in </w:t>
            </w:r>
            <w:r w:rsidRPr="004A59B1">
              <w:rPr>
                <w:color w:val="000000"/>
                <w:lang w:val="es-ES"/>
              </w:rPr>
              <w:t>44</w:t>
            </w:r>
            <w:r w:rsidR="00E27D72" w:rsidRPr="004A59B1">
              <w:rPr>
                <w:color w:val="000000"/>
                <w:lang w:val="es-ES"/>
              </w:rPr>
              <w:t>. dan</w:t>
            </w:r>
          </w:p>
          <w:p w14:paraId="52979AD3" w14:textId="77777777" w:rsidR="00275074" w:rsidRPr="004A59B1" w:rsidRDefault="00275074" w:rsidP="009C1193">
            <w:pPr>
              <w:pStyle w:val="EndnoteText"/>
              <w:widowControl w:val="0"/>
              <w:rPr>
                <w:color w:val="000000"/>
                <w:lang w:val="es-ES"/>
              </w:rPr>
            </w:pPr>
            <w:r w:rsidRPr="004A59B1">
              <w:rPr>
                <w:color w:val="000000"/>
                <w:lang w:val="es-ES"/>
              </w:rPr>
              <w:t>L-ASP (6000 </w:t>
            </w:r>
            <w:r w:rsidR="00E27D72" w:rsidRPr="004A59B1">
              <w:rPr>
                <w:color w:val="000000"/>
                <w:lang w:val="es-ES"/>
              </w:rPr>
              <w:t>i.e.</w:t>
            </w:r>
            <w:r w:rsidRPr="004A59B1">
              <w:rPr>
                <w:color w:val="000000"/>
                <w:lang w:val="es-ES"/>
              </w:rPr>
              <w:t>/m</w:t>
            </w:r>
            <w:r w:rsidRPr="004A59B1">
              <w:rPr>
                <w:color w:val="000000"/>
                <w:vertAlign w:val="superscript"/>
                <w:lang w:val="es-ES"/>
              </w:rPr>
              <w:t>2</w:t>
            </w:r>
            <w:r w:rsidRPr="004A59B1">
              <w:rPr>
                <w:color w:val="000000"/>
                <w:lang w:val="es-ES"/>
              </w:rPr>
              <w:t xml:space="preserve">, </w:t>
            </w:r>
            <w:r w:rsidR="00E27D72" w:rsidRPr="004A59B1">
              <w:rPr>
                <w:color w:val="000000"/>
                <w:lang w:val="es-ES"/>
              </w:rPr>
              <w:t>i.m.</w:t>
            </w:r>
            <w:r w:rsidRPr="004A59B1">
              <w:rPr>
                <w:color w:val="000000"/>
                <w:lang w:val="es-ES"/>
              </w:rPr>
              <w:t>): 44</w:t>
            </w:r>
            <w:r w:rsidR="00E27D72" w:rsidRPr="004A59B1">
              <w:rPr>
                <w:color w:val="000000"/>
                <w:lang w:val="es-ES"/>
              </w:rPr>
              <w:t>. dan</w:t>
            </w:r>
          </w:p>
        </w:tc>
      </w:tr>
      <w:tr w:rsidR="00CE28EE" w:rsidRPr="003B6568" w14:paraId="52979ADE" w14:textId="77777777" w:rsidTr="008F282C">
        <w:trPr>
          <w:cantSplit/>
        </w:trPr>
        <w:tc>
          <w:tcPr>
            <w:tcW w:w="2358" w:type="dxa"/>
            <w:shd w:val="clear" w:color="auto" w:fill="auto"/>
          </w:tcPr>
          <w:p w14:paraId="52979AD5" w14:textId="77777777" w:rsidR="00BC25DB" w:rsidRPr="004A59B1" w:rsidRDefault="00B1157B" w:rsidP="009C1193">
            <w:pPr>
              <w:pStyle w:val="EndnoteText"/>
              <w:widowControl w:val="0"/>
              <w:rPr>
                <w:color w:val="000000"/>
              </w:rPr>
            </w:pPr>
            <w:r w:rsidRPr="004A59B1">
              <w:rPr>
                <w:color w:val="000000"/>
              </w:rPr>
              <w:t>2</w:t>
            </w:r>
            <w:r w:rsidR="00BC25DB" w:rsidRPr="004A59B1">
              <w:rPr>
                <w:color w:val="000000"/>
              </w:rPr>
              <w:t>. reindukcijski blok</w:t>
            </w:r>
          </w:p>
          <w:p w14:paraId="52979AD6" w14:textId="77777777" w:rsidR="00275074" w:rsidRPr="004A59B1" w:rsidRDefault="00BC25DB" w:rsidP="009C1193">
            <w:pPr>
              <w:pStyle w:val="EndnoteText"/>
              <w:widowControl w:val="0"/>
              <w:rPr>
                <w:color w:val="000000"/>
              </w:rPr>
            </w:pPr>
            <w:r w:rsidRPr="004A59B1">
              <w:rPr>
                <w:color w:val="000000"/>
              </w:rPr>
              <w:t>(3 tedne)</w:t>
            </w:r>
          </w:p>
        </w:tc>
        <w:tc>
          <w:tcPr>
            <w:tcW w:w="6929" w:type="dxa"/>
            <w:shd w:val="clear" w:color="auto" w:fill="auto"/>
          </w:tcPr>
          <w:p w14:paraId="52979AD7" w14:textId="77777777" w:rsidR="00275074" w:rsidRPr="003F2EE1" w:rsidRDefault="00BC25DB" w:rsidP="009C1193">
            <w:pPr>
              <w:pStyle w:val="EndnoteText"/>
              <w:widowControl w:val="0"/>
              <w:rPr>
                <w:color w:val="000000"/>
                <w:lang w:val="de-CH"/>
              </w:rPr>
            </w:pPr>
            <w:r w:rsidRPr="003F2EE1">
              <w:rPr>
                <w:color w:val="000000"/>
                <w:lang w:val="de-CH"/>
              </w:rPr>
              <w:t>VCR (1,</w:t>
            </w:r>
            <w:r w:rsidR="00275074" w:rsidRPr="003F2EE1">
              <w:rPr>
                <w:color w:val="000000"/>
                <w:lang w:val="de-CH"/>
              </w:rPr>
              <w:t>5 mg/m</w:t>
            </w:r>
            <w:r w:rsidR="00275074" w:rsidRPr="003F2EE1">
              <w:rPr>
                <w:color w:val="000000"/>
                <w:vertAlign w:val="superscript"/>
                <w:lang w:val="de-CH"/>
              </w:rPr>
              <w:t>2</w:t>
            </w:r>
            <w:r w:rsidR="00275074" w:rsidRPr="003F2EE1">
              <w:rPr>
                <w:color w:val="000000"/>
                <w:lang w:val="de-CH"/>
              </w:rPr>
              <w:t>/da</w:t>
            </w:r>
            <w:r w:rsidRPr="003F2EE1">
              <w:rPr>
                <w:color w:val="000000"/>
                <w:lang w:val="de-CH"/>
              </w:rPr>
              <w:t>n</w:t>
            </w:r>
            <w:r w:rsidR="00275074" w:rsidRPr="003F2EE1">
              <w:rPr>
                <w:color w:val="000000"/>
                <w:lang w:val="de-CH"/>
              </w:rPr>
              <w:t xml:space="preserve">, </w:t>
            </w:r>
            <w:r w:rsidR="00B26E57" w:rsidRPr="003F2EE1">
              <w:rPr>
                <w:color w:val="000000"/>
                <w:lang w:val="de-CH"/>
              </w:rPr>
              <w:t>i.v.</w:t>
            </w:r>
            <w:r w:rsidRPr="003F2EE1">
              <w:rPr>
                <w:color w:val="000000"/>
                <w:lang w:val="de-CH"/>
              </w:rPr>
              <w:t xml:space="preserve">): </w:t>
            </w:r>
            <w:r w:rsidR="00275074" w:rsidRPr="003F2EE1">
              <w:rPr>
                <w:color w:val="000000"/>
                <w:lang w:val="de-CH"/>
              </w:rPr>
              <w:t>1</w:t>
            </w:r>
            <w:r w:rsidRPr="003F2EE1">
              <w:rPr>
                <w:color w:val="000000"/>
                <w:lang w:val="de-CH"/>
              </w:rPr>
              <w:t>.</w:t>
            </w:r>
            <w:r w:rsidR="00275074" w:rsidRPr="003F2EE1">
              <w:rPr>
                <w:color w:val="000000"/>
                <w:lang w:val="de-CH"/>
              </w:rPr>
              <w:t>, 8</w:t>
            </w:r>
            <w:r w:rsidRPr="003F2EE1">
              <w:rPr>
                <w:color w:val="000000"/>
                <w:lang w:val="de-CH"/>
              </w:rPr>
              <w:t>. in</w:t>
            </w:r>
            <w:r w:rsidR="00275074" w:rsidRPr="003F2EE1">
              <w:rPr>
                <w:color w:val="000000"/>
                <w:lang w:val="de-CH"/>
              </w:rPr>
              <w:t xml:space="preserve"> 15</w:t>
            </w:r>
            <w:r w:rsidRPr="003F2EE1">
              <w:rPr>
                <w:color w:val="000000"/>
                <w:lang w:val="de-CH"/>
              </w:rPr>
              <w:t>. dan</w:t>
            </w:r>
          </w:p>
          <w:p w14:paraId="52979AD8" w14:textId="77777777" w:rsidR="00275074" w:rsidRPr="003F2EE1" w:rsidRDefault="00275074" w:rsidP="009C1193">
            <w:pPr>
              <w:pStyle w:val="EndnoteText"/>
              <w:widowControl w:val="0"/>
              <w:rPr>
                <w:color w:val="000000"/>
                <w:lang w:val="de-CH"/>
              </w:rPr>
            </w:pPr>
            <w:r w:rsidRPr="003F2EE1">
              <w:rPr>
                <w:color w:val="000000"/>
                <w:lang w:val="de-CH"/>
              </w:rPr>
              <w:t>DAUN (45 mg/m</w:t>
            </w:r>
            <w:r w:rsidRPr="003F2EE1">
              <w:rPr>
                <w:color w:val="000000"/>
                <w:vertAlign w:val="superscript"/>
                <w:lang w:val="de-CH"/>
              </w:rPr>
              <w:t>2</w:t>
            </w:r>
            <w:r w:rsidRPr="003F2EE1">
              <w:rPr>
                <w:color w:val="000000"/>
                <w:lang w:val="de-CH"/>
              </w:rPr>
              <w:t>/da</w:t>
            </w:r>
            <w:r w:rsidR="002E2E6E" w:rsidRPr="003F2EE1">
              <w:rPr>
                <w:color w:val="000000"/>
                <w:lang w:val="de-CH"/>
              </w:rPr>
              <w:t>n</w:t>
            </w:r>
            <w:r w:rsidRPr="003F2EE1">
              <w:rPr>
                <w:color w:val="000000"/>
                <w:lang w:val="de-CH"/>
              </w:rPr>
              <w:t xml:space="preserve"> bolus, </w:t>
            </w:r>
            <w:r w:rsidR="00B26E57" w:rsidRPr="003F2EE1">
              <w:rPr>
                <w:color w:val="000000"/>
                <w:lang w:val="de-CH"/>
              </w:rPr>
              <w:t>i.v.</w:t>
            </w:r>
            <w:r w:rsidRPr="003F2EE1">
              <w:rPr>
                <w:color w:val="000000"/>
                <w:lang w:val="de-CH"/>
              </w:rPr>
              <w:t>): 1</w:t>
            </w:r>
            <w:r w:rsidR="002E2E6E" w:rsidRPr="003F2EE1">
              <w:rPr>
                <w:color w:val="000000"/>
                <w:lang w:val="de-CH"/>
              </w:rPr>
              <w:t>. in</w:t>
            </w:r>
            <w:r w:rsidRPr="003F2EE1">
              <w:rPr>
                <w:color w:val="000000"/>
                <w:lang w:val="de-CH"/>
              </w:rPr>
              <w:t xml:space="preserve"> 2</w:t>
            </w:r>
            <w:r w:rsidR="002E2E6E" w:rsidRPr="003F2EE1">
              <w:rPr>
                <w:color w:val="000000"/>
                <w:lang w:val="de-CH"/>
              </w:rPr>
              <w:t>. dan</w:t>
            </w:r>
          </w:p>
          <w:p w14:paraId="52979AD9" w14:textId="77777777" w:rsidR="00275074" w:rsidRPr="003F2EE1" w:rsidRDefault="00275074" w:rsidP="009C1193">
            <w:pPr>
              <w:pStyle w:val="EndnoteText"/>
              <w:widowControl w:val="0"/>
              <w:rPr>
                <w:color w:val="000000"/>
                <w:lang w:val="de-CH"/>
              </w:rPr>
            </w:pPr>
            <w:r w:rsidRPr="003F2EE1">
              <w:rPr>
                <w:color w:val="000000"/>
                <w:lang w:val="de-CH"/>
              </w:rPr>
              <w:t>CPM (250 mg/m</w:t>
            </w:r>
            <w:r w:rsidRPr="003F2EE1">
              <w:rPr>
                <w:color w:val="000000"/>
                <w:vertAlign w:val="superscript"/>
                <w:lang w:val="de-CH"/>
              </w:rPr>
              <w:t>2</w:t>
            </w:r>
            <w:r w:rsidRPr="003F2EE1">
              <w:rPr>
                <w:color w:val="000000"/>
                <w:lang w:val="de-CH"/>
              </w:rPr>
              <w:t>/</w:t>
            </w:r>
            <w:r w:rsidR="002E2E6E" w:rsidRPr="003F2EE1">
              <w:rPr>
                <w:color w:val="000000"/>
                <w:lang w:val="de-CH"/>
              </w:rPr>
              <w:t>odmerek vsakih 1</w:t>
            </w:r>
            <w:r w:rsidRPr="003F2EE1">
              <w:rPr>
                <w:color w:val="000000"/>
                <w:lang w:val="de-CH"/>
              </w:rPr>
              <w:t>2</w:t>
            </w:r>
            <w:r w:rsidR="002E2E6E" w:rsidRPr="003F2EE1">
              <w:rPr>
                <w:color w:val="000000"/>
                <w:lang w:val="de-CH"/>
              </w:rPr>
              <w:t xml:space="preserve"> ur </w:t>
            </w:r>
            <w:r w:rsidRPr="003F2EE1">
              <w:rPr>
                <w:color w:val="000000"/>
                <w:lang w:val="de-CH"/>
              </w:rPr>
              <w:t xml:space="preserve">x 4 </w:t>
            </w:r>
            <w:r w:rsidR="002E2E6E" w:rsidRPr="003F2EE1">
              <w:rPr>
                <w:color w:val="000000"/>
                <w:lang w:val="de-CH"/>
              </w:rPr>
              <w:t>odmerki</w:t>
            </w:r>
            <w:r w:rsidRPr="003F2EE1">
              <w:rPr>
                <w:color w:val="000000"/>
                <w:lang w:val="de-CH"/>
              </w:rPr>
              <w:t>, i</w:t>
            </w:r>
            <w:r w:rsidR="002E2E6E" w:rsidRPr="003F2EE1">
              <w:rPr>
                <w:color w:val="000000"/>
                <w:lang w:val="de-CH"/>
              </w:rPr>
              <w:t>.v.</w:t>
            </w:r>
            <w:r w:rsidRPr="003F2EE1">
              <w:rPr>
                <w:color w:val="000000"/>
                <w:lang w:val="de-CH"/>
              </w:rPr>
              <w:t xml:space="preserve">): </w:t>
            </w:r>
            <w:r w:rsidR="002E2E6E" w:rsidRPr="003F2EE1">
              <w:rPr>
                <w:color w:val="000000"/>
                <w:lang w:val="de-CH"/>
              </w:rPr>
              <w:t xml:space="preserve">3. in </w:t>
            </w:r>
            <w:r w:rsidRPr="003F2EE1">
              <w:rPr>
                <w:color w:val="000000"/>
                <w:lang w:val="de-CH"/>
              </w:rPr>
              <w:t>4</w:t>
            </w:r>
            <w:r w:rsidR="002E2E6E" w:rsidRPr="003F2EE1">
              <w:rPr>
                <w:color w:val="000000"/>
                <w:lang w:val="de-CH"/>
              </w:rPr>
              <w:t>. dan</w:t>
            </w:r>
          </w:p>
          <w:p w14:paraId="52979ADA" w14:textId="77777777" w:rsidR="00275074" w:rsidRPr="004A59B1" w:rsidRDefault="00275074" w:rsidP="009C1193">
            <w:pPr>
              <w:pStyle w:val="EndnoteText"/>
              <w:widowControl w:val="0"/>
              <w:rPr>
                <w:color w:val="000000"/>
                <w:lang w:val="es-ES"/>
              </w:rPr>
            </w:pPr>
            <w:r w:rsidRPr="004A59B1">
              <w:rPr>
                <w:color w:val="000000"/>
                <w:lang w:val="es-ES"/>
              </w:rPr>
              <w:t>PEG-ASP (2500 </w:t>
            </w:r>
            <w:r w:rsidR="002E2E6E" w:rsidRPr="004A59B1">
              <w:rPr>
                <w:color w:val="000000"/>
                <w:lang w:val="es-ES"/>
              </w:rPr>
              <w:t>i.e.</w:t>
            </w:r>
            <w:r w:rsidRPr="004A59B1">
              <w:rPr>
                <w:color w:val="000000"/>
                <w:lang w:val="es-ES"/>
              </w:rPr>
              <w:t>/m</w:t>
            </w:r>
            <w:r w:rsidRPr="004A59B1">
              <w:rPr>
                <w:color w:val="000000"/>
                <w:vertAlign w:val="superscript"/>
                <w:lang w:val="es-ES"/>
              </w:rPr>
              <w:t>2</w:t>
            </w:r>
            <w:r w:rsidRPr="004A59B1">
              <w:rPr>
                <w:color w:val="000000"/>
                <w:lang w:val="es-ES"/>
              </w:rPr>
              <w:t xml:space="preserve">, </w:t>
            </w:r>
            <w:r w:rsidR="002E2E6E" w:rsidRPr="004A59B1">
              <w:rPr>
                <w:color w:val="000000"/>
                <w:lang w:val="es-ES"/>
              </w:rPr>
              <w:t>i.m.</w:t>
            </w:r>
            <w:r w:rsidRPr="004A59B1">
              <w:rPr>
                <w:color w:val="000000"/>
                <w:lang w:val="es-ES"/>
              </w:rPr>
              <w:t>):</w:t>
            </w:r>
            <w:r w:rsidR="00DB4413" w:rsidRPr="004A59B1">
              <w:rPr>
                <w:color w:val="000000"/>
                <w:lang w:val="es-ES"/>
              </w:rPr>
              <w:t xml:space="preserve"> </w:t>
            </w:r>
            <w:r w:rsidRPr="004A59B1">
              <w:rPr>
                <w:color w:val="000000"/>
                <w:lang w:val="es-ES"/>
              </w:rPr>
              <w:t>4</w:t>
            </w:r>
            <w:r w:rsidR="002E2E6E" w:rsidRPr="004A59B1">
              <w:rPr>
                <w:color w:val="000000"/>
                <w:lang w:val="es-ES"/>
              </w:rPr>
              <w:t>. dan</w:t>
            </w:r>
          </w:p>
          <w:p w14:paraId="52979ADB" w14:textId="77777777" w:rsidR="00275074" w:rsidRPr="004A59B1" w:rsidRDefault="00275074" w:rsidP="009C1193">
            <w:pPr>
              <w:pStyle w:val="EndnoteText"/>
              <w:widowControl w:val="0"/>
              <w:rPr>
                <w:color w:val="000000"/>
                <w:lang w:val="es-ES"/>
              </w:rPr>
            </w:pPr>
            <w:r w:rsidRPr="004A59B1">
              <w:rPr>
                <w:color w:val="000000"/>
                <w:lang w:val="es-ES"/>
              </w:rPr>
              <w:t>G-CSF (5 </w:t>
            </w:r>
            <w:r w:rsidRPr="004A59B1">
              <w:rPr>
                <w:color w:val="000000"/>
              </w:rPr>
              <w:t>μ</w:t>
            </w:r>
            <w:r w:rsidRPr="004A59B1">
              <w:rPr>
                <w:color w:val="000000"/>
                <w:lang w:val="es-ES"/>
              </w:rPr>
              <w:t xml:space="preserve">g/kg, </w:t>
            </w:r>
            <w:r w:rsidR="002E2E6E" w:rsidRPr="004A59B1">
              <w:rPr>
                <w:color w:val="000000"/>
                <w:lang w:val="es-ES"/>
              </w:rPr>
              <w:t>s.c.</w:t>
            </w:r>
            <w:r w:rsidRPr="004A59B1">
              <w:rPr>
                <w:color w:val="000000"/>
                <w:lang w:val="es-ES"/>
              </w:rPr>
              <w:t>):5</w:t>
            </w:r>
            <w:r w:rsidR="002E2E6E" w:rsidRPr="004A59B1">
              <w:rPr>
                <w:color w:val="000000"/>
                <w:lang w:val="es-ES"/>
              </w:rPr>
              <w:t>.</w:t>
            </w:r>
            <w:r w:rsidRPr="004A59B1">
              <w:rPr>
                <w:color w:val="000000"/>
                <w:lang w:val="es-ES"/>
              </w:rPr>
              <w:t>-14</w:t>
            </w:r>
            <w:r w:rsidR="002E2E6E" w:rsidRPr="004A59B1">
              <w:rPr>
                <w:color w:val="000000"/>
                <w:lang w:val="es-ES"/>
              </w:rPr>
              <w:t>. dan o</w:t>
            </w:r>
            <w:r w:rsidR="002E2E6E" w:rsidRPr="004A59B1">
              <w:rPr>
                <w:lang w:val="es-ES"/>
              </w:rPr>
              <w:t xml:space="preserve">ziroma </w:t>
            </w:r>
            <w:r w:rsidR="002E2E6E" w:rsidRPr="004A59B1">
              <w:rPr>
                <w:color w:val="000000"/>
                <w:lang w:val="es-ES"/>
              </w:rPr>
              <w:t>do ANC &gt; 1500 po doseženem najnižjem številu</w:t>
            </w:r>
          </w:p>
          <w:p w14:paraId="52979ADC" w14:textId="77777777" w:rsidR="000F6CC9" w:rsidRPr="004A59B1" w:rsidRDefault="000F6CC9" w:rsidP="009C1193">
            <w:pPr>
              <w:pStyle w:val="EndnoteText"/>
              <w:widowControl w:val="0"/>
              <w:rPr>
                <w:color w:val="000000"/>
                <w:lang w:val="es-ES"/>
              </w:rPr>
            </w:pPr>
            <w:r w:rsidRPr="004A59B1">
              <w:rPr>
                <w:color w:val="000000"/>
                <w:lang w:val="es-ES"/>
              </w:rPr>
              <w:t>trojno i.t. zdravljenje (prilagojeno na starost): 1. in 15.</w:t>
            </w:r>
            <w:r w:rsidR="004273CC" w:rsidRPr="004A59B1">
              <w:rPr>
                <w:color w:val="000000"/>
                <w:lang w:val="es-ES"/>
              </w:rPr>
              <w:t> </w:t>
            </w:r>
            <w:r w:rsidRPr="004A59B1">
              <w:rPr>
                <w:lang w:val="es-ES"/>
              </w:rPr>
              <w:t>dan</w:t>
            </w:r>
          </w:p>
          <w:p w14:paraId="52979ADD" w14:textId="77777777" w:rsidR="00275074" w:rsidRPr="004A59B1" w:rsidRDefault="00275074" w:rsidP="009C1193">
            <w:pPr>
              <w:pStyle w:val="EndnoteText"/>
              <w:widowControl w:val="0"/>
              <w:rPr>
                <w:color w:val="000000"/>
                <w:lang w:val="es-ES"/>
              </w:rPr>
            </w:pPr>
            <w:r w:rsidRPr="004A59B1">
              <w:rPr>
                <w:color w:val="000000"/>
                <w:lang w:val="es-ES"/>
              </w:rPr>
              <w:t>DEX (6 mg/m</w:t>
            </w:r>
            <w:r w:rsidRPr="004A59B1">
              <w:rPr>
                <w:color w:val="000000"/>
                <w:vertAlign w:val="superscript"/>
                <w:lang w:val="es-ES"/>
              </w:rPr>
              <w:t>2</w:t>
            </w:r>
            <w:r w:rsidRPr="004A59B1">
              <w:rPr>
                <w:color w:val="000000"/>
                <w:lang w:val="es-ES"/>
              </w:rPr>
              <w:t>/da</w:t>
            </w:r>
            <w:r w:rsidR="000F6CC9" w:rsidRPr="004A59B1">
              <w:rPr>
                <w:color w:val="000000"/>
                <w:lang w:val="es-ES"/>
              </w:rPr>
              <w:t>n</w:t>
            </w:r>
            <w:r w:rsidRPr="004A59B1">
              <w:rPr>
                <w:color w:val="000000"/>
                <w:lang w:val="es-ES"/>
              </w:rPr>
              <w:t xml:space="preserve">, </w:t>
            </w:r>
            <w:r w:rsidR="000F6CC9" w:rsidRPr="004A59B1">
              <w:rPr>
                <w:color w:val="000000"/>
                <w:lang w:val="es-ES"/>
              </w:rPr>
              <w:t>peroralno</w:t>
            </w:r>
            <w:r w:rsidRPr="004A59B1">
              <w:rPr>
                <w:color w:val="000000"/>
                <w:lang w:val="es-ES"/>
              </w:rPr>
              <w:t>):</w:t>
            </w:r>
            <w:r w:rsidR="000F6CC9" w:rsidRPr="004A59B1">
              <w:rPr>
                <w:color w:val="000000"/>
                <w:lang w:val="es-ES"/>
              </w:rPr>
              <w:t xml:space="preserve"> </w:t>
            </w:r>
            <w:r w:rsidRPr="004A59B1">
              <w:rPr>
                <w:color w:val="000000"/>
                <w:lang w:val="es-ES"/>
              </w:rPr>
              <w:t>1</w:t>
            </w:r>
            <w:r w:rsidR="000F6CC9" w:rsidRPr="004A59B1">
              <w:rPr>
                <w:color w:val="000000"/>
                <w:lang w:val="es-ES"/>
              </w:rPr>
              <w:t>.</w:t>
            </w:r>
            <w:r w:rsidRPr="004A59B1">
              <w:rPr>
                <w:color w:val="000000"/>
                <w:lang w:val="es-ES"/>
              </w:rPr>
              <w:noBreakHyphen/>
              <w:t>7</w:t>
            </w:r>
            <w:r w:rsidR="000F6CC9" w:rsidRPr="004A59B1">
              <w:rPr>
                <w:color w:val="000000"/>
                <w:lang w:val="es-ES"/>
              </w:rPr>
              <w:t xml:space="preserve">. dan in </w:t>
            </w:r>
            <w:r w:rsidRPr="004A59B1">
              <w:rPr>
                <w:color w:val="000000"/>
                <w:lang w:val="es-ES"/>
              </w:rPr>
              <w:t>15</w:t>
            </w:r>
            <w:r w:rsidR="000F6CC9" w:rsidRPr="004A59B1">
              <w:rPr>
                <w:color w:val="000000"/>
                <w:lang w:val="es-ES"/>
              </w:rPr>
              <w:t>.</w:t>
            </w:r>
            <w:r w:rsidRPr="004A59B1">
              <w:rPr>
                <w:color w:val="000000"/>
                <w:lang w:val="es-ES"/>
              </w:rPr>
              <w:noBreakHyphen/>
              <w:t>21</w:t>
            </w:r>
            <w:r w:rsidR="000F6CC9" w:rsidRPr="004A59B1">
              <w:rPr>
                <w:color w:val="000000"/>
                <w:lang w:val="es-ES"/>
              </w:rPr>
              <w:t>. dan</w:t>
            </w:r>
          </w:p>
        </w:tc>
      </w:tr>
      <w:tr w:rsidR="00CE28EE" w:rsidRPr="004A59B1" w14:paraId="52979AEA" w14:textId="77777777" w:rsidTr="008F282C">
        <w:trPr>
          <w:cantSplit/>
        </w:trPr>
        <w:tc>
          <w:tcPr>
            <w:tcW w:w="2358" w:type="dxa"/>
            <w:shd w:val="clear" w:color="auto" w:fill="auto"/>
          </w:tcPr>
          <w:p w14:paraId="52979ADF" w14:textId="77777777" w:rsidR="00B1157B" w:rsidRPr="004A59B1" w:rsidRDefault="00B1157B" w:rsidP="009C1193">
            <w:pPr>
              <w:pStyle w:val="EndnoteText"/>
              <w:widowControl w:val="0"/>
              <w:rPr>
                <w:color w:val="000000"/>
              </w:rPr>
            </w:pPr>
            <w:r w:rsidRPr="004A59B1">
              <w:rPr>
                <w:color w:val="000000"/>
              </w:rPr>
              <w:t xml:space="preserve">2. intenzifikacijski blok </w:t>
            </w:r>
          </w:p>
          <w:p w14:paraId="52979AE0" w14:textId="77777777" w:rsidR="00275074" w:rsidRPr="004A59B1" w:rsidRDefault="00B1157B" w:rsidP="009C1193">
            <w:pPr>
              <w:pStyle w:val="EndnoteText"/>
              <w:widowControl w:val="0"/>
              <w:rPr>
                <w:color w:val="000000"/>
              </w:rPr>
            </w:pPr>
            <w:r w:rsidRPr="004A59B1">
              <w:rPr>
                <w:color w:val="000000"/>
              </w:rPr>
              <w:t>(9 tednov)</w:t>
            </w:r>
          </w:p>
        </w:tc>
        <w:tc>
          <w:tcPr>
            <w:tcW w:w="6929" w:type="dxa"/>
            <w:shd w:val="clear" w:color="auto" w:fill="auto"/>
          </w:tcPr>
          <w:p w14:paraId="52979AE1" w14:textId="77777777" w:rsidR="00275074" w:rsidRPr="003F2EE1" w:rsidRDefault="00B1157B" w:rsidP="009C1193">
            <w:pPr>
              <w:pStyle w:val="EndnoteText"/>
              <w:widowControl w:val="0"/>
              <w:rPr>
                <w:color w:val="000000"/>
                <w:lang w:val="de-CH"/>
              </w:rPr>
            </w:pPr>
            <w:r w:rsidRPr="003F2EE1">
              <w:rPr>
                <w:color w:val="000000"/>
                <w:lang w:val="de-CH"/>
              </w:rPr>
              <w:t>met</w:t>
            </w:r>
            <w:r w:rsidR="00275074" w:rsidRPr="003F2EE1">
              <w:rPr>
                <w:color w:val="000000"/>
                <w:lang w:val="de-CH"/>
              </w:rPr>
              <w:t>otre</w:t>
            </w:r>
            <w:r w:rsidRPr="003F2EE1">
              <w:rPr>
                <w:color w:val="000000"/>
                <w:lang w:val="de-CH"/>
              </w:rPr>
              <w:t>ks</w:t>
            </w:r>
            <w:r w:rsidR="00275074" w:rsidRPr="003F2EE1">
              <w:rPr>
                <w:color w:val="000000"/>
                <w:lang w:val="de-CH"/>
              </w:rPr>
              <w:t>at (5 g/m</w:t>
            </w:r>
            <w:r w:rsidR="00275074" w:rsidRPr="003F2EE1">
              <w:rPr>
                <w:color w:val="000000"/>
                <w:vertAlign w:val="superscript"/>
                <w:lang w:val="de-CH"/>
              </w:rPr>
              <w:t>2</w:t>
            </w:r>
            <w:r w:rsidR="00275074" w:rsidRPr="003F2EE1">
              <w:rPr>
                <w:color w:val="000000"/>
                <w:lang w:val="de-CH"/>
              </w:rPr>
              <w:t xml:space="preserve"> </w:t>
            </w:r>
            <w:r w:rsidRPr="003F2EE1">
              <w:rPr>
                <w:color w:val="000000"/>
                <w:lang w:val="de-CH"/>
              </w:rPr>
              <w:t>v času 24 ur, i.v.): 1. in 15. dan</w:t>
            </w:r>
          </w:p>
          <w:p w14:paraId="52979AE2" w14:textId="77777777" w:rsidR="00B1157B" w:rsidRPr="003F2EE1" w:rsidRDefault="00B1157B" w:rsidP="009C1193">
            <w:pPr>
              <w:pStyle w:val="EndnoteText"/>
              <w:widowControl w:val="0"/>
              <w:rPr>
                <w:color w:val="000000"/>
                <w:lang w:val="de-CH"/>
              </w:rPr>
            </w:pPr>
            <w:r w:rsidRPr="003F2EE1">
              <w:rPr>
                <w:color w:val="000000"/>
                <w:lang w:val="de-CH"/>
              </w:rPr>
              <w:t>levkovorin (75 mg/m</w:t>
            </w:r>
            <w:r w:rsidRPr="003F2EE1">
              <w:rPr>
                <w:color w:val="000000"/>
                <w:vertAlign w:val="superscript"/>
                <w:lang w:val="de-CH"/>
              </w:rPr>
              <w:t>2</w:t>
            </w:r>
            <w:r w:rsidRPr="003F2EE1">
              <w:rPr>
                <w:color w:val="000000"/>
                <w:lang w:val="de-CH"/>
              </w:rPr>
              <w:t xml:space="preserve"> 36 ur po začetku, i.v.; 15 mg/m</w:t>
            </w:r>
            <w:r w:rsidRPr="003F2EE1">
              <w:rPr>
                <w:color w:val="000000"/>
                <w:vertAlign w:val="superscript"/>
                <w:lang w:val="de-CH"/>
              </w:rPr>
              <w:t>2</w:t>
            </w:r>
            <w:r w:rsidRPr="003F2EE1">
              <w:rPr>
                <w:color w:val="000000"/>
                <w:lang w:val="de-CH"/>
              </w:rPr>
              <w:t xml:space="preserve"> i.v. ali peroralno vsakih 6 ur x 6 odmerkov) iii: </w:t>
            </w:r>
            <w:r w:rsidR="0027774D" w:rsidRPr="003F2EE1">
              <w:rPr>
                <w:color w:val="000000"/>
                <w:lang w:val="de-CH"/>
              </w:rPr>
              <w:t xml:space="preserve">2., </w:t>
            </w:r>
            <w:r w:rsidRPr="003F2EE1">
              <w:rPr>
                <w:color w:val="000000"/>
                <w:lang w:val="de-CH"/>
              </w:rPr>
              <w:t>3.</w:t>
            </w:r>
            <w:r w:rsidR="0027774D" w:rsidRPr="003F2EE1">
              <w:rPr>
                <w:color w:val="000000"/>
                <w:lang w:val="de-CH"/>
              </w:rPr>
              <w:t>, 16. in 17. </w:t>
            </w:r>
            <w:r w:rsidRPr="003F2EE1">
              <w:rPr>
                <w:lang w:val="de-CH"/>
              </w:rPr>
              <w:t>dan</w:t>
            </w:r>
          </w:p>
          <w:p w14:paraId="52979AE3" w14:textId="77777777" w:rsidR="0027774D" w:rsidRPr="003F2EE1" w:rsidRDefault="0027774D" w:rsidP="009C1193">
            <w:pPr>
              <w:pStyle w:val="EndnoteText"/>
              <w:widowControl w:val="0"/>
              <w:rPr>
                <w:color w:val="000000"/>
                <w:lang w:val="de-CH"/>
              </w:rPr>
            </w:pPr>
            <w:r w:rsidRPr="003F2EE1">
              <w:rPr>
                <w:color w:val="000000"/>
                <w:lang w:val="de-CH"/>
              </w:rPr>
              <w:t>trojno i.t. zdravljenje (prilagojeno na starost): 1. in 22.</w:t>
            </w:r>
            <w:r w:rsidR="00330F1D" w:rsidRPr="003F2EE1">
              <w:rPr>
                <w:color w:val="000000"/>
                <w:lang w:val="de-CH"/>
              </w:rPr>
              <w:t> </w:t>
            </w:r>
            <w:r w:rsidRPr="003F2EE1">
              <w:rPr>
                <w:lang w:val="de-CH"/>
              </w:rPr>
              <w:t>dan</w:t>
            </w:r>
          </w:p>
          <w:p w14:paraId="52979AE4" w14:textId="77777777" w:rsidR="0027774D" w:rsidRPr="004A59B1" w:rsidRDefault="0027774D" w:rsidP="009C1193">
            <w:pPr>
              <w:pStyle w:val="EndnoteText"/>
              <w:widowControl w:val="0"/>
              <w:rPr>
                <w:color w:val="000000"/>
                <w:lang w:val="es-ES"/>
              </w:rPr>
            </w:pPr>
            <w:r w:rsidRPr="004A59B1">
              <w:rPr>
                <w:color w:val="000000"/>
                <w:lang w:val="es-ES"/>
              </w:rPr>
              <w:t>VP-16 (100 mg/m</w:t>
            </w:r>
            <w:r w:rsidRPr="004A59B1">
              <w:rPr>
                <w:color w:val="000000"/>
                <w:vertAlign w:val="superscript"/>
                <w:lang w:val="es-ES"/>
              </w:rPr>
              <w:t>2</w:t>
            </w:r>
            <w:r w:rsidRPr="004A59B1">
              <w:rPr>
                <w:color w:val="000000"/>
                <w:lang w:val="es-ES"/>
              </w:rPr>
              <w:t>/dan, i.v.): 22.</w:t>
            </w:r>
            <w:r w:rsidRPr="004A59B1">
              <w:rPr>
                <w:color w:val="000000"/>
                <w:lang w:val="es-ES"/>
              </w:rPr>
              <w:noBreakHyphen/>
              <w:t>26. dan</w:t>
            </w:r>
          </w:p>
          <w:p w14:paraId="52979AE5" w14:textId="77777777" w:rsidR="0027774D" w:rsidRPr="004A59B1" w:rsidRDefault="0027774D" w:rsidP="009C1193">
            <w:pPr>
              <w:pStyle w:val="EndnoteText"/>
              <w:widowControl w:val="0"/>
              <w:rPr>
                <w:color w:val="000000"/>
                <w:lang w:val="es-ES"/>
              </w:rPr>
            </w:pPr>
            <w:r w:rsidRPr="004A59B1">
              <w:rPr>
                <w:color w:val="000000"/>
                <w:lang w:val="es-ES"/>
              </w:rPr>
              <w:t>CPM (300 mg/m</w:t>
            </w:r>
            <w:r w:rsidRPr="004A59B1">
              <w:rPr>
                <w:color w:val="000000"/>
                <w:vertAlign w:val="superscript"/>
                <w:lang w:val="es-ES"/>
              </w:rPr>
              <w:t>2</w:t>
            </w:r>
            <w:r w:rsidRPr="004A59B1">
              <w:rPr>
                <w:color w:val="000000"/>
                <w:lang w:val="es-ES"/>
              </w:rPr>
              <w:t>/dan, i.v.): 22.</w:t>
            </w:r>
            <w:r w:rsidRPr="004A59B1">
              <w:rPr>
                <w:color w:val="000000"/>
                <w:lang w:val="es-ES"/>
              </w:rPr>
              <w:noBreakHyphen/>
              <w:t>26. dan</w:t>
            </w:r>
          </w:p>
          <w:p w14:paraId="52979AE6" w14:textId="77777777" w:rsidR="0027774D" w:rsidRPr="004A59B1" w:rsidRDefault="0027774D" w:rsidP="009C1193">
            <w:pPr>
              <w:pStyle w:val="EndnoteText"/>
              <w:widowControl w:val="0"/>
              <w:rPr>
                <w:color w:val="000000"/>
                <w:lang w:val="es-ES"/>
              </w:rPr>
            </w:pPr>
            <w:r w:rsidRPr="004A59B1">
              <w:rPr>
                <w:color w:val="000000"/>
                <w:lang w:val="es-ES"/>
              </w:rPr>
              <w:t>MESNA (150 mg/m</w:t>
            </w:r>
            <w:r w:rsidRPr="004A59B1">
              <w:rPr>
                <w:color w:val="000000"/>
                <w:vertAlign w:val="superscript"/>
                <w:lang w:val="es-ES"/>
              </w:rPr>
              <w:t>2</w:t>
            </w:r>
            <w:r w:rsidRPr="004A59B1">
              <w:rPr>
                <w:color w:val="000000"/>
                <w:lang w:val="es-ES"/>
              </w:rPr>
              <w:t>/dan, i.v.): 22.</w:t>
            </w:r>
            <w:r w:rsidRPr="004A59B1">
              <w:rPr>
                <w:color w:val="000000"/>
                <w:lang w:val="es-ES"/>
              </w:rPr>
              <w:noBreakHyphen/>
              <w:t>26. dan</w:t>
            </w:r>
          </w:p>
          <w:p w14:paraId="52979AE7" w14:textId="77777777" w:rsidR="0027774D" w:rsidRPr="004A59B1" w:rsidRDefault="0027774D" w:rsidP="009C1193">
            <w:pPr>
              <w:pStyle w:val="EndnoteText"/>
              <w:widowControl w:val="0"/>
              <w:rPr>
                <w:color w:val="000000"/>
                <w:lang w:val="es-ES"/>
              </w:rPr>
            </w:pPr>
            <w:r w:rsidRPr="004A59B1">
              <w:rPr>
                <w:color w:val="000000"/>
                <w:lang w:val="es-ES"/>
              </w:rPr>
              <w:t>G-CSF (5 </w:t>
            </w:r>
            <w:r w:rsidRPr="004A59B1">
              <w:rPr>
                <w:color w:val="000000"/>
              </w:rPr>
              <w:t>μ</w:t>
            </w:r>
            <w:r w:rsidRPr="004A59B1">
              <w:rPr>
                <w:color w:val="000000"/>
                <w:lang w:val="es-ES"/>
              </w:rPr>
              <w:t>g/kg, s.c.):</w:t>
            </w:r>
            <w:r w:rsidR="00DB4413" w:rsidRPr="004A59B1">
              <w:rPr>
                <w:color w:val="000000"/>
                <w:lang w:val="es-ES"/>
              </w:rPr>
              <w:t xml:space="preserve"> </w:t>
            </w:r>
            <w:r w:rsidRPr="004A59B1">
              <w:rPr>
                <w:color w:val="000000"/>
                <w:lang w:val="es-ES"/>
              </w:rPr>
              <w:t>27.-36. dan o</w:t>
            </w:r>
            <w:r w:rsidRPr="004A59B1">
              <w:rPr>
                <w:lang w:val="es-ES"/>
              </w:rPr>
              <w:t xml:space="preserve">ziroma </w:t>
            </w:r>
            <w:r w:rsidRPr="004A59B1">
              <w:rPr>
                <w:color w:val="000000"/>
                <w:lang w:val="es-ES"/>
              </w:rPr>
              <w:t>do ANC &gt; 1500 po doseženem najnižjem številu</w:t>
            </w:r>
          </w:p>
          <w:p w14:paraId="52979AE8" w14:textId="77777777" w:rsidR="0027774D" w:rsidRPr="004A59B1" w:rsidRDefault="0027774D" w:rsidP="009C1193">
            <w:pPr>
              <w:pStyle w:val="EndnoteText"/>
              <w:widowControl w:val="0"/>
              <w:rPr>
                <w:color w:val="000000"/>
                <w:lang w:val="es-ES"/>
              </w:rPr>
            </w:pPr>
            <w:r w:rsidRPr="004A59B1">
              <w:rPr>
                <w:color w:val="000000"/>
                <w:lang w:val="es-ES"/>
              </w:rPr>
              <w:t>ARA-C (3 g/m</w:t>
            </w:r>
            <w:r w:rsidRPr="004A59B1">
              <w:rPr>
                <w:color w:val="000000"/>
                <w:vertAlign w:val="superscript"/>
                <w:lang w:val="es-ES"/>
              </w:rPr>
              <w:t>2</w:t>
            </w:r>
            <w:r w:rsidRPr="004A59B1">
              <w:rPr>
                <w:color w:val="000000"/>
                <w:lang w:val="es-ES"/>
              </w:rPr>
              <w:t>, vsakih 12 ur, i.v.): 43. in 44. dan</w:t>
            </w:r>
          </w:p>
          <w:p w14:paraId="52979AE9" w14:textId="77777777" w:rsidR="00275074" w:rsidRPr="004A59B1" w:rsidRDefault="0027774D" w:rsidP="009C1193">
            <w:pPr>
              <w:pStyle w:val="EndnoteText"/>
              <w:widowControl w:val="0"/>
              <w:rPr>
                <w:color w:val="000000"/>
                <w:lang w:val="es-ES"/>
              </w:rPr>
            </w:pPr>
            <w:r w:rsidRPr="004A59B1">
              <w:rPr>
                <w:color w:val="000000"/>
                <w:lang w:val="es-ES"/>
              </w:rPr>
              <w:t>L-ASP (6000 i.e./m</w:t>
            </w:r>
            <w:r w:rsidRPr="004A59B1">
              <w:rPr>
                <w:color w:val="000000"/>
                <w:vertAlign w:val="superscript"/>
                <w:lang w:val="es-ES"/>
              </w:rPr>
              <w:t>2</w:t>
            </w:r>
            <w:r w:rsidRPr="004A59B1">
              <w:rPr>
                <w:color w:val="000000"/>
                <w:lang w:val="es-ES"/>
              </w:rPr>
              <w:t xml:space="preserve">, i.m.): 44. dan </w:t>
            </w:r>
          </w:p>
        </w:tc>
      </w:tr>
      <w:tr w:rsidR="00CE28EE" w:rsidRPr="003B6568" w14:paraId="52979AF9" w14:textId="77777777" w:rsidTr="008F282C">
        <w:trPr>
          <w:cantSplit/>
        </w:trPr>
        <w:tc>
          <w:tcPr>
            <w:tcW w:w="2358" w:type="dxa"/>
            <w:shd w:val="clear" w:color="auto" w:fill="auto"/>
          </w:tcPr>
          <w:p w14:paraId="52979AEB" w14:textId="77777777" w:rsidR="00275074" w:rsidRPr="004A59B1" w:rsidRDefault="0027774D" w:rsidP="009C1193">
            <w:pPr>
              <w:pStyle w:val="EndnoteText"/>
              <w:widowControl w:val="0"/>
              <w:rPr>
                <w:color w:val="000000"/>
                <w:lang w:val="es-ES"/>
              </w:rPr>
            </w:pPr>
            <w:r w:rsidRPr="004A59B1">
              <w:rPr>
                <w:color w:val="000000"/>
                <w:lang w:val="es-ES"/>
              </w:rPr>
              <w:lastRenderedPageBreak/>
              <w:t>vzdrževalno zdravljenje</w:t>
            </w:r>
          </w:p>
          <w:p w14:paraId="52979AEC" w14:textId="77777777" w:rsidR="00275074" w:rsidRPr="004A59B1" w:rsidRDefault="00275074" w:rsidP="009C1193">
            <w:pPr>
              <w:pStyle w:val="EndnoteText"/>
              <w:widowControl w:val="0"/>
              <w:rPr>
                <w:color w:val="000000"/>
                <w:lang w:val="es-ES"/>
              </w:rPr>
            </w:pPr>
            <w:r w:rsidRPr="004A59B1">
              <w:rPr>
                <w:color w:val="000000"/>
                <w:lang w:val="es-ES"/>
              </w:rPr>
              <w:t>(8-</w:t>
            </w:r>
            <w:r w:rsidR="0027774D" w:rsidRPr="004A59B1">
              <w:rPr>
                <w:color w:val="000000"/>
                <w:lang w:val="es-ES"/>
              </w:rPr>
              <w:t>tedenski ciklusi</w:t>
            </w:r>
            <w:r w:rsidRPr="004A59B1">
              <w:rPr>
                <w:color w:val="000000"/>
                <w:lang w:val="es-ES"/>
              </w:rPr>
              <w:t>)</w:t>
            </w:r>
          </w:p>
          <w:p w14:paraId="52979AED" w14:textId="77777777" w:rsidR="00275074" w:rsidRPr="004A59B1" w:rsidRDefault="002C6C4C" w:rsidP="009C1193">
            <w:pPr>
              <w:pStyle w:val="EndnoteText"/>
              <w:widowControl w:val="0"/>
              <w:rPr>
                <w:color w:val="000000"/>
                <w:lang w:val="es-ES"/>
              </w:rPr>
            </w:pPr>
            <w:r w:rsidRPr="004A59B1">
              <w:rPr>
                <w:color w:val="000000"/>
                <w:lang w:val="es-ES"/>
              </w:rPr>
              <w:t>1.</w:t>
            </w:r>
            <w:r w:rsidRPr="004A59B1">
              <w:rPr>
                <w:color w:val="000000"/>
                <w:lang w:val="es-ES"/>
              </w:rPr>
              <w:noBreakHyphen/>
            </w:r>
            <w:r w:rsidR="0027774D" w:rsidRPr="004A59B1">
              <w:rPr>
                <w:color w:val="000000"/>
                <w:lang w:val="es-ES"/>
              </w:rPr>
              <w:t>4. ciklus</w:t>
            </w:r>
          </w:p>
        </w:tc>
        <w:tc>
          <w:tcPr>
            <w:tcW w:w="6929" w:type="dxa"/>
            <w:shd w:val="clear" w:color="auto" w:fill="auto"/>
          </w:tcPr>
          <w:p w14:paraId="52979AEE" w14:textId="77777777" w:rsidR="0027774D" w:rsidRPr="004A59B1" w:rsidRDefault="00275074" w:rsidP="009C1193">
            <w:pPr>
              <w:pStyle w:val="EndnoteText"/>
              <w:widowControl w:val="0"/>
              <w:rPr>
                <w:color w:val="000000"/>
                <w:lang w:val="es-ES"/>
              </w:rPr>
            </w:pPr>
            <w:r w:rsidRPr="004A59B1">
              <w:rPr>
                <w:color w:val="000000"/>
                <w:lang w:val="es-ES"/>
              </w:rPr>
              <w:t xml:space="preserve">MTX </w:t>
            </w:r>
            <w:r w:rsidR="0027774D" w:rsidRPr="004A59B1">
              <w:rPr>
                <w:color w:val="000000"/>
                <w:lang w:val="es-ES"/>
              </w:rPr>
              <w:t>(5 g/m2 v času 24 ur, i.v.): 1. dan</w:t>
            </w:r>
          </w:p>
          <w:p w14:paraId="52979AEF" w14:textId="77777777" w:rsidR="0027774D" w:rsidRPr="004A59B1" w:rsidRDefault="0027774D" w:rsidP="009C1193">
            <w:pPr>
              <w:pStyle w:val="EndnoteText"/>
              <w:widowControl w:val="0"/>
              <w:rPr>
                <w:color w:val="000000"/>
                <w:lang w:val="es-ES"/>
              </w:rPr>
            </w:pPr>
            <w:r w:rsidRPr="004A59B1">
              <w:rPr>
                <w:color w:val="000000"/>
                <w:lang w:val="es-ES"/>
              </w:rPr>
              <w:t>levkovorin (75 mg/m2 36 ur po začetku, i.v.; 15 mg/m2 i.v. ali peroralno vsakih 6 ur x 6 odmerkov) iii: 2.</w:t>
            </w:r>
            <w:r w:rsidR="003363FB" w:rsidRPr="004A59B1">
              <w:rPr>
                <w:color w:val="000000"/>
                <w:lang w:val="es-ES"/>
              </w:rPr>
              <w:t xml:space="preserve"> in</w:t>
            </w:r>
            <w:r w:rsidRPr="004A59B1">
              <w:rPr>
                <w:color w:val="000000"/>
                <w:lang w:val="es-ES"/>
              </w:rPr>
              <w:t xml:space="preserve"> 3. dan</w:t>
            </w:r>
          </w:p>
          <w:p w14:paraId="52979AF0" w14:textId="77777777" w:rsidR="003363FB" w:rsidRPr="004A59B1" w:rsidRDefault="003363FB" w:rsidP="009C1193">
            <w:pPr>
              <w:pStyle w:val="EndnoteText"/>
              <w:widowControl w:val="0"/>
              <w:rPr>
                <w:color w:val="000000"/>
                <w:lang w:val="es-ES"/>
              </w:rPr>
            </w:pPr>
            <w:r w:rsidRPr="004A59B1">
              <w:rPr>
                <w:color w:val="000000"/>
                <w:lang w:val="es-ES"/>
              </w:rPr>
              <w:t>trojno i.t. zdravljenje (prilagojeno na starost): 1. in 29.dan</w:t>
            </w:r>
          </w:p>
          <w:p w14:paraId="52979AF1" w14:textId="77777777" w:rsidR="003363FB" w:rsidRPr="004A59B1" w:rsidRDefault="003363FB" w:rsidP="009C1193">
            <w:pPr>
              <w:pStyle w:val="EndnoteText"/>
              <w:widowControl w:val="0"/>
              <w:rPr>
                <w:color w:val="000000"/>
                <w:lang w:val="es-ES"/>
              </w:rPr>
            </w:pPr>
            <w:r w:rsidRPr="004A59B1">
              <w:rPr>
                <w:color w:val="000000"/>
                <w:lang w:val="es-ES"/>
              </w:rPr>
              <w:t>VCR (1,5 mg/m</w:t>
            </w:r>
            <w:r w:rsidRPr="004A59B1">
              <w:rPr>
                <w:color w:val="000000"/>
                <w:vertAlign w:val="superscript"/>
                <w:lang w:val="es-ES"/>
              </w:rPr>
              <w:t>2</w:t>
            </w:r>
            <w:r w:rsidRPr="004A59B1">
              <w:rPr>
                <w:color w:val="000000"/>
                <w:lang w:val="es-ES"/>
              </w:rPr>
              <w:t>/dan, i.v.): 1. in 29. dan</w:t>
            </w:r>
          </w:p>
          <w:p w14:paraId="52979AF2" w14:textId="77777777" w:rsidR="00275074" w:rsidRPr="004A59B1" w:rsidRDefault="003363FB" w:rsidP="009C1193">
            <w:pPr>
              <w:pStyle w:val="EndnoteText"/>
              <w:widowControl w:val="0"/>
              <w:rPr>
                <w:color w:val="000000"/>
                <w:lang w:val="es-ES"/>
              </w:rPr>
            </w:pPr>
            <w:r w:rsidRPr="004A59B1">
              <w:rPr>
                <w:color w:val="000000"/>
                <w:lang w:val="es-ES"/>
              </w:rPr>
              <w:t>DEX (6 mg/m</w:t>
            </w:r>
            <w:r w:rsidRPr="004A59B1">
              <w:rPr>
                <w:color w:val="000000"/>
                <w:vertAlign w:val="superscript"/>
                <w:lang w:val="es-ES"/>
              </w:rPr>
              <w:t>2</w:t>
            </w:r>
            <w:r w:rsidRPr="004A59B1">
              <w:rPr>
                <w:color w:val="000000"/>
                <w:lang w:val="es-ES"/>
              </w:rPr>
              <w:t>/dan, peroralno): 1.</w:t>
            </w:r>
            <w:r w:rsidRPr="004A59B1">
              <w:rPr>
                <w:color w:val="000000"/>
                <w:lang w:val="es-ES"/>
              </w:rPr>
              <w:noBreakHyphen/>
              <w:t>5. dan in 29.</w:t>
            </w:r>
            <w:r w:rsidRPr="004A59B1">
              <w:rPr>
                <w:color w:val="000000"/>
                <w:lang w:val="es-ES"/>
              </w:rPr>
              <w:noBreakHyphen/>
              <w:t>33. dan</w:t>
            </w:r>
          </w:p>
          <w:p w14:paraId="52979AF3" w14:textId="77777777" w:rsidR="00275074" w:rsidRPr="004A59B1" w:rsidRDefault="00275074" w:rsidP="009C1193">
            <w:pPr>
              <w:pStyle w:val="EndnoteText"/>
              <w:widowControl w:val="0"/>
              <w:rPr>
                <w:color w:val="000000"/>
                <w:lang w:val="es-ES"/>
              </w:rPr>
            </w:pPr>
            <w:r w:rsidRPr="004A59B1">
              <w:rPr>
                <w:color w:val="000000"/>
                <w:lang w:val="es-ES"/>
              </w:rPr>
              <w:t>6-MP (75 mg/m</w:t>
            </w:r>
            <w:r w:rsidRPr="00304E94">
              <w:rPr>
                <w:color w:val="000000"/>
                <w:vertAlign w:val="superscript"/>
                <w:lang w:val="es-ES"/>
              </w:rPr>
              <w:t>2</w:t>
            </w:r>
            <w:r w:rsidRPr="004A59B1">
              <w:rPr>
                <w:color w:val="000000"/>
                <w:lang w:val="es-ES"/>
              </w:rPr>
              <w:t>/da</w:t>
            </w:r>
            <w:r w:rsidR="003363FB" w:rsidRPr="004A59B1">
              <w:rPr>
                <w:color w:val="000000"/>
                <w:lang w:val="es-ES"/>
              </w:rPr>
              <w:t>n</w:t>
            </w:r>
            <w:r w:rsidRPr="004A59B1">
              <w:rPr>
                <w:color w:val="000000"/>
                <w:lang w:val="es-ES"/>
              </w:rPr>
              <w:t xml:space="preserve">, </w:t>
            </w:r>
            <w:r w:rsidR="003363FB" w:rsidRPr="004A59B1">
              <w:rPr>
                <w:color w:val="000000"/>
                <w:lang w:val="es-ES"/>
              </w:rPr>
              <w:t>peroralno</w:t>
            </w:r>
            <w:r w:rsidRPr="004A59B1">
              <w:rPr>
                <w:color w:val="000000"/>
                <w:lang w:val="es-ES"/>
              </w:rPr>
              <w:t>: 8</w:t>
            </w:r>
            <w:r w:rsidR="003363FB" w:rsidRPr="004A59B1">
              <w:rPr>
                <w:color w:val="000000"/>
                <w:lang w:val="es-ES"/>
              </w:rPr>
              <w:t>.</w:t>
            </w:r>
            <w:r w:rsidRPr="004A59B1">
              <w:rPr>
                <w:color w:val="000000"/>
                <w:lang w:val="es-ES"/>
              </w:rPr>
              <w:t>-28</w:t>
            </w:r>
            <w:r w:rsidR="003363FB" w:rsidRPr="004A59B1">
              <w:rPr>
                <w:color w:val="000000"/>
                <w:lang w:val="es-ES"/>
              </w:rPr>
              <w:t>. dan</w:t>
            </w:r>
          </w:p>
          <w:p w14:paraId="52979AF4" w14:textId="77777777" w:rsidR="00275074" w:rsidRPr="004A59B1" w:rsidRDefault="003363FB" w:rsidP="009C1193">
            <w:pPr>
              <w:pStyle w:val="EndnoteText"/>
              <w:widowControl w:val="0"/>
              <w:rPr>
                <w:color w:val="000000"/>
                <w:lang w:val="es-ES"/>
              </w:rPr>
            </w:pPr>
            <w:r w:rsidRPr="004A59B1">
              <w:rPr>
                <w:color w:val="000000"/>
                <w:lang w:val="es-ES"/>
              </w:rPr>
              <w:t>metotreksat</w:t>
            </w:r>
            <w:r w:rsidR="00275074" w:rsidRPr="004A59B1">
              <w:rPr>
                <w:color w:val="000000"/>
                <w:lang w:val="es-ES"/>
              </w:rPr>
              <w:t xml:space="preserve"> (20 mg/m</w:t>
            </w:r>
            <w:r w:rsidR="00275074" w:rsidRPr="004A59B1">
              <w:rPr>
                <w:color w:val="000000"/>
                <w:vertAlign w:val="superscript"/>
                <w:lang w:val="es-ES"/>
              </w:rPr>
              <w:t>2</w:t>
            </w:r>
            <w:r w:rsidR="00275074" w:rsidRPr="004A59B1">
              <w:rPr>
                <w:color w:val="000000"/>
                <w:lang w:val="es-ES"/>
              </w:rPr>
              <w:t>/</w:t>
            </w:r>
            <w:r w:rsidRPr="004A59B1">
              <w:rPr>
                <w:color w:val="000000"/>
                <w:lang w:val="es-ES"/>
              </w:rPr>
              <w:t>teden</w:t>
            </w:r>
            <w:r w:rsidR="00275074" w:rsidRPr="004A59B1">
              <w:rPr>
                <w:color w:val="000000"/>
                <w:lang w:val="es-ES"/>
              </w:rPr>
              <w:t xml:space="preserve">, </w:t>
            </w:r>
            <w:r w:rsidR="00C83230" w:rsidRPr="004A59B1">
              <w:rPr>
                <w:color w:val="000000"/>
                <w:lang w:val="es-ES"/>
              </w:rPr>
              <w:t>peroralno</w:t>
            </w:r>
            <w:r w:rsidR="00275074" w:rsidRPr="004A59B1">
              <w:rPr>
                <w:color w:val="000000"/>
                <w:lang w:val="es-ES"/>
              </w:rPr>
              <w:t>):8</w:t>
            </w:r>
            <w:r w:rsidR="00C83230" w:rsidRPr="004A59B1">
              <w:rPr>
                <w:color w:val="000000"/>
                <w:lang w:val="es-ES"/>
              </w:rPr>
              <w:t>.</w:t>
            </w:r>
            <w:r w:rsidR="00275074" w:rsidRPr="004A59B1">
              <w:rPr>
                <w:color w:val="000000"/>
                <w:lang w:val="es-ES"/>
              </w:rPr>
              <w:t>, 15</w:t>
            </w:r>
            <w:r w:rsidR="00C83230" w:rsidRPr="004A59B1">
              <w:rPr>
                <w:color w:val="000000"/>
                <w:lang w:val="es-ES"/>
              </w:rPr>
              <w:t>. in</w:t>
            </w:r>
            <w:r w:rsidR="00275074" w:rsidRPr="004A59B1">
              <w:rPr>
                <w:color w:val="000000"/>
                <w:lang w:val="es-ES"/>
              </w:rPr>
              <w:t xml:space="preserve"> 22</w:t>
            </w:r>
            <w:r w:rsidR="00C83230" w:rsidRPr="004A59B1">
              <w:rPr>
                <w:color w:val="000000"/>
                <w:lang w:val="es-ES"/>
              </w:rPr>
              <w:t>. dan</w:t>
            </w:r>
          </w:p>
          <w:p w14:paraId="52979AF5" w14:textId="77777777" w:rsidR="00C83230" w:rsidRPr="004A59B1" w:rsidRDefault="00C83230" w:rsidP="009C1193">
            <w:pPr>
              <w:pStyle w:val="EndnoteText"/>
              <w:widowControl w:val="0"/>
              <w:rPr>
                <w:color w:val="000000"/>
                <w:lang w:val="es-ES"/>
              </w:rPr>
            </w:pPr>
            <w:r w:rsidRPr="004A59B1">
              <w:rPr>
                <w:color w:val="000000"/>
                <w:lang w:val="es-ES"/>
              </w:rPr>
              <w:t>VP-16 (100 mg/m</w:t>
            </w:r>
            <w:r w:rsidRPr="004A59B1">
              <w:rPr>
                <w:color w:val="000000"/>
                <w:vertAlign w:val="superscript"/>
                <w:lang w:val="es-ES"/>
              </w:rPr>
              <w:t>2</w:t>
            </w:r>
            <w:r w:rsidRPr="004A59B1">
              <w:rPr>
                <w:color w:val="000000"/>
                <w:lang w:val="es-ES"/>
              </w:rPr>
              <w:t xml:space="preserve"> i.v.): 29.</w:t>
            </w:r>
            <w:r w:rsidRPr="004A59B1">
              <w:rPr>
                <w:color w:val="000000"/>
                <w:lang w:val="es-ES"/>
              </w:rPr>
              <w:noBreakHyphen/>
              <w:t>33. dan</w:t>
            </w:r>
          </w:p>
          <w:p w14:paraId="52979AF6" w14:textId="77777777" w:rsidR="00C83230" w:rsidRPr="004A59B1" w:rsidRDefault="00C83230" w:rsidP="009C1193">
            <w:pPr>
              <w:pStyle w:val="EndnoteText"/>
              <w:widowControl w:val="0"/>
              <w:rPr>
                <w:color w:val="000000"/>
                <w:lang w:val="es-ES"/>
              </w:rPr>
            </w:pPr>
            <w:r w:rsidRPr="004A59B1">
              <w:rPr>
                <w:color w:val="000000"/>
                <w:lang w:val="es-ES"/>
              </w:rPr>
              <w:t>CPM (300 mg/m</w:t>
            </w:r>
            <w:r w:rsidRPr="004A59B1">
              <w:rPr>
                <w:color w:val="000000"/>
                <w:vertAlign w:val="superscript"/>
                <w:lang w:val="es-ES"/>
              </w:rPr>
              <w:t>2</w:t>
            </w:r>
            <w:r w:rsidRPr="004A59B1">
              <w:rPr>
                <w:color w:val="000000"/>
                <w:lang w:val="es-ES"/>
              </w:rPr>
              <w:t xml:space="preserve"> i.v.): 29.</w:t>
            </w:r>
            <w:r w:rsidRPr="004A59B1">
              <w:rPr>
                <w:color w:val="000000"/>
                <w:lang w:val="es-ES"/>
              </w:rPr>
              <w:noBreakHyphen/>
              <w:t>33. dan</w:t>
            </w:r>
          </w:p>
          <w:p w14:paraId="52979AF7" w14:textId="77777777" w:rsidR="00C83230" w:rsidRPr="004A59B1" w:rsidRDefault="00C83230" w:rsidP="009C1193">
            <w:pPr>
              <w:pStyle w:val="EndnoteText"/>
              <w:widowControl w:val="0"/>
              <w:rPr>
                <w:color w:val="000000"/>
                <w:lang w:val="es-ES"/>
              </w:rPr>
            </w:pPr>
            <w:r w:rsidRPr="004A59B1">
              <w:rPr>
                <w:color w:val="000000"/>
                <w:lang w:val="es-ES"/>
              </w:rPr>
              <w:t>M</w:t>
            </w:r>
            <w:r w:rsidR="00A10F80" w:rsidRPr="004A59B1">
              <w:rPr>
                <w:color w:val="000000"/>
                <w:lang w:val="es-ES"/>
              </w:rPr>
              <w:t>ESNA</w:t>
            </w:r>
            <w:r w:rsidRPr="004A59B1">
              <w:rPr>
                <w:color w:val="000000"/>
                <w:lang w:val="es-ES"/>
              </w:rPr>
              <w:t xml:space="preserve"> i.v.: 29.</w:t>
            </w:r>
            <w:r w:rsidRPr="004A59B1">
              <w:rPr>
                <w:color w:val="000000"/>
                <w:lang w:val="es-ES"/>
              </w:rPr>
              <w:noBreakHyphen/>
              <w:t>33. dan</w:t>
            </w:r>
          </w:p>
          <w:p w14:paraId="52979AF8" w14:textId="77777777" w:rsidR="00275074" w:rsidRPr="004A59B1" w:rsidRDefault="00275074" w:rsidP="009C1193">
            <w:pPr>
              <w:pStyle w:val="EndnoteText"/>
              <w:widowControl w:val="0"/>
              <w:rPr>
                <w:color w:val="000000"/>
                <w:lang w:val="es-ES"/>
              </w:rPr>
            </w:pPr>
            <w:r w:rsidRPr="004A59B1">
              <w:rPr>
                <w:color w:val="000000"/>
                <w:lang w:val="es-ES"/>
              </w:rPr>
              <w:t>G-CSF (5 </w:t>
            </w:r>
            <w:r w:rsidRPr="004A59B1">
              <w:rPr>
                <w:color w:val="000000"/>
              </w:rPr>
              <w:t>μ</w:t>
            </w:r>
            <w:r w:rsidRPr="004A59B1">
              <w:rPr>
                <w:color w:val="000000"/>
                <w:lang w:val="es-ES"/>
              </w:rPr>
              <w:t xml:space="preserve">g/kg, </w:t>
            </w:r>
            <w:r w:rsidR="00C83230" w:rsidRPr="004A59B1">
              <w:rPr>
                <w:color w:val="000000"/>
                <w:lang w:val="es-ES"/>
              </w:rPr>
              <w:t>s.c.)</w:t>
            </w:r>
            <w:r w:rsidRPr="004A59B1">
              <w:rPr>
                <w:color w:val="000000"/>
                <w:lang w:val="es-ES"/>
              </w:rPr>
              <w:t>: 34</w:t>
            </w:r>
            <w:r w:rsidR="00C83230" w:rsidRPr="004A59B1">
              <w:rPr>
                <w:color w:val="000000"/>
                <w:lang w:val="es-ES"/>
              </w:rPr>
              <w:t>.</w:t>
            </w:r>
            <w:r w:rsidRPr="004A59B1">
              <w:rPr>
                <w:color w:val="000000"/>
                <w:lang w:val="es-ES"/>
              </w:rPr>
              <w:noBreakHyphen/>
              <w:t>43</w:t>
            </w:r>
            <w:r w:rsidR="00C83230" w:rsidRPr="004A59B1">
              <w:rPr>
                <w:color w:val="000000"/>
                <w:lang w:val="es-ES"/>
              </w:rPr>
              <w:t>. dan</w:t>
            </w:r>
          </w:p>
        </w:tc>
      </w:tr>
      <w:tr w:rsidR="00CE28EE" w:rsidRPr="003B6568" w14:paraId="52979B04" w14:textId="77777777" w:rsidTr="008F282C">
        <w:trPr>
          <w:cantSplit/>
        </w:trPr>
        <w:tc>
          <w:tcPr>
            <w:tcW w:w="2358" w:type="dxa"/>
            <w:shd w:val="clear" w:color="auto" w:fill="auto"/>
          </w:tcPr>
          <w:p w14:paraId="52979AFA" w14:textId="77777777" w:rsidR="004F6F36" w:rsidRPr="004A59B1" w:rsidRDefault="004F6F36" w:rsidP="009C1193">
            <w:pPr>
              <w:pStyle w:val="EndnoteText"/>
              <w:widowControl w:val="0"/>
              <w:rPr>
                <w:color w:val="000000"/>
                <w:lang w:val="es-ES"/>
              </w:rPr>
            </w:pPr>
            <w:r w:rsidRPr="004A59B1">
              <w:rPr>
                <w:color w:val="000000"/>
                <w:lang w:val="es-ES"/>
              </w:rPr>
              <w:t>vzdrževalno zdravljenje</w:t>
            </w:r>
          </w:p>
          <w:p w14:paraId="52979AFB" w14:textId="77777777" w:rsidR="004F6F36" w:rsidRPr="004A59B1" w:rsidRDefault="004F6F36" w:rsidP="009C1193">
            <w:pPr>
              <w:pStyle w:val="EndnoteText"/>
              <w:widowControl w:val="0"/>
              <w:rPr>
                <w:color w:val="000000"/>
                <w:lang w:val="es-ES"/>
              </w:rPr>
            </w:pPr>
            <w:r w:rsidRPr="004A59B1">
              <w:rPr>
                <w:color w:val="000000"/>
                <w:lang w:val="es-ES"/>
              </w:rPr>
              <w:t>(8-tedenski ciklusi)</w:t>
            </w:r>
          </w:p>
          <w:p w14:paraId="52979AFC" w14:textId="77777777" w:rsidR="00275074" w:rsidRPr="004A59B1" w:rsidRDefault="004F6F36" w:rsidP="009C1193">
            <w:pPr>
              <w:pStyle w:val="EndnoteText"/>
              <w:widowControl w:val="0"/>
              <w:rPr>
                <w:color w:val="000000"/>
                <w:lang w:val="es-ES"/>
              </w:rPr>
            </w:pPr>
            <w:r w:rsidRPr="004A59B1">
              <w:rPr>
                <w:color w:val="000000"/>
                <w:lang w:val="es-ES"/>
              </w:rPr>
              <w:t>5. ciklus</w:t>
            </w:r>
          </w:p>
        </w:tc>
        <w:tc>
          <w:tcPr>
            <w:tcW w:w="6929" w:type="dxa"/>
            <w:shd w:val="clear" w:color="auto" w:fill="auto"/>
          </w:tcPr>
          <w:p w14:paraId="52979AFD" w14:textId="77777777" w:rsidR="00275074" w:rsidRPr="004A59B1" w:rsidRDefault="004F6F36" w:rsidP="009C1193">
            <w:pPr>
              <w:pStyle w:val="EndnoteText"/>
              <w:widowControl w:val="0"/>
              <w:rPr>
                <w:color w:val="000000"/>
                <w:lang w:val="es-ES"/>
              </w:rPr>
            </w:pPr>
            <w:r w:rsidRPr="004A59B1">
              <w:rPr>
                <w:color w:val="000000"/>
                <w:lang w:val="es-ES"/>
              </w:rPr>
              <w:t xml:space="preserve">obsevanje glave </w:t>
            </w:r>
            <w:r w:rsidR="00275074" w:rsidRPr="004A59B1">
              <w:rPr>
                <w:color w:val="000000"/>
                <w:lang w:val="es-ES"/>
              </w:rPr>
              <w:t>(</w:t>
            </w:r>
            <w:r w:rsidRPr="004A59B1">
              <w:rPr>
                <w:color w:val="000000"/>
                <w:lang w:val="es-ES"/>
              </w:rPr>
              <w:t>samo 5. blok</w:t>
            </w:r>
            <w:r w:rsidR="00275074" w:rsidRPr="004A59B1">
              <w:rPr>
                <w:color w:val="000000"/>
                <w:lang w:val="es-ES"/>
              </w:rPr>
              <w:t>)</w:t>
            </w:r>
          </w:p>
          <w:p w14:paraId="52979AFE" w14:textId="77777777" w:rsidR="00275074" w:rsidRPr="004A59B1" w:rsidRDefault="00275074" w:rsidP="009C1193">
            <w:pPr>
              <w:pStyle w:val="EndnoteText"/>
              <w:widowControl w:val="0"/>
              <w:rPr>
                <w:color w:val="000000"/>
                <w:lang w:val="es-ES"/>
              </w:rPr>
            </w:pPr>
            <w:r w:rsidRPr="004A59B1">
              <w:rPr>
                <w:color w:val="000000"/>
                <w:lang w:val="es-ES"/>
              </w:rPr>
              <w:t xml:space="preserve">12 Gy </w:t>
            </w:r>
            <w:r w:rsidR="004F6F36" w:rsidRPr="004A59B1">
              <w:rPr>
                <w:color w:val="000000"/>
                <w:lang w:val="es-ES"/>
              </w:rPr>
              <w:t xml:space="preserve">v 8 frakcijah </w:t>
            </w:r>
            <w:r w:rsidR="00820E0C" w:rsidRPr="004A59B1">
              <w:rPr>
                <w:color w:val="000000"/>
                <w:lang w:val="es-ES"/>
              </w:rPr>
              <w:t>za vse bolnike, ki imajo ob postavitvi diagnoze CNS1 in CNS2</w:t>
            </w:r>
          </w:p>
          <w:p w14:paraId="52979AFF" w14:textId="77777777" w:rsidR="00275074" w:rsidRPr="004A59B1" w:rsidRDefault="00275074" w:rsidP="009C1193">
            <w:pPr>
              <w:pStyle w:val="EndnoteText"/>
              <w:widowControl w:val="0"/>
              <w:rPr>
                <w:color w:val="000000"/>
                <w:lang w:val="es-ES"/>
              </w:rPr>
            </w:pPr>
            <w:r w:rsidRPr="004A59B1">
              <w:rPr>
                <w:color w:val="000000"/>
                <w:lang w:val="es-ES"/>
              </w:rPr>
              <w:t xml:space="preserve">18 Gy </w:t>
            </w:r>
            <w:r w:rsidR="00820E0C" w:rsidRPr="004A59B1">
              <w:rPr>
                <w:color w:val="000000"/>
                <w:lang w:val="es-ES"/>
              </w:rPr>
              <w:t xml:space="preserve">v </w:t>
            </w:r>
            <w:r w:rsidRPr="004A59B1">
              <w:rPr>
                <w:color w:val="000000"/>
                <w:lang w:val="es-ES"/>
              </w:rPr>
              <w:t>10 fra</w:t>
            </w:r>
            <w:r w:rsidR="00820E0C" w:rsidRPr="004A59B1">
              <w:rPr>
                <w:color w:val="000000"/>
                <w:lang w:val="es-ES"/>
              </w:rPr>
              <w:t>kcijah za bolnike, ki imajo ob postavitvi diagnoze CNS3</w:t>
            </w:r>
          </w:p>
          <w:p w14:paraId="52979B00" w14:textId="77777777" w:rsidR="00820E0C" w:rsidRPr="004A59B1" w:rsidRDefault="00820E0C" w:rsidP="009C1193">
            <w:pPr>
              <w:pStyle w:val="EndnoteText"/>
              <w:widowControl w:val="0"/>
              <w:rPr>
                <w:color w:val="000000"/>
                <w:lang w:val="es-ES"/>
              </w:rPr>
            </w:pPr>
            <w:r w:rsidRPr="004A59B1">
              <w:rPr>
                <w:color w:val="000000"/>
                <w:lang w:val="es-ES"/>
              </w:rPr>
              <w:t>VCR (1,5 mg/m</w:t>
            </w:r>
            <w:r w:rsidRPr="004A59B1">
              <w:rPr>
                <w:color w:val="000000"/>
                <w:vertAlign w:val="superscript"/>
                <w:lang w:val="es-ES"/>
              </w:rPr>
              <w:t>2</w:t>
            </w:r>
            <w:r w:rsidRPr="004A59B1">
              <w:rPr>
                <w:color w:val="000000"/>
                <w:lang w:val="es-ES"/>
              </w:rPr>
              <w:t>/dan, i.v.): 1. in 29. dan</w:t>
            </w:r>
          </w:p>
          <w:p w14:paraId="52979B01" w14:textId="77777777" w:rsidR="00820E0C" w:rsidRPr="004A59B1" w:rsidRDefault="00820E0C" w:rsidP="009C1193">
            <w:pPr>
              <w:pStyle w:val="EndnoteText"/>
              <w:widowControl w:val="0"/>
              <w:rPr>
                <w:color w:val="000000"/>
                <w:lang w:val="es-ES"/>
              </w:rPr>
            </w:pPr>
            <w:r w:rsidRPr="004A59B1">
              <w:rPr>
                <w:color w:val="000000"/>
                <w:lang w:val="es-ES"/>
              </w:rPr>
              <w:t>DEX (6 mg/m</w:t>
            </w:r>
            <w:r w:rsidRPr="004A59B1">
              <w:rPr>
                <w:color w:val="000000"/>
                <w:vertAlign w:val="superscript"/>
                <w:lang w:val="es-ES"/>
              </w:rPr>
              <w:t>2</w:t>
            </w:r>
            <w:r w:rsidRPr="004A59B1">
              <w:rPr>
                <w:color w:val="000000"/>
                <w:lang w:val="es-ES"/>
              </w:rPr>
              <w:t>/dan, peroralno): 1.</w:t>
            </w:r>
            <w:r w:rsidRPr="004A59B1">
              <w:rPr>
                <w:color w:val="000000"/>
                <w:lang w:val="es-ES"/>
              </w:rPr>
              <w:noBreakHyphen/>
              <w:t>5. dan in 29.</w:t>
            </w:r>
            <w:r w:rsidRPr="004A59B1">
              <w:rPr>
                <w:color w:val="000000"/>
                <w:lang w:val="es-ES"/>
              </w:rPr>
              <w:noBreakHyphen/>
              <w:t>33. dan</w:t>
            </w:r>
          </w:p>
          <w:p w14:paraId="52979B02" w14:textId="77777777" w:rsidR="00275074" w:rsidRPr="004A59B1" w:rsidRDefault="00275074" w:rsidP="009C1193">
            <w:pPr>
              <w:pStyle w:val="EndnoteText"/>
              <w:widowControl w:val="0"/>
              <w:rPr>
                <w:color w:val="000000"/>
                <w:lang w:val="es-ES"/>
              </w:rPr>
            </w:pPr>
            <w:r w:rsidRPr="004A59B1">
              <w:rPr>
                <w:color w:val="000000"/>
                <w:lang w:val="es-ES"/>
              </w:rPr>
              <w:t>6-MP (75 mg/m</w:t>
            </w:r>
            <w:r w:rsidRPr="004A59B1">
              <w:rPr>
                <w:color w:val="000000"/>
                <w:vertAlign w:val="superscript"/>
                <w:lang w:val="es-ES"/>
              </w:rPr>
              <w:t>2</w:t>
            </w:r>
            <w:r w:rsidRPr="004A59B1">
              <w:rPr>
                <w:color w:val="000000"/>
                <w:lang w:val="es-ES"/>
              </w:rPr>
              <w:t>/da</w:t>
            </w:r>
            <w:r w:rsidR="00820E0C" w:rsidRPr="004A59B1">
              <w:rPr>
                <w:color w:val="000000"/>
                <w:lang w:val="es-ES"/>
              </w:rPr>
              <w:t>n</w:t>
            </w:r>
            <w:r w:rsidRPr="004A59B1">
              <w:rPr>
                <w:color w:val="000000"/>
                <w:lang w:val="es-ES"/>
              </w:rPr>
              <w:t xml:space="preserve">, </w:t>
            </w:r>
            <w:r w:rsidR="00820E0C" w:rsidRPr="004A59B1">
              <w:rPr>
                <w:color w:val="000000"/>
                <w:lang w:val="es-ES"/>
              </w:rPr>
              <w:t>peroralno</w:t>
            </w:r>
            <w:r w:rsidRPr="004A59B1">
              <w:rPr>
                <w:color w:val="000000"/>
                <w:lang w:val="es-ES"/>
              </w:rPr>
              <w:t>): 11</w:t>
            </w:r>
            <w:r w:rsidR="00820E0C" w:rsidRPr="004A59B1">
              <w:rPr>
                <w:color w:val="000000"/>
                <w:lang w:val="es-ES"/>
              </w:rPr>
              <w:t>.</w:t>
            </w:r>
            <w:r w:rsidRPr="004A59B1">
              <w:rPr>
                <w:color w:val="000000"/>
                <w:lang w:val="es-ES"/>
              </w:rPr>
              <w:noBreakHyphen/>
              <w:t>56</w:t>
            </w:r>
            <w:r w:rsidR="00820E0C" w:rsidRPr="004A59B1">
              <w:rPr>
                <w:color w:val="000000"/>
                <w:lang w:val="es-ES"/>
              </w:rPr>
              <w:t>. dan</w:t>
            </w:r>
            <w:r w:rsidRPr="004A59B1">
              <w:rPr>
                <w:color w:val="000000"/>
                <w:lang w:val="es-ES"/>
              </w:rPr>
              <w:t xml:space="preserve"> (</w:t>
            </w:r>
            <w:r w:rsidR="00E3070E" w:rsidRPr="004A59B1">
              <w:rPr>
                <w:color w:val="000000"/>
                <w:lang w:val="es-ES"/>
              </w:rPr>
              <w:t xml:space="preserve">prekiniti </w:t>
            </w:r>
            <w:r w:rsidRPr="004A59B1">
              <w:rPr>
                <w:color w:val="000000"/>
                <w:lang w:val="es-ES"/>
              </w:rPr>
              <w:t xml:space="preserve">6-MP </w:t>
            </w:r>
            <w:r w:rsidR="00E3070E" w:rsidRPr="004A59B1">
              <w:rPr>
                <w:color w:val="000000"/>
                <w:lang w:val="es-ES"/>
              </w:rPr>
              <w:t xml:space="preserve">na </w:t>
            </w:r>
            <w:r w:rsidRPr="004A59B1">
              <w:rPr>
                <w:color w:val="000000"/>
                <w:lang w:val="es-ES"/>
              </w:rPr>
              <w:t>6</w:t>
            </w:r>
            <w:r w:rsidR="00E3070E" w:rsidRPr="004A59B1">
              <w:rPr>
                <w:color w:val="000000"/>
                <w:lang w:val="es-ES"/>
              </w:rPr>
              <w:t>.</w:t>
            </w:r>
            <w:r w:rsidRPr="004A59B1">
              <w:rPr>
                <w:color w:val="000000"/>
                <w:lang w:val="es-ES"/>
              </w:rPr>
              <w:noBreakHyphen/>
              <w:t>10</w:t>
            </w:r>
            <w:r w:rsidR="00E3070E" w:rsidRPr="004A59B1">
              <w:rPr>
                <w:color w:val="000000"/>
                <w:lang w:val="es-ES"/>
              </w:rPr>
              <w:t>.</w:t>
            </w:r>
            <w:r w:rsidRPr="004A59B1">
              <w:rPr>
                <w:color w:val="000000"/>
                <w:lang w:val="es-ES"/>
              </w:rPr>
              <w:t> da</w:t>
            </w:r>
            <w:r w:rsidR="00E3070E" w:rsidRPr="004A59B1">
              <w:rPr>
                <w:color w:val="000000"/>
                <w:lang w:val="es-ES"/>
              </w:rPr>
              <w:t>n</w:t>
            </w:r>
            <w:r w:rsidRPr="004A59B1">
              <w:rPr>
                <w:color w:val="000000"/>
                <w:lang w:val="es-ES"/>
              </w:rPr>
              <w:t xml:space="preserve"> </w:t>
            </w:r>
            <w:r w:rsidR="00E3070E" w:rsidRPr="004A59B1">
              <w:rPr>
                <w:color w:val="000000"/>
                <w:lang w:val="es-ES"/>
              </w:rPr>
              <w:t xml:space="preserve">obsevanja glave z začetkom štetja na 1. dan 5. ciklusa; ponovno začeti </w:t>
            </w:r>
            <w:r w:rsidRPr="004A59B1">
              <w:rPr>
                <w:color w:val="000000"/>
                <w:lang w:val="es-ES"/>
              </w:rPr>
              <w:t xml:space="preserve">6-MP </w:t>
            </w:r>
            <w:r w:rsidR="00E3070E" w:rsidRPr="004A59B1">
              <w:rPr>
                <w:color w:val="000000"/>
                <w:lang w:val="es-ES"/>
              </w:rPr>
              <w:t>na 1. dan po zaključenem obsevanju glave</w:t>
            </w:r>
            <w:r w:rsidRPr="004A59B1">
              <w:rPr>
                <w:color w:val="000000"/>
                <w:lang w:val="es-ES"/>
              </w:rPr>
              <w:t>.)</w:t>
            </w:r>
          </w:p>
          <w:p w14:paraId="52979B03" w14:textId="77777777" w:rsidR="00275074" w:rsidRPr="003F2EE1" w:rsidRDefault="004B1160" w:rsidP="009C1193">
            <w:pPr>
              <w:pStyle w:val="EndnoteText"/>
              <w:widowControl w:val="0"/>
              <w:rPr>
                <w:color w:val="000000"/>
                <w:lang w:val="de-CH"/>
              </w:rPr>
            </w:pPr>
            <w:r w:rsidRPr="003F2EE1">
              <w:rPr>
                <w:color w:val="000000"/>
                <w:lang w:val="de-CH"/>
              </w:rPr>
              <w:t>metotreksat (20 mg/m</w:t>
            </w:r>
            <w:r w:rsidRPr="003F2EE1">
              <w:rPr>
                <w:color w:val="000000"/>
                <w:vertAlign w:val="superscript"/>
                <w:lang w:val="de-CH"/>
              </w:rPr>
              <w:t>2</w:t>
            </w:r>
            <w:r w:rsidRPr="003F2EE1">
              <w:rPr>
                <w:color w:val="000000"/>
                <w:lang w:val="de-CH"/>
              </w:rPr>
              <w:t>/teden, peroralno):</w:t>
            </w:r>
            <w:r w:rsidR="002C6C4C" w:rsidRPr="003F2EE1">
              <w:rPr>
                <w:color w:val="000000"/>
                <w:lang w:val="de-CH"/>
              </w:rPr>
              <w:t xml:space="preserve"> </w:t>
            </w:r>
            <w:r w:rsidRPr="003F2EE1">
              <w:rPr>
                <w:color w:val="000000"/>
                <w:lang w:val="de-CH"/>
              </w:rPr>
              <w:t>8., 15., 22., 29., 36., 43. in 50. dan</w:t>
            </w:r>
          </w:p>
        </w:tc>
      </w:tr>
      <w:tr w:rsidR="00CE28EE" w:rsidRPr="003B6568" w14:paraId="52979B0C" w14:textId="77777777" w:rsidTr="008F282C">
        <w:trPr>
          <w:cantSplit/>
        </w:trPr>
        <w:tc>
          <w:tcPr>
            <w:tcW w:w="2358" w:type="dxa"/>
            <w:shd w:val="clear" w:color="auto" w:fill="auto"/>
          </w:tcPr>
          <w:p w14:paraId="52979B05" w14:textId="77777777" w:rsidR="002C6C4C" w:rsidRPr="003F2EE1" w:rsidRDefault="002C6C4C" w:rsidP="009C1193">
            <w:pPr>
              <w:pStyle w:val="EndnoteText"/>
              <w:keepNext/>
              <w:keepLines/>
              <w:widowControl w:val="0"/>
              <w:rPr>
                <w:color w:val="000000"/>
                <w:lang w:val="de-CH"/>
              </w:rPr>
            </w:pPr>
            <w:r w:rsidRPr="003F2EE1">
              <w:rPr>
                <w:color w:val="000000"/>
                <w:lang w:val="de-CH"/>
              </w:rPr>
              <w:t>vzdrževalno zdravljenje</w:t>
            </w:r>
          </w:p>
          <w:p w14:paraId="52979B06" w14:textId="77777777" w:rsidR="002C6C4C" w:rsidRPr="003F2EE1" w:rsidRDefault="002C6C4C" w:rsidP="009C1193">
            <w:pPr>
              <w:pStyle w:val="EndnoteText"/>
              <w:keepNext/>
              <w:keepLines/>
              <w:widowControl w:val="0"/>
              <w:rPr>
                <w:color w:val="000000"/>
                <w:lang w:val="de-CH"/>
              </w:rPr>
            </w:pPr>
            <w:r w:rsidRPr="003F2EE1">
              <w:rPr>
                <w:color w:val="000000"/>
                <w:lang w:val="de-CH"/>
              </w:rPr>
              <w:t>(8-tedenski ciklusi)</w:t>
            </w:r>
          </w:p>
          <w:p w14:paraId="52979B07" w14:textId="77777777" w:rsidR="00275074" w:rsidRPr="003F2EE1" w:rsidRDefault="002C6C4C" w:rsidP="009C1193">
            <w:pPr>
              <w:pStyle w:val="EndnoteText"/>
              <w:keepNext/>
              <w:keepLines/>
              <w:widowControl w:val="0"/>
              <w:rPr>
                <w:color w:val="000000"/>
                <w:lang w:val="de-CH"/>
              </w:rPr>
            </w:pPr>
            <w:r w:rsidRPr="003F2EE1">
              <w:rPr>
                <w:color w:val="000000"/>
                <w:lang w:val="de-CH"/>
              </w:rPr>
              <w:t>6.</w:t>
            </w:r>
            <w:r w:rsidRPr="003F2EE1">
              <w:rPr>
                <w:color w:val="000000"/>
                <w:lang w:val="de-CH"/>
              </w:rPr>
              <w:noBreakHyphen/>
              <w:t xml:space="preserve">12. ciklus </w:t>
            </w:r>
          </w:p>
        </w:tc>
        <w:tc>
          <w:tcPr>
            <w:tcW w:w="6929" w:type="dxa"/>
            <w:shd w:val="clear" w:color="auto" w:fill="auto"/>
          </w:tcPr>
          <w:p w14:paraId="52979B08" w14:textId="77777777" w:rsidR="002C6C4C" w:rsidRPr="004A59B1" w:rsidRDefault="002C6C4C" w:rsidP="009C1193">
            <w:pPr>
              <w:pStyle w:val="EndnoteText"/>
              <w:keepNext/>
              <w:keepLines/>
              <w:widowControl w:val="0"/>
              <w:rPr>
                <w:color w:val="000000"/>
                <w:lang w:val="es-ES"/>
              </w:rPr>
            </w:pPr>
            <w:r w:rsidRPr="004A59B1">
              <w:rPr>
                <w:color w:val="000000"/>
                <w:lang w:val="es-ES"/>
              </w:rPr>
              <w:t>VCR (1,5 mg/m</w:t>
            </w:r>
            <w:r w:rsidRPr="004A59B1">
              <w:rPr>
                <w:color w:val="000000"/>
                <w:vertAlign w:val="superscript"/>
                <w:lang w:val="es-ES"/>
              </w:rPr>
              <w:t>2</w:t>
            </w:r>
            <w:r w:rsidRPr="004A59B1">
              <w:rPr>
                <w:color w:val="000000"/>
                <w:lang w:val="es-ES"/>
              </w:rPr>
              <w:t>/dan, i.v.): 1. in 29. dan</w:t>
            </w:r>
          </w:p>
          <w:p w14:paraId="52979B09" w14:textId="77777777" w:rsidR="002C6C4C" w:rsidRPr="004A59B1" w:rsidRDefault="002C6C4C" w:rsidP="009C1193">
            <w:pPr>
              <w:pStyle w:val="EndnoteText"/>
              <w:keepNext/>
              <w:keepLines/>
              <w:widowControl w:val="0"/>
              <w:rPr>
                <w:color w:val="000000"/>
                <w:lang w:val="es-ES"/>
              </w:rPr>
            </w:pPr>
            <w:r w:rsidRPr="004A59B1">
              <w:rPr>
                <w:color w:val="000000"/>
                <w:lang w:val="es-ES"/>
              </w:rPr>
              <w:t>DEX (6 mg/m</w:t>
            </w:r>
            <w:r w:rsidRPr="004A59B1">
              <w:rPr>
                <w:color w:val="000000"/>
                <w:vertAlign w:val="superscript"/>
                <w:lang w:val="es-ES"/>
              </w:rPr>
              <w:t>2</w:t>
            </w:r>
            <w:r w:rsidRPr="004A59B1">
              <w:rPr>
                <w:color w:val="000000"/>
                <w:lang w:val="es-ES"/>
              </w:rPr>
              <w:t>/dan, peroralno): 1.</w:t>
            </w:r>
            <w:r w:rsidRPr="004A59B1">
              <w:rPr>
                <w:color w:val="000000"/>
                <w:lang w:val="es-ES"/>
              </w:rPr>
              <w:noBreakHyphen/>
              <w:t>5. dan in 29.</w:t>
            </w:r>
            <w:r w:rsidRPr="004A59B1">
              <w:rPr>
                <w:color w:val="000000"/>
                <w:lang w:val="es-ES"/>
              </w:rPr>
              <w:noBreakHyphen/>
              <w:t>33. dan</w:t>
            </w:r>
          </w:p>
          <w:p w14:paraId="52979B0A" w14:textId="77777777" w:rsidR="002C6C4C" w:rsidRPr="004A59B1" w:rsidRDefault="002C6C4C" w:rsidP="009C1193">
            <w:pPr>
              <w:pStyle w:val="EndnoteText"/>
              <w:keepNext/>
              <w:keepLines/>
              <w:widowControl w:val="0"/>
              <w:rPr>
                <w:color w:val="000000"/>
                <w:lang w:val="es-ES"/>
              </w:rPr>
            </w:pPr>
            <w:r w:rsidRPr="004A59B1">
              <w:rPr>
                <w:color w:val="000000"/>
                <w:lang w:val="es-ES"/>
              </w:rPr>
              <w:t>6-MP (75 mg/m</w:t>
            </w:r>
            <w:r w:rsidRPr="004A59B1">
              <w:rPr>
                <w:color w:val="000000"/>
                <w:vertAlign w:val="superscript"/>
                <w:lang w:val="es-ES"/>
              </w:rPr>
              <w:t>2</w:t>
            </w:r>
            <w:r w:rsidRPr="004A59B1">
              <w:rPr>
                <w:color w:val="000000"/>
                <w:lang w:val="es-ES"/>
              </w:rPr>
              <w:t>/dan, peroralno</w:t>
            </w:r>
            <w:r w:rsidR="007D70C5" w:rsidRPr="004A59B1">
              <w:rPr>
                <w:color w:val="000000"/>
                <w:lang w:val="es-ES"/>
              </w:rPr>
              <w:t>)</w:t>
            </w:r>
            <w:r w:rsidRPr="004A59B1">
              <w:rPr>
                <w:color w:val="000000"/>
                <w:lang w:val="es-ES"/>
              </w:rPr>
              <w:t>: 1.-5</w:t>
            </w:r>
            <w:r w:rsidR="00C04078" w:rsidRPr="004A59B1">
              <w:rPr>
                <w:color w:val="000000"/>
                <w:lang w:val="es-ES"/>
              </w:rPr>
              <w:t>6</w:t>
            </w:r>
            <w:r w:rsidRPr="004A59B1">
              <w:rPr>
                <w:color w:val="000000"/>
                <w:lang w:val="es-ES"/>
              </w:rPr>
              <w:t>. dan</w:t>
            </w:r>
          </w:p>
          <w:p w14:paraId="52979B0B" w14:textId="77777777" w:rsidR="00275074" w:rsidRPr="004A59B1" w:rsidRDefault="002C6C4C" w:rsidP="009C1193">
            <w:pPr>
              <w:pStyle w:val="EndnoteText"/>
              <w:keepNext/>
              <w:keepLines/>
              <w:widowControl w:val="0"/>
              <w:rPr>
                <w:color w:val="000000"/>
                <w:lang w:val="de-DE"/>
              </w:rPr>
            </w:pPr>
            <w:r w:rsidRPr="004A59B1">
              <w:rPr>
                <w:color w:val="000000"/>
                <w:lang w:val="de-DE"/>
              </w:rPr>
              <w:t>metotreksat (20 mg/m</w:t>
            </w:r>
            <w:r w:rsidRPr="004A59B1">
              <w:rPr>
                <w:color w:val="000000"/>
                <w:vertAlign w:val="superscript"/>
                <w:lang w:val="de-DE"/>
              </w:rPr>
              <w:t>2</w:t>
            </w:r>
            <w:r w:rsidRPr="004A59B1">
              <w:rPr>
                <w:color w:val="000000"/>
                <w:lang w:val="de-DE"/>
              </w:rPr>
              <w:t>/teden, peroralno): 1., 8., 15., 22., 29., 36., 43. in 50. dan</w:t>
            </w:r>
          </w:p>
        </w:tc>
      </w:tr>
    </w:tbl>
    <w:p w14:paraId="52979B0D" w14:textId="77777777" w:rsidR="00275074" w:rsidRPr="004A59B1" w:rsidRDefault="00275074" w:rsidP="009C1193">
      <w:pPr>
        <w:pStyle w:val="EndnoteText"/>
        <w:keepNext/>
        <w:keepLines/>
        <w:widowControl w:val="0"/>
        <w:rPr>
          <w:color w:val="000000"/>
          <w:szCs w:val="22"/>
          <w:lang w:val="de-DE"/>
        </w:rPr>
      </w:pPr>
      <w:r w:rsidRPr="004A59B1">
        <w:rPr>
          <w:color w:val="000000"/>
          <w:szCs w:val="22"/>
          <w:lang w:val="de-DE"/>
        </w:rPr>
        <w:t xml:space="preserve">G-CSF = </w:t>
      </w:r>
      <w:r w:rsidR="00AC5324" w:rsidRPr="004A59B1">
        <w:rPr>
          <w:color w:val="000000"/>
          <w:szCs w:val="22"/>
          <w:lang w:val="de-DE"/>
        </w:rPr>
        <w:t>rastni dejavnik za granulocite (</w:t>
      </w:r>
      <w:r w:rsidRPr="00304E94">
        <w:rPr>
          <w:i/>
          <w:color w:val="000000"/>
          <w:szCs w:val="22"/>
          <w:lang w:val="de-DE"/>
        </w:rPr>
        <w:t>granulocyte colony stimulating factor</w:t>
      </w:r>
      <w:r w:rsidR="00AC5324" w:rsidRPr="004A59B1">
        <w:rPr>
          <w:color w:val="000000"/>
          <w:szCs w:val="22"/>
          <w:lang w:val="de-DE"/>
        </w:rPr>
        <w:t>)</w:t>
      </w:r>
      <w:r w:rsidRPr="004A59B1">
        <w:rPr>
          <w:color w:val="000000"/>
          <w:szCs w:val="22"/>
          <w:lang w:val="de-DE"/>
        </w:rPr>
        <w:t>, VP-16 = etopo</w:t>
      </w:r>
      <w:r w:rsidR="00AC5324" w:rsidRPr="004A59B1">
        <w:rPr>
          <w:color w:val="000000"/>
          <w:szCs w:val="22"/>
          <w:lang w:val="de-DE"/>
        </w:rPr>
        <w:t>zid, MTX = met</w:t>
      </w:r>
      <w:r w:rsidRPr="004A59B1">
        <w:rPr>
          <w:color w:val="000000"/>
          <w:szCs w:val="22"/>
          <w:lang w:val="de-DE"/>
        </w:rPr>
        <w:t>otre</w:t>
      </w:r>
      <w:r w:rsidR="00AC5324" w:rsidRPr="004A59B1">
        <w:rPr>
          <w:color w:val="000000"/>
          <w:szCs w:val="22"/>
          <w:lang w:val="de-DE"/>
        </w:rPr>
        <w:t>ks</w:t>
      </w:r>
      <w:r w:rsidRPr="004A59B1">
        <w:rPr>
          <w:color w:val="000000"/>
          <w:szCs w:val="22"/>
          <w:lang w:val="de-DE"/>
        </w:rPr>
        <w:t xml:space="preserve">at, </w:t>
      </w:r>
      <w:r w:rsidR="00AC5324" w:rsidRPr="004A59B1">
        <w:rPr>
          <w:color w:val="000000"/>
          <w:szCs w:val="22"/>
          <w:lang w:val="de-DE"/>
        </w:rPr>
        <w:t>i.v.</w:t>
      </w:r>
      <w:r w:rsidRPr="004A59B1">
        <w:rPr>
          <w:color w:val="000000"/>
          <w:szCs w:val="22"/>
          <w:lang w:val="de-DE"/>
        </w:rPr>
        <w:t xml:space="preserve"> = intraven</w:t>
      </w:r>
      <w:r w:rsidR="00AC5324" w:rsidRPr="004A59B1">
        <w:rPr>
          <w:color w:val="000000"/>
          <w:szCs w:val="22"/>
          <w:lang w:val="de-DE"/>
        </w:rPr>
        <w:t>sko</w:t>
      </w:r>
      <w:r w:rsidRPr="004A59B1">
        <w:rPr>
          <w:color w:val="000000"/>
          <w:szCs w:val="22"/>
          <w:lang w:val="de-DE"/>
        </w:rPr>
        <w:t xml:space="preserve">, </w:t>
      </w:r>
      <w:r w:rsidR="00AC5324" w:rsidRPr="004A59B1">
        <w:rPr>
          <w:color w:val="000000"/>
          <w:szCs w:val="22"/>
          <w:lang w:val="de-DE"/>
        </w:rPr>
        <w:t>s.c.</w:t>
      </w:r>
      <w:r w:rsidRPr="004A59B1">
        <w:rPr>
          <w:color w:val="000000"/>
          <w:szCs w:val="22"/>
          <w:lang w:val="de-DE"/>
        </w:rPr>
        <w:t xml:space="preserve"> = sub</w:t>
      </w:r>
      <w:r w:rsidR="00AC5324" w:rsidRPr="004A59B1">
        <w:rPr>
          <w:color w:val="000000"/>
          <w:szCs w:val="22"/>
          <w:lang w:val="de-DE"/>
        </w:rPr>
        <w:t>kutano</w:t>
      </w:r>
      <w:r w:rsidRPr="004A59B1">
        <w:rPr>
          <w:color w:val="000000"/>
          <w:szCs w:val="22"/>
          <w:lang w:val="de-DE"/>
        </w:rPr>
        <w:t>,</w:t>
      </w:r>
      <w:r w:rsidR="00AC5324" w:rsidRPr="004A59B1">
        <w:rPr>
          <w:color w:val="000000"/>
          <w:szCs w:val="22"/>
          <w:lang w:val="de-DE"/>
        </w:rPr>
        <w:t xml:space="preserve"> i.t.</w:t>
      </w:r>
      <w:r w:rsidRPr="004A59B1">
        <w:rPr>
          <w:color w:val="000000"/>
          <w:szCs w:val="22"/>
          <w:lang w:val="de-DE"/>
        </w:rPr>
        <w:t xml:space="preserve"> = intra</w:t>
      </w:r>
      <w:r w:rsidR="00AC5324" w:rsidRPr="004A59B1">
        <w:rPr>
          <w:color w:val="000000"/>
          <w:szCs w:val="22"/>
          <w:lang w:val="de-DE"/>
        </w:rPr>
        <w:t>tekalno</w:t>
      </w:r>
      <w:r w:rsidRPr="004A59B1">
        <w:rPr>
          <w:color w:val="000000"/>
          <w:szCs w:val="22"/>
          <w:lang w:val="de-DE"/>
        </w:rPr>
        <w:t xml:space="preserve">, </w:t>
      </w:r>
      <w:r w:rsidR="00AC5324" w:rsidRPr="004A59B1">
        <w:rPr>
          <w:color w:val="000000"/>
          <w:szCs w:val="22"/>
          <w:lang w:val="de-DE"/>
        </w:rPr>
        <w:t>i.m.</w:t>
      </w:r>
      <w:r w:rsidRPr="004A59B1">
        <w:rPr>
          <w:color w:val="000000"/>
          <w:szCs w:val="22"/>
          <w:lang w:val="de-DE"/>
        </w:rPr>
        <w:t xml:space="preserve"> = intramus</w:t>
      </w:r>
      <w:r w:rsidR="00AC5324" w:rsidRPr="004A59B1">
        <w:rPr>
          <w:color w:val="000000"/>
          <w:szCs w:val="22"/>
          <w:lang w:val="de-DE"/>
        </w:rPr>
        <w:t>kularno, ARA-C = cit</w:t>
      </w:r>
      <w:r w:rsidRPr="004A59B1">
        <w:rPr>
          <w:color w:val="000000"/>
          <w:szCs w:val="22"/>
          <w:lang w:val="de-DE"/>
        </w:rPr>
        <w:t>arabin, CPM = c</w:t>
      </w:r>
      <w:r w:rsidR="00AC5324" w:rsidRPr="004A59B1">
        <w:rPr>
          <w:color w:val="000000"/>
          <w:szCs w:val="22"/>
          <w:lang w:val="de-DE"/>
        </w:rPr>
        <w:t>iklofosfamid</w:t>
      </w:r>
      <w:r w:rsidRPr="004A59B1">
        <w:rPr>
          <w:color w:val="000000"/>
          <w:szCs w:val="22"/>
          <w:lang w:val="de-DE"/>
        </w:rPr>
        <w:t>, VCR = vin</w:t>
      </w:r>
      <w:r w:rsidR="00AC5324" w:rsidRPr="004A59B1">
        <w:rPr>
          <w:color w:val="000000"/>
          <w:szCs w:val="22"/>
          <w:lang w:val="de-DE"/>
        </w:rPr>
        <w:t>kristin</w:t>
      </w:r>
      <w:r w:rsidRPr="004A59B1">
        <w:rPr>
          <w:color w:val="000000"/>
          <w:szCs w:val="22"/>
          <w:lang w:val="de-DE"/>
        </w:rPr>
        <w:t>, DEX = de</w:t>
      </w:r>
      <w:r w:rsidR="00AC5324" w:rsidRPr="004A59B1">
        <w:rPr>
          <w:color w:val="000000"/>
          <w:szCs w:val="22"/>
          <w:lang w:val="de-DE"/>
        </w:rPr>
        <w:t>ks</w:t>
      </w:r>
      <w:r w:rsidRPr="004A59B1">
        <w:rPr>
          <w:color w:val="000000"/>
          <w:szCs w:val="22"/>
          <w:lang w:val="de-DE"/>
        </w:rPr>
        <w:t>ameta</w:t>
      </w:r>
      <w:r w:rsidR="00AC5324" w:rsidRPr="004A59B1">
        <w:rPr>
          <w:color w:val="000000"/>
          <w:szCs w:val="22"/>
          <w:lang w:val="de-DE"/>
        </w:rPr>
        <w:t>zon</w:t>
      </w:r>
      <w:r w:rsidRPr="004A59B1">
        <w:rPr>
          <w:color w:val="000000"/>
          <w:szCs w:val="22"/>
          <w:lang w:val="de-DE"/>
        </w:rPr>
        <w:t>, DAUN = daunorubicin, 6-MP = 6-mer</w:t>
      </w:r>
      <w:r w:rsidR="00AC5324" w:rsidRPr="004A59B1">
        <w:rPr>
          <w:color w:val="000000"/>
          <w:szCs w:val="22"/>
          <w:lang w:val="de-DE"/>
        </w:rPr>
        <w:t>k</w:t>
      </w:r>
      <w:r w:rsidRPr="004A59B1">
        <w:rPr>
          <w:color w:val="000000"/>
          <w:szCs w:val="22"/>
          <w:lang w:val="de-DE"/>
        </w:rPr>
        <w:t>aptopurin, E.Coli L-ASP = L-asparagina</w:t>
      </w:r>
      <w:r w:rsidR="00AC5324" w:rsidRPr="004A59B1">
        <w:rPr>
          <w:color w:val="000000"/>
          <w:szCs w:val="22"/>
          <w:lang w:val="de-DE"/>
        </w:rPr>
        <w:t>za</w:t>
      </w:r>
      <w:r w:rsidRPr="004A59B1">
        <w:rPr>
          <w:color w:val="000000"/>
          <w:szCs w:val="22"/>
          <w:lang w:val="de-DE"/>
        </w:rPr>
        <w:t>, PEG-ASP = PEG asparagina</w:t>
      </w:r>
      <w:r w:rsidR="00AC5324" w:rsidRPr="004A59B1">
        <w:rPr>
          <w:color w:val="000000"/>
          <w:szCs w:val="22"/>
          <w:lang w:val="de-DE"/>
        </w:rPr>
        <w:t>za</w:t>
      </w:r>
      <w:r w:rsidRPr="004A59B1">
        <w:rPr>
          <w:color w:val="000000"/>
          <w:szCs w:val="22"/>
          <w:lang w:val="de-DE"/>
        </w:rPr>
        <w:t xml:space="preserve">, MESNA= </w:t>
      </w:r>
      <w:r w:rsidR="00B75CD2" w:rsidRPr="004A59B1">
        <w:rPr>
          <w:color w:val="000000"/>
          <w:szCs w:val="22"/>
          <w:lang w:val="de-DE"/>
        </w:rPr>
        <w:t>natrijev 2-merkaptoetan sulfonat</w:t>
      </w:r>
      <w:r w:rsidR="00AC5324" w:rsidRPr="004A59B1">
        <w:rPr>
          <w:color w:val="000000"/>
          <w:szCs w:val="22"/>
          <w:lang w:val="de-DE"/>
        </w:rPr>
        <w:t>,</w:t>
      </w:r>
      <w:r w:rsidRPr="004A59B1">
        <w:rPr>
          <w:color w:val="000000"/>
          <w:szCs w:val="22"/>
          <w:lang w:val="de-DE"/>
        </w:rPr>
        <w:t xml:space="preserve"> iii= </w:t>
      </w:r>
      <w:r w:rsidR="00AC5324" w:rsidRPr="004A59B1">
        <w:rPr>
          <w:color w:val="000000"/>
          <w:szCs w:val="22"/>
          <w:lang w:val="de-DE"/>
        </w:rPr>
        <w:t xml:space="preserve">oziroma dokler koncentracija </w:t>
      </w:r>
      <w:r w:rsidRPr="004A59B1">
        <w:rPr>
          <w:color w:val="000000"/>
          <w:szCs w:val="22"/>
          <w:lang w:val="de-DE"/>
        </w:rPr>
        <w:t xml:space="preserve">MTX </w:t>
      </w:r>
      <w:r w:rsidR="00260530" w:rsidRPr="004A59B1">
        <w:rPr>
          <w:color w:val="000000"/>
          <w:szCs w:val="22"/>
          <w:lang w:val="de-DE"/>
        </w:rPr>
        <w:t xml:space="preserve">ni </w:t>
      </w:r>
      <w:r w:rsidRPr="004A59B1">
        <w:rPr>
          <w:color w:val="000000"/>
          <w:szCs w:val="22"/>
          <w:lang w:val="de-DE"/>
        </w:rPr>
        <w:t>&lt; 0</w:t>
      </w:r>
      <w:r w:rsidR="00260530" w:rsidRPr="004A59B1">
        <w:rPr>
          <w:color w:val="000000"/>
          <w:szCs w:val="22"/>
          <w:lang w:val="de-DE"/>
        </w:rPr>
        <w:t>,</w:t>
      </w:r>
      <w:r w:rsidRPr="004A59B1">
        <w:rPr>
          <w:color w:val="000000"/>
          <w:szCs w:val="22"/>
          <w:lang w:val="de-DE"/>
        </w:rPr>
        <w:t>1 µ</w:t>
      </w:r>
      <w:r w:rsidR="00D10F98" w:rsidRPr="004A59B1">
        <w:rPr>
          <w:color w:val="000000"/>
          <w:szCs w:val="22"/>
          <w:lang w:val="de-DE"/>
        </w:rPr>
        <w:t>M</w:t>
      </w:r>
      <w:r w:rsidRPr="004A59B1">
        <w:rPr>
          <w:color w:val="000000"/>
          <w:szCs w:val="22"/>
          <w:lang w:val="de-DE"/>
        </w:rPr>
        <w:t>, Gy= Gray</w:t>
      </w:r>
    </w:p>
    <w:p w14:paraId="52979B0E" w14:textId="77777777" w:rsidR="00275074" w:rsidRPr="004A59B1" w:rsidRDefault="00275074" w:rsidP="009C1193">
      <w:pPr>
        <w:pStyle w:val="EndnoteText"/>
        <w:widowControl w:val="0"/>
        <w:jc w:val="both"/>
        <w:rPr>
          <w:color w:val="000000"/>
          <w:sz w:val="20"/>
          <w:lang w:val="de-DE"/>
        </w:rPr>
      </w:pPr>
    </w:p>
    <w:p w14:paraId="52979B0F" w14:textId="77777777" w:rsidR="00275074" w:rsidRPr="009564D9" w:rsidRDefault="00FD7FD6" w:rsidP="009C1193">
      <w:pPr>
        <w:pStyle w:val="EndnoteText"/>
        <w:widowControl w:val="0"/>
        <w:rPr>
          <w:color w:val="000000"/>
          <w:lang w:val="de-DE"/>
        </w:rPr>
      </w:pPr>
      <w:r w:rsidRPr="009564D9">
        <w:rPr>
          <w:color w:val="000000"/>
          <w:szCs w:val="22"/>
          <w:lang w:val="de-DE"/>
        </w:rPr>
        <w:t xml:space="preserve">Študija </w:t>
      </w:r>
      <w:r w:rsidR="00275074" w:rsidRPr="009564D9">
        <w:rPr>
          <w:color w:val="000000"/>
          <w:szCs w:val="22"/>
          <w:lang w:val="de-DE"/>
        </w:rPr>
        <w:t xml:space="preserve">AIT07 </w:t>
      </w:r>
      <w:r w:rsidRPr="009564D9">
        <w:rPr>
          <w:color w:val="000000"/>
          <w:szCs w:val="22"/>
          <w:lang w:val="de-DE"/>
        </w:rPr>
        <w:t xml:space="preserve">je bila multicentrična, odprta, randomizirana študija faze </w:t>
      </w:r>
      <w:r w:rsidR="00275074" w:rsidRPr="009564D9">
        <w:rPr>
          <w:color w:val="000000"/>
          <w:szCs w:val="22"/>
          <w:lang w:val="de-DE"/>
        </w:rPr>
        <w:t>II/III</w:t>
      </w:r>
      <w:r w:rsidRPr="009564D9">
        <w:rPr>
          <w:color w:val="000000"/>
          <w:szCs w:val="22"/>
          <w:lang w:val="de-DE"/>
        </w:rPr>
        <w:t xml:space="preserve">, v katero so vključili </w:t>
      </w:r>
      <w:r w:rsidR="00275074" w:rsidRPr="009564D9">
        <w:rPr>
          <w:color w:val="000000"/>
          <w:szCs w:val="22"/>
          <w:lang w:val="de-DE"/>
        </w:rPr>
        <w:t>128 </w:t>
      </w:r>
      <w:r w:rsidRPr="009564D9">
        <w:rPr>
          <w:color w:val="000000"/>
          <w:szCs w:val="22"/>
          <w:lang w:val="de-DE"/>
        </w:rPr>
        <w:t>bolnikov</w:t>
      </w:r>
      <w:r w:rsidR="00275074" w:rsidRPr="009564D9">
        <w:rPr>
          <w:color w:val="000000"/>
          <w:szCs w:val="22"/>
          <w:lang w:val="de-DE"/>
        </w:rPr>
        <w:t xml:space="preserve"> (</w:t>
      </w:r>
      <w:r w:rsidRPr="009564D9">
        <w:rPr>
          <w:color w:val="000000"/>
          <w:szCs w:val="22"/>
          <w:lang w:val="de-DE"/>
        </w:rPr>
        <w:t xml:space="preserve">starih od </w:t>
      </w:r>
      <w:r w:rsidR="00275074" w:rsidRPr="009564D9">
        <w:rPr>
          <w:color w:val="000000"/>
          <w:szCs w:val="22"/>
          <w:lang w:val="de-DE"/>
        </w:rPr>
        <w:t xml:space="preserve">1 </w:t>
      </w:r>
      <w:r w:rsidRPr="009564D9">
        <w:rPr>
          <w:color w:val="000000"/>
          <w:szCs w:val="22"/>
          <w:lang w:val="de-DE"/>
        </w:rPr>
        <w:t>do</w:t>
      </w:r>
      <w:r w:rsidR="00275074" w:rsidRPr="009564D9">
        <w:rPr>
          <w:color w:val="000000"/>
          <w:szCs w:val="22"/>
          <w:lang w:val="de-DE"/>
        </w:rPr>
        <w:t xml:space="preserve"> </w:t>
      </w:r>
      <w:r w:rsidRPr="009564D9">
        <w:rPr>
          <w:color w:val="000000"/>
          <w:szCs w:val="22"/>
          <w:lang w:val="de-DE"/>
        </w:rPr>
        <w:t xml:space="preserve">manj kot </w:t>
      </w:r>
      <w:r w:rsidR="00275074" w:rsidRPr="009564D9">
        <w:rPr>
          <w:color w:val="000000"/>
          <w:szCs w:val="22"/>
          <w:lang w:val="de-DE"/>
        </w:rPr>
        <w:t>18 </w:t>
      </w:r>
      <w:r w:rsidRPr="009564D9">
        <w:rPr>
          <w:color w:val="000000"/>
          <w:szCs w:val="22"/>
          <w:lang w:val="de-DE"/>
        </w:rPr>
        <w:t>let</w:t>
      </w:r>
      <w:r w:rsidR="00275074" w:rsidRPr="009564D9">
        <w:rPr>
          <w:color w:val="000000"/>
          <w:szCs w:val="22"/>
          <w:lang w:val="de-DE"/>
        </w:rPr>
        <w:t xml:space="preserve">) </w:t>
      </w:r>
      <w:r w:rsidRPr="009564D9">
        <w:rPr>
          <w:color w:val="000000"/>
          <w:szCs w:val="22"/>
          <w:lang w:val="de-DE"/>
        </w:rPr>
        <w:t xml:space="preserve">in jih zdravili z </w:t>
      </w:r>
      <w:r w:rsidR="00275074" w:rsidRPr="009564D9">
        <w:rPr>
          <w:color w:val="000000"/>
          <w:szCs w:val="22"/>
          <w:lang w:val="de-DE"/>
        </w:rPr>
        <w:t>imatinib</w:t>
      </w:r>
      <w:r w:rsidRPr="009564D9">
        <w:rPr>
          <w:color w:val="000000"/>
          <w:szCs w:val="22"/>
          <w:lang w:val="de-DE"/>
        </w:rPr>
        <w:t>om v kombinaciji s kemoterapijo</w:t>
      </w:r>
      <w:r w:rsidR="00275074" w:rsidRPr="009564D9">
        <w:rPr>
          <w:color w:val="000000"/>
          <w:szCs w:val="22"/>
          <w:lang w:val="de-DE"/>
        </w:rPr>
        <w:t>.</w:t>
      </w:r>
      <w:r w:rsidR="00E37B98" w:rsidRPr="009564D9">
        <w:rPr>
          <w:color w:val="000000"/>
          <w:szCs w:val="22"/>
          <w:lang w:val="de-DE"/>
        </w:rPr>
        <w:t xml:space="preserve"> Kaže, da se p</w:t>
      </w:r>
      <w:r w:rsidRPr="009564D9">
        <w:rPr>
          <w:color w:val="000000"/>
          <w:szCs w:val="22"/>
          <w:lang w:val="de-DE"/>
        </w:rPr>
        <w:t xml:space="preserve">odatki o varnosti iz te študije </w:t>
      </w:r>
      <w:r w:rsidR="00E37B98" w:rsidRPr="009564D9">
        <w:rPr>
          <w:color w:val="000000"/>
          <w:szCs w:val="22"/>
          <w:lang w:val="de-DE"/>
        </w:rPr>
        <w:t>ujemajo z</w:t>
      </w:r>
      <w:r w:rsidRPr="009564D9">
        <w:rPr>
          <w:color w:val="000000"/>
          <w:szCs w:val="22"/>
          <w:lang w:val="de-DE"/>
        </w:rPr>
        <w:t xml:space="preserve"> varnostni</w:t>
      </w:r>
      <w:r w:rsidR="00E37B98" w:rsidRPr="009564D9">
        <w:rPr>
          <w:color w:val="000000"/>
          <w:szCs w:val="22"/>
          <w:lang w:val="de-DE"/>
        </w:rPr>
        <w:t>m</w:t>
      </w:r>
      <w:r w:rsidRPr="009564D9">
        <w:rPr>
          <w:color w:val="000000"/>
          <w:szCs w:val="22"/>
          <w:lang w:val="de-DE"/>
        </w:rPr>
        <w:t xml:space="preserve"> profil</w:t>
      </w:r>
      <w:r w:rsidR="00E37B98" w:rsidRPr="009564D9">
        <w:rPr>
          <w:color w:val="000000"/>
          <w:szCs w:val="22"/>
          <w:lang w:val="de-DE"/>
        </w:rPr>
        <w:t>om</w:t>
      </w:r>
      <w:r w:rsidRPr="009564D9">
        <w:rPr>
          <w:color w:val="000000"/>
          <w:szCs w:val="22"/>
          <w:lang w:val="de-DE"/>
        </w:rPr>
        <w:t xml:space="preserve"> imatiniba pri bolnikih s Ph+ ALL</w:t>
      </w:r>
      <w:r w:rsidR="00275074" w:rsidRPr="009564D9">
        <w:rPr>
          <w:color w:val="000000"/>
          <w:szCs w:val="22"/>
          <w:lang w:val="de-DE"/>
        </w:rPr>
        <w:t>.</w:t>
      </w:r>
    </w:p>
    <w:p w14:paraId="52979B10" w14:textId="77777777" w:rsidR="00275074" w:rsidRPr="004A59B1" w:rsidRDefault="00275074" w:rsidP="009C1193">
      <w:pPr>
        <w:pStyle w:val="Text"/>
        <w:widowControl w:val="0"/>
        <w:spacing w:before="0"/>
        <w:jc w:val="left"/>
        <w:rPr>
          <w:i/>
          <w:color w:val="000000"/>
          <w:sz w:val="22"/>
          <w:szCs w:val="22"/>
          <w:lang w:val="sl-SI"/>
        </w:rPr>
      </w:pPr>
    </w:p>
    <w:p w14:paraId="52979B11" w14:textId="77777777" w:rsidR="00266FD9" w:rsidRPr="004A59B1" w:rsidRDefault="00266FD9" w:rsidP="009C1193">
      <w:pPr>
        <w:pStyle w:val="Text"/>
        <w:widowControl w:val="0"/>
        <w:spacing w:before="0"/>
        <w:jc w:val="left"/>
        <w:rPr>
          <w:color w:val="000000"/>
          <w:sz w:val="22"/>
          <w:szCs w:val="22"/>
          <w:lang w:val="sl-SI"/>
        </w:rPr>
      </w:pPr>
      <w:r w:rsidRPr="004A59B1">
        <w:rPr>
          <w:i/>
          <w:color w:val="000000"/>
          <w:sz w:val="22"/>
          <w:szCs w:val="22"/>
          <w:lang w:val="sl-SI"/>
        </w:rPr>
        <w:t>Relaps/neodzivna Ph+ ALL:</w:t>
      </w:r>
      <w:r w:rsidRPr="004A59B1">
        <w:rPr>
          <w:color w:val="000000"/>
          <w:sz w:val="22"/>
          <w:szCs w:val="22"/>
          <w:lang w:val="sl-SI"/>
        </w:rPr>
        <w:t xml:space="preserve"> Zdravljenje z imatinibom kot edinim zdravilom pri bolnikih z relapsom/neodzivno Ph+ ALL je povzročilo pri 53 od 411 za </w:t>
      </w:r>
      <w:r w:rsidR="00330D52" w:rsidRPr="004A59B1">
        <w:rPr>
          <w:color w:val="000000"/>
          <w:sz w:val="22"/>
          <w:szCs w:val="22"/>
          <w:lang w:val="sl-SI"/>
        </w:rPr>
        <w:t xml:space="preserve">oceno </w:t>
      </w:r>
      <w:r w:rsidRPr="004A59B1">
        <w:rPr>
          <w:color w:val="000000"/>
          <w:sz w:val="22"/>
          <w:szCs w:val="22"/>
          <w:lang w:val="sl-SI"/>
        </w:rPr>
        <w:t>odziv</w:t>
      </w:r>
      <w:r w:rsidR="00330D52" w:rsidRPr="004A59B1">
        <w:rPr>
          <w:color w:val="000000"/>
          <w:sz w:val="22"/>
          <w:szCs w:val="22"/>
          <w:lang w:val="sl-SI"/>
        </w:rPr>
        <w:t>a</w:t>
      </w:r>
      <w:r w:rsidRPr="004A59B1">
        <w:rPr>
          <w:color w:val="000000"/>
          <w:sz w:val="22"/>
          <w:szCs w:val="22"/>
          <w:lang w:val="sl-SI"/>
        </w:rPr>
        <w:t xml:space="preserve"> </w:t>
      </w:r>
      <w:r w:rsidR="00330D52" w:rsidRPr="004A59B1">
        <w:rPr>
          <w:color w:val="000000"/>
          <w:sz w:val="22"/>
          <w:szCs w:val="22"/>
          <w:lang w:val="sl-SI"/>
        </w:rPr>
        <w:t>primernih</w:t>
      </w:r>
      <w:r w:rsidRPr="004A59B1">
        <w:rPr>
          <w:color w:val="000000"/>
          <w:sz w:val="22"/>
          <w:szCs w:val="22"/>
          <w:lang w:val="sl-SI"/>
        </w:rPr>
        <w:t xml:space="preserve"> bolnikov stopnjo hematološkega odziva 30 % (v 9 % popolni hematološki odziv) in stopnjo pomembnega citogenetičnega odziva 23 %. (V pojasnilo: od 411 bolnikov jih je bilo 353 zdravljenih v programu razširjenega dostopa brez zbranih podatkov o primarnem odzivu.) Mediani čas do napredovanja bolezni je bil pri vseh 411 bolnikih z relapsom/neodzivno Ph+ ALL v obsegu od 2,6 do 3,1 meseca, mediano preživetje nasploh pa je bilo pri 401 </w:t>
      </w:r>
      <w:r w:rsidR="00330D52" w:rsidRPr="004A59B1">
        <w:rPr>
          <w:color w:val="000000"/>
          <w:sz w:val="22"/>
          <w:szCs w:val="22"/>
          <w:lang w:val="sl-SI"/>
        </w:rPr>
        <w:t>za oceno primern</w:t>
      </w:r>
      <w:r w:rsidR="00D6623A" w:rsidRPr="004A59B1">
        <w:rPr>
          <w:color w:val="000000"/>
          <w:sz w:val="22"/>
          <w:szCs w:val="22"/>
          <w:lang w:val="sl-SI"/>
        </w:rPr>
        <w:t>ih</w:t>
      </w:r>
      <w:r w:rsidRPr="004A59B1">
        <w:rPr>
          <w:color w:val="000000"/>
          <w:sz w:val="22"/>
          <w:szCs w:val="22"/>
          <w:lang w:val="sl-SI"/>
        </w:rPr>
        <w:t xml:space="preserve"> bolnik</w:t>
      </w:r>
      <w:r w:rsidR="00D6623A" w:rsidRPr="004A59B1">
        <w:rPr>
          <w:color w:val="000000"/>
          <w:sz w:val="22"/>
          <w:szCs w:val="22"/>
          <w:lang w:val="sl-SI"/>
        </w:rPr>
        <w:t>ov</w:t>
      </w:r>
      <w:r w:rsidRPr="004A59B1">
        <w:rPr>
          <w:color w:val="000000"/>
          <w:sz w:val="22"/>
          <w:szCs w:val="22"/>
          <w:lang w:val="sl-SI"/>
        </w:rPr>
        <w:t xml:space="preserve"> v obsegu od 4,9 do 9 mesecev. Podatki so bili podobni pri ponovni analizi, v katero so vključili le bolnike, stare 55 let ali več.</w:t>
      </w:r>
    </w:p>
    <w:p w14:paraId="52979B12" w14:textId="77777777" w:rsidR="00444D75" w:rsidRPr="004A59B1" w:rsidRDefault="00444D75" w:rsidP="009C1193">
      <w:pPr>
        <w:pStyle w:val="EndnoteText"/>
        <w:widowControl w:val="0"/>
        <w:tabs>
          <w:tab w:val="clear" w:pos="567"/>
        </w:tabs>
        <w:rPr>
          <w:color w:val="000000"/>
          <w:szCs w:val="22"/>
          <w:lang w:val="sl-SI"/>
        </w:rPr>
      </w:pPr>
    </w:p>
    <w:p w14:paraId="52979B13" w14:textId="77777777" w:rsidR="00E24EC2" w:rsidRPr="004A59B1" w:rsidRDefault="00E24EC2" w:rsidP="009C1193">
      <w:pPr>
        <w:pStyle w:val="EndnoteText"/>
        <w:keepNext/>
        <w:widowControl w:val="0"/>
        <w:rPr>
          <w:color w:val="000000"/>
          <w:u w:val="single"/>
          <w:lang w:val="sl-SI"/>
        </w:rPr>
      </w:pPr>
      <w:r w:rsidRPr="004A59B1">
        <w:rPr>
          <w:color w:val="000000"/>
          <w:u w:val="single"/>
          <w:lang w:val="sl-SI"/>
        </w:rPr>
        <w:t>Klinične študije pri MDS/MPD</w:t>
      </w:r>
    </w:p>
    <w:p w14:paraId="52979B14" w14:textId="77777777" w:rsidR="00D914E7" w:rsidRDefault="00E24EC2" w:rsidP="009C1193">
      <w:pPr>
        <w:pStyle w:val="EndnoteText"/>
        <w:widowControl w:val="0"/>
        <w:tabs>
          <w:tab w:val="clear" w:pos="567"/>
        </w:tabs>
        <w:rPr>
          <w:rFonts w:eastAsia="MS Mincho"/>
          <w:color w:val="000000"/>
          <w:lang w:val="sl-SI" w:eastAsia="ja-JP"/>
        </w:rPr>
      </w:pPr>
      <w:r w:rsidRPr="004A59B1">
        <w:rPr>
          <w:color w:val="000000"/>
          <w:szCs w:val="22"/>
          <w:lang w:val="sl-SI"/>
        </w:rPr>
        <w:t xml:space="preserve">Za to indikacijo </w:t>
      </w:r>
      <w:r w:rsidR="007D70C5" w:rsidRPr="004A59B1">
        <w:rPr>
          <w:color w:val="000000"/>
          <w:szCs w:val="22"/>
          <w:lang w:val="sl-SI"/>
        </w:rPr>
        <w:t xml:space="preserve">je </w:t>
      </w:r>
      <w:r w:rsidRPr="004A59B1">
        <w:rPr>
          <w:color w:val="000000"/>
          <w:szCs w:val="22"/>
          <w:lang w:val="sl-SI"/>
        </w:rPr>
        <w:t>izkuš</w:t>
      </w:r>
      <w:r w:rsidR="00314813" w:rsidRPr="004A59B1">
        <w:rPr>
          <w:color w:val="000000"/>
          <w:szCs w:val="22"/>
          <w:lang w:val="sl-SI"/>
        </w:rPr>
        <w:t>e</w:t>
      </w:r>
      <w:r w:rsidRPr="004A59B1">
        <w:rPr>
          <w:color w:val="000000"/>
          <w:szCs w:val="22"/>
          <w:lang w:val="sl-SI"/>
        </w:rPr>
        <w:t xml:space="preserve">nj z zdravilom Glivec zelo </w:t>
      </w:r>
      <w:r w:rsidR="007D70C5" w:rsidRPr="004A59B1">
        <w:rPr>
          <w:color w:val="000000"/>
          <w:szCs w:val="22"/>
          <w:lang w:val="sl-SI"/>
        </w:rPr>
        <w:t>malo</w:t>
      </w:r>
      <w:r w:rsidRPr="004A59B1">
        <w:rPr>
          <w:color w:val="000000"/>
          <w:szCs w:val="22"/>
          <w:lang w:val="sl-SI"/>
        </w:rPr>
        <w:t xml:space="preserve"> in temeljijo na hematološki in citogenetični odzivnosti. Kontroliranih preskušanj, ki bi dokazovala klinično koristnost ali podaljšanje preživetja, ni. </w:t>
      </w:r>
      <w:r w:rsidR="006F3C2E" w:rsidRPr="004A59B1">
        <w:rPr>
          <w:color w:val="000000"/>
          <w:szCs w:val="22"/>
          <w:lang w:val="sl-SI"/>
        </w:rPr>
        <w:t>V enem</w:t>
      </w:r>
      <w:r w:rsidRPr="004A59B1">
        <w:rPr>
          <w:color w:val="000000"/>
          <w:szCs w:val="22"/>
          <w:lang w:val="sl-SI"/>
        </w:rPr>
        <w:t xml:space="preserve"> odprt</w:t>
      </w:r>
      <w:r w:rsidR="006F3C2E" w:rsidRPr="004A59B1">
        <w:rPr>
          <w:color w:val="000000"/>
          <w:szCs w:val="22"/>
          <w:lang w:val="sl-SI"/>
        </w:rPr>
        <w:t>em</w:t>
      </w:r>
      <w:r w:rsidRPr="004A59B1">
        <w:rPr>
          <w:color w:val="000000"/>
          <w:szCs w:val="22"/>
          <w:lang w:val="sl-SI"/>
        </w:rPr>
        <w:t xml:space="preserve"> multicentričn</w:t>
      </w:r>
      <w:r w:rsidR="006F3C2E" w:rsidRPr="004A59B1">
        <w:rPr>
          <w:color w:val="000000"/>
          <w:szCs w:val="22"/>
          <w:lang w:val="sl-SI"/>
        </w:rPr>
        <w:t>em</w:t>
      </w:r>
      <w:r w:rsidRPr="004A59B1">
        <w:rPr>
          <w:color w:val="000000"/>
          <w:szCs w:val="22"/>
          <w:lang w:val="sl-SI"/>
        </w:rPr>
        <w:t xml:space="preserve"> kliničn</w:t>
      </w:r>
      <w:r w:rsidR="006F3C2E" w:rsidRPr="004A59B1">
        <w:rPr>
          <w:color w:val="000000"/>
          <w:szCs w:val="22"/>
          <w:lang w:val="sl-SI"/>
        </w:rPr>
        <w:t>em</w:t>
      </w:r>
      <w:r w:rsidRPr="004A59B1">
        <w:rPr>
          <w:color w:val="000000"/>
          <w:szCs w:val="22"/>
          <w:lang w:val="sl-SI"/>
        </w:rPr>
        <w:t xml:space="preserve"> preskušanj</w:t>
      </w:r>
      <w:r w:rsidR="006F3C2E" w:rsidRPr="004A59B1">
        <w:rPr>
          <w:color w:val="000000"/>
          <w:szCs w:val="22"/>
          <w:lang w:val="sl-SI"/>
        </w:rPr>
        <w:t>u</w:t>
      </w:r>
      <w:r w:rsidRPr="004A59B1">
        <w:rPr>
          <w:color w:val="000000"/>
          <w:szCs w:val="22"/>
          <w:lang w:val="sl-SI"/>
        </w:rPr>
        <w:t xml:space="preserve"> faze II (študij</w:t>
      </w:r>
      <w:r w:rsidR="006F3C2E" w:rsidRPr="004A59B1">
        <w:rPr>
          <w:color w:val="000000"/>
          <w:szCs w:val="22"/>
          <w:lang w:val="sl-SI"/>
        </w:rPr>
        <w:t>a</w:t>
      </w:r>
      <w:r w:rsidRPr="004A59B1">
        <w:rPr>
          <w:color w:val="000000"/>
          <w:szCs w:val="22"/>
          <w:lang w:val="sl-SI"/>
        </w:rPr>
        <w:t xml:space="preserve"> B2225) so preskušali </w:t>
      </w:r>
      <w:r w:rsidR="00475082" w:rsidRPr="004A59B1">
        <w:rPr>
          <w:color w:val="000000"/>
          <w:szCs w:val="22"/>
          <w:lang w:val="sl-SI"/>
        </w:rPr>
        <w:t xml:space="preserve">zdravilo </w:t>
      </w:r>
      <w:r w:rsidRPr="004A59B1">
        <w:rPr>
          <w:color w:val="000000"/>
          <w:szCs w:val="22"/>
          <w:lang w:val="sl-SI"/>
        </w:rPr>
        <w:t xml:space="preserve">Glivec pri različnih populacijah bolnikov z </w:t>
      </w:r>
      <w:r w:rsidR="00C81990" w:rsidRPr="004A59B1">
        <w:rPr>
          <w:rFonts w:eastAsia="MS Mincho"/>
          <w:color w:val="000000"/>
          <w:lang w:val="sl-SI" w:eastAsia="ja-JP"/>
        </w:rPr>
        <w:t>življen</w:t>
      </w:r>
      <w:r w:rsidR="00475082" w:rsidRPr="004A59B1">
        <w:rPr>
          <w:rFonts w:eastAsia="MS Mincho"/>
          <w:color w:val="000000"/>
          <w:lang w:val="sl-SI" w:eastAsia="ja-JP"/>
        </w:rPr>
        <w:t>sko</w:t>
      </w:r>
      <w:r w:rsidR="00C81990" w:rsidRPr="004A59B1">
        <w:rPr>
          <w:rFonts w:eastAsia="MS Mincho"/>
          <w:color w:val="000000"/>
          <w:lang w:val="sl-SI" w:eastAsia="ja-JP"/>
        </w:rPr>
        <w:t xml:space="preserve"> ogrožujočimi boleznimi v povezavi z Abl, Kit ali PDGFR protein tirozin kinazami. Ta študija je vključevala 7 bolnikov z MDS/MPD, ki so bili zdravljeni z odmerkom</w:t>
      </w:r>
      <w:r w:rsidR="00475082" w:rsidRPr="004A59B1">
        <w:rPr>
          <w:rFonts w:eastAsia="MS Mincho"/>
          <w:color w:val="000000"/>
          <w:lang w:val="sl-SI" w:eastAsia="ja-JP"/>
        </w:rPr>
        <w:t xml:space="preserve"> zdravila</w:t>
      </w:r>
      <w:r w:rsidR="00C81990" w:rsidRPr="004A59B1">
        <w:rPr>
          <w:rFonts w:eastAsia="MS Mincho"/>
          <w:color w:val="000000"/>
          <w:lang w:val="sl-SI" w:eastAsia="ja-JP"/>
        </w:rPr>
        <w:t xml:space="preserve"> Glivec 400 mg na dan. Trije bolniki so dosegli popolni </w:t>
      </w:r>
      <w:r w:rsidR="00C81990" w:rsidRPr="004A59B1">
        <w:rPr>
          <w:rFonts w:eastAsia="MS Mincho"/>
          <w:color w:val="000000"/>
          <w:lang w:val="sl-SI" w:eastAsia="ja-JP"/>
        </w:rPr>
        <w:lastRenderedPageBreak/>
        <w:t>hematološki odziv (CHR), en bolnik pa je dosegel deln</w:t>
      </w:r>
      <w:r w:rsidR="005E1918" w:rsidRPr="004A59B1">
        <w:rPr>
          <w:rFonts w:eastAsia="MS Mincho"/>
          <w:color w:val="000000"/>
          <w:lang w:val="sl-SI" w:eastAsia="ja-JP"/>
        </w:rPr>
        <w:t>i</w:t>
      </w:r>
      <w:r w:rsidR="00C81990" w:rsidRPr="004A59B1">
        <w:rPr>
          <w:rFonts w:eastAsia="MS Mincho"/>
          <w:color w:val="000000"/>
          <w:lang w:val="sl-SI" w:eastAsia="ja-JP"/>
        </w:rPr>
        <w:t xml:space="preserve"> hematološki odziv (PHR</w:t>
      </w:r>
      <w:r w:rsidR="00BE411E" w:rsidRPr="004A59B1">
        <w:rPr>
          <w:rFonts w:eastAsia="MS Mincho"/>
          <w:color w:val="000000"/>
          <w:lang w:val="sl-SI" w:eastAsia="ja-JP"/>
        </w:rPr>
        <w:t xml:space="preserve"> - </w:t>
      </w:r>
      <w:r w:rsidR="00BE411E" w:rsidRPr="00304E94">
        <w:rPr>
          <w:i/>
          <w:color w:val="000000"/>
          <w:szCs w:val="22"/>
          <w:lang w:val="sl-SI"/>
        </w:rPr>
        <w:t>partial haematological response</w:t>
      </w:r>
      <w:r w:rsidR="00C81990" w:rsidRPr="004A59B1">
        <w:rPr>
          <w:rFonts w:eastAsia="MS Mincho"/>
          <w:color w:val="000000"/>
          <w:lang w:val="sl-SI" w:eastAsia="ja-JP"/>
        </w:rPr>
        <w:t xml:space="preserve">). V času prvotne analize so trije od štirih bolnikov z dokazano </w:t>
      </w:r>
      <w:r w:rsidR="00812E86" w:rsidRPr="004A59B1">
        <w:rPr>
          <w:rFonts w:eastAsia="MS Mincho"/>
          <w:color w:val="000000"/>
          <w:lang w:val="sl-SI" w:eastAsia="ja-JP"/>
        </w:rPr>
        <w:t>preureditvijo</w:t>
      </w:r>
      <w:r w:rsidR="00C81990" w:rsidRPr="004A59B1">
        <w:rPr>
          <w:rFonts w:eastAsia="MS Mincho"/>
          <w:color w:val="000000"/>
          <w:lang w:val="sl-SI" w:eastAsia="ja-JP"/>
        </w:rPr>
        <w:t xml:space="preserve"> gena za PDGFR dosegli hematološki odziv (2 sta dosegla popolni in 1 delni hematološki odziv). Starost teh bolnikov je bila od 20 do 72 let.</w:t>
      </w:r>
    </w:p>
    <w:p w14:paraId="52979B15" w14:textId="77777777" w:rsidR="00D914E7" w:rsidRDefault="00D914E7" w:rsidP="009C1193">
      <w:pPr>
        <w:pStyle w:val="EndnoteText"/>
        <w:widowControl w:val="0"/>
        <w:tabs>
          <w:tab w:val="clear" w:pos="567"/>
        </w:tabs>
        <w:rPr>
          <w:rFonts w:eastAsia="MS Mincho"/>
          <w:color w:val="000000"/>
          <w:lang w:val="sl-SI" w:eastAsia="ja-JP"/>
        </w:rPr>
      </w:pPr>
    </w:p>
    <w:p w14:paraId="52979B16" w14:textId="77777777" w:rsidR="00D84F96" w:rsidRDefault="00D914E7" w:rsidP="009C1193">
      <w:pPr>
        <w:pStyle w:val="EndnoteText"/>
        <w:widowControl w:val="0"/>
        <w:tabs>
          <w:tab w:val="clear" w:pos="567"/>
        </w:tabs>
        <w:rPr>
          <w:rFonts w:eastAsia="MS Mincho"/>
          <w:color w:val="000000"/>
          <w:lang w:val="sl-SI" w:eastAsia="ja-JP"/>
        </w:rPr>
      </w:pPr>
      <w:r>
        <w:rPr>
          <w:rFonts w:eastAsia="MS Mincho"/>
          <w:color w:val="000000"/>
          <w:lang w:val="sl-SI" w:eastAsia="ja-JP"/>
        </w:rPr>
        <w:t xml:space="preserve">Pri bolnikih z mieloproliferativnimi neoplazmami s preureditvijo PDGFR-β, ki so se zdravili z </w:t>
      </w:r>
      <w:r w:rsidRPr="00531CB5">
        <w:rPr>
          <w:rFonts w:eastAsia="MS Mincho"/>
          <w:color w:val="000000"/>
          <w:lang w:val="sl-SI" w:eastAsia="ja-JP"/>
        </w:rPr>
        <w:t>zdravilom Glivec, je bila izvedena opazovalna študija (štu</w:t>
      </w:r>
      <w:r w:rsidRPr="00697DD5">
        <w:rPr>
          <w:rFonts w:eastAsia="MS Mincho"/>
          <w:color w:val="000000"/>
          <w:lang w:val="sl-SI" w:eastAsia="ja-JP"/>
        </w:rPr>
        <w:t>dija L2401) in sicer uvedba registra za</w:t>
      </w:r>
      <w:r w:rsidR="00F97D05" w:rsidRPr="00697DD5">
        <w:rPr>
          <w:rFonts w:eastAsia="MS Mincho"/>
          <w:color w:val="000000"/>
          <w:lang w:val="sl-SI" w:eastAsia="ja-JP"/>
        </w:rPr>
        <w:t xml:space="preserve"> </w:t>
      </w:r>
      <w:r w:rsidR="00F97D05" w:rsidRPr="00531CB5">
        <w:rPr>
          <w:rFonts w:eastAsia="MS Mincho"/>
          <w:color w:val="000000"/>
          <w:lang w:val="sl-SI" w:eastAsia="ja-JP"/>
        </w:rPr>
        <w:t>dolgoročno</w:t>
      </w:r>
      <w:r w:rsidRPr="00531CB5">
        <w:rPr>
          <w:rFonts w:eastAsia="MS Mincho"/>
          <w:color w:val="000000"/>
          <w:lang w:val="sl-SI" w:eastAsia="ja-JP"/>
        </w:rPr>
        <w:t xml:space="preserve"> zbiranje podatkov</w:t>
      </w:r>
      <w:r>
        <w:rPr>
          <w:rFonts w:eastAsia="MS Mincho"/>
          <w:color w:val="000000"/>
          <w:lang w:val="sl-SI" w:eastAsia="ja-JP"/>
        </w:rPr>
        <w:t xml:space="preserve"> o varnosti in učinkovitosti. </w:t>
      </w:r>
      <w:r w:rsidR="00174D4F">
        <w:rPr>
          <w:rFonts w:eastAsia="MS Mincho"/>
          <w:color w:val="000000"/>
          <w:lang w:val="sl-SI" w:eastAsia="ja-JP"/>
        </w:rPr>
        <w:t xml:space="preserve">23 bolnikov, ki so bili vključeni v register, je prejemalo zdravilo Glivec </w:t>
      </w:r>
      <w:r w:rsidR="00C5575D">
        <w:rPr>
          <w:rFonts w:eastAsia="MS Mincho"/>
          <w:color w:val="000000"/>
          <w:lang w:val="sl-SI" w:eastAsia="ja-JP"/>
        </w:rPr>
        <w:t>z mediano dnevnega odmerka</w:t>
      </w:r>
      <w:r w:rsidR="00174D4F">
        <w:rPr>
          <w:rFonts w:eastAsia="MS Mincho"/>
          <w:color w:val="000000"/>
          <w:lang w:val="sl-SI" w:eastAsia="ja-JP"/>
        </w:rPr>
        <w:t xml:space="preserve"> 264 mg (v razponu od 100 do 400 mg) in </w:t>
      </w:r>
      <w:r w:rsidR="00C5575D">
        <w:rPr>
          <w:rFonts w:eastAsia="MS Mincho"/>
          <w:color w:val="000000"/>
          <w:lang w:val="sl-SI" w:eastAsia="ja-JP"/>
        </w:rPr>
        <w:t>z mediano trajanja zdravljenja</w:t>
      </w:r>
      <w:r w:rsidR="00574E85">
        <w:rPr>
          <w:rFonts w:eastAsia="MS Mincho"/>
          <w:color w:val="000000"/>
          <w:lang w:val="sl-SI" w:eastAsia="ja-JP"/>
        </w:rPr>
        <w:t xml:space="preserve"> </w:t>
      </w:r>
      <w:r w:rsidR="00174D4F">
        <w:rPr>
          <w:rFonts w:eastAsia="MS Mincho"/>
          <w:color w:val="000000"/>
          <w:lang w:val="sl-SI" w:eastAsia="ja-JP"/>
        </w:rPr>
        <w:t>7,2 leti (v razponu od 0,1 do 12,7</w:t>
      </w:r>
      <w:r w:rsidR="00F4448D">
        <w:rPr>
          <w:rFonts w:eastAsia="MS Mincho"/>
          <w:color w:val="000000"/>
          <w:lang w:val="sl-SI" w:eastAsia="ja-JP"/>
        </w:rPr>
        <w:t> </w:t>
      </w:r>
      <w:r w:rsidR="00174D4F">
        <w:rPr>
          <w:rFonts w:eastAsia="MS Mincho"/>
          <w:color w:val="000000"/>
          <w:lang w:val="sl-SI" w:eastAsia="ja-JP"/>
        </w:rPr>
        <w:t>leta). Glede na opazovalno naravo registra so bile ocene hematoloških podatkov na voljo za 22</w:t>
      </w:r>
      <w:r w:rsidR="002F13CB">
        <w:rPr>
          <w:rFonts w:eastAsia="MS Mincho"/>
          <w:color w:val="000000"/>
          <w:lang w:val="sl-SI" w:eastAsia="ja-JP"/>
        </w:rPr>
        <w:t>,</w:t>
      </w:r>
      <w:r w:rsidR="00174D4F">
        <w:rPr>
          <w:rFonts w:eastAsia="MS Mincho"/>
          <w:color w:val="000000"/>
          <w:lang w:val="sl-SI" w:eastAsia="ja-JP"/>
        </w:rPr>
        <w:t xml:space="preserve"> </w:t>
      </w:r>
      <w:r w:rsidR="002F13CB">
        <w:rPr>
          <w:rFonts w:eastAsia="MS Mincho"/>
          <w:color w:val="000000"/>
          <w:lang w:val="sl-SI" w:eastAsia="ja-JP"/>
        </w:rPr>
        <w:t xml:space="preserve">ocene </w:t>
      </w:r>
      <w:r w:rsidR="00174D4F">
        <w:rPr>
          <w:rFonts w:eastAsia="MS Mincho"/>
          <w:color w:val="000000"/>
          <w:lang w:val="sl-SI" w:eastAsia="ja-JP"/>
        </w:rPr>
        <w:t>citogenetskih</w:t>
      </w:r>
      <w:r w:rsidR="002F13CB">
        <w:rPr>
          <w:rFonts w:eastAsia="MS Mincho"/>
          <w:color w:val="000000"/>
          <w:lang w:val="sl-SI" w:eastAsia="ja-JP"/>
        </w:rPr>
        <w:t xml:space="preserve"> podatkov za 9 </w:t>
      </w:r>
      <w:r w:rsidR="00174D4F">
        <w:rPr>
          <w:rFonts w:eastAsia="MS Mincho"/>
          <w:color w:val="000000"/>
          <w:lang w:val="sl-SI" w:eastAsia="ja-JP"/>
        </w:rPr>
        <w:t xml:space="preserve">in </w:t>
      </w:r>
      <w:r w:rsidR="002F13CB">
        <w:rPr>
          <w:rFonts w:eastAsia="MS Mincho"/>
          <w:color w:val="000000"/>
          <w:lang w:val="sl-SI" w:eastAsia="ja-JP"/>
        </w:rPr>
        <w:t xml:space="preserve">ocene </w:t>
      </w:r>
      <w:r w:rsidR="00174D4F">
        <w:rPr>
          <w:rFonts w:eastAsia="MS Mincho"/>
          <w:color w:val="000000"/>
          <w:lang w:val="sl-SI" w:eastAsia="ja-JP"/>
        </w:rPr>
        <w:t xml:space="preserve">molekularnih podatkov </w:t>
      </w:r>
      <w:r w:rsidR="002F13CB">
        <w:rPr>
          <w:rFonts w:eastAsia="MS Mincho"/>
          <w:color w:val="000000"/>
          <w:lang w:val="sl-SI" w:eastAsia="ja-JP"/>
        </w:rPr>
        <w:t>za 17 od 23 vključenih bolnikov.</w:t>
      </w:r>
      <w:r w:rsidR="00B07940">
        <w:rPr>
          <w:rFonts w:eastAsia="MS Mincho"/>
          <w:color w:val="000000"/>
          <w:lang w:val="sl-SI" w:eastAsia="ja-JP"/>
        </w:rPr>
        <w:t xml:space="preserve"> Ob</w:t>
      </w:r>
      <w:r w:rsidR="002F13CB">
        <w:rPr>
          <w:rFonts w:eastAsia="MS Mincho"/>
          <w:color w:val="000000"/>
          <w:lang w:val="sl-SI" w:eastAsia="ja-JP"/>
        </w:rPr>
        <w:t xml:space="preserve"> konzervativni oceni, da gre pri bolnikih z manjkajočimi podatki za bolnike brez odgovora na zdravljenje, je bil CHR opažen pri 20/23 (87 %) bolnikov</w:t>
      </w:r>
      <w:r w:rsidR="00B07940">
        <w:rPr>
          <w:rFonts w:eastAsia="MS Mincho"/>
          <w:color w:val="000000"/>
          <w:lang w:val="sl-SI" w:eastAsia="ja-JP"/>
        </w:rPr>
        <w:t xml:space="preserve">, CCyR pri 9/23 (39,1 %) bolnikov </w:t>
      </w:r>
      <w:r w:rsidR="002F13CB">
        <w:rPr>
          <w:rFonts w:eastAsia="MS Mincho"/>
          <w:color w:val="000000"/>
          <w:lang w:val="sl-SI" w:eastAsia="ja-JP"/>
        </w:rPr>
        <w:t>in</w:t>
      </w:r>
      <w:r w:rsidR="00B07940">
        <w:rPr>
          <w:rFonts w:eastAsia="MS Mincho"/>
          <w:color w:val="000000"/>
          <w:lang w:val="sl-SI" w:eastAsia="ja-JP"/>
        </w:rPr>
        <w:t xml:space="preserve"> MR pri 11/23 (47,8 %) bolnikov. Če se </w:t>
      </w:r>
      <w:r w:rsidR="00D84F96">
        <w:rPr>
          <w:rFonts w:eastAsia="MS Mincho"/>
          <w:color w:val="000000"/>
          <w:lang w:val="sl-SI" w:eastAsia="ja-JP"/>
        </w:rPr>
        <w:t xml:space="preserve">delež </w:t>
      </w:r>
      <w:r w:rsidR="00B07940">
        <w:rPr>
          <w:rFonts w:eastAsia="MS Mincho"/>
          <w:color w:val="000000"/>
          <w:lang w:val="sl-SI" w:eastAsia="ja-JP"/>
        </w:rPr>
        <w:t>odziv</w:t>
      </w:r>
      <w:r w:rsidR="00D84F96">
        <w:rPr>
          <w:rFonts w:eastAsia="MS Mincho"/>
          <w:color w:val="000000"/>
          <w:lang w:val="sl-SI" w:eastAsia="ja-JP"/>
        </w:rPr>
        <w:t>a</w:t>
      </w:r>
      <w:r w:rsidR="00B07940">
        <w:rPr>
          <w:rFonts w:eastAsia="MS Mincho"/>
          <w:color w:val="000000"/>
          <w:lang w:val="sl-SI" w:eastAsia="ja-JP"/>
        </w:rPr>
        <w:t xml:space="preserve"> izračuna pri bolnikih z vsaj eno veljavno oceno je delež odziva </w:t>
      </w:r>
      <w:r w:rsidR="00F4448D">
        <w:rPr>
          <w:rFonts w:eastAsia="MS Mincho"/>
          <w:color w:val="000000"/>
          <w:lang w:val="sl-SI" w:eastAsia="ja-JP"/>
        </w:rPr>
        <w:t>20</w:t>
      </w:r>
      <w:r w:rsidR="00B07940">
        <w:rPr>
          <w:rFonts w:eastAsia="MS Mincho"/>
          <w:color w:val="000000"/>
          <w:lang w:val="sl-SI" w:eastAsia="ja-JP"/>
        </w:rPr>
        <w:t>/22 (90,9 %) za CHR, 9/9</w:t>
      </w:r>
      <w:r w:rsidR="00D84F96">
        <w:rPr>
          <w:rFonts w:eastAsia="MS Mincho"/>
          <w:color w:val="000000"/>
          <w:lang w:val="sl-SI" w:eastAsia="ja-JP"/>
        </w:rPr>
        <w:t> (100 %) za CCyR in 11/17 (64,7 %) za MR.</w:t>
      </w:r>
    </w:p>
    <w:p w14:paraId="52979B17" w14:textId="77777777" w:rsidR="00D914E7" w:rsidRDefault="00D914E7" w:rsidP="009C1193">
      <w:pPr>
        <w:pStyle w:val="EndnoteText"/>
        <w:widowControl w:val="0"/>
        <w:tabs>
          <w:tab w:val="clear" w:pos="567"/>
        </w:tabs>
        <w:rPr>
          <w:rFonts w:eastAsia="MS Mincho"/>
          <w:color w:val="000000"/>
          <w:lang w:val="sl-SI" w:eastAsia="ja-JP"/>
        </w:rPr>
      </w:pPr>
    </w:p>
    <w:p w14:paraId="52979B18" w14:textId="77777777" w:rsidR="00C81990" w:rsidRPr="004A59B1" w:rsidRDefault="00C81990" w:rsidP="009C1193">
      <w:pPr>
        <w:pStyle w:val="EndnoteText"/>
        <w:widowControl w:val="0"/>
        <w:tabs>
          <w:tab w:val="clear" w:pos="567"/>
        </w:tabs>
        <w:rPr>
          <w:rFonts w:eastAsia="MS Mincho"/>
          <w:color w:val="000000"/>
          <w:lang w:val="sl-SI" w:eastAsia="ja-JP"/>
        </w:rPr>
      </w:pPr>
      <w:r w:rsidRPr="004A59B1">
        <w:rPr>
          <w:rFonts w:eastAsia="MS Mincho"/>
          <w:color w:val="000000"/>
          <w:lang w:val="sl-SI" w:eastAsia="ja-JP"/>
        </w:rPr>
        <w:t>Poleg tega so v 13</w:t>
      </w:r>
      <w:r w:rsidR="00B771C9" w:rsidRPr="004A59B1">
        <w:rPr>
          <w:rFonts w:eastAsia="MS Mincho"/>
          <w:color w:val="000000"/>
          <w:lang w:val="sl-SI" w:eastAsia="ja-JP"/>
        </w:rPr>
        <w:t> </w:t>
      </w:r>
      <w:r w:rsidRPr="004A59B1">
        <w:rPr>
          <w:rFonts w:eastAsia="MS Mincho"/>
          <w:color w:val="000000"/>
          <w:lang w:val="sl-SI" w:eastAsia="ja-JP"/>
        </w:rPr>
        <w:t xml:space="preserve">publikacijah poročali o nadaljnjih 24 bolnikih z </w:t>
      </w:r>
      <w:r w:rsidR="00E24EC2" w:rsidRPr="004A59B1">
        <w:rPr>
          <w:color w:val="000000"/>
          <w:szCs w:val="22"/>
          <w:lang w:val="sl-SI"/>
        </w:rPr>
        <w:t>MDS/MPD</w:t>
      </w:r>
      <w:r w:rsidRPr="004A59B1">
        <w:rPr>
          <w:color w:val="000000"/>
          <w:szCs w:val="22"/>
          <w:lang w:val="sl-SI"/>
        </w:rPr>
        <w:t>. 21</w:t>
      </w:r>
      <w:r w:rsidR="00B771C9" w:rsidRPr="004A59B1">
        <w:rPr>
          <w:color w:val="000000"/>
          <w:szCs w:val="22"/>
          <w:lang w:val="sl-SI"/>
        </w:rPr>
        <w:t> </w:t>
      </w:r>
      <w:r w:rsidRPr="004A59B1">
        <w:rPr>
          <w:color w:val="000000"/>
          <w:szCs w:val="22"/>
          <w:lang w:val="sl-SI"/>
        </w:rPr>
        <w:t xml:space="preserve">bolnikov je prejemalo </w:t>
      </w:r>
      <w:r w:rsidR="00475082" w:rsidRPr="004A59B1">
        <w:rPr>
          <w:color w:val="000000"/>
          <w:szCs w:val="22"/>
          <w:lang w:val="sl-SI"/>
        </w:rPr>
        <w:t xml:space="preserve">zdravilo </w:t>
      </w:r>
      <w:r w:rsidRPr="004A59B1">
        <w:rPr>
          <w:color w:val="000000"/>
          <w:szCs w:val="22"/>
          <w:lang w:val="sl-SI"/>
        </w:rPr>
        <w:t xml:space="preserve">Glivec v odmerku 400 mg </w:t>
      </w:r>
      <w:r w:rsidR="00475082" w:rsidRPr="004A59B1">
        <w:rPr>
          <w:color w:val="000000"/>
          <w:szCs w:val="22"/>
          <w:lang w:val="sl-SI"/>
        </w:rPr>
        <w:t>na dan</w:t>
      </w:r>
      <w:r w:rsidRPr="004A59B1">
        <w:rPr>
          <w:color w:val="000000"/>
          <w:szCs w:val="22"/>
          <w:lang w:val="sl-SI"/>
        </w:rPr>
        <w:t>, drugi 3</w:t>
      </w:r>
      <w:r w:rsidR="00B771C9" w:rsidRPr="004A59B1">
        <w:rPr>
          <w:color w:val="000000"/>
          <w:szCs w:val="22"/>
          <w:lang w:val="sl-SI"/>
        </w:rPr>
        <w:t> </w:t>
      </w:r>
      <w:r w:rsidRPr="004A59B1">
        <w:rPr>
          <w:color w:val="000000"/>
          <w:szCs w:val="22"/>
          <w:lang w:val="sl-SI"/>
        </w:rPr>
        <w:t xml:space="preserve">bolniki pa so prejemali </w:t>
      </w:r>
      <w:r w:rsidR="00CF7C31" w:rsidRPr="004A59B1">
        <w:rPr>
          <w:color w:val="000000"/>
          <w:szCs w:val="22"/>
          <w:lang w:val="sl-SI"/>
        </w:rPr>
        <w:t xml:space="preserve">manjše </w:t>
      </w:r>
      <w:r w:rsidRPr="004A59B1">
        <w:rPr>
          <w:color w:val="000000"/>
          <w:szCs w:val="22"/>
          <w:lang w:val="sl-SI"/>
        </w:rPr>
        <w:t xml:space="preserve">odmerke. Pri enajstih bolnikih so odkrili </w:t>
      </w:r>
      <w:r w:rsidR="00812E86" w:rsidRPr="004A59B1">
        <w:rPr>
          <w:color w:val="000000"/>
          <w:szCs w:val="22"/>
          <w:lang w:val="sl-SI"/>
        </w:rPr>
        <w:t>preureditev</w:t>
      </w:r>
      <w:r w:rsidRPr="004A59B1">
        <w:rPr>
          <w:color w:val="000000"/>
          <w:szCs w:val="22"/>
          <w:lang w:val="sl-SI"/>
        </w:rPr>
        <w:t xml:space="preserve"> gena za PDGFR, 9</w:t>
      </w:r>
      <w:r w:rsidR="00475082" w:rsidRPr="004A59B1">
        <w:rPr>
          <w:color w:val="000000"/>
          <w:szCs w:val="22"/>
          <w:lang w:val="sl-SI"/>
        </w:rPr>
        <w:t> </w:t>
      </w:r>
      <w:r w:rsidRPr="004A59B1">
        <w:rPr>
          <w:color w:val="000000"/>
          <w:szCs w:val="22"/>
          <w:lang w:val="sl-SI"/>
        </w:rPr>
        <w:t>izmed njih je doseglo popolni hematološki odziv, 1 pa delni hematološki odziv.</w:t>
      </w:r>
      <w:r w:rsidRPr="004A59B1">
        <w:rPr>
          <w:rFonts w:eastAsia="MS Mincho"/>
          <w:color w:val="000000"/>
          <w:lang w:val="sl-SI" w:eastAsia="ja-JP"/>
        </w:rPr>
        <w:t xml:space="preserve"> Starost teh bolnikov je bila od 2 do 79 let</w:t>
      </w:r>
      <w:r w:rsidR="00370FFB" w:rsidRPr="004A59B1">
        <w:rPr>
          <w:rFonts w:eastAsia="MS Mincho"/>
          <w:color w:val="000000"/>
          <w:lang w:val="sl-SI" w:eastAsia="ja-JP"/>
        </w:rPr>
        <w:t>. Nedavno objavljeni dopolnjeni podatki za 6 od teh 11</w:t>
      </w:r>
      <w:r w:rsidR="00B771C9" w:rsidRPr="004A59B1">
        <w:rPr>
          <w:rFonts w:eastAsia="MS Mincho"/>
          <w:color w:val="000000"/>
          <w:lang w:val="sl-SI" w:eastAsia="ja-JP"/>
        </w:rPr>
        <w:t> </w:t>
      </w:r>
      <w:r w:rsidR="00370FFB" w:rsidRPr="004A59B1">
        <w:rPr>
          <w:rFonts w:eastAsia="MS Mincho"/>
          <w:color w:val="000000"/>
          <w:lang w:val="sl-SI" w:eastAsia="ja-JP"/>
        </w:rPr>
        <w:t xml:space="preserve">bolnikov razkrivajo, da so vsi ti bolniki ostali v citogenetični remisiji (po 32 do 38 mesecih). V isti publikaciji poročajo o podatkih z dolgoročnih kontrolnih pregledov za 12 bolnikov z MDS/MPD s </w:t>
      </w:r>
      <w:r w:rsidR="00812E86" w:rsidRPr="004A59B1">
        <w:rPr>
          <w:rFonts w:eastAsia="MS Mincho"/>
          <w:color w:val="000000"/>
          <w:lang w:val="sl-SI" w:eastAsia="ja-JP"/>
        </w:rPr>
        <w:t>preureditvijo</w:t>
      </w:r>
      <w:r w:rsidR="00370FFB" w:rsidRPr="004A59B1">
        <w:rPr>
          <w:rFonts w:eastAsia="MS Mincho"/>
          <w:color w:val="000000"/>
          <w:lang w:val="sl-SI" w:eastAsia="ja-JP"/>
        </w:rPr>
        <w:t xml:space="preserve"> gena za PDGFR (5</w:t>
      </w:r>
      <w:r w:rsidR="00B771C9" w:rsidRPr="004A59B1">
        <w:rPr>
          <w:rFonts w:eastAsia="MS Mincho"/>
          <w:color w:val="000000"/>
          <w:lang w:val="sl-SI" w:eastAsia="ja-JP"/>
        </w:rPr>
        <w:t> </w:t>
      </w:r>
      <w:r w:rsidR="00370FFB" w:rsidRPr="004A59B1">
        <w:rPr>
          <w:rFonts w:eastAsia="MS Mincho"/>
          <w:color w:val="000000"/>
          <w:lang w:val="sl-SI" w:eastAsia="ja-JP"/>
        </w:rPr>
        <w:t xml:space="preserve">bolnikov iz študije B2225). Ti bolniki so prejemali </w:t>
      </w:r>
      <w:r w:rsidR="00475082" w:rsidRPr="004A59B1">
        <w:rPr>
          <w:rFonts w:eastAsia="MS Mincho"/>
          <w:color w:val="000000"/>
          <w:lang w:val="sl-SI" w:eastAsia="ja-JP"/>
        </w:rPr>
        <w:t xml:space="preserve">zdravilo </w:t>
      </w:r>
      <w:r w:rsidR="00370FFB" w:rsidRPr="004A59B1">
        <w:rPr>
          <w:rFonts w:eastAsia="MS Mincho"/>
          <w:color w:val="000000"/>
          <w:lang w:val="sl-SI" w:eastAsia="ja-JP"/>
        </w:rPr>
        <w:t>Glivec mediano 47 mesecev (od 24 dni do 60 mesecev). 6 od teh bolnikov zdaj spremljajo že več kot 4</w:t>
      </w:r>
      <w:r w:rsidR="00B771C9" w:rsidRPr="004A59B1">
        <w:rPr>
          <w:rFonts w:eastAsia="MS Mincho"/>
          <w:color w:val="000000"/>
          <w:lang w:val="sl-SI" w:eastAsia="ja-JP"/>
        </w:rPr>
        <w:t> </w:t>
      </w:r>
      <w:r w:rsidR="00370FFB" w:rsidRPr="004A59B1">
        <w:rPr>
          <w:rFonts w:eastAsia="MS Mincho"/>
          <w:color w:val="000000"/>
          <w:lang w:val="sl-SI" w:eastAsia="ja-JP"/>
        </w:rPr>
        <w:t xml:space="preserve">leta. </w:t>
      </w:r>
      <w:r w:rsidR="007E1435" w:rsidRPr="004A59B1">
        <w:rPr>
          <w:rFonts w:eastAsia="MS Mincho"/>
          <w:color w:val="000000"/>
          <w:lang w:val="sl-SI" w:eastAsia="ja-JP"/>
        </w:rPr>
        <w:t>11</w:t>
      </w:r>
      <w:r w:rsidR="00B771C9" w:rsidRPr="004A59B1">
        <w:rPr>
          <w:rFonts w:eastAsia="MS Mincho"/>
          <w:color w:val="000000"/>
          <w:lang w:val="sl-SI" w:eastAsia="ja-JP"/>
        </w:rPr>
        <w:t> </w:t>
      </w:r>
      <w:r w:rsidR="007E1435" w:rsidRPr="004A59B1">
        <w:rPr>
          <w:rFonts w:eastAsia="MS Mincho"/>
          <w:color w:val="000000"/>
          <w:lang w:val="sl-SI" w:eastAsia="ja-JP"/>
        </w:rPr>
        <w:t>bolnikov je doseglo hiter popolni hematološki odziv, pri desetih je prišlo do popolne normalizacije citogenetičnih nepravilnosti in zmanjšanja oziroma izginotja fuzijskih transkriptov</w:t>
      </w:r>
      <w:r w:rsidR="00C13895" w:rsidRPr="004A59B1">
        <w:rPr>
          <w:rFonts w:eastAsia="MS Mincho"/>
          <w:color w:val="000000"/>
          <w:lang w:val="sl-SI" w:eastAsia="ja-JP"/>
        </w:rPr>
        <w:t xml:space="preserve">, kot so izmerili </w:t>
      </w:r>
      <w:r w:rsidR="007E1435" w:rsidRPr="004A59B1">
        <w:rPr>
          <w:rFonts w:eastAsia="MS Mincho"/>
          <w:color w:val="000000"/>
          <w:lang w:val="sl-SI" w:eastAsia="ja-JP"/>
        </w:rPr>
        <w:t xml:space="preserve">z </w:t>
      </w:r>
      <w:r w:rsidR="00C13895" w:rsidRPr="004A59B1">
        <w:rPr>
          <w:rFonts w:eastAsia="MS Mincho"/>
          <w:color w:val="000000"/>
          <w:lang w:val="sl-SI" w:eastAsia="ja-JP"/>
        </w:rPr>
        <w:t>verižno reakcijo s polimerazo v realnem času</w:t>
      </w:r>
      <w:r w:rsidR="00475082" w:rsidRPr="004A59B1">
        <w:rPr>
          <w:rFonts w:eastAsia="MS Mincho"/>
          <w:color w:val="000000"/>
          <w:lang w:val="sl-SI" w:eastAsia="ja-JP"/>
        </w:rPr>
        <w:t xml:space="preserve"> (RT-PCR</w:t>
      </w:r>
      <w:r w:rsidR="00C13895" w:rsidRPr="004A59B1">
        <w:rPr>
          <w:rFonts w:eastAsia="MS Mincho"/>
          <w:color w:val="000000"/>
          <w:lang w:val="sl-SI" w:eastAsia="ja-JP"/>
        </w:rPr>
        <w:t>)</w:t>
      </w:r>
      <w:r w:rsidR="007E1435" w:rsidRPr="004A59B1">
        <w:rPr>
          <w:rFonts w:eastAsia="MS Mincho"/>
          <w:color w:val="000000"/>
          <w:lang w:val="sl-SI" w:eastAsia="ja-JP"/>
        </w:rPr>
        <w:t>.</w:t>
      </w:r>
      <w:r w:rsidR="0014436C" w:rsidRPr="004A59B1">
        <w:rPr>
          <w:rFonts w:eastAsia="MS Mincho"/>
          <w:color w:val="000000"/>
          <w:lang w:val="sl-SI" w:eastAsia="ja-JP"/>
        </w:rPr>
        <w:t xml:space="preserve"> Hematološki odzivi so ostali enaki mediano 49 mesecev (od 19 do 60), citogenetični odzivi pa 47 mesecev (od 16 do 59). Celotno preživetje je 65 mesecev od postavitve diagnoze (od 25 do 234 mesecev). Uporaba zdravila Glivec pri bolnikih brez genetske translokacije večinoma ni povzročila izboljšanja.</w:t>
      </w:r>
    </w:p>
    <w:p w14:paraId="52979B19" w14:textId="77777777" w:rsidR="003C01F9" w:rsidRPr="004A59B1" w:rsidRDefault="003C01F9" w:rsidP="009C1193">
      <w:pPr>
        <w:pStyle w:val="EndnoteText"/>
        <w:widowControl w:val="0"/>
        <w:tabs>
          <w:tab w:val="clear" w:pos="567"/>
        </w:tabs>
        <w:rPr>
          <w:color w:val="000000"/>
          <w:szCs w:val="22"/>
          <w:lang w:val="sl-SI"/>
        </w:rPr>
      </w:pPr>
    </w:p>
    <w:p w14:paraId="52979B1A" w14:textId="77777777" w:rsidR="003C01F9" w:rsidRPr="004A59B1" w:rsidRDefault="003C01F9" w:rsidP="009C1193">
      <w:pPr>
        <w:pStyle w:val="EndnoteText"/>
        <w:widowControl w:val="0"/>
        <w:tabs>
          <w:tab w:val="clear" w:pos="567"/>
        </w:tabs>
        <w:rPr>
          <w:color w:val="000000"/>
          <w:szCs w:val="22"/>
          <w:lang w:val="sl-SI"/>
        </w:rPr>
      </w:pPr>
      <w:r w:rsidRPr="004A59B1">
        <w:rPr>
          <w:color w:val="000000"/>
          <w:szCs w:val="22"/>
          <w:lang w:val="sl-SI"/>
        </w:rPr>
        <w:t>Pri pediatričnih bolnikih z MDS/MPD niso opravili noben</w:t>
      </w:r>
      <w:r w:rsidR="004F22E9" w:rsidRPr="004A59B1">
        <w:rPr>
          <w:color w:val="000000"/>
          <w:szCs w:val="22"/>
          <w:lang w:val="sl-SI"/>
        </w:rPr>
        <w:t>ega</w:t>
      </w:r>
      <w:r w:rsidRPr="004A59B1">
        <w:rPr>
          <w:color w:val="000000"/>
          <w:szCs w:val="22"/>
          <w:lang w:val="sl-SI"/>
        </w:rPr>
        <w:t xml:space="preserve"> kontroliran</w:t>
      </w:r>
      <w:r w:rsidR="004F22E9" w:rsidRPr="004A59B1">
        <w:rPr>
          <w:color w:val="000000"/>
          <w:szCs w:val="22"/>
          <w:lang w:val="sl-SI"/>
        </w:rPr>
        <w:t>ega</w:t>
      </w:r>
      <w:r w:rsidRPr="004A59B1">
        <w:rPr>
          <w:color w:val="000000"/>
          <w:szCs w:val="22"/>
          <w:lang w:val="sl-SI"/>
        </w:rPr>
        <w:t xml:space="preserve"> </w:t>
      </w:r>
      <w:r w:rsidR="004F22E9" w:rsidRPr="004A59B1">
        <w:rPr>
          <w:color w:val="000000"/>
          <w:szCs w:val="22"/>
          <w:lang w:val="sl-SI"/>
        </w:rPr>
        <w:t>preskušanja</w:t>
      </w:r>
      <w:r w:rsidRPr="004A59B1">
        <w:rPr>
          <w:color w:val="000000"/>
          <w:szCs w:val="22"/>
          <w:lang w:val="sl-SI"/>
        </w:rPr>
        <w:t xml:space="preserve">. V 4 publikacijah so objavljeni podatki </w:t>
      </w:r>
      <w:r w:rsidR="00B87CFD" w:rsidRPr="004A59B1">
        <w:rPr>
          <w:color w:val="000000"/>
          <w:szCs w:val="22"/>
          <w:lang w:val="sl-SI"/>
        </w:rPr>
        <w:t>petih (</w:t>
      </w:r>
      <w:r w:rsidRPr="004A59B1">
        <w:rPr>
          <w:color w:val="000000"/>
          <w:szCs w:val="22"/>
          <w:lang w:val="sl-SI"/>
        </w:rPr>
        <w:t>5</w:t>
      </w:r>
      <w:r w:rsidR="00B87CFD" w:rsidRPr="004A59B1">
        <w:rPr>
          <w:color w:val="000000"/>
          <w:szCs w:val="22"/>
          <w:lang w:val="sl-SI"/>
        </w:rPr>
        <w:t>)</w:t>
      </w:r>
      <w:r w:rsidRPr="004A59B1">
        <w:rPr>
          <w:color w:val="000000"/>
          <w:szCs w:val="22"/>
          <w:lang w:val="sl-SI"/>
        </w:rPr>
        <w:t xml:space="preserve"> bolnikov </w:t>
      </w:r>
      <w:r w:rsidRPr="004A59B1">
        <w:rPr>
          <w:rFonts w:eastAsia="MS Mincho"/>
          <w:color w:val="000000"/>
          <w:lang w:val="sl-SI" w:eastAsia="ja-JP"/>
        </w:rPr>
        <w:t>z MDS/MPD s preureditvijo gena za PDGFR. Ti bolniki so bili stari od 3 </w:t>
      </w:r>
      <w:r w:rsidR="00D30760" w:rsidRPr="004A59B1">
        <w:rPr>
          <w:rFonts w:eastAsia="MS Mincho"/>
          <w:lang w:val="sl-SI"/>
        </w:rPr>
        <w:t>mesece</w:t>
      </w:r>
      <w:r w:rsidRPr="004A59B1">
        <w:rPr>
          <w:rFonts w:eastAsia="MS Mincho"/>
          <w:lang w:val="sl-SI"/>
        </w:rPr>
        <w:t xml:space="preserve"> do 4 leta, imatinib pa so prejemali v </w:t>
      </w:r>
      <w:r w:rsidR="00421499" w:rsidRPr="004A59B1">
        <w:rPr>
          <w:rFonts w:eastAsia="MS Mincho"/>
          <w:lang w:val="sl-SI"/>
        </w:rPr>
        <w:t xml:space="preserve">odmerku 50 mg na dan oziroma v </w:t>
      </w:r>
      <w:r w:rsidRPr="004A59B1">
        <w:rPr>
          <w:rFonts w:eastAsia="MS Mincho"/>
          <w:lang w:val="sl-SI"/>
        </w:rPr>
        <w:t xml:space="preserve">odmerkih od </w:t>
      </w:r>
      <w:r w:rsidRPr="004A59B1">
        <w:rPr>
          <w:color w:val="000000"/>
          <w:szCs w:val="22"/>
          <w:lang w:val="sl-SI"/>
        </w:rPr>
        <w:t>92,5</w:t>
      </w:r>
      <w:r w:rsidR="00C824E3" w:rsidRPr="004A59B1">
        <w:rPr>
          <w:color w:val="000000"/>
          <w:szCs w:val="22"/>
          <w:lang w:val="sl-SI"/>
        </w:rPr>
        <w:t> </w:t>
      </w:r>
      <w:r w:rsidR="007D70C5" w:rsidRPr="004A59B1">
        <w:rPr>
          <w:color w:val="000000"/>
          <w:szCs w:val="22"/>
          <w:lang w:val="sl-SI"/>
        </w:rPr>
        <w:t>mg/m</w:t>
      </w:r>
      <w:r w:rsidR="007D70C5" w:rsidRPr="004A59B1">
        <w:rPr>
          <w:color w:val="000000"/>
          <w:szCs w:val="22"/>
          <w:vertAlign w:val="superscript"/>
          <w:lang w:val="sl-SI"/>
        </w:rPr>
        <w:t>2</w:t>
      </w:r>
      <w:r w:rsidR="007D70C5" w:rsidRPr="004A59B1">
        <w:rPr>
          <w:color w:val="000000"/>
          <w:szCs w:val="22"/>
          <w:lang w:val="sl-SI"/>
        </w:rPr>
        <w:t xml:space="preserve"> </w:t>
      </w:r>
      <w:r w:rsidRPr="004A59B1">
        <w:rPr>
          <w:color w:val="000000"/>
          <w:szCs w:val="22"/>
          <w:lang w:val="sl-SI"/>
        </w:rPr>
        <w:t>do 340 mg/m</w:t>
      </w:r>
      <w:r w:rsidRPr="004A59B1">
        <w:rPr>
          <w:color w:val="000000"/>
          <w:szCs w:val="22"/>
          <w:vertAlign w:val="superscript"/>
          <w:lang w:val="sl-SI"/>
        </w:rPr>
        <w:t>2</w:t>
      </w:r>
      <w:r w:rsidRPr="004A59B1">
        <w:rPr>
          <w:color w:val="000000"/>
          <w:szCs w:val="22"/>
          <w:lang w:val="sl-SI"/>
        </w:rPr>
        <w:t xml:space="preserve"> na dan. Pri vseh bolnikih je prišlo do popolnega hematološkega odziva, do citogenetičnega odziva in/ali do kliničnega odziva.</w:t>
      </w:r>
    </w:p>
    <w:p w14:paraId="52979B1B" w14:textId="77777777" w:rsidR="003C01F9" w:rsidRPr="004A59B1" w:rsidRDefault="003C01F9" w:rsidP="009C1193">
      <w:pPr>
        <w:pStyle w:val="EndnoteText"/>
        <w:widowControl w:val="0"/>
        <w:tabs>
          <w:tab w:val="clear" w:pos="567"/>
        </w:tabs>
        <w:rPr>
          <w:color w:val="000000"/>
          <w:szCs w:val="22"/>
          <w:u w:val="single"/>
          <w:lang w:val="sl-SI"/>
        </w:rPr>
      </w:pPr>
    </w:p>
    <w:p w14:paraId="52979B1C" w14:textId="77777777" w:rsidR="001E106A" w:rsidRPr="004A59B1" w:rsidRDefault="001E106A" w:rsidP="009C1193">
      <w:pPr>
        <w:pStyle w:val="EndnoteText"/>
        <w:keepNext/>
        <w:widowControl w:val="0"/>
        <w:tabs>
          <w:tab w:val="clear" w:pos="567"/>
        </w:tabs>
        <w:rPr>
          <w:color w:val="000000"/>
          <w:szCs w:val="22"/>
          <w:u w:val="single"/>
          <w:lang w:val="sl-SI"/>
        </w:rPr>
      </w:pPr>
      <w:r w:rsidRPr="004A59B1">
        <w:rPr>
          <w:color w:val="000000"/>
          <w:szCs w:val="22"/>
          <w:u w:val="single"/>
          <w:lang w:val="sl-SI"/>
        </w:rPr>
        <w:t>Klinične študije pri HES/CEL</w:t>
      </w:r>
    </w:p>
    <w:p w14:paraId="52979B1D" w14:textId="77777777" w:rsidR="006F3C2E" w:rsidRPr="004A59B1" w:rsidRDefault="006F3C2E" w:rsidP="009C1193">
      <w:pPr>
        <w:pStyle w:val="Text"/>
        <w:widowControl w:val="0"/>
        <w:spacing w:before="0"/>
        <w:jc w:val="left"/>
        <w:rPr>
          <w:rFonts w:eastAsia="MS Mincho"/>
          <w:color w:val="000000"/>
          <w:sz w:val="22"/>
          <w:lang w:val="sl-SI" w:eastAsia="ja-JP"/>
        </w:rPr>
      </w:pPr>
      <w:r w:rsidRPr="004A59B1">
        <w:rPr>
          <w:rFonts w:eastAsia="MS Mincho"/>
          <w:color w:val="000000"/>
          <w:sz w:val="22"/>
          <w:lang w:val="sl-SI" w:eastAsia="ja-JP"/>
        </w:rPr>
        <w:t xml:space="preserve">V enem odprtem multicentričnem kliničnem preskušanju faze II (študija B2225) so preskušali </w:t>
      </w:r>
      <w:r w:rsidR="00475082" w:rsidRPr="004A59B1">
        <w:rPr>
          <w:rFonts w:eastAsia="MS Mincho"/>
          <w:color w:val="000000"/>
          <w:sz w:val="22"/>
          <w:lang w:val="sl-SI" w:eastAsia="ja-JP"/>
        </w:rPr>
        <w:t xml:space="preserve">zdravilo </w:t>
      </w:r>
      <w:r w:rsidRPr="004A59B1">
        <w:rPr>
          <w:rFonts w:eastAsia="MS Mincho"/>
          <w:color w:val="000000"/>
          <w:sz w:val="22"/>
          <w:lang w:val="sl-SI" w:eastAsia="ja-JP"/>
        </w:rPr>
        <w:t>Glivec pri različnih populacijah bolnikov z življen</w:t>
      </w:r>
      <w:r w:rsidR="00475082" w:rsidRPr="004A59B1">
        <w:rPr>
          <w:rFonts w:eastAsia="MS Mincho"/>
          <w:color w:val="000000"/>
          <w:sz w:val="22"/>
          <w:lang w:val="sl-SI" w:eastAsia="ja-JP"/>
        </w:rPr>
        <w:t>sko</w:t>
      </w:r>
      <w:r w:rsidRPr="004A59B1">
        <w:rPr>
          <w:rFonts w:eastAsia="MS Mincho"/>
          <w:color w:val="000000"/>
          <w:sz w:val="22"/>
          <w:lang w:val="sl-SI" w:eastAsia="ja-JP"/>
        </w:rPr>
        <w:t xml:space="preserve"> ogrožujočimi boleznimi v povezavi z Abl, Kit ali PDGFR protein tirozin kinazami. </w:t>
      </w:r>
      <w:r w:rsidR="00FE241E" w:rsidRPr="004A59B1">
        <w:rPr>
          <w:rFonts w:eastAsia="MS Mincho"/>
          <w:color w:val="000000"/>
          <w:sz w:val="22"/>
          <w:lang w:val="sl-SI" w:eastAsia="ja-JP"/>
        </w:rPr>
        <w:t>V tej študiji je 14</w:t>
      </w:r>
      <w:r w:rsidR="007C2118" w:rsidRPr="004A59B1">
        <w:rPr>
          <w:rFonts w:eastAsia="MS Mincho"/>
          <w:color w:val="000000"/>
          <w:sz w:val="22"/>
          <w:lang w:val="sl-SI" w:eastAsia="ja-JP"/>
        </w:rPr>
        <w:t> </w:t>
      </w:r>
      <w:r w:rsidR="00FE241E" w:rsidRPr="004A59B1">
        <w:rPr>
          <w:rFonts w:eastAsia="MS Mincho"/>
          <w:color w:val="000000"/>
          <w:sz w:val="22"/>
          <w:lang w:val="sl-SI" w:eastAsia="ja-JP"/>
        </w:rPr>
        <w:t>bolnikov s HES/CEL prejemalo od 100 mg do 1.000 mg</w:t>
      </w:r>
      <w:r w:rsidR="00475082" w:rsidRPr="004A59B1">
        <w:rPr>
          <w:rFonts w:eastAsia="MS Mincho"/>
          <w:color w:val="000000"/>
          <w:sz w:val="22"/>
          <w:lang w:val="sl-SI" w:eastAsia="ja-JP"/>
        </w:rPr>
        <w:t xml:space="preserve"> zdravila </w:t>
      </w:r>
      <w:r w:rsidR="00FE241E" w:rsidRPr="004A59B1">
        <w:rPr>
          <w:rFonts w:eastAsia="MS Mincho"/>
          <w:color w:val="000000"/>
          <w:sz w:val="22"/>
          <w:lang w:val="sl-SI" w:eastAsia="ja-JP"/>
        </w:rPr>
        <w:t xml:space="preserve">Glivec </w:t>
      </w:r>
      <w:r w:rsidR="00475082" w:rsidRPr="004A59B1">
        <w:rPr>
          <w:rFonts w:eastAsia="MS Mincho"/>
          <w:color w:val="000000"/>
          <w:sz w:val="22"/>
          <w:lang w:val="sl-SI" w:eastAsia="ja-JP"/>
        </w:rPr>
        <w:t>na dan</w:t>
      </w:r>
      <w:r w:rsidR="00FE241E" w:rsidRPr="004A59B1">
        <w:rPr>
          <w:rFonts w:eastAsia="MS Mincho"/>
          <w:color w:val="000000"/>
          <w:sz w:val="22"/>
          <w:lang w:val="sl-SI" w:eastAsia="ja-JP"/>
        </w:rPr>
        <w:t>. Nadaljnjih 162</w:t>
      </w:r>
      <w:r w:rsidR="007C2118" w:rsidRPr="004A59B1">
        <w:rPr>
          <w:rFonts w:eastAsia="MS Mincho"/>
          <w:color w:val="000000"/>
          <w:sz w:val="22"/>
          <w:lang w:val="sl-SI" w:eastAsia="ja-JP"/>
        </w:rPr>
        <w:t> </w:t>
      </w:r>
      <w:r w:rsidR="00FE241E" w:rsidRPr="004A59B1">
        <w:rPr>
          <w:rFonts w:eastAsia="MS Mincho"/>
          <w:color w:val="000000"/>
          <w:sz w:val="22"/>
          <w:lang w:val="sl-SI" w:eastAsia="ja-JP"/>
        </w:rPr>
        <w:t>bolnikov</w:t>
      </w:r>
      <w:r w:rsidR="00475082" w:rsidRPr="004A59B1">
        <w:rPr>
          <w:rFonts w:eastAsia="MS Mincho"/>
          <w:color w:val="000000"/>
          <w:sz w:val="22"/>
          <w:lang w:val="sl-SI" w:eastAsia="ja-JP"/>
        </w:rPr>
        <w:t xml:space="preserve"> </w:t>
      </w:r>
      <w:r w:rsidR="00FE241E" w:rsidRPr="004A59B1">
        <w:rPr>
          <w:rFonts w:eastAsia="MS Mincho"/>
          <w:color w:val="000000"/>
          <w:sz w:val="22"/>
          <w:lang w:val="sl-SI" w:eastAsia="ja-JP"/>
        </w:rPr>
        <w:t>s HES/CEL, o katerih so poročali v 35</w:t>
      </w:r>
      <w:r w:rsidR="007C2118" w:rsidRPr="004A59B1">
        <w:rPr>
          <w:rFonts w:eastAsia="MS Mincho"/>
          <w:color w:val="000000"/>
          <w:sz w:val="22"/>
          <w:lang w:val="sl-SI" w:eastAsia="ja-JP"/>
        </w:rPr>
        <w:t> </w:t>
      </w:r>
      <w:r w:rsidR="00FE241E" w:rsidRPr="004A59B1">
        <w:rPr>
          <w:rFonts w:eastAsia="MS Mincho"/>
          <w:color w:val="000000"/>
          <w:sz w:val="22"/>
          <w:lang w:val="sl-SI" w:eastAsia="ja-JP"/>
        </w:rPr>
        <w:t xml:space="preserve">objavljenih opisih primerov in skupinah primerov, je prejemalo </w:t>
      </w:r>
      <w:r w:rsidR="00475082" w:rsidRPr="004A59B1">
        <w:rPr>
          <w:rFonts w:eastAsia="MS Mincho"/>
          <w:color w:val="000000"/>
          <w:sz w:val="22"/>
          <w:lang w:val="sl-SI" w:eastAsia="ja-JP"/>
        </w:rPr>
        <w:t xml:space="preserve">zdravilo </w:t>
      </w:r>
      <w:r w:rsidR="00FE241E" w:rsidRPr="004A59B1">
        <w:rPr>
          <w:rFonts w:eastAsia="MS Mincho"/>
          <w:color w:val="000000"/>
          <w:sz w:val="22"/>
          <w:lang w:val="sl-SI" w:eastAsia="ja-JP"/>
        </w:rPr>
        <w:t xml:space="preserve">Glivec v odmerkih od 75 mg do 800 mg </w:t>
      </w:r>
      <w:r w:rsidR="00475082" w:rsidRPr="004A59B1">
        <w:rPr>
          <w:rFonts w:eastAsia="MS Mincho"/>
          <w:color w:val="000000"/>
          <w:sz w:val="22"/>
          <w:lang w:val="sl-SI" w:eastAsia="ja-JP"/>
        </w:rPr>
        <w:t>na dan</w:t>
      </w:r>
      <w:r w:rsidR="00FE241E" w:rsidRPr="004A59B1">
        <w:rPr>
          <w:rFonts w:eastAsia="MS Mincho"/>
          <w:color w:val="000000"/>
          <w:sz w:val="22"/>
          <w:lang w:val="sl-SI" w:eastAsia="ja-JP"/>
        </w:rPr>
        <w:t>. Citogenetske nepravilnosti so pregledali pri 117</w:t>
      </w:r>
      <w:r w:rsidR="007C2118" w:rsidRPr="004A59B1">
        <w:rPr>
          <w:rFonts w:eastAsia="MS Mincho"/>
          <w:color w:val="000000"/>
          <w:sz w:val="22"/>
          <w:lang w:val="sl-SI" w:eastAsia="ja-JP"/>
        </w:rPr>
        <w:t> </w:t>
      </w:r>
      <w:r w:rsidR="00FE241E" w:rsidRPr="004A59B1">
        <w:rPr>
          <w:rFonts w:eastAsia="MS Mincho"/>
          <w:color w:val="000000"/>
          <w:sz w:val="22"/>
          <w:lang w:val="sl-SI" w:eastAsia="ja-JP"/>
        </w:rPr>
        <w:t>bolnikih od celotne populacije 176</w:t>
      </w:r>
      <w:r w:rsidR="007C2118" w:rsidRPr="004A59B1">
        <w:rPr>
          <w:rFonts w:eastAsia="MS Mincho"/>
          <w:color w:val="000000"/>
          <w:sz w:val="22"/>
          <w:lang w:val="sl-SI" w:eastAsia="ja-JP"/>
        </w:rPr>
        <w:t> </w:t>
      </w:r>
      <w:r w:rsidR="00FE241E" w:rsidRPr="004A59B1">
        <w:rPr>
          <w:rFonts w:eastAsia="MS Mincho"/>
          <w:color w:val="000000"/>
          <w:sz w:val="22"/>
          <w:lang w:val="sl-SI" w:eastAsia="ja-JP"/>
        </w:rPr>
        <w:t xml:space="preserve">bolnikov. </w:t>
      </w:r>
      <w:r w:rsidR="007F3DFC" w:rsidRPr="004A59B1">
        <w:rPr>
          <w:rFonts w:eastAsia="MS Mincho"/>
          <w:color w:val="000000"/>
          <w:sz w:val="22"/>
          <w:lang w:val="sl-SI" w:eastAsia="ja-JP"/>
        </w:rPr>
        <w:t>Pri 61 od teh 117</w:t>
      </w:r>
      <w:r w:rsidR="00340354" w:rsidRPr="004A59B1">
        <w:rPr>
          <w:rFonts w:eastAsia="MS Mincho"/>
          <w:color w:val="000000"/>
          <w:sz w:val="22"/>
          <w:lang w:val="sl-SI" w:eastAsia="ja-JP"/>
        </w:rPr>
        <w:t> </w:t>
      </w:r>
      <w:r w:rsidR="007F3DFC" w:rsidRPr="004A59B1">
        <w:rPr>
          <w:rFonts w:eastAsia="MS Mincho"/>
          <w:color w:val="000000"/>
          <w:sz w:val="22"/>
          <w:lang w:val="sl-SI" w:eastAsia="ja-JP"/>
        </w:rPr>
        <w:t xml:space="preserve">bolnikov so odkrili </w:t>
      </w:r>
      <w:r w:rsidR="007F3DFC" w:rsidRPr="004A59B1">
        <w:rPr>
          <w:color w:val="000000"/>
          <w:sz w:val="22"/>
          <w:szCs w:val="22"/>
          <w:lang w:val="sl-SI"/>
        </w:rPr>
        <w:t>FIP1L1-PDGFR</w:t>
      </w:r>
      <w:r w:rsidR="007F3DFC" w:rsidRPr="004A59B1">
        <w:rPr>
          <w:color w:val="000000"/>
          <w:sz w:val="22"/>
          <w:szCs w:val="22"/>
          <w:lang w:val="en-GB"/>
        </w:rPr>
        <w:t>α</w:t>
      </w:r>
      <w:r w:rsidR="007F3DFC" w:rsidRPr="004A59B1">
        <w:rPr>
          <w:color w:val="000000"/>
          <w:sz w:val="22"/>
          <w:szCs w:val="22"/>
          <w:lang w:val="sl-SI"/>
        </w:rPr>
        <w:t xml:space="preserve"> fuzijsko kinazo. </w:t>
      </w:r>
      <w:r w:rsidR="00360DFD" w:rsidRPr="004A59B1">
        <w:rPr>
          <w:color w:val="000000"/>
          <w:sz w:val="22"/>
          <w:szCs w:val="22"/>
          <w:lang w:val="sl-SI"/>
        </w:rPr>
        <w:t>FIP1L1-PDGFR</w:t>
      </w:r>
      <w:r w:rsidR="00360DFD" w:rsidRPr="004A59B1">
        <w:rPr>
          <w:color w:val="000000"/>
          <w:sz w:val="22"/>
          <w:szCs w:val="22"/>
          <w:lang w:val="en-GB"/>
        </w:rPr>
        <w:t>α</w:t>
      </w:r>
      <w:r w:rsidR="00360DFD" w:rsidRPr="004A59B1">
        <w:rPr>
          <w:color w:val="000000"/>
          <w:sz w:val="22"/>
          <w:szCs w:val="22"/>
          <w:lang w:val="sl-SI"/>
        </w:rPr>
        <w:t xml:space="preserve"> pozitivni so bili še štirje bolniki s HES, ki so jih opisovali v drugih 3</w:t>
      </w:r>
      <w:r w:rsidR="00340354" w:rsidRPr="004A59B1">
        <w:rPr>
          <w:color w:val="000000"/>
          <w:sz w:val="22"/>
          <w:szCs w:val="22"/>
          <w:lang w:val="sl-SI"/>
        </w:rPr>
        <w:t> </w:t>
      </w:r>
      <w:r w:rsidR="00360DFD" w:rsidRPr="004A59B1">
        <w:rPr>
          <w:color w:val="000000"/>
          <w:sz w:val="22"/>
          <w:szCs w:val="22"/>
          <w:lang w:val="sl-SI"/>
        </w:rPr>
        <w:t xml:space="preserve">objavljenih poročilih. </w:t>
      </w:r>
      <w:r w:rsidR="00C63CEA" w:rsidRPr="004A59B1">
        <w:rPr>
          <w:color w:val="000000"/>
          <w:sz w:val="22"/>
          <w:szCs w:val="22"/>
          <w:lang w:val="sl-SI"/>
        </w:rPr>
        <w:t>Vseh 65</w:t>
      </w:r>
      <w:r w:rsidR="00340354" w:rsidRPr="004A59B1">
        <w:rPr>
          <w:color w:val="000000"/>
          <w:sz w:val="22"/>
          <w:szCs w:val="22"/>
          <w:lang w:val="sl-SI"/>
        </w:rPr>
        <w:t> </w:t>
      </w:r>
      <w:r w:rsidR="00C63CEA" w:rsidRPr="004A59B1">
        <w:rPr>
          <w:color w:val="000000"/>
          <w:sz w:val="22"/>
          <w:szCs w:val="22"/>
          <w:lang w:val="sl-SI"/>
        </w:rPr>
        <w:t>bolnikov z dokazano FIP1L1-PDGFR</w:t>
      </w:r>
      <w:r w:rsidR="00C63CEA" w:rsidRPr="004A59B1">
        <w:rPr>
          <w:color w:val="000000"/>
          <w:sz w:val="22"/>
          <w:szCs w:val="22"/>
          <w:lang w:val="en-GB"/>
        </w:rPr>
        <w:t>α</w:t>
      </w:r>
      <w:r w:rsidR="00C63CEA" w:rsidRPr="004A59B1">
        <w:rPr>
          <w:color w:val="000000"/>
          <w:sz w:val="22"/>
          <w:szCs w:val="22"/>
          <w:lang w:val="sl-SI"/>
        </w:rPr>
        <w:t xml:space="preserve"> fuzijsko kinazo je doseglo popolni hematološki odziv in ga ohranilo mesece (od več kot 1 mesec do več kot 4</w:t>
      </w:r>
      <w:r w:rsidR="00AA7BF9" w:rsidRPr="004A59B1">
        <w:rPr>
          <w:color w:val="000000"/>
          <w:sz w:val="22"/>
          <w:szCs w:val="22"/>
          <w:lang w:val="sl-SI"/>
        </w:rPr>
        <w:t>4</w:t>
      </w:r>
      <w:r w:rsidR="00C63CEA" w:rsidRPr="004A59B1">
        <w:rPr>
          <w:color w:val="000000"/>
          <w:sz w:val="22"/>
          <w:szCs w:val="22"/>
          <w:lang w:val="sl-SI"/>
        </w:rPr>
        <w:t> mesecev, ocenjeno v času poročanja). Kot so nedavno objavili, je 21</w:t>
      </w:r>
      <w:r w:rsidR="00967FE6" w:rsidRPr="004A59B1">
        <w:rPr>
          <w:color w:val="000000"/>
          <w:sz w:val="22"/>
          <w:szCs w:val="22"/>
          <w:lang w:val="sl-SI"/>
        </w:rPr>
        <w:t xml:space="preserve"> </w:t>
      </w:r>
      <w:r w:rsidR="00C63CEA" w:rsidRPr="004A59B1">
        <w:rPr>
          <w:color w:val="000000"/>
          <w:sz w:val="22"/>
          <w:szCs w:val="22"/>
          <w:lang w:val="sl-SI"/>
        </w:rPr>
        <w:t>od teh 65 bolnikov doseglo tudi popolno molekularno remisijo po mediano 28 mesecih spremljanja (od 13 do 67 mesecev). Ti bolniki so bili stari od 25 do 72 let. Poleg navedenega so raziskovalci v opisih primerov poročali tudi o izboljšanju simptomatike in nepravilnosti delovanja drugih organov</w:t>
      </w:r>
      <w:r w:rsidR="00343EAB" w:rsidRPr="004A59B1">
        <w:rPr>
          <w:color w:val="000000"/>
          <w:sz w:val="22"/>
          <w:szCs w:val="22"/>
          <w:lang w:val="sl-SI"/>
        </w:rPr>
        <w:t>.</w:t>
      </w:r>
      <w:r w:rsidR="00C63CEA" w:rsidRPr="004A59B1">
        <w:rPr>
          <w:color w:val="000000"/>
          <w:sz w:val="22"/>
          <w:szCs w:val="22"/>
          <w:lang w:val="sl-SI"/>
        </w:rPr>
        <w:t xml:space="preserve"> Navajali so izboljšanje </w:t>
      </w:r>
      <w:r w:rsidR="00292053" w:rsidRPr="004A59B1">
        <w:rPr>
          <w:color w:val="000000"/>
          <w:sz w:val="22"/>
          <w:szCs w:val="22"/>
          <w:lang w:val="sl-SI"/>
        </w:rPr>
        <w:t xml:space="preserve">na področju srca, živčevja, kože/podkožnega tkiva, dihalnega/torakalnega/mediastinalnega </w:t>
      </w:r>
      <w:r w:rsidR="00E70170" w:rsidRPr="004A59B1">
        <w:rPr>
          <w:color w:val="000000"/>
          <w:sz w:val="22"/>
          <w:szCs w:val="22"/>
          <w:lang w:val="sl-SI"/>
        </w:rPr>
        <w:t xml:space="preserve">organskega </w:t>
      </w:r>
      <w:r w:rsidR="00292053" w:rsidRPr="004A59B1">
        <w:rPr>
          <w:color w:val="000000"/>
          <w:sz w:val="22"/>
          <w:szCs w:val="22"/>
          <w:lang w:val="sl-SI"/>
        </w:rPr>
        <w:t xml:space="preserve">sistema, mišičnoskeletnega/vezivnotkivnega/žilnega </w:t>
      </w:r>
      <w:r w:rsidR="00E70170" w:rsidRPr="004A59B1">
        <w:rPr>
          <w:color w:val="000000"/>
          <w:sz w:val="22"/>
          <w:szCs w:val="22"/>
          <w:lang w:val="sl-SI"/>
        </w:rPr>
        <w:t xml:space="preserve">organskega </w:t>
      </w:r>
      <w:r w:rsidR="00292053" w:rsidRPr="004A59B1">
        <w:rPr>
          <w:color w:val="000000"/>
          <w:sz w:val="22"/>
          <w:szCs w:val="22"/>
          <w:lang w:val="sl-SI"/>
        </w:rPr>
        <w:t>sistema in prebavil.</w:t>
      </w:r>
    </w:p>
    <w:p w14:paraId="52979B1E" w14:textId="77777777" w:rsidR="001E106A" w:rsidRPr="004A59B1" w:rsidRDefault="001E106A" w:rsidP="009C1193">
      <w:pPr>
        <w:pStyle w:val="EndnoteText"/>
        <w:widowControl w:val="0"/>
        <w:tabs>
          <w:tab w:val="clear" w:pos="567"/>
        </w:tabs>
        <w:rPr>
          <w:color w:val="000000"/>
          <w:szCs w:val="22"/>
          <w:u w:val="single"/>
          <w:lang w:val="sl-SI"/>
        </w:rPr>
      </w:pPr>
    </w:p>
    <w:p w14:paraId="52979B1F" w14:textId="77777777" w:rsidR="003C01F9" w:rsidRPr="004A59B1" w:rsidRDefault="00C1061C" w:rsidP="009C1193">
      <w:pPr>
        <w:pStyle w:val="Text"/>
        <w:widowControl w:val="0"/>
        <w:spacing w:before="0"/>
        <w:jc w:val="left"/>
        <w:rPr>
          <w:color w:val="000000"/>
          <w:sz w:val="22"/>
          <w:szCs w:val="22"/>
          <w:lang w:val="sl-SI"/>
        </w:rPr>
      </w:pPr>
      <w:r w:rsidRPr="004A59B1">
        <w:rPr>
          <w:color w:val="000000"/>
          <w:sz w:val="22"/>
          <w:szCs w:val="22"/>
          <w:lang w:val="sl-SI"/>
        </w:rPr>
        <w:lastRenderedPageBreak/>
        <w:t>Pri pediatričnih bolnikih s HES/CEL niso opravili nobene</w:t>
      </w:r>
      <w:r w:rsidR="004F22E9" w:rsidRPr="004A59B1">
        <w:rPr>
          <w:color w:val="000000"/>
          <w:sz w:val="22"/>
          <w:szCs w:val="22"/>
          <w:lang w:val="sl-SI"/>
        </w:rPr>
        <w:t>ga</w:t>
      </w:r>
      <w:r w:rsidRPr="004A59B1">
        <w:rPr>
          <w:color w:val="000000"/>
          <w:sz w:val="22"/>
          <w:szCs w:val="22"/>
          <w:lang w:val="sl-SI"/>
        </w:rPr>
        <w:t xml:space="preserve"> kontrolirane</w:t>
      </w:r>
      <w:r w:rsidR="004F22E9" w:rsidRPr="004A59B1">
        <w:rPr>
          <w:color w:val="000000"/>
          <w:sz w:val="22"/>
          <w:szCs w:val="22"/>
          <w:lang w:val="sl-SI"/>
        </w:rPr>
        <w:t>ga</w:t>
      </w:r>
      <w:r w:rsidRPr="004A59B1">
        <w:rPr>
          <w:color w:val="000000"/>
          <w:sz w:val="22"/>
          <w:szCs w:val="22"/>
          <w:lang w:val="sl-SI"/>
        </w:rPr>
        <w:t xml:space="preserve"> </w:t>
      </w:r>
      <w:r w:rsidR="004F22E9" w:rsidRPr="004A59B1">
        <w:rPr>
          <w:color w:val="000000"/>
          <w:sz w:val="22"/>
          <w:szCs w:val="22"/>
          <w:lang w:val="sl-SI"/>
        </w:rPr>
        <w:t>preskušanja</w:t>
      </w:r>
      <w:r w:rsidRPr="004A59B1">
        <w:rPr>
          <w:color w:val="000000"/>
          <w:sz w:val="22"/>
          <w:szCs w:val="22"/>
          <w:lang w:val="sl-SI"/>
        </w:rPr>
        <w:t xml:space="preserve">. V 3 publikacijah so objavljeni podatki </w:t>
      </w:r>
      <w:r w:rsidR="00421499" w:rsidRPr="004A59B1">
        <w:rPr>
          <w:color w:val="000000"/>
          <w:sz w:val="22"/>
          <w:szCs w:val="22"/>
          <w:lang w:val="sl-SI"/>
        </w:rPr>
        <w:t>treh (</w:t>
      </w:r>
      <w:r w:rsidRPr="004A59B1">
        <w:rPr>
          <w:color w:val="000000"/>
          <w:sz w:val="22"/>
          <w:szCs w:val="22"/>
          <w:lang w:val="sl-SI"/>
        </w:rPr>
        <w:t>3</w:t>
      </w:r>
      <w:r w:rsidR="00421499" w:rsidRPr="004A59B1">
        <w:rPr>
          <w:color w:val="000000"/>
          <w:sz w:val="22"/>
          <w:szCs w:val="22"/>
          <w:lang w:val="sl-SI"/>
        </w:rPr>
        <w:t>)</w:t>
      </w:r>
      <w:r w:rsidRPr="004A59B1">
        <w:rPr>
          <w:color w:val="000000"/>
          <w:sz w:val="22"/>
          <w:szCs w:val="22"/>
          <w:lang w:val="sl-SI"/>
        </w:rPr>
        <w:t> bolnikov s HES</w:t>
      </w:r>
      <w:r w:rsidR="00420CF2" w:rsidRPr="004A59B1">
        <w:rPr>
          <w:color w:val="000000"/>
          <w:sz w:val="22"/>
          <w:szCs w:val="22"/>
          <w:lang w:val="sl-SI"/>
        </w:rPr>
        <w:t xml:space="preserve"> </w:t>
      </w:r>
      <w:r w:rsidR="00EA49ED" w:rsidRPr="004A59B1">
        <w:rPr>
          <w:color w:val="000000"/>
          <w:sz w:val="22"/>
          <w:szCs w:val="22"/>
          <w:lang w:val="sl-SI"/>
        </w:rPr>
        <w:t xml:space="preserve">oziroma </w:t>
      </w:r>
      <w:r w:rsidRPr="004A59B1">
        <w:rPr>
          <w:color w:val="000000"/>
          <w:sz w:val="22"/>
          <w:szCs w:val="22"/>
          <w:lang w:val="sl-SI"/>
        </w:rPr>
        <w:t>CEL s preureditvijo gena za PDGFR</w:t>
      </w:r>
      <w:r w:rsidR="003C01F9" w:rsidRPr="004A59B1">
        <w:rPr>
          <w:color w:val="000000"/>
          <w:sz w:val="22"/>
          <w:szCs w:val="22"/>
          <w:lang w:val="sl-SI"/>
        </w:rPr>
        <w:t xml:space="preserve">. </w:t>
      </w:r>
      <w:r w:rsidR="00420CF2" w:rsidRPr="004A59B1">
        <w:rPr>
          <w:color w:val="000000"/>
          <w:sz w:val="22"/>
          <w:szCs w:val="22"/>
          <w:lang w:val="sl-SI"/>
        </w:rPr>
        <w:t xml:space="preserve">Ti bolniki so bili stari od </w:t>
      </w:r>
      <w:r w:rsidR="003C01F9" w:rsidRPr="004A59B1">
        <w:rPr>
          <w:color w:val="000000"/>
          <w:sz w:val="22"/>
          <w:szCs w:val="22"/>
          <w:lang w:val="sl-SI"/>
        </w:rPr>
        <w:t>2</w:t>
      </w:r>
      <w:r w:rsidR="00420CF2" w:rsidRPr="004A59B1">
        <w:rPr>
          <w:color w:val="000000"/>
          <w:sz w:val="22"/>
          <w:szCs w:val="22"/>
          <w:lang w:val="sl-SI"/>
        </w:rPr>
        <w:t xml:space="preserve"> d</w:t>
      </w:r>
      <w:r w:rsidR="003C01F9" w:rsidRPr="004A59B1">
        <w:rPr>
          <w:color w:val="000000"/>
          <w:sz w:val="22"/>
          <w:szCs w:val="22"/>
          <w:lang w:val="sl-SI"/>
        </w:rPr>
        <w:t>o 16 </w:t>
      </w:r>
      <w:r w:rsidR="00420CF2" w:rsidRPr="004A59B1">
        <w:rPr>
          <w:color w:val="000000"/>
          <w:sz w:val="22"/>
          <w:szCs w:val="22"/>
          <w:lang w:val="sl-SI"/>
        </w:rPr>
        <w:t xml:space="preserve">let, imatinib pa so prejemali v </w:t>
      </w:r>
      <w:r w:rsidR="00421499" w:rsidRPr="004A59B1">
        <w:rPr>
          <w:color w:val="000000"/>
          <w:sz w:val="22"/>
          <w:szCs w:val="22"/>
          <w:lang w:val="sl-SI"/>
        </w:rPr>
        <w:t>odmerku 300 mg/m</w:t>
      </w:r>
      <w:r w:rsidR="00421499" w:rsidRPr="004A59B1">
        <w:rPr>
          <w:color w:val="000000"/>
          <w:sz w:val="22"/>
          <w:szCs w:val="22"/>
          <w:vertAlign w:val="superscript"/>
          <w:lang w:val="sl-SI"/>
        </w:rPr>
        <w:t>2</w:t>
      </w:r>
      <w:r w:rsidR="00421499" w:rsidRPr="004A59B1">
        <w:rPr>
          <w:color w:val="000000"/>
          <w:sz w:val="22"/>
          <w:szCs w:val="22"/>
          <w:lang w:val="sl-SI"/>
        </w:rPr>
        <w:t xml:space="preserve"> na dan oziroma v </w:t>
      </w:r>
      <w:r w:rsidR="00420CF2" w:rsidRPr="004A59B1">
        <w:rPr>
          <w:color w:val="000000"/>
          <w:sz w:val="22"/>
          <w:szCs w:val="22"/>
          <w:lang w:val="sl-SI"/>
        </w:rPr>
        <w:t>odmerkih od 200</w:t>
      </w:r>
      <w:r w:rsidR="00C824E3" w:rsidRPr="004A59B1">
        <w:rPr>
          <w:color w:val="000000"/>
          <w:sz w:val="22"/>
          <w:szCs w:val="22"/>
          <w:lang w:val="sl-SI"/>
        </w:rPr>
        <w:t> </w:t>
      </w:r>
      <w:r w:rsidR="007D70C5" w:rsidRPr="004A59B1">
        <w:rPr>
          <w:color w:val="000000"/>
          <w:sz w:val="22"/>
          <w:szCs w:val="22"/>
          <w:lang w:val="sl-SI"/>
        </w:rPr>
        <w:t xml:space="preserve">mg </w:t>
      </w:r>
      <w:r w:rsidR="00420CF2" w:rsidRPr="004A59B1">
        <w:rPr>
          <w:color w:val="000000"/>
          <w:sz w:val="22"/>
          <w:szCs w:val="22"/>
          <w:lang w:val="sl-SI"/>
        </w:rPr>
        <w:t>d</w:t>
      </w:r>
      <w:r w:rsidR="003C01F9" w:rsidRPr="004A59B1">
        <w:rPr>
          <w:color w:val="000000"/>
          <w:sz w:val="22"/>
          <w:szCs w:val="22"/>
          <w:lang w:val="sl-SI"/>
        </w:rPr>
        <w:t xml:space="preserve">o 400 mg </w:t>
      </w:r>
      <w:r w:rsidR="00420CF2" w:rsidRPr="004A59B1">
        <w:rPr>
          <w:color w:val="000000"/>
          <w:sz w:val="22"/>
          <w:szCs w:val="22"/>
          <w:lang w:val="sl-SI"/>
        </w:rPr>
        <w:t>na dan.</w:t>
      </w:r>
      <w:r w:rsidR="003C01F9" w:rsidRPr="004A59B1">
        <w:rPr>
          <w:color w:val="000000"/>
          <w:sz w:val="22"/>
          <w:szCs w:val="22"/>
          <w:lang w:val="sl-SI"/>
        </w:rPr>
        <w:t xml:space="preserve"> </w:t>
      </w:r>
      <w:r w:rsidR="00420CF2" w:rsidRPr="004A59B1">
        <w:rPr>
          <w:color w:val="000000"/>
          <w:sz w:val="22"/>
          <w:szCs w:val="22"/>
          <w:lang w:val="sl-SI"/>
        </w:rPr>
        <w:t>Pri vseh bolnikih je prišlo do popolnega hematološkega odziva, do popolnega citogenetičnega odziva in/ali do popolnega molekularnega odziva.</w:t>
      </w:r>
    </w:p>
    <w:p w14:paraId="52979B20" w14:textId="77777777" w:rsidR="003C01F9" w:rsidRPr="004A59B1" w:rsidRDefault="003C01F9" w:rsidP="009C1193">
      <w:pPr>
        <w:pStyle w:val="EndnoteText"/>
        <w:widowControl w:val="0"/>
        <w:tabs>
          <w:tab w:val="clear" w:pos="567"/>
        </w:tabs>
        <w:rPr>
          <w:color w:val="000000"/>
          <w:szCs w:val="22"/>
          <w:u w:val="single"/>
          <w:lang w:val="sl-SI"/>
        </w:rPr>
      </w:pPr>
    </w:p>
    <w:p w14:paraId="52979B21" w14:textId="77777777" w:rsidR="003E56E2" w:rsidRPr="004A59B1" w:rsidRDefault="003E56E2" w:rsidP="009C1193">
      <w:pPr>
        <w:pStyle w:val="EndnoteText"/>
        <w:keepNext/>
        <w:widowControl w:val="0"/>
        <w:tabs>
          <w:tab w:val="clear" w:pos="567"/>
        </w:tabs>
        <w:rPr>
          <w:color w:val="000000"/>
          <w:szCs w:val="22"/>
          <w:u w:val="single"/>
          <w:lang w:val="sl-SI"/>
        </w:rPr>
      </w:pPr>
      <w:r w:rsidRPr="004A59B1">
        <w:rPr>
          <w:color w:val="000000"/>
          <w:szCs w:val="22"/>
          <w:u w:val="single"/>
          <w:lang w:val="sl-SI"/>
        </w:rPr>
        <w:t>Klinične študije pri neresektabilnih in/ali metastatskih GIST</w:t>
      </w:r>
    </w:p>
    <w:p w14:paraId="52979B22" w14:textId="77777777" w:rsidR="00444D75" w:rsidRPr="004A59B1" w:rsidRDefault="00444D75" w:rsidP="009C1193">
      <w:pPr>
        <w:pStyle w:val="EndnoteText"/>
        <w:widowControl w:val="0"/>
        <w:tabs>
          <w:tab w:val="clear" w:pos="567"/>
        </w:tabs>
        <w:rPr>
          <w:color w:val="000000"/>
          <w:szCs w:val="22"/>
          <w:lang w:val="sl-SI"/>
        </w:rPr>
      </w:pPr>
      <w:r w:rsidRPr="004A59B1">
        <w:rPr>
          <w:color w:val="000000"/>
          <w:szCs w:val="22"/>
          <w:lang w:val="sl-SI"/>
        </w:rPr>
        <w:t xml:space="preserve">Eno odprto, randomizirano, nekontrolirano, večnacionalno študijo druge faze so opravili pri bolnikih z neresektabilnimi ali metastatičnimi malignimi gastrointestinalnimi stromalnimi tumorji (GIST). V to študijo so vključili 147 bolnikov, ki so bili razporejeni po metodi naključne izbire, da so dobivali bodisi po 400 mg bodisi po 600 mg </w:t>
      </w:r>
      <w:r w:rsidR="00DE7EB6" w:rsidRPr="004A59B1">
        <w:rPr>
          <w:color w:val="000000"/>
          <w:szCs w:val="22"/>
          <w:lang w:val="sl-SI"/>
        </w:rPr>
        <w:t xml:space="preserve">zdravila </w:t>
      </w:r>
      <w:r w:rsidR="008B4FB4" w:rsidRPr="004A59B1">
        <w:rPr>
          <w:color w:val="000000"/>
          <w:szCs w:val="22"/>
          <w:lang w:val="sl-SI"/>
        </w:rPr>
        <w:t xml:space="preserve">na dan </w:t>
      </w:r>
      <w:r w:rsidRPr="004A59B1">
        <w:rPr>
          <w:color w:val="000000"/>
          <w:szCs w:val="22"/>
          <w:lang w:val="sl-SI"/>
        </w:rPr>
        <w:t xml:space="preserve">peroralno </w:t>
      </w:r>
      <w:r w:rsidR="00DE7EB6" w:rsidRPr="004A59B1">
        <w:rPr>
          <w:color w:val="000000"/>
          <w:szCs w:val="22"/>
          <w:lang w:val="sl-SI"/>
        </w:rPr>
        <w:t xml:space="preserve">v obdobju </w:t>
      </w:r>
      <w:r w:rsidRPr="004A59B1">
        <w:rPr>
          <w:color w:val="000000"/>
          <w:szCs w:val="22"/>
          <w:lang w:val="sl-SI"/>
        </w:rPr>
        <w:t>do 36 mesecev. Ti bolniki so bili stari od 18 do 83 let in so imeli patološko diagnozo Kit-pozitivnega malignega GIST, ki je bil neresektabilen in/ali metastatičen. Imunohistokemijo so rutinsko opravljali s protitelesi Kit (A-4502, kunčji poliklonalni antiserum, 1:100; DAKO Corporation, Carpinteria, CA) v skladu z analizo z metodo avidin-biotin-peroksidaznega kompleksa po ponovni pridobitvi antigena.</w:t>
      </w:r>
    </w:p>
    <w:p w14:paraId="52979B23" w14:textId="77777777" w:rsidR="00444D75" w:rsidRPr="004A59B1" w:rsidRDefault="00444D75" w:rsidP="009C1193">
      <w:pPr>
        <w:pStyle w:val="EndnoteText"/>
        <w:widowControl w:val="0"/>
        <w:tabs>
          <w:tab w:val="clear" w:pos="567"/>
        </w:tabs>
        <w:rPr>
          <w:color w:val="000000"/>
          <w:szCs w:val="22"/>
          <w:lang w:val="sl-SI"/>
        </w:rPr>
      </w:pPr>
    </w:p>
    <w:p w14:paraId="52979B24" w14:textId="77777777" w:rsidR="00444D75" w:rsidRPr="004A59B1" w:rsidRDefault="00444D75" w:rsidP="009C1193">
      <w:pPr>
        <w:pStyle w:val="EndnoteText"/>
        <w:widowControl w:val="0"/>
        <w:tabs>
          <w:tab w:val="clear" w:pos="567"/>
        </w:tabs>
        <w:rPr>
          <w:color w:val="000000"/>
          <w:szCs w:val="22"/>
          <w:lang w:val="sl-SI"/>
        </w:rPr>
      </w:pPr>
      <w:r w:rsidRPr="004A59B1">
        <w:rPr>
          <w:color w:val="000000"/>
          <w:szCs w:val="22"/>
          <w:lang w:val="sl-SI"/>
        </w:rPr>
        <w:t>Primarni dokaz učinkovitosti je temeljil na objektivni odzivnosti. Tumorji so morali biti merljivi vsaj na eni bolezenski lokaciji, karakterizacija odzivnosti pa je temeljila na merilih Southwestern Oncology Group (SWOG). Rezultati so prikazani v preglednici </w:t>
      </w:r>
      <w:r w:rsidR="00106423" w:rsidRPr="004A59B1">
        <w:rPr>
          <w:color w:val="000000"/>
          <w:szCs w:val="22"/>
          <w:lang w:val="sl-SI"/>
        </w:rPr>
        <w:t>6</w:t>
      </w:r>
      <w:r w:rsidRPr="004A59B1">
        <w:rPr>
          <w:color w:val="000000"/>
          <w:szCs w:val="22"/>
          <w:lang w:val="sl-SI"/>
        </w:rPr>
        <w:t>.</w:t>
      </w:r>
    </w:p>
    <w:p w14:paraId="52979B25" w14:textId="77777777" w:rsidR="00444D75" w:rsidRPr="004A59B1" w:rsidRDefault="00444D75" w:rsidP="009C1193">
      <w:pPr>
        <w:pStyle w:val="EndnoteText"/>
        <w:widowControl w:val="0"/>
        <w:tabs>
          <w:tab w:val="clear" w:pos="567"/>
        </w:tabs>
        <w:rPr>
          <w:color w:val="000000"/>
          <w:szCs w:val="22"/>
          <w:lang w:val="sl-SI"/>
        </w:rPr>
      </w:pPr>
    </w:p>
    <w:p w14:paraId="52979B26" w14:textId="77777777" w:rsidR="00444D75" w:rsidRPr="004A59B1" w:rsidRDefault="00444D75" w:rsidP="009C1193">
      <w:pPr>
        <w:pStyle w:val="EndnoteText"/>
        <w:keepNext/>
        <w:keepLines/>
        <w:widowControl w:val="0"/>
        <w:tabs>
          <w:tab w:val="clear" w:pos="567"/>
          <w:tab w:val="left" w:pos="1701"/>
        </w:tabs>
        <w:rPr>
          <w:b/>
          <w:color w:val="000000"/>
          <w:szCs w:val="22"/>
          <w:lang w:val="sl-SI"/>
        </w:rPr>
      </w:pPr>
      <w:r w:rsidRPr="004A59B1">
        <w:rPr>
          <w:b/>
          <w:color w:val="000000"/>
          <w:szCs w:val="22"/>
          <w:lang w:val="sl-SI"/>
        </w:rPr>
        <w:t>Preglednica </w:t>
      </w:r>
      <w:r w:rsidR="00106423" w:rsidRPr="004A59B1">
        <w:rPr>
          <w:b/>
          <w:color w:val="000000"/>
          <w:szCs w:val="22"/>
          <w:lang w:val="sl-SI"/>
        </w:rPr>
        <w:t>6</w:t>
      </w:r>
      <w:r w:rsidRPr="004A59B1">
        <w:rPr>
          <w:b/>
          <w:color w:val="000000"/>
          <w:szCs w:val="22"/>
          <w:lang w:val="sl-SI"/>
        </w:rPr>
        <w:tab/>
        <w:t>Najboljši tumorski odziv v preskušanju STIB2222 (GIST)</w:t>
      </w:r>
    </w:p>
    <w:p w14:paraId="52979B27" w14:textId="77777777" w:rsidR="00444D75" w:rsidRPr="004A59B1" w:rsidRDefault="00444D75" w:rsidP="009C1193">
      <w:pPr>
        <w:pStyle w:val="EndnoteText"/>
        <w:keepNext/>
        <w:keepLines/>
        <w:widowControl w:val="0"/>
        <w:tabs>
          <w:tab w:val="clear" w:pos="567"/>
        </w:tabs>
        <w:rPr>
          <w:color w:val="000000"/>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444D75" w:rsidRPr="004A59B1" w14:paraId="52979B30" w14:textId="77777777" w:rsidTr="009C1193">
        <w:trPr>
          <w:cantSplit/>
        </w:trPr>
        <w:tc>
          <w:tcPr>
            <w:tcW w:w="4643" w:type="dxa"/>
            <w:tcBorders>
              <w:left w:val="nil"/>
              <w:bottom w:val="single" w:sz="4" w:space="0" w:color="auto"/>
              <w:right w:val="nil"/>
            </w:tcBorders>
          </w:tcPr>
          <w:p w14:paraId="52979B28" w14:textId="77777777" w:rsidR="00444D75" w:rsidRPr="004A59B1" w:rsidRDefault="00444D75" w:rsidP="009C1193">
            <w:pPr>
              <w:pStyle w:val="EndnoteText"/>
              <w:keepNext/>
              <w:keepLines/>
              <w:widowControl w:val="0"/>
              <w:tabs>
                <w:tab w:val="clear" w:pos="567"/>
              </w:tabs>
              <w:rPr>
                <w:color w:val="000000"/>
                <w:szCs w:val="22"/>
                <w:lang w:val="sl-SI"/>
              </w:rPr>
            </w:pPr>
          </w:p>
          <w:p w14:paraId="52979B29" w14:textId="77777777" w:rsidR="00444D75" w:rsidRPr="004A59B1" w:rsidRDefault="00444D75" w:rsidP="009C1193">
            <w:pPr>
              <w:pStyle w:val="EndnoteText"/>
              <w:keepNext/>
              <w:keepLines/>
              <w:widowControl w:val="0"/>
              <w:tabs>
                <w:tab w:val="clear" w:pos="567"/>
              </w:tabs>
              <w:rPr>
                <w:color w:val="000000"/>
                <w:szCs w:val="22"/>
                <w:lang w:val="sl-SI"/>
              </w:rPr>
            </w:pPr>
          </w:p>
          <w:p w14:paraId="52979B2A" w14:textId="77777777" w:rsidR="00444D75" w:rsidRPr="004A59B1" w:rsidRDefault="00444D75" w:rsidP="009C1193">
            <w:pPr>
              <w:pStyle w:val="EndnoteText"/>
              <w:keepNext/>
              <w:keepLines/>
              <w:widowControl w:val="0"/>
              <w:tabs>
                <w:tab w:val="clear" w:pos="567"/>
              </w:tabs>
              <w:rPr>
                <w:color w:val="000000"/>
                <w:szCs w:val="22"/>
                <w:lang w:val="sl-SI"/>
              </w:rPr>
            </w:pPr>
          </w:p>
          <w:p w14:paraId="52979B2B" w14:textId="77777777" w:rsidR="00444D75" w:rsidRPr="004A59B1" w:rsidRDefault="00444D75" w:rsidP="009C1193">
            <w:pPr>
              <w:pStyle w:val="EndnoteText"/>
              <w:keepNext/>
              <w:keepLines/>
              <w:widowControl w:val="0"/>
              <w:tabs>
                <w:tab w:val="clear" w:pos="567"/>
              </w:tabs>
              <w:rPr>
                <w:color w:val="000000"/>
                <w:szCs w:val="22"/>
              </w:rPr>
            </w:pPr>
            <w:r w:rsidRPr="004A59B1">
              <w:rPr>
                <w:color w:val="000000"/>
                <w:szCs w:val="22"/>
              </w:rPr>
              <w:t>najboljši odziv</w:t>
            </w:r>
          </w:p>
        </w:tc>
        <w:tc>
          <w:tcPr>
            <w:tcW w:w="4643" w:type="dxa"/>
            <w:tcBorders>
              <w:left w:val="nil"/>
              <w:bottom w:val="single" w:sz="4" w:space="0" w:color="auto"/>
              <w:right w:val="nil"/>
            </w:tcBorders>
          </w:tcPr>
          <w:p w14:paraId="52979B2C" w14:textId="77777777" w:rsidR="00444D75" w:rsidRPr="004A59B1" w:rsidRDefault="00444D75" w:rsidP="009C1193">
            <w:pPr>
              <w:pStyle w:val="EndnoteText"/>
              <w:keepNext/>
              <w:keepLines/>
              <w:widowControl w:val="0"/>
              <w:tabs>
                <w:tab w:val="clear" w:pos="567"/>
              </w:tabs>
              <w:jc w:val="center"/>
              <w:rPr>
                <w:color w:val="000000"/>
                <w:szCs w:val="22"/>
                <w:lang w:val="pt-BR"/>
              </w:rPr>
            </w:pPr>
            <w:r w:rsidRPr="004A59B1">
              <w:rPr>
                <w:color w:val="000000"/>
                <w:szCs w:val="22"/>
                <w:lang w:val="pt-BR"/>
              </w:rPr>
              <w:t>Vsi odmerki (n=147)</w:t>
            </w:r>
          </w:p>
          <w:p w14:paraId="52979B2D" w14:textId="77777777" w:rsidR="00444D75" w:rsidRPr="004A59B1" w:rsidRDefault="00444D75" w:rsidP="009C1193">
            <w:pPr>
              <w:pStyle w:val="EndnoteText"/>
              <w:keepNext/>
              <w:keepLines/>
              <w:widowControl w:val="0"/>
              <w:tabs>
                <w:tab w:val="clear" w:pos="567"/>
              </w:tabs>
              <w:jc w:val="center"/>
              <w:rPr>
                <w:color w:val="000000"/>
                <w:szCs w:val="22"/>
                <w:lang w:val="pt-BR"/>
              </w:rPr>
            </w:pPr>
            <w:r w:rsidRPr="004A59B1">
              <w:rPr>
                <w:color w:val="000000"/>
                <w:szCs w:val="22"/>
                <w:lang w:val="pt-BR"/>
              </w:rPr>
              <w:t>400 mg (n=73)</w:t>
            </w:r>
          </w:p>
          <w:p w14:paraId="52979B2E" w14:textId="77777777" w:rsidR="00444D75" w:rsidRPr="004A59B1" w:rsidRDefault="00444D75" w:rsidP="009C1193">
            <w:pPr>
              <w:pStyle w:val="EndnoteText"/>
              <w:keepNext/>
              <w:keepLines/>
              <w:widowControl w:val="0"/>
              <w:tabs>
                <w:tab w:val="clear" w:pos="567"/>
              </w:tabs>
              <w:jc w:val="center"/>
              <w:rPr>
                <w:color w:val="000000"/>
                <w:szCs w:val="22"/>
              </w:rPr>
            </w:pPr>
            <w:r w:rsidRPr="004A59B1">
              <w:rPr>
                <w:color w:val="000000"/>
                <w:szCs w:val="22"/>
              </w:rPr>
              <w:t>600 mg (n=74)</w:t>
            </w:r>
          </w:p>
          <w:p w14:paraId="52979B2F" w14:textId="77777777" w:rsidR="00444D75" w:rsidRPr="004A59B1" w:rsidRDefault="00444D75" w:rsidP="009C1193">
            <w:pPr>
              <w:pStyle w:val="EndnoteText"/>
              <w:keepNext/>
              <w:keepLines/>
              <w:widowControl w:val="0"/>
              <w:tabs>
                <w:tab w:val="clear" w:pos="567"/>
              </w:tabs>
              <w:jc w:val="center"/>
              <w:rPr>
                <w:color w:val="000000"/>
                <w:szCs w:val="22"/>
              </w:rPr>
            </w:pPr>
            <w:r w:rsidRPr="004A59B1">
              <w:rPr>
                <w:color w:val="000000"/>
                <w:szCs w:val="22"/>
              </w:rPr>
              <w:t>n (%)</w:t>
            </w:r>
          </w:p>
        </w:tc>
      </w:tr>
      <w:tr w:rsidR="00444D75" w:rsidRPr="004A59B1" w14:paraId="52979B33" w14:textId="77777777" w:rsidTr="009C1193">
        <w:trPr>
          <w:cantSplit/>
        </w:trPr>
        <w:tc>
          <w:tcPr>
            <w:tcW w:w="4643" w:type="dxa"/>
            <w:tcBorders>
              <w:top w:val="nil"/>
              <w:left w:val="nil"/>
              <w:bottom w:val="nil"/>
              <w:right w:val="nil"/>
            </w:tcBorders>
          </w:tcPr>
          <w:p w14:paraId="52979B31" w14:textId="77777777" w:rsidR="00444D75" w:rsidRPr="004A59B1" w:rsidRDefault="00444D75" w:rsidP="009C1193">
            <w:pPr>
              <w:pStyle w:val="EndnoteText"/>
              <w:keepNext/>
              <w:keepLines/>
              <w:widowControl w:val="0"/>
              <w:tabs>
                <w:tab w:val="clear" w:pos="567"/>
              </w:tabs>
              <w:rPr>
                <w:color w:val="000000"/>
                <w:szCs w:val="22"/>
              </w:rPr>
            </w:pPr>
            <w:r w:rsidRPr="004A59B1">
              <w:rPr>
                <w:color w:val="000000"/>
                <w:szCs w:val="22"/>
              </w:rPr>
              <w:t>popoln odziv</w:t>
            </w:r>
          </w:p>
        </w:tc>
        <w:tc>
          <w:tcPr>
            <w:tcW w:w="4643" w:type="dxa"/>
            <w:tcBorders>
              <w:top w:val="nil"/>
              <w:left w:val="nil"/>
              <w:bottom w:val="nil"/>
              <w:right w:val="nil"/>
            </w:tcBorders>
          </w:tcPr>
          <w:p w14:paraId="52979B32" w14:textId="77777777" w:rsidR="00444D75" w:rsidRPr="004A59B1" w:rsidRDefault="00444D75" w:rsidP="009C1193">
            <w:pPr>
              <w:pStyle w:val="EndnoteText"/>
              <w:keepNext/>
              <w:keepLines/>
              <w:widowControl w:val="0"/>
              <w:tabs>
                <w:tab w:val="clear" w:pos="567"/>
              </w:tabs>
              <w:jc w:val="center"/>
              <w:rPr>
                <w:color w:val="000000"/>
                <w:szCs w:val="22"/>
              </w:rPr>
            </w:pPr>
            <w:r w:rsidRPr="004A59B1">
              <w:rPr>
                <w:rFonts w:eastAsia="MS Mincho"/>
                <w:color w:val="000000"/>
                <w:szCs w:val="22"/>
              </w:rPr>
              <w:t>1</w:t>
            </w:r>
            <w:r w:rsidR="00967FE6" w:rsidRPr="004A59B1">
              <w:rPr>
                <w:rFonts w:eastAsia="MS Mincho"/>
                <w:color w:val="000000"/>
                <w:szCs w:val="22"/>
              </w:rPr>
              <w:t> </w:t>
            </w:r>
            <w:r w:rsidRPr="004A59B1">
              <w:rPr>
                <w:rFonts w:eastAsia="MS Mincho"/>
                <w:color w:val="000000"/>
                <w:szCs w:val="22"/>
              </w:rPr>
              <w:t>(0,7)</w:t>
            </w:r>
          </w:p>
        </w:tc>
      </w:tr>
      <w:tr w:rsidR="00444D75" w:rsidRPr="004A59B1" w14:paraId="52979B36" w14:textId="77777777" w:rsidTr="009C1193">
        <w:trPr>
          <w:cantSplit/>
        </w:trPr>
        <w:tc>
          <w:tcPr>
            <w:tcW w:w="4643" w:type="dxa"/>
            <w:tcBorders>
              <w:top w:val="nil"/>
              <w:left w:val="nil"/>
              <w:bottom w:val="nil"/>
              <w:right w:val="nil"/>
            </w:tcBorders>
          </w:tcPr>
          <w:p w14:paraId="52979B34" w14:textId="77777777" w:rsidR="00444D75" w:rsidRPr="004A59B1" w:rsidRDefault="00444D75" w:rsidP="009C1193">
            <w:pPr>
              <w:pStyle w:val="EndnoteText"/>
              <w:keepNext/>
              <w:keepLines/>
              <w:widowControl w:val="0"/>
              <w:tabs>
                <w:tab w:val="clear" w:pos="567"/>
              </w:tabs>
              <w:rPr>
                <w:color w:val="000000"/>
                <w:szCs w:val="22"/>
              </w:rPr>
            </w:pPr>
            <w:r w:rsidRPr="004A59B1">
              <w:rPr>
                <w:color w:val="000000"/>
                <w:szCs w:val="22"/>
              </w:rPr>
              <w:t>delni odziv</w:t>
            </w:r>
          </w:p>
        </w:tc>
        <w:tc>
          <w:tcPr>
            <w:tcW w:w="4643" w:type="dxa"/>
            <w:tcBorders>
              <w:top w:val="nil"/>
              <w:left w:val="nil"/>
              <w:bottom w:val="nil"/>
              <w:right w:val="nil"/>
            </w:tcBorders>
          </w:tcPr>
          <w:p w14:paraId="52979B35" w14:textId="77777777" w:rsidR="00444D75" w:rsidRPr="004A59B1" w:rsidRDefault="00444D75" w:rsidP="009C1193">
            <w:pPr>
              <w:pStyle w:val="EndnoteText"/>
              <w:keepNext/>
              <w:keepLines/>
              <w:widowControl w:val="0"/>
              <w:tabs>
                <w:tab w:val="clear" w:pos="567"/>
              </w:tabs>
              <w:jc w:val="center"/>
              <w:rPr>
                <w:color w:val="000000"/>
                <w:szCs w:val="22"/>
              </w:rPr>
            </w:pPr>
            <w:r w:rsidRPr="004A59B1">
              <w:rPr>
                <w:rFonts w:eastAsia="MS Mincho"/>
                <w:color w:val="000000"/>
                <w:szCs w:val="22"/>
              </w:rPr>
              <w:t>98 (66,7)</w:t>
            </w:r>
          </w:p>
        </w:tc>
      </w:tr>
      <w:tr w:rsidR="00444D75" w:rsidRPr="004A59B1" w14:paraId="52979B39" w14:textId="77777777" w:rsidTr="009C1193">
        <w:trPr>
          <w:cantSplit/>
        </w:trPr>
        <w:tc>
          <w:tcPr>
            <w:tcW w:w="4643" w:type="dxa"/>
            <w:tcBorders>
              <w:top w:val="nil"/>
              <w:left w:val="nil"/>
              <w:bottom w:val="nil"/>
              <w:right w:val="nil"/>
            </w:tcBorders>
          </w:tcPr>
          <w:p w14:paraId="52979B37" w14:textId="77777777" w:rsidR="00444D75" w:rsidRPr="004A59B1" w:rsidRDefault="00444D75" w:rsidP="009C1193">
            <w:pPr>
              <w:pStyle w:val="EndnoteText"/>
              <w:keepNext/>
              <w:keepLines/>
              <w:widowControl w:val="0"/>
              <w:tabs>
                <w:tab w:val="clear" w:pos="567"/>
              </w:tabs>
              <w:rPr>
                <w:color w:val="000000"/>
                <w:szCs w:val="22"/>
              </w:rPr>
            </w:pPr>
            <w:r w:rsidRPr="004A59B1">
              <w:rPr>
                <w:color w:val="000000"/>
                <w:szCs w:val="22"/>
              </w:rPr>
              <w:t>stabilna bolezen</w:t>
            </w:r>
          </w:p>
        </w:tc>
        <w:tc>
          <w:tcPr>
            <w:tcW w:w="4643" w:type="dxa"/>
            <w:tcBorders>
              <w:top w:val="nil"/>
              <w:left w:val="nil"/>
              <w:bottom w:val="nil"/>
              <w:right w:val="nil"/>
            </w:tcBorders>
          </w:tcPr>
          <w:p w14:paraId="52979B38" w14:textId="77777777" w:rsidR="00444D75" w:rsidRPr="004A59B1" w:rsidRDefault="00444D75" w:rsidP="009C1193">
            <w:pPr>
              <w:pStyle w:val="EndnoteText"/>
              <w:keepNext/>
              <w:keepLines/>
              <w:widowControl w:val="0"/>
              <w:tabs>
                <w:tab w:val="clear" w:pos="567"/>
              </w:tabs>
              <w:jc w:val="center"/>
              <w:rPr>
                <w:color w:val="000000"/>
                <w:szCs w:val="22"/>
              </w:rPr>
            </w:pPr>
            <w:r w:rsidRPr="004A59B1">
              <w:rPr>
                <w:rFonts w:eastAsia="MS Mincho"/>
                <w:color w:val="000000"/>
                <w:szCs w:val="22"/>
              </w:rPr>
              <w:t>23 (15,6)</w:t>
            </w:r>
          </w:p>
        </w:tc>
      </w:tr>
      <w:tr w:rsidR="00444D75" w:rsidRPr="004A59B1" w14:paraId="52979B3C" w14:textId="77777777" w:rsidTr="009C1193">
        <w:trPr>
          <w:cantSplit/>
        </w:trPr>
        <w:tc>
          <w:tcPr>
            <w:tcW w:w="4643" w:type="dxa"/>
            <w:tcBorders>
              <w:top w:val="nil"/>
              <w:left w:val="nil"/>
              <w:bottom w:val="nil"/>
              <w:right w:val="nil"/>
            </w:tcBorders>
          </w:tcPr>
          <w:p w14:paraId="52979B3A" w14:textId="77777777" w:rsidR="00444D75" w:rsidRPr="004A59B1" w:rsidRDefault="00444D75" w:rsidP="009C1193">
            <w:pPr>
              <w:pStyle w:val="EndnoteText"/>
              <w:keepNext/>
              <w:keepLines/>
              <w:widowControl w:val="0"/>
              <w:tabs>
                <w:tab w:val="clear" w:pos="567"/>
              </w:tabs>
              <w:rPr>
                <w:color w:val="000000"/>
                <w:szCs w:val="22"/>
              </w:rPr>
            </w:pPr>
            <w:r w:rsidRPr="004A59B1">
              <w:rPr>
                <w:color w:val="000000"/>
                <w:szCs w:val="22"/>
              </w:rPr>
              <w:t>napredujoča bolezen</w:t>
            </w:r>
          </w:p>
        </w:tc>
        <w:tc>
          <w:tcPr>
            <w:tcW w:w="4643" w:type="dxa"/>
            <w:tcBorders>
              <w:top w:val="nil"/>
              <w:left w:val="nil"/>
              <w:bottom w:val="nil"/>
              <w:right w:val="nil"/>
            </w:tcBorders>
          </w:tcPr>
          <w:p w14:paraId="52979B3B" w14:textId="77777777" w:rsidR="00444D75" w:rsidRPr="004A59B1" w:rsidRDefault="00444D75" w:rsidP="009C1193">
            <w:pPr>
              <w:pStyle w:val="EndnoteText"/>
              <w:keepNext/>
              <w:keepLines/>
              <w:widowControl w:val="0"/>
              <w:tabs>
                <w:tab w:val="clear" w:pos="567"/>
              </w:tabs>
              <w:jc w:val="center"/>
              <w:rPr>
                <w:color w:val="000000"/>
                <w:szCs w:val="22"/>
              </w:rPr>
            </w:pPr>
            <w:r w:rsidRPr="004A59B1">
              <w:rPr>
                <w:rFonts w:eastAsia="MS Mincho"/>
                <w:color w:val="000000"/>
                <w:szCs w:val="22"/>
              </w:rPr>
              <w:t>18 (12,2)</w:t>
            </w:r>
          </w:p>
        </w:tc>
      </w:tr>
      <w:tr w:rsidR="00444D75" w:rsidRPr="004A59B1" w14:paraId="52979B3F" w14:textId="77777777" w:rsidTr="009C1193">
        <w:trPr>
          <w:cantSplit/>
        </w:trPr>
        <w:tc>
          <w:tcPr>
            <w:tcW w:w="4643" w:type="dxa"/>
            <w:tcBorders>
              <w:top w:val="nil"/>
              <w:left w:val="nil"/>
              <w:bottom w:val="nil"/>
              <w:right w:val="nil"/>
            </w:tcBorders>
          </w:tcPr>
          <w:p w14:paraId="52979B3D" w14:textId="77777777" w:rsidR="00444D75" w:rsidRPr="004A59B1" w:rsidRDefault="00444D75" w:rsidP="009C1193">
            <w:pPr>
              <w:pStyle w:val="EndnoteText"/>
              <w:keepNext/>
              <w:keepLines/>
              <w:widowControl w:val="0"/>
              <w:tabs>
                <w:tab w:val="clear" w:pos="567"/>
              </w:tabs>
              <w:rPr>
                <w:color w:val="000000"/>
                <w:szCs w:val="22"/>
              </w:rPr>
            </w:pPr>
            <w:r w:rsidRPr="004A59B1">
              <w:rPr>
                <w:color w:val="000000"/>
                <w:szCs w:val="22"/>
              </w:rPr>
              <w:t>ni možno oceniti</w:t>
            </w:r>
          </w:p>
        </w:tc>
        <w:tc>
          <w:tcPr>
            <w:tcW w:w="4643" w:type="dxa"/>
            <w:tcBorders>
              <w:top w:val="nil"/>
              <w:left w:val="nil"/>
              <w:bottom w:val="nil"/>
              <w:right w:val="nil"/>
            </w:tcBorders>
          </w:tcPr>
          <w:p w14:paraId="52979B3E" w14:textId="77777777" w:rsidR="00444D75" w:rsidRPr="004A59B1" w:rsidRDefault="00444D75" w:rsidP="009C1193">
            <w:pPr>
              <w:pStyle w:val="EndnoteText"/>
              <w:keepNext/>
              <w:keepLines/>
              <w:widowControl w:val="0"/>
              <w:tabs>
                <w:tab w:val="clear" w:pos="567"/>
              </w:tabs>
              <w:jc w:val="center"/>
              <w:rPr>
                <w:color w:val="000000"/>
                <w:szCs w:val="22"/>
              </w:rPr>
            </w:pPr>
            <w:r w:rsidRPr="004A59B1">
              <w:rPr>
                <w:rFonts w:eastAsia="MS Mincho"/>
                <w:color w:val="000000"/>
                <w:szCs w:val="22"/>
              </w:rPr>
              <w:t>5 (3,4)</w:t>
            </w:r>
          </w:p>
        </w:tc>
      </w:tr>
      <w:tr w:rsidR="00444D75" w:rsidRPr="004A59B1" w14:paraId="52979B42" w14:textId="77777777" w:rsidTr="009C1193">
        <w:trPr>
          <w:cantSplit/>
        </w:trPr>
        <w:tc>
          <w:tcPr>
            <w:tcW w:w="4643" w:type="dxa"/>
            <w:tcBorders>
              <w:top w:val="nil"/>
              <w:left w:val="nil"/>
              <w:right w:val="nil"/>
            </w:tcBorders>
          </w:tcPr>
          <w:p w14:paraId="52979B40" w14:textId="77777777" w:rsidR="00444D75" w:rsidRPr="004A59B1" w:rsidRDefault="00444D75" w:rsidP="009C1193">
            <w:pPr>
              <w:pStyle w:val="EndnoteText"/>
              <w:keepNext/>
              <w:keepLines/>
              <w:widowControl w:val="0"/>
              <w:tabs>
                <w:tab w:val="clear" w:pos="567"/>
              </w:tabs>
              <w:rPr>
                <w:color w:val="000000"/>
                <w:szCs w:val="22"/>
              </w:rPr>
            </w:pPr>
            <w:r w:rsidRPr="004A59B1">
              <w:rPr>
                <w:color w:val="000000"/>
                <w:szCs w:val="22"/>
              </w:rPr>
              <w:t>neznano</w:t>
            </w:r>
          </w:p>
        </w:tc>
        <w:tc>
          <w:tcPr>
            <w:tcW w:w="4643" w:type="dxa"/>
            <w:tcBorders>
              <w:top w:val="nil"/>
              <w:left w:val="nil"/>
              <w:right w:val="nil"/>
            </w:tcBorders>
          </w:tcPr>
          <w:p w14:paraId="52979B41" w14:textId="77777777" w:rsidR="00444D75" w:rsidRPr="004A59B1" w:rsidRDefault="00444D75" w:rsidP="009C1193">
            <w:pPr>
              <w:pStyle w:val="EndnoteText"/>
              <w:keepNext/>
              <w:keepLines/>
              <w:widowControl w:val="0"/>
              <w:tabs>
                <w:tab w:val="clear" w:pos="567"/>
              </w:tabs>
              <w:jc w:val="center"/>
              <w:rPr>
                <w:color w:val="000000"/>
                <w:szCs w:val="22"/>
              </w:rPr>
            </w:pPr>
            <w:r w:rsidRPr="004A59B1">
              <w:rPr>
                <w:color w:val="000000"/>
                <w:szCs w:val="22"/>
              </w:rPr>
              <w:t>2</w:t>
            </w:r>
            <w:r w:rsidR="00967FE6" w:rsidRPr="004A59B1">
              <w:rPr>
                <w:color w:val="000000"/>
                <w:szCs w:val="22"/>
              </w:rPr>
              <w:t> </w:t>
            </w:r>
            <w:r w:rsidRPr="004A59B1">
              <w:rPr>
                <w:color w:val="000000"/>
                <w:szCs w:val="22"/>
              </w:rPr>
              <w:t>(1,4)</w:t>
            </w:r>
          </w:p>
        </w:tc>
      </w:tr>
    </w:tbl>
    <w:p w14:paraId="52979B43" w14:textId="77777777" w:rsidR="00444D75" w:rsidRPr="004A59B1" w:rsidRDefault="00444D75" w:rsidP="009C1193">
      <w:pPr>
        <w:pStyle w:val="EndnoteText"/>
        <w:widowControl w:val="0"/>
        <w:tabs>
          <w:tab w:val="clear" w:pos="567"/>
        </w:tabs>
        <w:rPr>
          <w:color w:val="000000"/>
          <w:szCs w:val="22"/>
        </w:rPr>
      </w:pPr>
    </w:p>
    <w:p w14:paraId="52979B44" w14:textId="77777777" w:rsidR="00444D75" w:rsidRPr="004A59B1" w:rsidRDefault="00444D75" w:rsidP="009C1193">
      <w:pPr>
        <w:pStyle w:val="EndnoteText"/>
        <w:widowControl w:val="0"/>
        <w:tabs>
          <w:tab w:val="clear" w:pos="567"/>
        </w:tabs>
        <w:rPr>
          <w:color w:val="000000"/>
          <w:szCs w:val="22"/>
        </w:rPr>
      </w:pPr>
      <w:r w:rsidRPr="004A59B1">
        <w:rPr>
          <w:color w:val="000000"/>
          <w:szCs w:val="22"/>
          <w:lang w:val="sl-SI"/>
        </w:rPr>
        <w:t>Med obema skupinama z različnima odmerkoma ni bilo razlik v odzivnosti</w:t>
      </w:r>
      <w:r w:rsidRPr="004A59B1">
        <w:rPr>
          <w:color w:val="000000"/>
          <w:szCs w:val="22"/>
        </w:rPr>
        <w:t xml:space="preserve">. </w:t>
      </w:r>
      <w:r w:rsidRPr="004A59B1">
        <w:rPr>
          <w:color w:val="000000"/>
          <w:szCs w:val="22"/>
          <w:lang w:val="sl-SI"/>
        </w:rPr>
        <w:t>Pomembno število bolnikov, ki so imeli v času vmesne analize stabilno bolezen</w:t>
      </w:r>
      <w:r w:rsidRPr="004A59B1">
        <w:rPr>
          <w:color w:val="000000"/>
          <w:szCs w:val="22"/>
        </w:rPr>
        <w:t>, je doseglo pri daljšem zdravljenju delni odziv (mediano obdobje spremljanja je bilo 31 mesecev). Mediani čas do odziva je bil 13 tednov (95</w:t>
      </w:r>
      <w:r w:rsidRPr="004A59B1">
        <w:rPr>
          <w:color w:val="000000"/>
          <w:szCs w:val="22"/>
        </w:rPr>
        <w:noBreakHyphen/>
        <w:t xml:space="preserve">odstotni interval zaupanja 12–23). Mediani čas do neuspeha zdravljenja pri </w:t>
      </w:r>
      <w:r w:rsidR="00A53F71" w:rsidRPr="004A59B1">
        <w:rPr>
          <w:color w:val="000000"/>
          <w:szCs w:val="22"/>
        </w:rPr>
        <w:t>odzivnih bolnikih</w:t>
      </w:r>
      <w:r w:rsidRPr="004A59B1">
        <w:rPr>
          <w:color w:val="000000"/>
          <w:szCs w:val="22"/>
        </w:rPr>
        <w:t xml:space="preserve"> je bil 122 tednov (95</w:t>
      </w:r>
      <w:r w:rsidRPr="004A59B1">
        <w:rPr>
          <w:color w:val="000000"/>
          <w:szCs w:val="22"/>
        </w:rPr>
        <w:noBreakHyphen/>
        <w:t>odstotni interval zaupanja 106–147), medtem ko je bil pri celotni populaciji študije 84 tednov (95</w:t>
      </w:r>
      <w:r w:rsidRPr="004A59B1">
        <w:rPr>
          <w:color w:val="000000"/>
          <w:szCs w:val="22"/>
        </w:rPr>
        <w:noBreakHyphen/>
        <w:t>odstotni interval zaupanja 71–109). Mediano celotno preživetje ni bilo doseženo. Kaplan-Meierjeva ocena za preživetje po 36</w:t>
      </w:r>
      <w:r w:rsidRPr="004A59B1">
        <w:rPr>
          <w:color w:val="000000"/>
          <w:szCs w:val="22"/>
        </w:rPr>
        <w:noBreakHyphen/>
        <w:t>mesečnem spremljanju je 68 %.</w:t>
      </w:r>
    </w:p>
    <w:p w14:paraId="52979B45" w14:textId="77777777" w:rsidR="00444D75" w:rsidRPr="004A59B1" w:rsidRDefault="00444D75" w:rsidP="009C1193">
      <w:pPr>
        <w:pStyle w:val="EndnoteText"/>
        <w:widowControl w:val="0"/>
        <w:tabs>
          <w:tab w:val="clear" w:pos="567"/>
        </w:tabs>
        <w:rPr>
          <w:color w:val="000000"/>
          <w:szCs w:val="22"/>
        </w:rPr>
      </w:pPr>
    </w:p>
    <w:p w14:paraId="52979B46" w14:textId="77777777" w:rsidR="00444D75" w:rsidRPr="004A59B1" w:rsidRDefault="00444D75" w:rsidP="009C1193">
      <w:pPr>
        <w:pStyle w:val="EndnoteText"/>
        <w:widowControl w:val="0"/>
        <w:tabs>
          <w:tab w:val="clear" w:pos="567"/>
        </w:tabs>
        <w:rPr>
          <w:color w:val="000000"/>
          <w:szCs w:val="22"/>
          <w:lang w:val="da-DK"/>
        </w:rPr>
      </w:pPr>
      <w:r w:rsidRPr="004A59B1">
        <w:rPr>
          <w:rFonts w:eastAsia="MS Mincho"/>
          <w:color w:val="000000"/>
          <w:szCs w:val="22"/>
          <w:lang w:eastAsia="ja-JP"/>
        </w:rPr>
        <w:t>V dveh kliničnih študijah (študija B2222 in študija med skupinami S0033) so pri bolnikih, pri katerih je pri manjših odmerkih 400 mg ali 600 mg</w:t>
      </w:r>
      <w:r w:rsidR="008B4FB4" w:rsidRPr="004A59B1">
        <w:rPr>
          <w:rFonts w:eastAsia="MS Mincho"/>
          <w:color w:val="000000"/>
          <w:szCs w:val="22"/>
          <w:lang w:eastAsia="ja-JP"/>
        </w:rPr>
        <w:t xml:space="preserve"> na dan</w:t>
      </w:r>
      <w:r w:rsidRPr="004A59B1">
        <w:rPr>
          <w:rFonts w:eastAsia="MS Mincho"/>
          <w:color w:val="000000"/>
          <w:szCs w:val="22"/>
          <w:lang w:eastAsia="ja-JP"/>
        </w:rPr>
        <w:t>, bolezen napredovala</w:t>
      </w:r>
      <w:r w:rsidR="00DE7EB6" w:rsidRPr="004A59B1">
        <w:rPr>
          <w:rFonts w:eastAsia="MS Mincho"/>
          <w:color w:val="000000"/>
          <w:szCs w:val="22"/>
          <w:lang w:eastAsia="ja-JP"/>
        </w:rPr>
        <w:t>,</w:t>
      </w:r>
      <w:r w:rsidRPr="004A59B1">
        <w:rPr>
          <w:rFonts w:eastAsia="MS Mincho"/>
          <w:color w:val="000000"/>
          <w:szCs w:val="22"/>
          <w:lang w:eastAsia="ja-JP"/>
        </w:rPr>
        <w:t xml:space="preserve"> zvečali odmerek </w:t>
      </w:r>
      <w:r w:rsidR="00D81193" w:rsidRPr="004A59B1">
        <w:rPr>
          <w:rFonts w:eastAsia="MS Mincho"/>
          <w:color w:val="000000"/>
          <w:szCs w:val="22"/>
          <w:lang w:eastAsia="ja-JP"/>
        </w:rPr>
        <w:t>zdravila Glivec</w:t>
      </w:r>
      <w:r w:rsidRPr="004A59B1">
        <w:rPr>
          <w:rFonts w:eastAsia="MS Mincho"/>
          <w:color w:val="000000"/>
          <w:szCs w:val="22"/>
          <w:lang w:eastAsia="ja-JP"/>
        </w:rPr>
        <w:t xml:space="preserve"> na 800 mg</w:t>
      </w:r>
      <w:r w:rsidR="008B4FB4" w:rsidRPr="004A59B1">
        <w:rPr>
          <w:rFonts w:eastAsia="MS Mincho"/>
          <w:color w:val="000000"/>
          <w:szCs w:val="22"/>
          <w:lang w:eastAsia="ja-JP"/>
        </w:rPr>
        <w:t xml:space="preserve"> na dan</w:t>
      </w:r>
      <w:r w:rsidRPr="004A59B1">
        <w:rPr>
          <w:rFonts w:eastAsia="MS Mincho"/>
          <w:color w:val="000000"/>
          <w:szCs w:val="22"/>
          <w:lang w:eastAsia="ja-JP"/>
        </w:rPr>
        <w:t xml:space="preserve">. </w:t>
      </w:r>
      <w:r w:rsidR="008B4FB4" w:rsidRPr="004A59B1">
        <w:rPr>
          <w:rFonts w:eastAsia="MS Mincho"/>
          <w:color w:val="000000"/>
          <w:szCs w:val="22"/>
          <w:lang w:eastAsia="ja-JP"/>
        </w:rPr>
        <w:t>O</w:t>
      </w:r>
      <w:r w:rsidRPr="004A59B1">
        <w:rPr>
          <w:rFonts w:eastAsia="MS Mincho"/>
          <w:color w:val="000000"/>
          <w:szCs w:val="22"/>
          <w:lang w:eastAsia="ja-JP"/>
        </w:rPr>
        <w:t xml:space="preserve">dmerek so zvečali na 800 mg </w:t>
      </w:r>
      <w:r w:rsidR="008B4FB4" w:rsidRPr="004A59B1">
        <w:rPr>
          <w:rFonts w:eastAsia="MS Mincho"/>
          <w:color w:val="000000"/>
          <w:szCs w:val="22"/>
          <w:lang w:eastAsia="ja-JP"/>
        </w:rPr>
        <w:t xml:space="preserve">na dan </w:t>
      </w:r>
      <w:r w:rsidRPr="004A59B1">
        <w:rPr>
          <w:rFonts w:eastAsia="MS Mincho"/>
          <w:color w:val="000000"/>
          <w:szCs w:val="22"/>
          <w:lang w:eastAsia="ja-JP"/>
        </w:rPr>
        <w:t xml:space="preserve">pri vsega skupaj 103 bolnikih; po zvečanju odmerka je 6 bolnikov doseglo delni odziv, 21 pa stabilizacijo svoje bolezni, kar je pomenilo celotno klinično koristnost 26 %. </w:t>
      </w:r>
      <w:r w:rsidRPr="004A59B1">
        <w:rPr>
          <w:rFonts w:eastAsia="MS Mincho"/>
          <w:color w:val="000000"/>
          <w:szCs w:val="22"/>
          <w:lang w:val="da-DK" w:eastAsia="ja-JP"/>
        </w:rPr>
        <w:t xml:space="preserve">Razpoložljivi varnostni podatki ne kažejo, da bi zvečanje odmerka na 800 mg na dan pri bolnikih, pri katerih je pri manjših odmerkih 400 mg ali 600 mg na dan bolezen napredovala, vplivalo na varnostni profil </w:t>
      </w:r>
      <w:r w:rsidR="00D81193" w:rsidRPr="004A59B1">
        <w:rPr>
          <w:rFonts w:eastAsia="MS Mincho"/>
          <w:color w:val="000000"/>
          <w:szCs w:val="22"/>
          <w:lang w:val="da-DK" w:eastAsia="ja-JP"/>
        </w:rPr>
        <w:t>zdravila Glivec</w:t>
      </w:r>
      <w:r w:rsidRPr="004A59B1">
        <w:rPr>
          <w:rFonts w:eastAsia="MS Mincho"/>
          <w:color w:val="000000"/>
          <w:szCs w:val="22"/>
          <w:lang w:val="da-DK" w:eastAsia="ja-JP"/>
        </w:rPr>
        <w:t>.</w:t>
      </w:r>
    </w:p>
    <w:p w14:paraId="52979B47" w14:textId="77777777" w:rsidR="003E56E2" w:rsidRPr="004A59B1" w:rsidRDefault="003E56E2" w:rsidP="009C1193">
      <w:pPr>
        <w:pStyle w:val="EndnoteText"/>
        <w:widowControl w:val="0"/>
        <w:tabs>
          <w:tab w:val="clear" w:pos="567"/>
        </w:tabs>
        <w:rPr>
          <w:color w:val="000000"/>
          <w:szCs w:val="22"/>
        </w:rPr>
      </w:pPr>
    </w:p>
    <w:p w14:paraId="52979B48" w14:textId="77777777" w:rsidR="003E56E2" w:rsidRPr="004A59B1" w:rsidRDefault="003E56E2" w:rsidP="009C1193">
      <w:pPr>
        <w:pStyle w:val="Nottoc-headings"/>
        <w:widowControl w:val="0"/>
        <w:spacing w:before="0" w:after="0"/>
        <w:rPr>
          <w:rFonts w:ascii="Times New Roman" w:eastAsia="MS Mincho" w:hAnsi="Times New Roman"/>
          <w:b w:val="0"/>
          <w:color w:val="000000"/>
          <w:sz w:val="22"/>
          <w:szCs w:val="22"/>
          <w:u w:val="single"/>
          <w:lang w:eastAsia="ja-JP"/>
        </w:rPr>
      </w:pPr>
      <w:r w:rsidRPr="004A59B1">
        <w:rPr>
          <w:rFonts w:ascii="Times New Roman" w:eastAsia="MS Mincho" w:hAnsi="Times New Roman"/>
          <w:b w:val="0"/>
          <w:color w:val="000000"/>
          <w:sz w:val="22"/>
          <w:szCs w:val="22"/>
          <w:u w:val="single"/>
          <w:lang w:eastAsia="ja-JP"/>
        </w:rPr>
        <w:t>Klinične študije z adjuvantnim zdravljenjem GIST</w:t>
      </w:r>
    </w:p>
    <w:p w14:paraId="52979B49" w14:textId="77777777" w:rsidR="003E56E2" w:rsidRPr="004A59B1" w:rsidRDefault="003E56E2" w:rsidP="009C1193">
      <w:pPr>
        <w:pStyle w:val="Text"/>
        <w:widowControl w:val="0"/>
        <w:spacing w:before="0"/>
        <w:jc w:val="left"/>
        <w:rPr>
          <w:rFonts w:eastAsia="MS Mincho"/>
          <w:color w:val="000000"/>
          <w:sz w:val="22"/>
          <w:szCs w:val="22"/>
          <w:lang w:eastAsia="ja-JP"/>
        </w:rPr>
      </w:pPr>
      <w:r w:rsidRPr="004A59B1">
        <w:rPr>
          <w:rFonts w:eastAsia="MS Mincho"/>
          <w:color w:val="000000"/>
          <w:sz w:val="22"/>
          <w:szCs w:val="22"/>
          <w:lang w:eastAsia="ja-JP"/>
        </w:rPr>
        <w:t>V okviru adjuvantnega zdravljenja so zdravilo Glivec raziskovali v multicentrični, dvojno slepi, dolgoročni, s placebom kontrolirani študiji faze III (Z9001), ki je vključevala 773 bolnikov. Starost bolnikov je segala od 18 do 91 let. Vključili so bolnike, ki so imeli histološko diagnozo primarnega GIST z imunokemično določenim izražanjem proteina Kit in velikost tumorja ≥ 3 cm v največjem premeru ter makroskopsko popolnoma odstranjen primarni GIST v 14</w:t>
      </w:r>
      <w:r w:rsidRPr="004A59B1">
        <w:rPr>
          <w:rFonts w:eastAsia="MS Mincho"/>
          <w:color w:val="000000"/>
          <w:sz w:val="22"/>
          <w:szCs w:val="22"/>
          <w:lang w:eastAsia="ja-JP"/>
        </w:rPr>
        <w:noBreakHyphen/>
        <w:t xml:space="preserve">70 dneh pred vključitvijo v študijo. Po resekciji primarnega GIST so bolnike randomizirali v enega od dveh krakov: z zdravilom </w:t>
      </w:r>
      <w:r w:rsidRPr="004A59B1">
        <w:rPr>
          <w:rFonts w:eastAsia="MS Mincho"/>
          <w:color w:val="000000"/>
          <w:sz w:val="22"/>
          <w:szCs w:val="22"/>
          <w:lang w:eastAsia="ja-JP"/>
        </w:rPr>
        <w:lastRenderedPageBreak/>
        <w:t>Glivec v odmerku 400 mg/dan ali s skladnim placebom za eno leto.</w:t>
      </w:r>
    </w:p>
    <w:p w14:paraId="52979B4A" w14:textId="77777777" w:rsidR="003E56E2" w:rsidRPr="004A59B1" w:rsidRDefault="003E56E2" w:rsidP="009C1193">
      <w:pPr>
        <w:pStyle w:val="Text"/>
        <w:widowControl w:val="0"/>
        <w:spacing w:before="0"/>
        <w:jc w:val="left"/>
        <w:rPr>
          <w:rFonts w:eastAsia="MS Mincho"/>
          <w:color w:val="000000"/>
          <w:sz w:val="22"/>
          <w:szCs w:val="22"/>
          <w:lang w:eastAsia="ja-JP"/>
        </w:rPr>
      </w:pPr>
    </w:p>
    <w:p w14:paraId="52979B4B" w14:textId="77777777" w:rsidR="003E56E2" w:rsidRPr="004A59B1" w:rsidRDefault="003E56E2" w:rsidP="009C1193">
      <w:pPr>
        <w:pStyle w:val="Text"/>
        <w:widowControl w:val="0"/>
        <w:spacing w:before="0"/>
        <w:jc w:val="left"/>
        <w:rPr>
          <w:rFonts w:eastAsia="MS Mincho"/>
          <w:color w:val="000000"/>
          <w:sz w:val="22"/>
          <w:szCs w:val="22"/>
          <w:lang w:eastAsia="ja-JP"/>
        </w:rPr>
      </w:pPr>
      <w:r w:rsidRPr="004A59B1">
        <w:rPr>
          <w:rFonts w:eastAsia="MS Mincho"/>
          <w:color w:val="000000"/>
          <w:sz w:val="22"/>
          <w:szCs w:val="22"/>
          <w:lang w:eastAsia="ja-JP"/>
        </w:rPr>
        <w:t>Primarni cilj opazovanja te študije je bilo preživetje brez ponovitve bolezni (RFS), ki je bilo opredeljeno kot čas od dneva randomizacije do dneva ponovitve bolezni ali smrti iz kateregakoli vzroka.</w:t>
      </w:r>
    </w:p>
    <w:p w14:paraId="52979B4C" w14:textId="77777777" w:rsidR="003E56E2" w:rsidRPr="004A59B1" w:rsidRDefault="003E56E2" w:rsidP="009C1193">
      <w:pPr>
        <w:pStyle w:val="Text"/>
        <w:widowControl w:val="0"/>
        <w:spacing w:before="0"/>
        <w:jc w:val="left"/>
        <w:rPr>
          <w:rFonts w:eastAsia="MS Mincho"/>
          <w:color w:val="000000"/>
          <w:sz w:val="22"/>
          <w:szCs w:val="22"/>
          <w:lang w:eastAsia="ja-JP"/>
        </w:rPr>
      </w:pPr>
    </w:p>
    <w:p w14:paraId="52979B4D" w14:textId="77777777" w:rsidR="003E56E2" w:rsidRPr="004A59B1" w:rsidRDefault="003E56E2" w:rsidP="009C1193">
      <w:pPr>
        <w:pStyle w:val="Text"/>
        <w:widowControl w:val="0"/>
        <w:spacing w:before="0"/>
        <w:jc w:val="left"/>
        <w:rPr>
          <w:rFonts w:eastAsia="MS Mincho"/>
          <w:color w:val="000000"/>
          <w:sz w:val="22"/>
          <w:szCs w:val="22"/>
          <w:lang w:eastAsia="ja-JP"/>
        </w:rPr>
      </w:pPr>
      <w:r w:rsidRPr="004A59B1">
        <w:rPr>
          <w:rFonts w:eastAsia="MS Mincho"/>
          <w:color w:val="000000"/>
          <w:sz w:val="22"/>
          <w:szCs w:val="22"/>
          <w:lang w:eastAsia="ja-JP"/>
        </w:rPr>
        <w:t>Zdravilo Glivec je statistično značilno podaljšalo preživetje brez ponovitve bolezni, saj je bilo v skupini z zdravilom Glivec 75% bolnikov brez ponovitve bolezni 38 mesecev v primerjavi z 20 meseci v skupini s placebom (95% IZ: [30 – neocenljivo] oziroma [14 – neocenljivo]); (razmerje tveganj = 0,398 [0,259</w:t>
      </w:r>
      <w:r w:rsidRPr="004A59B1">
        <w:rPr>
          <w:rFonts w:eastAsia="MS Mincho"/>
          <w:color w:val="000000"/>
          <w:sz w:val="22"/>
          <w:szCs w:val="22"/>
          <w:lang w:eastAsia="ja-JP"/>
        </w:rPr>
        <w:noBreakHyphen/>
        <w:t>0,610], p&lt;0,0001). Po enem letu je bilo preživetje brez ponovitve bolezni statistično značilno boljše v skupini z zdravilom Glivec (97,7%) v primerjavi s skupino s placebom (82,3%), (p&lt;0,0001). Tveganje za ponovitev bolezni je bilo torej zmanjšano za približno 89% v primerjavi s placebom (razmerje tveganj = 0,113 [0,049</w:t>
      </w:r>
      <w:r w:rsidRPr="004A59B1">
        <w:rPr>
          <w:rFonts w:eastAsia="MS Mincho"/>
          <w:color w:val="000000"/>
          <w:sz w:val="22"/>
          <w:szCs w:val="22"/>
          <w:lang w:eastAsia="ja-JP"/>
        </w:rPr>
        <w:noBreakHyphen/>
        <w:t>0,264]).</w:t>
      </w:r>
    </w:p>
    <w:p w14:paraId="52979B4E" w14:textId="77777777" w:rsidR="003E56E2" w:rsidRPr="008F282C" w:rsidRDefault="003E56E2" w:rsidP="009C1193">
      <w:pPr>
        <w:pStyle w:val="Text"/>
        <w:widowControl w:val="0"/>
        <w:spacing w:before="0"/>
        <w:jc w:val="left"/>
        <w:rPr>
          <w:rFonts w:eastAsia="MS Mincho"/>
          <w:color w:val="000000"/>
          <w:sz w:val="22"/>
          <w:szCs w:val="22"/>
          <w:lang w:eastAsia="ja-JP"/>
        </w:rPr>
      </w:pPr>
    </w:p>
    <w:p w14:paraId="52979B4F" w14:textId="77777777" w:rsidR="003E56E2" w:rsidRPr="004A59B1" w:rsidRDefault="003E56E2" w:rsidP="009C1193">
      <w:pPr>
        <w:pStyle w:val="Text"/>
        <w:widowControl w:val="0"/>
        <w:spacing w:before="0"/>
        <w:jc w:val="left"/>
        <w:rPr>
          <w:color w:val="000000"/>
        </w:rPr>
      </w:pPr>
      <w:r w:rsidRPr="004A59B1">
        <w:rPr>
          <w:rFonts w:eastAsia="MS Mincho"/>
          <w:color w:val="000000"/>
          <w:sz w:val="22"/>
          <w:szCs w:val="22"/>
          <w:lang w:eastAsia="ja-JP"/>
        </w:rPr>
        <w:t xml:space="preserve">Tveganje za ponovitev bolezni pri bolnikih po operaciji primarnega GIST so ocenjevali retrospektivno glede na naslednje prognostične dejavnike: velikost tumorja, mitotski indeks in mesto tumorja. Podatki o mitotskem indeksu so bili dostopni za 556 od </w:t>
      </w:r>
      <w:r w:rsidR="00914F93" w:rsidRPr="004A59B1">
        <w:rPr>
          <w:rFonts w:eastAsia="MS Mincho"/>
          <w:color w:val="000000"/>
          <w:sz w:val="22"/>
          <w:szCs w:val="22"/>
          <w:lang w:eastAsia="ja-JP"/>
        </w:rPr>
        <w:t>713</w:t>
      </w:r>
      <w:r w:rsidRPr="004A59B1">
        <w:rPr>
          <w:rFonts w:eastAsia="MS Mincho"/>
          <w:color w:val="000000"/>
          <w:sz w:val="22"/>
          <w:szCs w:val="22"/>
          <w:lang w:eastAsia="ja-JP"/>
        </w:rPr>
        <w:t xml:space="preserve"> bolnikov, ki so jih nameravali zdraviti v študiji (populacija ITT). Rezultati analize podskupin bolnikov, razvrščenih glede na </w:t>
      </w:r>
      <w:r w:rsidR="002C1605" w:rsidRPr="004A59B1">
        <w:rPr>
          <w:rFonts w:eastAsia="MS Mincho"/>
          <w:color w:val="000000"/>
          <w:sz w:val="22"/>
          <w:szCs w:val="22"/>
          <w:lang w:eastAsia="ja-JP"/>
        </w:rPr>
        <w:t>klasifikacij</w:t>
      </w:r>
      <w:r w:rsidR="006A6C11" w:rsidRPr="004A59B1">
        <w:rPr>
          <w:rFonts w:eastAsia="MS Mincho"/>
          <w:color w:val="000000"/>
          <w:sz w:val="22"/>
          <w:szCs w:val="22"/>
          <w:lang w:eastAsia="ja-JP"/>
        </w:rPr>
        <w:t>i</w:t>
      </w:r>
      <w:r w:rsidR="002C1605" w:rsidRPr="004A59B1">
        <w:rPr>
          <w:rFonts w:eastAsia="MS Mincho"/>
          <w:color w:val="000000"/>
          <w:sz w:val="22"/>
          <w:szCs w:val="22"/>
          <w:lang w:eastAsia="ja-JP"/>
        </w:rPr>
        <w:t xml:space="preserve"> </w:t>
      </w:r>
      <w:r w:rsidR="005678E2" w:rsidRPr="004A59B1">
        <w:rPr>
          <w:rFonts w:eastAsia="MS Mincho"/>
          <w:color w:val="000000"/>
          <w:sz w:val="22"/>
          <w:szCs w:val="22"/>
          <w:lang w:eastAsia="ja-JP"/>
        </w:rPr>
        <w:t xml:space="preserve">tveganj </w:t>
      </w:r>
      <w:r w:rsidR="002C1605" w:rsidRPr="004A59B1">
        <w:rPr>
          <w:rFonts w:eastAsia="MS Mincho"/>
          <w:color w:val="000000"/>
          <w:sz w:val="22"/>
          <w:szCs w:val="22"/>
          <w:lang w:eastAsia="ja-JP"/>
        </w:rPr>
        <w:t>A</w:t>
      </w:r>
      <w:r w:rsidR="005678E2" w:rsidRPr="004A59B1">
        <w:rPr>
          <w:rFonts w:eastAsia="MS Mincho"/>
          <w:color w:val="000000"/>
          <w:sz w:val="22"/>
          <w:szCs w:val="22"/>
          <w:lang w:eastAsia="ja-JP"/>
        </w:rPr>
        <w:t xml:space="preserve">meriškega </w:t>
      </w:r>
      <w:r w:rsidR="002C1605" w:rsidRPr="004A59B1">
        <w:rPr>
          <w:rFonts w:eastAsia="MS Mincho"/>
          <w:color w:val="000000"/>
          <w:sz w:val="22"/>
          <w:szCs w:val="22"/>
          <w:lang w:eastAsia="ja-JP"/>
        </w:rPr>
        <w:t>d</w:t>
      </w:r>
      <w:r w:rsidR="005678E2" w:rsidRPr="004A59B1">
        <w:rPr>
          <w:rFonts w:eastAsia="MS Mincho"/>
          <w:color w:val="000000"/>
          <w:sz w:val="22"/>
          <w:szCs w:val="22"/>
          <w:lang w:eastAsia="ja-JP"/>
        </w:rPr>
        <w:t xml:space="preserve">ržavnega inštituta za zdravje </w:t>
      </w:r>
      <w:r w:rsidR="002C1605" w:rsidRPr="004A59B1">
        <w:rPr>
          <w:rFonts w:eastAsia="MS Mincho"/>
          <w:color w:val="000000"/>
          <w:sz w:val="22"/>
          <w:szCs w:val="22"/>
          <w:lang w:eastAsia="ja-JP"/>
        </w:rPr>
        <w:t>(</w:t>
      </w:r>
      <w:r w:rsidR="005678E2" w:rsidRPr="00304E94">
        <w:rPr>
          <w:rFonts w:eastAsia="MS Mincho"/>
          <w:i/>
          <w:color w:val="000000"/>
          <w:sz w:val="22"/>
          <w:szCs w:val="22"/>
          <w:lang w:eastAsia="ja-JP"/>
        </w:rPr>
        <w:t>United States National Institutes of Health</w:t>
      </w:r>
      <w:r w:rsidR="005678E2" w:rsidRPr="004A59B1">
        <w:rPr>
          <w:rFonts w:eastAsia="MS Mincho"/>
          <w:color w:val="000000"/>
          <w:sz w:val="22"/>
          <w:szCs w:val="22"/>
          <w:lang w:eastAsia="ja-JP"/>
        </w:rPr>
        <w:t xml:space="preserve"> </w:t>
      </w:r>
      <w:r w:rsidR="002C1605" w:rsidRPr="004A59B1">
        <w:rPr>
          <w:rFonts w:eastAsia="MS Mincho"/>
          <w:color w:val="000000"/>
          <w:sz w:val="22"/>
          <w:szCs w:val="22"/>
          <w:lang w:eastAsia="ja-JP"/>
        </w:rPr>
        <w:t xml:space="preserve">- </w:t>
      </w:r>
      <w:r w:rsidR="005678E2" w:rsidRPr="004A59B1">
        <w:rPr>
          <w:rFonts w:eastAsia="MS Mincho"/>
          <w:color w:val="000000"/>
          <w:sz w:val="22"/>
          <w:szCs w:val="22"/>
          <w:lang w:eastAsia="ja-JP"/>
        </w:rPr>
        <w:t xml:space="preserve">NIH) </w:t>
      </w:r>
      <w:r w:rsidR="002C1605" w:rsidRPr="004A59B1">
        <w:rPr>
          <w:rFonts w:eastAsia="MS Mincho"/>
          <w:color w:val="000000"/>
          <w:sz w:val="22"/>
          <w:szCs w:val="22"/>
          <w:lang w:eastAsia="ja-JP"/>
        </w:rPr>
        <w:t>in</w:t>
      </w:r>
      <w:r w:rsidRPr="004A59B1">
        <w:rPr>
          <w:rFonts w:eastAsia="MS Mincho"/>
          <w:color w:val="000000"/>
          <w:sz w:val="22"/>
          <w:szCs w:val="22"/>
          <w:lang w:eastAsia="ja-JP"/>
        </w:rPr>
        <w:t xml:space="preserve"> Inštituta za patologijo ameriških kopenskih sil</w:t>
      </w:r>
      <w:r w:rsidR="002C1605" w:rsidRPr="004A59B1">
        <w:rPr>
          <w:rFonts w:eastAsia="MS Mincho"/>
          <w:color w:val="000000"/>
          <w:sz w:val="22"/>
          <w:szCs w:val="22"/>
          <w:lang w:eastAsia="ja-JP"/>
        </w:rPr>
        <w:t xml:space="preserve"> (</w:t>
      </w:r>
      <w:r w:rsidR="009D2B14" w:rsidRPr="004A59B1">
        <w:rPr>
          <w:rFonts w:eastAsia="MS Mincho"/>
          <w:color w:val="000000"/>
          <w:sz w:val="22"/>
          <w:szCs w:val="22"/>
          <w:lang w:eastAsia="ja-JP"/>
        </w:rPr>
        <w:t xml:space="preserve">AFIP - </w:t>
      </w:r>
      <w:r w:rsidR="002C1605" w:rsidRPr="00304E94">
        <w:rPr>
          <w:rFonts w:eastAsia="MS Mincho"/>
          <w:i/>
          <w:color w:val="000000"/>
          <w:sz w:val="22"/>
          <w:szCs w:val="22"/>
          <w:lang w:eastAsia="ja-JP"/>
        </w:rPr>
        <w:t>Armed Forces Institute of Pathology</w:t>
      </w:r>
      <w:r w:rsidR="002C1605" w:rsidRPr="004A59B1">
        <w:rPr>
          <w:rFonts w:eastAsia="MS Mincho"/>
          <w:color w:val="000000"/>
          <w:sz w:val="22"/>
          <w:szCs w:val="22"/>
          <w:lang w:eastAsia="ja-JP"/>
        </w:rPr>
        <w:t xml:space="preserve">), </w:t>
      </w:r>
      <w:r w:rsidRPr="004A59B1">
        <w:rPr>
          <w:rFonts w:eastAsia="MS Mincho"/>
          <w:color w:val="000000"/>
          <w:sz w:val="22"/>
          <w:szCs w:val="22"/>
          <w:lang w:eastAsia="ja-JP"/>
        </w:rPr>
        <w:t>so prikazani v preglednici </w:t>
      </w:r>
      <w:r w:rsidR="00106423" w:rsidRPr="004A59B1">
        <w:rPr>
          <w:rFonts w:eastAsia="MS Mincho"/>
          <w:color w:val="000000"/>
          <w:sz w:val="22"/>
          <w:szCs w:val="22"/>
          <w:lang w:eastAsia="ja-JP"/>
        </w:rPr>
        <w:t>7</w:t>
      </w:r>
      <w:r w:rsidRPr="004A59B1">
        <w:rPr>
          <w:rFonts w:eastAsia="MS Mincho"/>
          <w:color w:val="000000"/>
          <w:sz w:val="22"/>
          <w:szCs w:val="22"/>
          <w:lang w:eastAsia="ja-JP"/>
        </w:rPr>
        <w:t>.</w:t>
      </w:r>
      <w:r w:rsidR="002C1605" w:rsidRPr="004A59B1">
        <w:rPr>
          <w:rFonts w:eastAsia="MS Mincho"/>
          <w:color w:val="000000"/>
          <w:sz w:val="22"/>
          <w:szCs w:val="22"/>
          <w:lang w:eastAsia="ja-JP"/>
        </w:rPr>
        <w:t xml:space="preserve"> V skupinah bolnikov z majhnim oziroma z zelo majhnim tveganjem niso opažali nobene koristi zdravljenja. Prav tako niso opažali</w:t>
      </w:r>
      <w:r w:rsidR="00E22E4C" w:rsidRPr="004A59B1">
        <w:rPr>
          <w:rFonts w:eastAsia="MS Mincho"/>
          <w:color w:val="000000"/>
          <w:sz w:val="22"/>
          <w:szCs w:val="22"/>
          <w:lang w:eastAsia="ja-JP"/>
        </w:rPr>
        <w:t>, da bi zdravljenje izboljšalo celotno preživetje.</w:t>
      </w:r>
    </w:p>
    <w:p w14:paraId="52979B50" w14:textId="77777777" w:rsidR="00E22E4C" w:rsidRPr="008F282C" w:rsidRDefault="00E22E4C" w:rsidP="009C1193">
      <w:pPr>
        <w:pStyle w:val="Text"/>
        <w:widowControl w:val="0"/>
        <w:spacing w:before="0"/>
        <w:jc w:val="left"/>
        <w:rPr>
          <w:rFonts w:eastAsia="MS Mincho"/>
          <w:color w:val="000000"/>
          <w:sz w:val="22"/>
          <w:szCs w:val="22"/>
          <w:lang w:eastAsia="ja-JP"/>
        </w:rPr>
      </w:pPr>
    </w:p>
    <w:p w14:paraId="52979B51" w14:textId="77777777" w:rsidR="00E22E4C" w:rsidRPr="004A59B1" w:rsidRDefault="00E22E4C" w:rsidP="009C1193">
      <w:pPr>
        <w:pStyle w:val="Heading6"/>
        <w:keepLines/>
        <w:widowControl w:val="0"/>
        <w:tabs>
          <w:tab w:val="clear" w:pos="567"/>
          <w:tab w:val="clear" w:pos="4536"/>
          <w:tab w:val="left" w:pos="1134"/>
        </w:tabs>
        <w:spacing w:line="240" w:lineRule="auto"/>
        <w:ind w:left="1695" w:hanging="1695"/>
        <w:rPr>
          <w:rFonts w:eastAsia="MS Mincho"/>
          <w:b/>
          <w:i w:val="0"/>
          <w:color w:val="000000"/>
          <w:szCs w:val="22"/>
          <w:lang w:val="en-US" w:eastAsia="ja-JP"/>
        </w:rPr>
      </w:pPr>
      <w:r w:rsidRPr="004A59B1">
        <w:rPr>
          <w:rFonts w:eastAsia="MS Mincho"/>
          <w:b/>
          <w:i w:val="0"/>
          <w:color w:val="000000"/>
          <w:szCs w:val="22"/>
          <w:lang w:val="en-US" w:eastAsia="ja-JP"/>
        </w:rPr>
        <w:t>Preglednica </w:t>
      </w:r>
      <w:r w:rsidR="00106423" w:rsidRPr="004A59B1">
        <w:rPr>
          <w:rFonts w:eastAsia="MS Mincho"/>
          <w:b/>
          <w:i w:val="0"/>
          <w:color w:val="000000"/>
          <w:szCs w:val="22"/>
          <w:lang w:val="en-US" w:eastAsia="ja-JP"/>
        </w:rPr>
        <w:t>7</w:t>
      </w:r>
      <w:r w:rsidRPr="004A59B1">
        <w:rPr>
          <w:rFonts w:eastAsia="MS Mincho"/>
          <w:b/>
          <w:i w:val="0"/>
          <w:color w:val="000000"/>
          <w:szCs w:val="22"/>
          <w:lang w:val="en-US" w:eastAsia="ja-JP"/>
        </w:rPr>
        <w:tab/>
        <w:t>Povzetek študije Z9001: analiza preživetja brez ponovitve bolezni po klasifikacij</w:t>
      </w:r>
      <w:r w:rsidR="006A6C11" w:rsidRPr="004A59B1">
        <w:rPr>
          <w:rFonts w:eastAsia="MS Mincho"/>
          <w:b/>
          <w:i w:val="0"/>
          <w:color w:val="000000"/>
          <w:szCs w:val="22"/>
          <w:lang w:val="en-US" w:eastAsia="ja-JP"/>
        </w:rPr>
        <w:t>ah</w:t>
      </w:r>
      <w:r w:rsidRPr="004A59B1">
        <w:rPr>
          <w:rFonts w:eastAsia="MS Mincho"/>
          <w:b/>
          <w:i w:val="0"/>
          <w:color w:val="000000"/>
          <w:szCs w:val="22"/>
          <w:lang w:val="en-US" w:eastAsia="ja-JP"/>
        </w:rPr>
        <w:t xml:space="preserve"> tveganj NIH in </w:t>
      </w:r>
      <w:r w:rsidR="007B5CFE" w:rsidRPr="004A59B1">
        <w:rPr>
          <w:rFonts w:eastAsia="MS Mincho"/>
          <w:b/>
          <w:i w:val="0"/>
          <w:color w:val="000000"/>
          <w:szCs w:val="22"/>
          <w:lang w:val="en-US" w:eastAsia="ja-JP"/>
        </w:rPr>
        <w:t>AFIP</w:t>
      </w:r>
    </w:p>
    <w:p w14:paraId="52979B52" w14:textId="77777777" w:rsidR="00AD67A5" w:rsidRPr="004A59B1" w:rsidRDefault="00AD67A5" w:rsidP="009C1193">
      <w:pPr>
        <w:keepNext/>
        <w:keepLines/>
        <w:widowControl w:val="0"/>
        <w:spacing w:line="240" w:lineRule="auto"/>
        <w:rPr>
          <w:rFonts w:eastAsia="MS Mincho"/>
          <w:color w:val="000000"/>
          <w:lang w:val="en-US" w:eastAsia="ja-JP"/>
        </w:rPr>
      </w:pP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4"/>
        <w:gridCol w:w="1316"/>
        <w:gridCol w:w="961"/>
        <w:gridCol w:w="1717"/>
        <w:gridCol w:w="1357"/>
        <w:gridCol w:w="1440"/>
        <w:gridCol w:w="1360"/>
      </w:tblGrid>
      <w:tr w:rsidR="00AD67A5" w:rsidRPr="004A59B1" w14:paraId="52979B5A" w14:textId="77777777" w:rsidTr="009C1193">
        <w:trPr>
          <w:cantSplit/>
        </w:trPr>
        <w:tc>
          <w:tcPr>
            <w:tcW w:w="934" w:type="dxa"/>
            <w:vMerge w:val="restart"/>
          </w:tcPr>
          <w:p w14:paraId="52979B53" w14:textId="77777777" w:rsidR="00AD67A5" w:rsidRPr="004A59B1" w:rsidRDefault="00AD67A5" w:rsidP="009C1193">
            <w:pPr>
              <w:pStyle w:val="Table"/>
              <w:widowControl w:val="0"/>
              <w:spacing w:before="0" w:after="0"/>
              <w:jc w:val="center"/>
              <w:rPr>
                <w:rFonts w:ascii="Times New Roman" w:hAnsi="Times New Roman"/>
                <w:b/>
                <w:color w:val="000000"/>
                <w:sz w:val="22"/>
                <w:szCs w:val="22"/>
              </w:rPr>
            </w:pPr>
            <w:r w:rsidRPr="004A59B1">
              <w:rPr>
                <w:rFonts w:ascii="Times New Roman" w:hAnsi="Times New Roman"/>
                <w:b/>
                <w:color w:val="000000"/>
                <w:sz w:val="22"/>
                <w:szCs w:val="22"/>
              </w:rPr>
              <w:t>klasifi- kacija tveganj</w:t>
            </w:r>
          </w:p>
        </w:tc>
        <w:tc>
          <w:tcPr>
            <w:tcW w:w="1316" w:type="dxa"/>
            <w:vMerge w:val="restart"/>
            <w:tcBorders>
              <w:right w:val="single" w:sz="4" w:space="0" w:color="auto"/>
            </w:tcBorders>
          </w:tcPr>
          <w:p w14:paraId="52979B54" w14:textId="77777777" w:rsidR="00AD67A5" w:rsidRPr="004A59B1" w:rsidRDefault="00AD67A5" w:rsidP="009C1193">
            <w:pPr>
              <w:pStyle w:val="Table"/>
              <w:widowControl w:val="0"/>
              <w:spacing w:before="0" w:after="0"/>
              <w:rPr>
                <w:rFonts w:ascii="Times New Roman" w:hAnsi="Times New Roman"/>
                <w:b/>
                <w:color w:val="000000"/>
                <w:sz w:val="22"/>
                <w:szCs w:val="22"/>
              </w:rPr>
            </w:pPr>
            <w:r w:rsidRPr="004A59B1">
              <w:rPr>
                <w:rFonts w:ascii="Times New Roman" w:hAnsi="Times New Roman"/>
                <w:b/>
                <w:color w:val="000000"/>
                <w:sz w:val="22"/>
                <w:szCs w:val="22"/>
              </w:rPr>
              <w:t>velikost tveganja</w:t>
            </w:r>
          </w:p>
          <w:p w14:paraId="52979B55" w14:textId="77777777" w:rsidR="00AD67A5" w:rsidRPr="004A59B1" w:rsidRDefault="00AD67A5" w:rsidP="009C1193">
            <w:pPr>
              <w:pStyle w:val="Table"/>
              <w:widowControl w:val="0"/>
              <w:spacing w:before="0" w:after="0"/>
              <w:rPr>
                <w:rFonts w:ascii="Times New Roman" w:hAnsi="Times New Roman"/>
                <w:b/>
                <w:color w:val="000000"/>
                <w:sz w:val="22"/>
                <w:szCs w:val="22"/>
              </w:rPr>
            </w:pPr>
          </w:p>
        </w:tc>
        <w:tc>
          <w:tcPr>
            <w:tcW w:w="961" w:type="dxa"/>
            <w:vMerge w:val="restart"/>
            <w:tcBorders>
              <w:left w:val="single" w:sz="4" w:space="0" w:color="auto"/>
              <w:right w:val="single" w:sz="4" w:space="0" w:color="auto"/>
            </w:tcBorders>
          </w:tcPr>
          <w:p w14:paraId="52979B56" w14:textId="77777777" w:rsidR="00AD67A5" w:rsidRPr="004A59B1" w:rsidRDefault="00AD67A5" w:rsidP="009C1193">
            <w:pPr>
              <w:pStyle w:val="Table"/>
              <w:widowControl w:val="0"/>
              <w:spacing w:before="0" w:after="0"/>
              <w:jc w:val="center"/>
              <w:rPr>
                <w:rFonts w:ascii="Times New Roman" w:hAnsi="Times New Roman"/>
                <w:b/>
                <w:color w:val="000000"/>
                <w:sz w:val="22"/>
                <w:szCs w:val="22"/>
              </w:rPr>
            </w:pPr>
            <w:r w:rsidRPr="004A59B1">
              <w:rPr>
                <w:rFonts w:ascii="Times New Roman" w:hAnsi="Times New Roman"/>
                <w:b/>
                <w:color w:val="000000"/>
                <w:sz w:val="22"/>
                <w:szCs w:val="22"/>
              </w:rPr>
              <w:t>% bolni-kov</w:t>
            </w:r>
          </w:p>
        </w:tc>
        <w:tc>
          <w:tcPr>
            <w:tcW w:w="1717" w:type="dxa"/>
            <w:vMerge w:val="restart"/>
            <w:tcBorders>
              <w:left w:val="single" w:sz="4" w:space="0" w:color="auto"/>
              <w:right w:val="single" w:sz="4" w:space="0" w:color="auto"/>
            </w:tcBorders>
          </w:tcPr>
          <w:p w14:paraId="52979B57" w14:textId="77777777" w:rsidR="00AD67A5" w:rsidRPr="004A59B1" w:rsidRDefault="00AD67A5" w:rsidP="009C1193">
            <w:pPr>
              <w:pStyle w:val="Table"/>
              <w:widowControl w:val="0"/>
              <w:spacing w:before="0" w:after="0"/>
              <w:jc w:val="center"/>
              <w:rPr>
                <w:rFonts w:ascii="Times New Roman" w:hAnsi="Times New Roman"/>
                <w:b/>
                <w:color w:val="000000"/>
                <w:sz w:val="22"/>
                <w:szCs w:val="22"/>
              </w:rPr>
            </w:pPr>
            <w:r w:rsidRPr="004A59B1">
              <w:rPr>
                <w:rFonts w:ascii="Times New Roman" w:hAnsi="Times New Roman"/>
                <w:b/>
                <w:color w:val="000000"/>
                <w:sz w:val="22"/>
                <w:szCs w:val="22"/>
              </w:rPr>
              <w:t>št. dogodkov/</w:t>
            </w:r>
            <w:r w:rsidRPr="004A59B1">
              <w:rPr>
                <w:rFonts w:ascii="Times New Roman" w:hAnsi="Times New Roman"/>
                <w:b/>
                <w:color w:val="000000"/>
                <w:sz w:val="22"/>
                <w:szCs w:val="22"/>
              </w:rPr>
              <w:br/>
              <w:t>št. bolnikov</w:t>
            </w:r>
          </w:p>
        </w:tc>
        <w:tc>
          <w:tcPr>
            <w:tcW w:w="1357" w:type="dxa"/>
            <w:vMerge w:val="restart"/>
            <w:tcBorders>
              <w:left w:val="single" w:sz="4" w:space="0" w:color="auto"/>
              <w:right w:val="single" w:sz="4" w:space="0" w:color="auto"/>
            </w:tcBorders>
          </w:tcPr>
          <w:p w14:paraId="52979B58" w14:textId="77777777" w:rsidR="00AD67A5" w:rsidRPr="004A59B1" w:rsidRDefault="00AD67A5" w:rsidP="009C1193">
            <w:pPr>
              <w:pStyle w:val="Table"/>
              <w:widowControl w:val="0"/>
              <w:spacing w:before="0" w:after="0"/>
              <w:jc w:val="center"/>
              <w:rPr>
                <w:rFonts w:ascii="Times New Roman" w:hAnsi="Times New Roman"/>
                <w:b/>
                <w:color w:val="000000"/>
                <w:sz w:val="22"/>
                <w:szCs w:val="22"/>
              </w:rPr>
            </w:pPr>
            <w:r w:rsidRPr="004A59B1">
              <w:rPr>
                <w:rFonts w:ascii="Times New Roman" w:hAnsi="Times New Roman"/>
                <w:b/>
                <w:color w:val="000000"/>
                <w:sz w:val="22"/>
                <w:szCs w:val="22"/>
              </w:rPr>
              <w:t>skupno razmerje tveganj (95 % IZ)*</w:t>
            </w:r>
          </w:p>
        </w:tc>
        <w:tc>
          <w:tcPr>
            <w:tcW w:w="2800" w:type="dxa"/>
            <w:gridSpan w:val="2"/>
            <w:tcBorders>
              <w:left w:val="single" w:sz="4" w:space="0" w:color="auto"/>
            </w:tcBorders>
          </w:tcPr>
          <w:p w14:paraId="52979B59" w14:textId="77777777" w:rsidR="00AD67A5" w:rsidRPr="004A59B1" w:rsidRDefault="00AD67A5" w:rsidP="009C1193">
            <w:pPr>
              <w:pStyle w:val="Table"/>
              <w:widowControl w:val="0"/>
              <w:spacing w:before="0" w:after="0"/>
              <w:jc w:val="center"/>
              <w:rPr>
                <w:rFonts w:ascii="Times New Roman" w:hAnsi="Times New Roman"/>
                <w:b/>
                <w:color w:val="000000"/>
                <w:sz w:val="22"/>
                <w:szCs w:val="22"/>
              </w:rPr>
            </w:pPr>
            <w:r w:rsidRPr="004A59B1">
              <w:rPr>
                <w:rFonts w:ascii="Times New Roman" w:hAnsi="Times New Roman"/>
                <w:b/>
                <w:color w:val="000000"/>
                <w:sz w:val="22"/>
                <w:szCs w:val="22"/>
              </w:rPr>
              <w:t>delež bolnikov s preživetjem brez ponovitve bolezni (%)</w:t>
            </w:r>
          </w:p>
        </w:tc>
      </w:tr>
      <w:tr w:rsidR="00AD67A5" w:rsidRPr="004A59B1" w14:paraId="52979B62" w14:textId="77777777" w:rsidTr="009C1193">
        <w:trPr>
          <w:cantSplit/>
        </w:trPr>
        <w:tc>
          <w:tcPr>
            <w:tcW w:w="934" w:type="dxa"/>
            <w:vMerge/>
          </w:tcPr>
          <w:p w14:paraId="52979B5B" w14:textId="77777777" w:rsidR="00AD67A5" w:rsidRPr="004A59B1" w:rsidRDefault="00AD67A5" w:rsidP="009C1193">
            <w:pPr>
              <w:pStyle w:val="Table"/>
              <w:widowControl w:val="0"/>
              <w:spacing w:before="0" w:after="0"/>
              <w:rPr>
                <w:rFonts w:ascii="Times New Roman" w:hAnsi="Times New Roman"/>
                <w:b/>
                <w:color w:val="000000"/>
                <w:sz w:val="22"/>
                <w:szCs w:val="22"/>
              </w:rPr>
            </w:pPr>
          </w:p>
        </w:tc>
        <w:tc>
          <w:tcPr>
            <w:tcW w:w="1316" w:type="dxa"/>
            <w:vMerge/>
            <w:tcBorders>
              <w:right w:val="single" w:sz="4" w:space="0" w:color="auto"/>
            </w:tcBorders>
          </w:tcPr>
          <w:p w14:paraId="52979B5C" w14:textId="77777777" w:rsidR="00AD67A5" w:rsidRPr="004A59B1" w:rsidRDefault="00AD67A5" w:rsidP="009C1193">
            <w:pPr>
              <w:pStyle w:val="Table"/>
              <w:widowControl w:val="0"/>
              <w:spacing w:before="0" w:after="0"/>
              <w:rPr>
                <w:rFonts w:ascii="Times New Roman" w:hAnsi="Times New Roman"/>
                <w:b/>
                <w:color w:val="000000"/>
                <w:sz w:val="22"/>
                <w:szCs w:val="22"/>
              </w:rPr>
            </w:pPr>
          </w:p>
        </w:tc>
        <w:tc>
          <w:tcPr>
            <w:tcW w:w="961" w:type="dxa"/>
            <w:vMerge/>
            <w:tcBorders>
              <w:left w:val="single" w:sz="4" w:space="0" w:color="auto"/>
              <w:right w:val="single" w:sz="4" w:space="0" w:color="auto"/>
            </w:tcBorders>
          </w:tcPr>
          <w:p w14:paraId="52979B5D" w14:textId="77777777" w:rsidR="00AD67A5" w:rsidRPr="004A59B1" w:rsidRDefault="00AD67A5" w:rsidP="009C1193">
            <w:pPr>
              <w:pStyle w:val="Table"/>
              <w:widowControl w:val="0"/>
              <w:spacing w:before="0" w:after="0"/>
              <w:jc w:val="center"/>
              <w:rPr>
                <w:rFonts w:ascii="Times New Roman" w:hAnsi="Times New Roman"/>
                <w:b/>
                <w:color w:val="000000"/>
                <w:sz w:val="22"/>
                <w:szCs w:val="22"/>
              </w:rPr>
            </w:pPr>
          </w:p>
        </w:tc>
        <w:tc>
          <w:tcPr>
            <w:tcW w:w="1717" w:type="dxa"/>
            <w:vMerge/>
            <w:tcBorders>
              <w:left w:val="single" w:sz="4" w:space="0" w:color="auto"/>
              <w:right w:val="single" w:sz="4" w:space="0" w:color="auto"/>
            </w:tcBorders>
          </w:tcPr>
          <w:p w14:paraId="52979B5E" w14:textId="77777777" w:rsidR="00AD67A5" w:rsidRPr="004A59B1" w:rsidRDefault="00AD67A5" w:rsidP="009C1193">
            <w:pPr>
              <w:pStyle w:val="Table"/>
              <w:widowControl w:val="0"/>
              <w:spacing w:before="0" w:after="0"/>
              <w:jc w:val="center"/>
              <w:rPr>
                <w:rFonts w:ascii="Times New Roman" w:hAnsi="Times New Roman"/>
                <w:b/>
                <w:color w:val="000000"/>
                <w:sz w:val="22"/>
                <w:szCs w:val="22"/>
              </w:rPr>
            </w:pPr>
          </w:p>
        </w:tc>
        <w:tc>
          <w:tcPr>
            <w:tcW w:w="1357" w:type="dxa"/>
            <w:vMerge/>
            <w:tcBorders>
              <w:left w:val="single" w:sz="4" w:space="0" w:color="auto"/>
              <w:right w:val="single" w:sz="4" w:space="0" w:color="auto"/>
            </w:tcBorders>
          </w:tcPr>
          <w:p w14:paraId="52979B5F" w14:textId="77777777" w:rsidR="00AD67A5" w:rsidRPr="004A59B1" w:rsidRDefault="00AD67A5" w:rsidP="009C1193">
            <w:pPr>
              <w:pStyle w:val="Table"/>
              <w:widowControl w:val="0"/>
              <w:spacing w:before="0" w:after="0"/>
              <w:rPr>
                <w:rFonts w:ascii="Times New Roman" w:hAnsi="Times New Roman"/>
                <w:b/>
                <w:color w:val="000000"/>
                <w:sz w:val="22"/>
                <w:szCs w:val="22"/>
              </w:rPr>
            </w:pPr>
          </w:p>
        </w:tc>
        <w:tc>
          <w:tcPr>
            <w:tcW w:w="1440" w:type="dxa"/>
            <w:tcBorders>
              <w:left w:val="single" w:sz="4" w:space="0" w:color="auto"/>
              <w:right w:val="single" w:sz="4" w:space="0" w:color="auto"/>
            </w:tcBorders>
          </w:tcPr>
          <w:p w14:paraId="52979B60" w14:textId="77777777" w:rsidR="00AD67A5" w:rsidRPr="004A59B1" w:rsidRDefault="00AD67A5" w:rsidP="009C1193">
            <w:pPr>
              <w:pStyle w:val="Table"/>
              <w:widowControl w:val="0"/>
              <w:spacing w:before="0" w:after="0"/>
              <w:jc w:val="center"/>
              <w:rPr>
                <w:rFonts w:ascii="Times New Roman" w:hAnsi="Times New Roman"/>
                <w:b/>
                <w:color w:val="000000"/>
                <w:sz w:val="22"/>
                <w:szCs w:val="22"/>
              </w:rPr>
            </w:pPr>
            <w:r w:rsidRPr="004A59B1">
              <w:rPr>
                <w:rFonts w:ascii="Times New Roman" w:hAnsi="Times New Roman"/>
                <w:b/>
                <w:color w:val="000000"/>
                <w:sz w:val="22"/>
                <w:szCs w:val="22"/>
              </w:rPr>
              <w:t>12 mesecev</w:t>
            </w:r>
          </w:p>
        </w:tc>
        <w:tc>
          <w:tcPr>
            <w:tcW w:w="1360" w:type="dxa"/>
            <w:tcBorders>
              <w:left w:val="single" w:sz="4" w:space="0" w:color="auto"/>
            </w:tcBorders>
          </w:tcPr>
          <w:p w14:paraId="52979B61" w14:textId="77777777" w:rsidR="00AD67A5" w:rsidRPr="004A59B1" w:rsidRDefault="00AD67A5" w:rsidP="009C1193">
            <w:pPr>
              <w:pStyle w:val="Table"/>
              <w:widowControl w:val="0"/>
              <w:spacing w:before="0" w:after="0"/>
              <w:jc w:val="center"/>
              <w:rPr>
                <w:rFonts w:ascii="Times New Roman" w:hAnsi="Times New Roman"/>
                <w:b/>
                <w:color w:val="000000"/>
                <w:sz w:val="22"/>
                <w:szCs w:val="22"/>
              </w:rPr>
            </w:pPr>
            <w:r w:rsidRPr="004A59B1">
              <w:rPr>
                <w:rFonts w:ascii="Times New Roman" w:hAnsi="Times New Roman"/>
                <w:b/>
                <w:color w:val="000000"/>
                <w:sz w:val="22"/>
                <w:szCs w:val="22"/>
              </w:rPr>
              <w:t>24 mesecev</w:t>
            </w:r>
          </w:p>
        </w:tc>
      </w:tr>
      <w:tr w:rsidR="00AD67A5" w:rsidRPr="004A59B1" w14:paraId="52979B6D" w14:textId="77777777" w:rsidTr="009C1193">
        <w:trPr>
          <w:cantSplit/>
        </w:trPr>
        <w:tc>
          <w:tcPr>
            <w:tcW w:w="934" w:type="dxa"/>
            <w:vMerge/>
          </w:tcPr>
          <w:p w14:paraId="52979B63" w14:textId="77777777" w:rsidR="00AD67A5" w:rsidRPr="004A59B1" w:rsidRDefault="00AD67A5" w:rsidP="009C1193">
            <w:pPr>
              <w:pStyle w:val="Table"/>
              <w:widowControl w:val="0"/>
              <w:spacing w:before="0" w:after="0"/>
              <w:rPr>
                <w:rFonts w:ascii="Times New Roman" w:hAnsi="Times New Roman"/>
                <w:b/>
                <w:color w:val="000000"/>
                <w:sz w:val="22"/>
                <w:szCs w:val="22"/>
              </w:rPr>
            </w:pPr>
          </w:p>
        </w:tc>
        <w:tc>
          <w:tcPr>
            <w:tcW w:w="1316" w:type="dxa"/>
            <w:vMerge/>
            <w:tcBorders>
              <w:right w:val="single" w:sz="4" w:space="0" w:color="auto"/>
            </w:tcBorders>
          </w:tcPr>
          <w:p w14:paraId="52979B64" w14:textId="77777777" w:rsidR="00AD67A5" w:rsidRPr="004A59B1" w:rsidRDefault="00AD67A5" w:rsidP="009C1193">
            <w:pPr>
              <w:pStyle w:val="Table"/>
              <w:widowControl w:val="0"/>
              <w:spacing w:before="0" w:after="0"/>
              <w:rPr>
                <w:rFonts w:ascii="Times New Roman" w:hAnsi="Times New Roman"/>
                <w:b/>
                <w:color w:val="000000"/>
                <w:sz w:val="22"/>
                <w:szCs w:val="22"/>
              </w:rPr>
            </w:pPr>
          </w:p>
        </w:tc>
        <w:tc>
          <w:tcPr>
            <w:tcW w:w="961" w:type="dxa"/>
            <w:vMerge/>
            <w:tcBorders>
              <w:left w:val="single" w:sz="4" w:space="0" w:color="auto"/>
              <w:right w:val="single" w:sz="4" w:space="0" w:color="auto"/>
            </w:tcBorders>
          </w:tcPr>
          <w:p w14:paraId="52979B65" w14:textId="77777777" w:rsidR="00AD67A5" w:rsidRPr="004A59B1" w:rsidRDefault="00AD67A5" w:rsidP="009C1193">
            <w:pPr>
              <w:pStyle w:val="Table"/>
              <w:widowControl w:val="0"/>
              <w:spacing w:before="0" w:after="0"/>
              <w:jc w:val="center"/>
              <w:rPr>
                <w:rFonts w:ascii="Times New Roman" w:hAnsi="Times New Roman"/>
                <w:b/>
                <w:color w:val="000000"/>
                <w:sz w:val="22"/>
                <w:szCs w:val="22"/>
              </w:rPr>
            </w:pPr>
          </w:p>
        </w:tc>
        <w:tc>
          <w:tcPr>
            <w:tcW w:w="1717" w:type="dxa"/>
            <w:tcBorders>
              <w:left w:val="single" w:sz="4" w:space="0" w:color="auto"/>
              <w:bottom w:val="single" w:sz="4" w:space="0" w:color="auto"/>
              <w:right w:val="single" w:sz="4" w:space="0" w:color="auto"/>
            </w:tcBorders>
          </w:tcPr>
          <w:p w14:paraId="52979B66" w14:textId="77777777" w:rsidR="00AD67A5" w:rsidRPr="004A59B1" w:rsidRDefault="00AD67A5" w:rsidP="009C1193">
            <w:pPr>
              <w:pStyle w:val="Table"/>
              <w:widowControl w:val="0"/>
              <w:spacing w:before="0" w:after="0"/>
              <w:jc w:val="center"/>
              <w:rPr>
                <w:rFonts w:ascii="Times New Roman" w:hAnsi="Times New Roman"/>
                <w:b/>
                <w:color w:val="000000"/>
                <w:sz w:val="22"/>
                <w:szCs w:val="22"/>
              </w:rPr>
            </w:pPr>
            <w:r w:rsidRPr="004A59B1">
              <w:rPr>
                <w:rFonts w:ascii="Times New Roman" w:hAnsi="Times New Roman"/>
                <w:b/>
                <w:color w:val="000000"/>
                <w:sz w:val="22"/>
                <w:szCs w:val="22"/>
              </w:rPr>
              <w:t>Glivec v primerjavi</w:t>
            </w:r>
          </w:p>
          <w:p w14:paraId="52979B67" w14:textId="77777777" w:rsidR="00AD67A5" w:rsidRPr="004A59B1" w:rsidRDefault="00AD67A5" w:rsidP="009C1193">
            <w:pPr>
              <w:pStyle w:val="Table"/>
              <w:widowControl w:val="0"/>
              <w:spacing w:before="0" w:after="0"/>
              <w:jc w:val="center"/>
              <w:rPr>
                <w:rFonts w:ascii="Times New Roman" w:hAnsi="Times New Roman"/>
                <w:b/>
                <w:color w:val="000000"/>
                <w:sz w:val="22"/>
                <w:szCs w:val="22"/>
              </w:rPr>
            </w:pPr>
            <w:r w:rsidRPr="004A59B1">
              <w:rPr>
                <w:rFonts w:ascii="Times New Roman" w:hAnsi="Times New Roman"/>
                <w:b/>
                <w:color w:val="000000"/>
                <w:sz w:val="22"/>
                <w:szCs w:val="22"/>
              </w:rPr>
              <w:t>s placebom</w:t>
            </w:r>
          </w:p>
        </w:tc>
        <w:tc>
          <w:tcPr>
            <w:tcW w:w="1357" w:type="dxa"/>
            <w:vMerge/>
            <w:tcBorders>
              <w:left w:val="single" w:sz="4" w:space="0" w:color="auto"/>
              <w:bottom w:val="single" w:sz="4" w:space="0" w:color="auto"/>
              <w:right w:val="single" w:sz="4" w:space="0" w:color="auto"/>
            </w:tcBorders>
          </w:tcPr>
          <w:p w14:paraId="52979B68" w14:textId="77777777" w:rsidR="00AD67A5" w:rsidRPr="004A59B1" w:rsidRDefault="00AD67A5" w:rsidP="009C1193">
            <w:pPr>
              <w:pStyle w:val="Table"/>
              <w:widowControl w:val="0"/>
              <w:spacing w:before="0" w:after="0"/>
              <w:jc w:val="center"/>
              <w:rPr>
                <w:rFonts w:ascii="Times New Roman" w:hAnsi="Times New Roman"/>
                <w:b/>
                <w:color w:val="000000"/>
                <w:sz w:val="22"/>
                <w:szCs w:val="22"/>
              </w:rPr>
            </w:pPr>
          </w:p>
        </w:tc>
        <w:tc>
          <w:tcPr>
            <w:tcW w:w="1440" w:type="dxa"/>
            <w:tcBorders>
              <w:left w:val="single" w:sz="4" w:space="0" w:color="auto"/>
              <w:bottom w:val="single" w:sz="4" w:space="0" w:color="auto"/>
              <w:right w:val="single" w:sz="4" w:space="0" w:color="auto"/>
            </w:tcBorders>
          </w:tcPr>
          <w:p w14:paraId="52979B69" w14:textId="77777777" w:rsidR="00AD67A5" w:rsidRPr="004A59B1" w:rsidRDefault="00AD67A5" w:rsidP="009C1193">
            <w:pPr>
              <w:pStyle w:val="Table"/>
              <w:widowControl w:val="0"/>
              <w:spacing w:before="0" w:after="0"/>
              <w:jc w:val="center"/>
              <w:rPr>
                <w:rFonts w:ascii="Times New Roman" w:hAnsi="Times New Roman"/>
                <w:b/>
                <w:color w:val="000000"/>
                <w:sz w:val="22"/>
                <w:szCs w:val="22"/>
              </w:rPr>
            </w:pPr>
            <w:r w:rsidRPr="004A59B1">
              <w:rPr>
                <w:rFonts w:ascii="Times New Roman" w:hAnsi="Times New Roman"/>
                <w:b/>
                <w:color w:val="000000"/>
                <w:sz w:val="22"/>
                <w:szCs w:val="22"/>
              </w:rPr>
              <w:t>Glivec v primerjavi</w:t>
            </w:r>
          </w:p>
          <w:p w14:paraId="52979B6A" w14:textId="77777777" w:rsidR="00AD67A5" w:rsidRPr="004A59B1" w:rsidRDefault="00AD67A5" w:rsidP="009C1193">
            <w:pPr>
              <w:pStyle w:val="Table"/>
              <w:widowControl w:val="0"/>
              <w:spacing w:before="0" w:after="0"/>
              <w:jc w:val="center"/>
              <w:rPr>
                <w:rFonts w:ascii="Times New Roman" w:hAnsi="Times New Roman"/>
                <w:b/>
                <w:color w:val="000000"/>
                <w:sz w:val="22"/>
                <w:szCs w:val="22"/>
              </w:rPr>
            </w:pPr>
            <w:r w:rsidRPr="004A59B1">
              <w:rPr>
                <w:rFonts w:ascii="Times New Roman" w:hAnsi="Times New Roman"/>
                <w:b/>
                <w:color w:val="000000"/>
                <w:sz w:val="22"/>
                <w:szCs w:val="22"/>
              </w:rPr>
              <w:t>s placebom</w:t>
            </w:r>
          </w:p>
        </w:tc>
        <w:tc>
          <w:tcPr>
            <w:tcW w:w="1360" w:type="dxa"/>
            <w:tcBorders>
              <w:left w:val="single" w:sz="4" w:space="0" w:color="auto"/>
            </w:tcBorders>
          </w:tcPr>
          <w:p w14:paraId="52979B6B" w14:textId="77777777" w:rsidR="00AD67A5" w:rsidRPr="004A59B1" w:rsidRDefault="00AD67A5" w:rsidP="009C1193">
            <w:pPr>
              <w:pStyle w:val="Table"/>
              <w:widowControl w:val="0"/>
              <w:spacing w:before="0" w:after="0"/>
              <w:jc w:val="center"/>
              <w:rPr>
                <w:rFonts w:ascii="Times New Roman" w:hAnsi="Times New Roman"/>
                <w:b/>
                <w:color w:val="000000"/>
                <w:sz w:val="22"/>
                <w:szCs w:val="22"/>
              </w:rPr>
            </w:pPr>
            <w:r w:rsidRPr="004A59B1">
              <w:rPr>
                <w:rFonts w:ascii="Times New Roman" w:hAnsi="Times New Roman"/>
                <w:b/>
                <w:color w:val="000000"/>
                <w:sz w:val="22"/>
                <w:szCs w:val="22"/>
              </w:rPr>
              <w:t>Glivec v primerjavi</w:t>
            </w:r>
          </w:p>
          <w:p w14:paraId="52979B6C" w14:textId="77777777" w:rsidR="00AD67A5" w:rsidRPr="004A59B1" w:rsidRDefault="00AD67A5" w:rsidP="009C1193">
            <w:pPr>
              <w:pStyle w:val="Table"/>
              <w:widowControl w:val="0"/>
              <w:spacing w:before="0" w:after="0"/>
              <w:jc w:val="center"/>
              <w:rPr>
                <w:rFonts w:ascii="Times New Roman" w:hAnsi="Times New Roman"/>
                <w:b/>
                <w:color w:val="000000"/>
                <w:sz w:val="22"/>
                <w:szCs w:val="22"/>
              </w:rPr>
            </w:pPr>
            <w:r w:rsidRPr="004A59B1">
              <w:rPr>
                <w:rFonts w:ascii="Times New Roman" w:hAnsi="Times New Roman"/>
                <w:b/>
                <w:color w:val="000000"/>
                <w:sz w:val="22"/>
                <w:szCs w:val="22"/>
              </w:rPr>
              <w:t>s placebom</w:t>
            </w:r>
          </w:p>
        </w:tc>
      </w:tr>
      <w:tr w:rsidR="00AD67A5" w:rsidRPr="004A59B1" w14:paraId="52979B7C" w14:textId="77777777" w:rsidTr="009C1193">
        <w:trPr>
          <w:cantSplit/>
        </w:trPr>
        <w:tc>
          <w:tcPr>
            <w:tcW w:w="934" w:type="dxa"/>
            <w:vMerge w:val="restart"/>
            <w:shd w:val="clear" w:color="auto" w:fill="auto"/>
          </w:tcPr>
          <w:p w14:paraId="52979B6E" w14:textId="77777777" w:rsidR="00AD67A5" w:rsidRPr="004A59B1" w:rsidRDefault="00AD67A5" w:rsidP="009C1193">
            <w:pPr>
              <w:keepNext/>
              <w:keepLines/>
              <w:widowControl w:val="0"/>
              <w:spacing w:line="240" w:lineRule="auto"/>
              <w:rPr>
                <w:color w:val="000000"/>
                <w:szCs w:val="22"/>
              </w:rPr>
            </w:pPr>
            <w:r w:rsidRPr="004A59B1">
              <w:rPr>
                <w:color w:val="000000"/>
                <w:szCs w:val="22"/>
              </w:rPr>
              <w:t>NIH</w:t>
            </w:r>
          </w:p>
          <w:p w14:paraId="52979B6F" w14:textId="77777777" w:rsidR="00AD67A5" w:rsidRPr="004A59B1" w:rsidRDefault="00AD67A5" w:rsidP="009C1193">
            <w:pPr>
              <w:pStyle w:val="Text"/>
              <w:keepNext/>
              <w:keepLines/>
              <w:widowControl w:val="0"/>
              <w:spacing w:before="0"/>
              <w:rPr>
                <w:color w:val="000000"/>
                <w:sz w:val="22"/>
                <w:szCs w:val="22"/>
              </w:rPr>
            </w:pPr>
          </w:p>
        </w:tc>
        <w:tc>
          <w:tcPr>
            <w:tcW w:w="1316" w:type="dxa"/>
            <w:tcBorders>
              <w:bottom w:val="nil"/>
              <w:right w:val="single" w:sz="4" w:space="0" w:color="auto"/>
            </w:tcBorders>
            <w:vAlign w:val="bottom"/>
          </w:tcPr>
          <w:p w14:paraId="52979B70" w14:textId="77777777" w:rsidR="00AD67A5" w:rsidRPr="004A59B1" w:rsidRDefault="00AD67A5" w:rsidP="009C1193">
            <w:pPr>
              <w:keepNext/>
              <w:keepLines/>
              <w:widowControl w:val="0"/>
              <w:spacing w:line="240" w:lineRule="auto"/>
              <w:ind w:left="57" w:hanging="57"/>
              <w:rPr>
                <w:color w:val="000000"/>
                <w:szCs w:val="22"/>
              </w:rPr>
            </w:pPr>
            <w:r w:rsidRPr="004A59B1">
              <w:rPr>
                <w:color w:val="000000"/>
                <w:szCs w:val="22"/>
              </w:rPr>
              <w:t>majhno</w:t>
            </w:r>
          </w:p>
        </w:tc>
        <w:tc>
          <w:tcPr>
            <w:tcW w:w="961" w:type="dxa"/>
            <w:tcBorders>
              <w:left w:val="single" w:sz="4" w:space="0" w:color="auto"/>
              <w:bottom w:val="nil"/>
              <w:right w:val="single" w:sz="4" w:space="0" w:color="auto"/>
            </w:tcBorders>
            <w:vAlign w:val="bottom"/>
          </w:tcPr>
          <w:p w14:paraId="52979B71" w14:textId="77777777" w:rsidR="00AD67A5" w:rsidRPr="004A59B1" w:rsidRDefault="00AD67A5" w:rsidP="009C1193">
            <w:pPr>
              <w:keepNext/>
              <w:keepLines/>
              <w:widowControl w:val="0"/>
              <w:spacing w:line="240" w:lineRule="auto"/>
              <w:ind w:left="57" w:hanging="57"/>
              <w:jc w:val="center"/>
              <w:rPr>
                <w:color w:val="000000"/>
                <w:szCs w:val="22"/>
              </w:rPr>
            </w:pPr>
            <w:r w:rsidRPr="004A59B1">
              <w:rPr>
                <w:color w:val="000000"/>
                <w:szCs w:val="22"/>
              </w:rPr>
              <w:t>29,5</w:t>
            </w:r>
          </w:p>
        </w:tc>
        <w:tc>
          <w:tcPr>
            <w:tcW w:w="1717" w:type="dxa"/>
            <w:tcBorders>
              <w:left w:val="single" w:sz="4" w:space="0" w:color="auto"/>
              <w:bottom w:val="nil"/>
              <w:right w:val="single" w:sz="4" w:space="0" w:color="auto"/>
            </w:tcBorders>
            <w:vAlign w:val="bottom"/>
          </w:tcPr>
          <w:p w14:paraId="52979B72" w14:textId="77777777" w:rsidR="00AD67A5" w:rsidRPr="004A59B1" w:rsidRDefault="00AD67A5" w:rsidP="009C1193">
            <w:pPr>
              <w:keepNext/>
              <w:keepLines/>
              <w:widowControl w:val="0"/>
              <w:tabs>
                <w:tab w:val="clear" w:pos="567"/>
              </w:tabs>
              <w:spacing w:line="240" w:lineRule="auto"/>
              <w:ind w:left="57" w:hanging="57"/>
              <w:jc w:val="center"/>
              <w:rPr>
                <w:color w:val="000000"/>
                <w:szCs w:val="22"/>
              </w:rPr>
            </w:pPr>
            <w:r w:rsidRPr="004A59B1">
              <w:rPr>
                <w:color w:val="000000"/>
                <w:szCs w:val="22"/>
              </w:rPr>
              <w:t>0/86</w:t>
            </w:r>
          </w:p>
          <w:p w14:paraId="52979B73" w14:textId="77777777" w:rsidR="00AD67A5" w:rsidRPr="004A59B1" w:rsidRDefault="00AD67A5" w:rsidP="009C1193">
            <w:pPr>
              <w:keepNext/>
              <w:keepLines/>
              <w:widowControl w:val="0"/>
              <w:tabs>
                <w:tab w:val="clear" w:pos="567"/>
              </w:tabs>
              <w:spacing w:line="240" w:lineRule="auto"/>
              <w:ind w:left="57" w:hanging="57"/>
              <w:jc w:val="center"/>
              <w:rPr>
                <w:bCs/>
                <w:color w:val="000000"/>
                <w:szCs w:val="22"/>
              </w:rPr>
            </w:pPr>
            <w:r w:rsidRPr="004A59B1">
              <w:rPr>
                <w:bCs/>
                <w:color w:val="000000"/>
                <w:szCs w:val="22"/>
              </w:rPr>
              <w:t>v pr.</w:t>
            </w:r>
          </w:p>
          <w:p w14:paraId="52979B74" w14:textId="77777777" w:rsidR="00AD67A5" w:rsidRPr="004A59B1" w:rsidRDefault="00AD67A5" w:rsidP="009C1193">
            <w:pPr>
              <w:keepNext/>
              <w:keepLines/>
              <w:widowControl w:val="0"/>
              <w:tabs>
                <w:tab w:val="clear" w:pos="567"/>
              </w:tabs>
              <w:spacing w:line="240" w:lineRule="auto"/>
              <w:ind w:left="57" w:hanging="57"/>
              <w:jc w:val="center"/>
              <w:rPr>
                <w:color w:val="000000"/>
                <w:szCs w:val="22"/>
              </w:rPr>
            </w:pPr>
            <w:r w:rsidRPr="004A59B1">
              <w:rPr>
                <w:bCs/>
                <w:color w:val="000000"/>
                <w:szCs w:val="22"/>
              </w:rPr>
              <w:t>z</w:t>
            </w:r>
            <w:r w:rsidRPr="004A59B1">
              <w:rPr>
                <w:color w:val="000000"/>
                <w:szCs w:val="22"/>
              </w:rPr>
              <w:t xml:space="preserve"> 2/90</w:t>
            </w:r>
          </w:p>
        </w:tc>
        <w:tc>
          <w:tcPr>
            <w:tcW w:w="1357" w:type="dxa"/>
            <w:tcBorders>
              <w:left w:val="single" w:sz="4" w:space="0" w:color="auto"/>
              <w:bottom w:val="nil"/>
              <w:right w:val="single" w:sz="4" w:space="0" w:color="auto"/>
            </w:tcBorders>
            <w:vAlign w:val="bottom"/>
          </w:tcPr>
          <w:p w14:paraId="52979B75" w14:textId="77777777" w:rsidR="00AD67A5" w:rsidRPr="004A59B1" w:rsidRDefault="00AD67A5" w:rsidP="009C1193">
            <w:pPr>
              <w:keepNext/>
              <w:keepLines/>
              <w:widowControl w:val="0"/>
              <w:spacing w:line="240" w:lineRule="auto"/>
              <w:ind w:left="57" w:hanging="57"/>
              <w:jc w:val="center"/>
              <w:rPr>
                <w:color w:val="000000"/>
                <w:szCs w:val="22"/>
              </w:rPr>
            </w:pPr>
            <w:r w:rsidRPr="004A59B1">
              <w:rPr>
                <w:color w:val="000000"/>
                <w:szCs w:val="22"/>
              </w:rPr>
              <w:t>NO</w:t>
            </w:r>
          </w:p>
        </w:tc>
        <w:tc>
          <w:tcPr>
            <w:tcW w:w="1440" w:type="dxa"/>
            <w:tcBorders>
              <w:left w:val="single" w:sz="4" w:space="0" w:color="auto"/>
              <w:bottom w:val="nil"/>
              <w:right w:val="single" w:sz="4" w:space="0" w:color="auto"/>
            </w:tcBorders>
            <w:vAlign w:val="bottom"/>
          </w:tcPr>
          <w:p w14:paraId="52979B76" w14:textId="77777777" w:rsidR="00AD67A5" w:rsidRPr="004A59B1" w:rsidRDefault="00AD67A5" w:rsidP="009C1193">
            <w:pPr>
              <w:keepNext/>
              <w:keepLines/>
              <w:widowControl w:val="0"/>
              <w:spacing w:line="240" w:lineRule="auto"/>
              <w:ind w:left="57" w:hanging="57"/>
              <w:jc w:val="center"/>
              <w:rPr>
                <w:color w:val="000000"/>
                <w:szCs w:val="22"/>
              </w:rPr>
            </w:pPr>
            <w:r w:rsidRPr="004A59B1">
              <w:rPr>
                <w:color w:val="000000"/>
                <w:szCs w:val="22"/>
              </w:rPr>
              <w:t>100</w:t>
            </w:r>
          </w:p>
          <w:p w14:paraId="52979B77" w14:textId="77777777" w:rsidR="00AD67A5" w:rsidRPr="004A59B1" w:rsidRDefault="00AD67A5" w:rsidP="009C1193">
            <w:pPr>
              <w:keepNext/>
              <w:keepLines/>
              <w:widowControl w:val="0"/>
              <w:spacing w:line="240" w:lineRule="auto"/>
              <w:ind w:left="57" w:hanging="57"/>
              <w:jc w:val="center"/>
              <w:rPr>
                <w:bCs/>
                <w:color w:val="000000"/>
                <w:szCs w:val="22"/>
              </w:rPr>
            </w:pPr>
            <w:r w:rsidRPr="004A59B1">
              <w:rPr>
                <w:bCs/>
                <w:color w:val="000000"/>
                <w:szCs w:val="22"/>
              </w:rPr>
              <w:t>v pr.</w:t>
            </w:r>
          </w:p>
          <w:p w14:paraId="52979B78" w14:textId="77777777" w:rsidR="00AD67A5" w:rsidRPr="004A59B1" w:rsidRDefault="00AD67A5" w:rsidP="009C1193">
            <w:pPr>
              <w:keepNext/>
              <w:keepLines/>
              <w:widowControl w:val="0"/>
              <w:spacing w:line="240" w:lineRule="auto"/>
              <w:ind w:left="57" w:hanging="57"/>
              <w:jc w:val="center"/>
              <w:rPr>
                <w:color w:val="000000"/>
                <w:szCs w:val="22"/>
              </w:rPr>
            </w:pPr>
            <w:r w:rsidRPr="004A59B1">
              <w:rPr>
                <w:bCs/>
                <w:color w:val="000000"/>
                <w:szCs w:val="22"/>
              </w:rPr>
              <w:t>z</w:t>
            </w:r>
            <w:r w:rsidRPr="004A59B1">
              <w:rPr>
                <w:color w:val="000000"/>
                <w:szCs w:val="22"/>
              </w:rPr>
              <w:t xml:space="preserve"> 98,7</w:t>
            </w:r>
          </w:p>
        </w:tc>
        <w:tc>
          <w:tcPr>
            <w:tcW w:w="1360" w:type="dxa"/>
            <w:tcBorders>
              <w:left w:val="single" w:sz="4" w:space="0" w:color="auto"/>
              <w:bottom w:val="nil"/>
            </w:tcBorders>
            <w:vAlign w:val="bottom"/>
          </w:tcPr>
          <w:p w14:paraId="52979B79" w14:textId="77777777" w:rsidR="00AD67A5" w:rsidRPr="004A59B1" w:rsidRDefault="00AD67A5" w:rsidP="009C1193">
            <w:pPr>
              <w:keepNext/>
              <w:keepLines/>
              <w:widowControl w:val="0"/>
              <w:spacing w:line="240" w:lineRule="auto"/>
              <w:ind w:left="57" w:hanging="57"/>
              <w:jc w:val="center"/>
              <w:rPr>
                <w:color w:val="000000"/>
                <w:szCs w:val="22"/>
              </w:rPr>
            </w:pPr>
            <w:r w:rsidRPr="004A59B1">
              <w:rPr>
                <w:color w:val="000000"/>
                <w:szCs w:val="22"/>
              </w:rPr>
              <w:t>100</w:t>
            </w:r>
          </w:p>
          <w:p w14:paraId="52979B7A" w14:textId="77777777" w:rsidR="00AD67A5" w:rsidRPr="004A59B1" w:rsidRDefault="00AD67A5" w:rsidP="009C1193">
            <w:pPr>
              <w:keepNext/>
              <w:keepLines/>
              <w:widowControl w:val="0"/>
              <w:spacing w:line="240" w:lineRule="auto"/>
              <w:ind w:left="57" w:hanging="57"/>
              <w:jc w:val="center"/>
              <w:rPr>
                <w:bCs/>
                <w:color w:val="000000"/>
                <w:szCs w:val="22"/>
              </w:rPr>
            </w:pPr>
            <w:r w:rsidRPr="004A59B1">
              <w:rPr>
                <w:bCs/>
                <w:color w:val="000000"/>
                <w:szCs w:val="22"/>
              </w:rPr>
              <w:t>v pr.</w:t>
            </w:r>
          </w:p>
          <w:p w14:paraId="52979B7B" w14:textId="77777777" w:rsidR="00AD67A5" w:rsidRPr="004A59B1" w:rsidRDefault="00AD67A5" w:rsidP="009C1193">
            <w:pPr>
              <w:keepNext/>
              <w:keepLines/>
              <w:widowControl w:val="0"/>
              <w:spacing w:line="240" w:lineRule="auto"/>
              <w:ind w:left="57" w:hanging="57"/>
              <w:jc w:val="center"/>
              <w:rPr>
                <w:color w:val="000000"/>
                <w:szCs w:val="22"/>
              </w:rPr>
            </w:pPr>
            <w:r w:rsidRPr="004A59B1">
              <w:rPr>
                <w:bCs/>
                <w:color w:val="000000"/>
                <w:szCs w:val="22"/>
              </w:rPr>
              <w:t>s</w:t>
            </w:r>
            <w:r w:rsidRPr="004A59B1">
              <w:rPr>
                <w:color w:val="000000"/>
                <w:szCs w:val="22"/>
              </w:rPr>
              <w:t xml:space="preserve"> 95,5</w:t>
            </w:r>
          </w:p>
        </w:tc>
      </w:tr>
      <w:tr w:rsidR="00AD67A5" w:rsidRPr="004A59B1" w14:paraId="52979B8B" w14:textId="77777777" w:rsidTr="009C1193">
        <w:trPr>
          <w:cantSplit/>
        </w:trPr>
        <w:tc>
          <w:tcPr>
            <w:tcW w:w="934" w:type="dxa"/>
            <w:vMerge/>
            <w:shd w:val="clear" w:color="auto" w:fill="auto"/>
          </w:tcPr>
          <w:p w14:paraId="52979B7D" w14:textId="77777777" w:rsidR="00AD67A5" w:rsidRPr="004A59B1" w:rsidRDefault="00AD67A5" w:rsidP="009C1193">
            <w:pPr>
              <w:keepNext/>
              <w:keepLines/>
              <w:widowControl w:val="0"/>
              <w:spacing w:line="240" w:lineRule="auto"/>
              <w:rPr>
                <w:color w:val="000000"/>
                <w:szCs w:val="22"/>
              </w:rPr>
            </w:pPr>
          </w:p>
        </w:tc>
        <w:tc>
          <w:tcPr>
            <w:tcW w:w="1316" w:type="dxa"/>
            <w:tcBorders>
              <w:top w:val="nil"/>
              <w:bottom w:val="nil"/>
              <w:right w:val="single" w:sz="4" w:space="0" w:color="auto"/>
            </w:tcBorders>
            <w:vAlign w:val="bottom"/>
          </w:tcPr>
          <w:p w14:paraId="52979B7E" w14:textId="77777777" w:rsidR="00AD67A5" w:rsidRPr="004A59B1" w:rsidRDefault="00AD67A5" w:rsidP="009C1193">
            <w:pPr>
              <w:pStyle w:val="Table"/>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zmerno</w:t>
            </w:r>
          </w:p>
        </w:tc>
        <w:tc>
          <w:tcPr>
            <w:tcW w:w="961" w:type="dxa"/>
            <w:tcBorders>
              <w:top w:val="nil"/>
              <w:left w:val="single" w:sz="4" w:space="0" w:color="auto"/>
              <w:bottom w:val="nil"/>
              <w:right w:val="single" w:sz="4" w:space="0" w:color="auto"/>
            </w:tcBorders>
            <w:vAlign w:val="bottom"/>
          </w:tcPr>
          <w:p w14:paraId="52979B7F"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25,7</w:t>
            </w:r>
          </w:p>
        </w:tc>
        <w:tc>
          <w:tcPr>
            <w:tcW w:w="1717" w:type="dxa"/>
            <w:tcBorders>
              <w:top w:val="nil"/>
              <w:left w:val="single" w:sz="4" w:space="0" w:color="auto"/>
              <w:bottom w:val="nil"/>
              <w:right w:val="single" w:sz="4" w:space="0" w:color="auto"/>
            </w:tcBorders>
            <w:vAlign w:val="bottom"/>
          </w:tcPr>
          <w:p w14:paraId="52979B80"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4/75</w:t>
            </w:r>
          </w:p>
          <w:p w14:paraId="52979B81"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9B82"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s 6/78</w:t>
            </w:r>
          </w:p>
        </w:tc>
        <w:tc>
          <w:tcPr>
            <w:tcW w:w="1357" w:type="dxa"/>
            <w:tcBorders>
              <w:top w:val="nil"/>
              <w:left w:val="single" w:sz="4" w:space="0" w:color="auto"/>
              <w:bottom w:val="nil"/>
              <w:right w:val="single" w:sz="4" w:space="0" w:color="auto"/>
            </w:tcBorders>
            <w:vAlign w:val="bottom"/>
          </w:tcPr>
          <w:p w14:paraId="52979B83"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0,59</w:t>
            </w:r>
          </w:p>
          <w:p w14:paraId="52979B84"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(0,17; 2,10)</w:t>
            </w:r>
          </w:p>
        </w:tc>
        <w:tc>
          <w:tcPr>
            <w:tcW w:w="1440" w:type="dxa"/>
            <w:tcBorders>
              <w:top w:val="nil"/>
              <w:left w:val="single" w:sz="4" w:space="0" w:color="auto"/>
              <w:bottom w:val="nil"/>
              <w:right w:val="single" w:sz="4" w:space="0" w:color="auto"/>
            </w:tcBorders>
            <w:vAlign w:val="bottom"/>
          </w:tcPr>
          <w:p w14:paraId="52979B85"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100</w:t>
            </w:r>
          </w:p>
          <w:p w14:paraId="52979B86"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9B87"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s 94,8</w:t>
            </w:r>
          </w:p>
        </w:tc>
        <w:tc>
          <w:tcPr>
            <w:tcW w:w="1360" w:type="dxa"/>
            <w:tcBorders>
              <w:top w:val="nil"/>
              <w:left w:val="single" w:sz="4" w:space="0" w:color="auto"/>
              <w:bottom w:val="nil"/>
            </w:tcBorders>
            <w:vAlign w:val="bottom"/>
          </w:tcPr>
          <w:p w14:paraId="52979B88"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97,8</w:t>
            </w:r>
          </w:p>
          <w:p w14:paraId="52979B89"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9B8A"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z 89,5</w:t>
            </w:r>
          </w:p>
        </w:tc>
      </w:tr>
      <w:tr w:rsidR="00AD67A5" w:rsidRPr="004A59B1" w14:paraId="52979B9A" w14:textId="77777777" w:rsidTr="009C1193">
        <w:trPr>
          <w:cantSplit/>
        </w:trPr>
        <w:tc>
          <w:tcPr>
            <w:tcW w:w="934" w:type="dxa"/>
            <w:vMerge/>
            <w:shd w:val="clear" w:color="auto" w:fill="auto"/>
          </w:tcPr>
          <w:p w14:paraId="52979B8C" w14:textId="77777777" w:rsidR="00AD67A5" w:rsidRPr="004A59B1" w:rsidRDefault="00AD67A5" w:rsidP="009C1193">
            <w:pPr>
              <w:pStyle w:val="Table"/>
              <w:widowControl w:val="0"/>
              <w:spacing w:before="0" w:after="0"/>
              <w:rPr>
                <w:rFonts w:ascii="Times New Roman" w:hAnsi="Times New Roman"/>
                <w:color w:val="000000"/>
                <w:sz w:val="22"/>
                <w:szCs w:val="22"/>
              </w:rPr>
            </w:pPr>
          </w:p>
        </w:tc>
        <w:tc>
          <w:tcPr>
            <w:tcW w:w="1316" w:type="dxa"/>
            <w:tcBorders>
              <w:top w:val="nil"/>
              <w:right w:val="single" w:sz="4" w:space="0" w:color="auto"/>
            </w:tcBorders>
            <w:vAlign w:val="bottom"/>
          </w:tcPr>
          <w:p w14:paraId="52979B8D" w14:textId="77777777" w:rsidR="00AD67A5" w:rsidRPr="004A59B1" w:rsidRDefault="00AD67A5" w:rsidP="009C1193">
            <w:pPr>
              <w:pStyle w:val="Table"/>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veliko</w:t>
            </w:r>
          </w:p>
        </w:tc>
        <w:tc>
          <w:tcPr>
            <w:tcW w:w="961" w:type="dxa"/>
            <w:tcBorders>
              <w:top w:val="nil"/>
              <w:left w:val="single" w:sz="4" w:space="0" w:color="auto"/>
              <w:right w:val="single" w:sz="4" w:space="0" w:color="auto"/>
            </w:tcBorders>
            <w:vAlign w:val="bottom"/>
          </w:tcPr>
          <w:p w14:paraId="52979B8E"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44,8</w:t>
            </w:r>
          </w:p>
        </w:tc>
        <w:tc>
          <w:tcPr>
            <w:tcW w:w="1717" w:type="dxa"/>
            <w:tcBorders>
              <w:top w:val="nil"/>
              <w:left w:val="single" w:sz="4" w:space="0" w:color="auto"/>
              <w:right w:val="single" w:sz="4" w:space="0" w:color="auto"/>
            </w:tcBorders>
            <w:vAlign w:val="bottom"/>
          </w:tcPr>
          <w:p w14:paraId="52979B8F"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21/140</w:t>
            </w:r>
          </w:p>
          <w:p w14:paraId="52979B90"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9B91"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z 51/127</w:t>
            </w:r>
          </w:p>
        </w:tc>
        <w:tc>
          <w:tcPr>
            <w:tcW w:w="1357" w:type="dxa"/>
            <w:tcBorders>
              <w:top w:val="nil"/>
              <w:left w:val="single" w:sz="4" w:space="0" w:color="auto"/>
              <w:right w:val="single" w:sz="4" w:space="0" w:color="auto"/>
            </w:tcBorders>
            <w:vAlign w:val="bottom"/>
          </w:tcPr>
          <w:p w14:paraId="52979B92"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0,29</w:t>
            </w:r>
          </w:p>
          <w:p w14:paraId="52979B93"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(0,18; 0,49)</w:t>
            </w:r>
          </w:p>
        </w:tc>
        <w:tc>
          <w:tcPr>
            <w:tcW w:w="1440" w:type="dxa"/>
            <w:tcBorders>
              <w:top w:val="nil"/>
              <w:left w:val="single" w:sz="4" w:space="0" w:color="auto"/>
              <w:right w:val="single" w:sz="4" w:space="0" w:color="auto"/>
            </w:tcBorders>
            <w:vAlign w:val="bottom"/>
          </w:tcPr>
          <w:p w14:paraId="52979B94"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94,8</w:t>
            </w:r>
          </w:p>
          <w:p w14:paraId="52979B95"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9B96"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s 64,0</w:t>
            </w:r>
          </w:p>
        </w:tc>
        <w:tc>
          <w:tcPr>
            <w:tcW w:w="1360" w:type="dxa"/>
            <w:tcBorders>
              <w:top w:val="nil"/>
              <w:left w:val="single" w:sz="4" w:space="0" w:color="auto"/>
            </w:tcBorders>
            <w:vAlign w:val="bottom"/>
          </w:tcPr>
          <w:p w14:paraId="52979B97"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80,7</w:t>
            </w:r>
          </w:p>
          <w:p w14:paraId="52979B98"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9B99"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s 46,6</w:t>
            </w:r>
          </w:p>
        </w:tc>
      </w:tr>
      <w:tr w:rsidR="00AD67A5" w:rsidRPr="004A59B1" w14:paraId="52979BA9" w14:textId="77777777" w:rsidTr="009C1193">
        <w:trPr>
          <w:cantSplit/>
        </w:trPr>
        <w:tc>
          <w:tcPr>
            <w:tcW w:w="934" w:type="dxa"/>
            <w:vMerge w:val="restart"/>
            <w:shd w:val="clear" w:color="auto" w:fill="auto"/>
          </w:tcPr>
          <w:p w14:paraId="52979B9B" w14:textId="77777777" w:rsidR="00AD67A5" w:rsidRPr="004A59B1" w:rsidRDefault="00AD67A5" w:rsidP="009C1193">
            <w:pPr>
              <w:pStyle w:val="Table"/>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AFIP</w:t>
            </w:r>
          </w:p>
          <w:p w14:paraId="52979B9C" w14:textId="77777777" w:rsidR="00AD67A5" w:rsidRPr="004A59B1" w:rsidRDefault="00AD67A5" w:rsidP="009C1193">
            <w:pPr>
              <w:pStyle w:val="Table"/>
              <w:widowControl w:val="0"/>
              <w:spacing w:before="0" w:after="0"/>
              <w:rPr>
                <w:rFonts w:ascii="Times New Roman" w:hAnsi="Times New Roman"/>
                <w:color w:val="000000"/>
                <w:sz w:val="22"/>
                <w:szCs w:val="22"/>
              </w:rPr>
            </w:pPr>
          </w:p>
        </w:tc>
        <w:tc>
          <w:tcPr>
            <w:tcW w:w="1316" w:type="dxa"/>
            <w:tcBorders>
              <w:bottom w:val="nil"/>
              <w:right w:val="single" w:sz="4" w:space="0" w:color="auto"/>
            </w:tcBorders>
            <w:vAlign w:val="bottom"/>
          </w:tcPr>
          <w:p w14:paraId="52979B9D" w14:textId="77777777" w:rsidR="00AD67A5" w:rsidRPr="004A59B1" w:rsidRDefault="00AD67A5" w:rsidP="009C1193">
            <w:pPr>
              <w:pStyle w:val="Table"/>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zelo majhno</w:t>
            </w:r>
          </w:p>
        </w:tc>
        <w:tc>
          <w:tcPr>
            <w:tcW w:w="961" w:type="dxa"/>
            <w:tcBorders>
              <w:left w:val="single" w:sz="4" w:space="0" w:color="auto"/>
              <w:bottom w:val="nil"/>
              <w:right w:val="single" w:sz="4" w:space="0" w:color="auto"/>
            </w:tcBorders>
            <w:vAlign w:val="bottom"/>
          </w:tcPr>
          <w:p w14:paraId="52979B9E"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20,7</w:t>
            </w:r>
          </w:p>
        </w:tc>
        <w:tc>
          <w:tcPr>
            <w:tcW w:w="1717" w:type="dxa"/>
            <w:tcBorders>
              <w:left w:val="single" w:sz="4" w:space="0" w:color="auto"/>
              <w:bottom w:val="nil"/>
              <w:right w:val="single" w:sz="4" w:space="0" w:color="auto"/>
            </w:tcBorders>
            <w:vAlign w:val="bottom"/>
          </w:tcPr>
          <w:p w14:paraId="52979B9F"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0/52</w:t>
            </w:r>
          </w:p>
          <w:p w14:paraId="52979BA0"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9BA1"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z 2/63</w:t>
            </w:r>
          </w:p>
        </w:tc>
        <w:tc>
          <w:tcPr>
            <w:tcW w:w="1357" w:type="dxa"/>
            <w:tcBorders>
              <w:left w:val="single" w:sz="4" w:space="0" w:color="auto"/>
              <w:bottom w:val="nil"/>
              <w:right w:val="single" w:sz="4" w:space="0" w:color="auto"/>
            </w:tcBorders>
            <w:vAlign w:val="bottom"/>
          </w:tcPr>
          <w:p w14:paraId="52979BA2"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NO</w:t>
            </w:r>
          </w:p>
        </w:tc>
        <w:tc>
          <w:tcPr>
            <w:tcW w:w="1440" w:type="dxa"/>
            <w:tcBorders>
              <w:left w:val="single" w:sz="4" w:space="0" w:color="auto"/>
              <w:bottom w:val="nil"/>
              <w:right w:val="single" w:sz="4" w:space="0" w:color="auto"/>
            </w:tcBorders>
            <w:vAlign w:val="bottom"/>
          </w:tcPr>
          <w:p w14:paraId="52979BA3"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100</w:t>
            </w:r>
          </w:p>
          <w:p w14:paraId="52979BA4"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9BA5"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z 98,1</w:t>
            </w:r>
          </w:p>
        </w:tc>
        <w:tc>
          <w:tcPr>
            <w:tcW w:w="1360" w:type="dxa"/>
            <w:tcBorders>
              <w:left w:val="single" w:sz="4" w:space="0" w:color="auto"/>
              <w:bottom w:val="nil"/>
            </w:tcBorders>
            <w:vAlign w:val="bottom"/>
          </w:tcPr>
          <w:p w14:paraId="52979BA6"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100</w:t>
            </w:r>
          </w:p>
          <w:p w14:paraId="52979BA7"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9BA8"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s 93,0</w:t>
            </w:r>
          </w:p>
        </w:tc>
      </w:tr>
      <w:tr w:rsidR="00AD67A5" w:rsidRPr="004A59B1" w14:paraId="52979BB7" w14:textId="77777777" w:rsidTr="009C1193">
        <w:trPr>
          <w:cantSplit/>
        </w:trPr>
        <w:tc>
          <w:tcPr>
            <w:tcW w:w="934" w:type="dxa"/>
            <w:vMerge/>
            <w:shd w:val="clear" w:color="auto" w:fill="auto"/>
          </w:tcPr>
          <w:p w14:paraId="52979BAA" w14:textId="77777777" w:rsidR="00AD67A5" w:rsidRPr="004A59B1" w:rsidRDefault="00AD67A5" w:rsidP="009C1193">
            <w:pPr>
              <w:pStyle w:val="Table"/>
              <w:widowControl w:val="0"/>
              <w:spacing w:before="0" w:after="0"/>
              <w:rPr>
                <w:rFonts w:ascii="Times New Roman" w:hAnsi="Times New Roman"/>
                <w:color w:val="000000"/>
                <w:sz w:val="22"/>
                <w:szCs w:val="22"/>
              </w:rPr>
            </w:pPr>
          </w:p>
        </w:tc>
        <w:tc>
          <w:tcPr>
            <w:tcW w:w="1316" w:type="dxa"/>
            <w:tcBorders>
              <w:top w:val="nil"/>
              <w:bottom w:val="nil"/>
              <w:right w:val="single" w:sz="4" w:space="0" w:color="auto"/>
            </w:tcBorders>
            <w:vAlign w:val="bottom"/>
          </w:tcPr>
          <w:p w14:paraId="52979BAB" w14:textId="77777777" w:rsidR="00AD67A5" w:rsidRPr="004A59B1" w:rsidRDefault="00AD67A5" w:rsidP="009C1193">
            <w:pPr>
              <w:pStyle w:val="Table"/>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majhno</w:t>
            </w:r>
          </w:p>
        </w:tc>
        <w:tc>
          <w:tcPr>
            <w:tcW w:w="961" w:type="dxa"/>
            <w:tcBorders>
              <w:top w:val="nil"/>
              <w:left w:val="single" w:sz="4" w:space="0" w:color="auto"/>
              <w:bottom w:val="nil"/>
              <w:right w:val="single" w:sz="4" w:space="0" w:color="auto"/>
            </w:tcBorders>
            <w:vAlign w:val="bottom"/>
          </w:tcPr>
          <w:p w14:paraId="52979BAC"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25,0</w:t>
            </w:r>
          </w:p>
        </w:tc>
        <w:tc>
          <w:tcPr>
            <w:tcW w:w="1717" w:type="dxa"/>
            <w:tcBorders>
              <w:top w:val="nil"/>
              <w:left w:val="single" w:sz="4" w:space="0" w:color="auto"/>
              <w:bottom w:val="nil"/>
              <w:right w:val="single" w:sz="4" w:space="0" w:color="auto"/>
            </w:tcBorders>
            <w:vAlign w:val="bottom"/>
          </w:tcPr>
          <w:p w14:paraId="52979BAD"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2/70</w:t>
            </w:r>
          </w:p>
          <w:p w14:paraId="52979BAE"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9BAF"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z 0/69</w:t>
            </w:r>
          </w:p>
        </w:tc>
        <w:tc>
          <w:tcPr>
            <w:tcW w:w="1357" w:type="dxa"/>
            <w:tcBorders>
              <w:top w:val="nil"/>
              <w:left w:val="single" w:sz="4" w:space="0" w:color="auto"/>
              <w:bottom w:val="nil"/>
              <w:right w:val="single" w:sz="4" w:space="0" w:color="auto"/>
            </w:tcBorders>
            <w:vAlign w:val="bottom"/>
          </w:tcPr>
          <w:p w14:paraId="52979BB0"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NO</w:t>
            </w:r>
          </w:p>
        </w:tc>
        <w:tc>
          <w:tcPr>
            <w:tcW w:w="1440" w:type="dxa"/>
            <w:tcBorders>
              <w:top w:val="nil"/>
              <w:left w:val="single" w:sz="4" w:space="0" w:color="auto"/>
              <w:bottom w:val="nil"/>
              <w:right w:val="single" w:sz="4" w:space="0" w:color="auto"/>
            </w:tcBorders>
            <w:vAlign w:val="bottom"/>
          </w:tcPr>
          <w:p w14:paraId="52979BB1"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100</w:t>
            </w:r>
          </w:p>
          <w:p w14:paraId="52979BB2"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9BB3"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s 100</w:t>
            </w:r>
          </w:p>
        </w:tc>
        <w:tc>
          <w:tcPr>
            <w:tcW w:w="1360" w:type="dxa"/>
            <w:tcBorders>
              <w:top w:val="nil"/>
              <w:left w:val="single" w:sz="4" w:space="0" w:color="auto"/>
              <w:bottom w:val="nil"/>
            </w:tcBorders>
            <w:vAlign w:val="bottom"/>
          </w:tcPr>
          <w:p w14:paraId="52979BB4"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97,8</w:t>
            </w:r>
          </w:p>
          <w:p w14:paraId="52979BB5"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9BB6"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s 100</w:t>
            </w:r>
          </w:p>
        </w:tc>
      </w:tr>
      <w:tr w:rsidR="00AD67A5" w:rsidRPr="004A59B1" w14:paraId="52979BC6" w14:textId="77777777" w:rsidTr="009C1193">
        <w:trPr>
          <w:cantSplit/>
        </w:trPr>
        <w:tc>
          <w:tcPr>
            <w:tcW w:w="934" w:type="dxa"/>
            <w:vMerge/>
            <w:shd w:val="clear" w:color="auto" w:fill="auto"/>
          </w:tcPr>
          <w:p w14:paraId="52979BB8" w14:textId="77777777" w:rsidR="00AD67A5" w:rsidRPr="004A59B1" w:rsidRDefault="00AD67A5" w:rsidP="009C1193">
            <w:pPr>
              <w:pStyle w:val="Table"/>
              <w:widowControl w:val="0"/>
              <w:spacing w:before="0" w:after="0"/>
              <w:rPr>
                <w:rFonts w:ascii="Times New Roman" w:hAnsi="Times New Roman"/>
                <w:b/>
                <w:color w:val="000000"/>
                <w:sz w:val="22"/>
                <w:szCs w:val="22"/>
              </w:rPr>
            </w:pPr>
          </w:p>
        </w:tc>
        <w:tc>
          <w:tcPr>
            <w:tcW w:w="1316" w:type="dxa"/>
            <w:tcBorders>
              <w:top w:val="nil"/>
              <w:bottom w:val="nil"/>
              <w:right w:val="single" w:sz="4" w:space="0" w:color="auto"/>
            </w:tcBorders>
            <w:vAlign w:val="bottom"/>
          </w:tcPr>
          <w:p w14:paraId="52979BB9" w14:textId="77777777" w:rsidR="00AD67A5" w:rsidRPr="004A59B1" w:rsidRDefault="00AD67A5" w:rsidP="009C1193">
            <w:pPr>
              <w:pStyle w:val="Table"/>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zmerno</w:t>
            </w:r>
          </w:p>
        </w:tc>
        <w:tc>
          <w:tcPr>
            <w:tcW w:w="961" w:type="dxa"/>
            <w:tcBorders>
              <w:top w:val="nil"/>
              <w:left w:val="single" w:sz="4" w:space="0" w:color="auto"/>
              <w:bottom w:val="nil"/>
              <w:right w:val="single" w:sz="4" w:space="0" w:color="auto"/>
            </w:tcBorders>
            <w:vAlign w:val="bottom"/>
          </w:tcPr>
          <w:p w14:paraId="52979BBA"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24,6</w:t>
            </w:r>
          </w:p>
        </w:tc>
        <w:tc>
          <w:tcPr>
            <w:tcW w:w="1717" w:type="dxa"/>
            <w:tcBorders>
              <w:top w:val="nil"/>
              <w:left w:val="single" w:sz="4" w:space="0" w:color="auto"/>
              <w:bottom w:val="nil"/>
              <w:right w:val="single" w:sz="4" w:space="0" w:color="auto"/>
            </w:tcBorders>
            <w:vAlign w:val="bottom"/>
          </w:tcPr>
          <w:p w14:paraId="52979BBB"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2/70</w:t>
            </w:r>
          </w:p>
          <w:p w14:paraId="52979BBC"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9BBD"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z 11/67</w:t>
            </w:r>
          </w:p>
        </w:tc>
        <w:tc>
          <w:tcPr>
            <w:tcW w:w="1357" w:type="dxa"/>
            <w:tcBorders>
              <w:top w:val="nil"/>
              <w:left w:val="single" w:sz="4" w:space="0" w:color="auto"/>
              <w:bottom w:val="nil"/>
              <w:right w:val="single" w:sz="4" w:space="0" w:color="auto"/>
            </w:tcBorders>
            <w:vAlign w:val="bottom"/>
          </w:tcPr>
          <w:p w14:paraId="52979BBE"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0,16</w:t>
            </w:r>
          </w:p>
          <w:p w14:paraId="52979BBF"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(0,03; 0,70)</w:t>
            </w:r>
          </w:p>
        </w:tc>
        <w:tc>
          <w:tcPr>
            <w:tcW w:w="1440" w:type="dxa"/>
            <w:tcBorders>
              <w:top w:val="nil"/>
              <w:left w:val="single" w:sz="4" w:space="0" w:color="auto"/>
              <w:bottom w:val="nil"/>
              <w:right w:val="single" w:sz="4" w:space="0" w:color="auto"/>
            </w:tcBorders>
            <w:vAlign w:val="bottom"/>
          </w:tcPr>
          <w:p w14:paraId="52979BC0"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97,9</w:t>
            </w:r>
          </w:p>
          <w:p w14:paraId="52979BC1"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9BC2"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z 90,8</w:t>
            </w:r>
          </w:p>
        </w:tc>
        <w:tc>
          <w:tcPr>
            <w:tcW w:w="1360" w:type="dxa"/>
            <w:tcBorders>
              <w:top w:val="nil"/>
              <w:left w:val="single" w:sz="4" w:space="0" w:color="auto"/>
              <w:bottom w:val="nil"/>
            </w:tcBorders>
            <w:vAlign w:val="bottom"/>
          </w:tcPr>
          <w:p w14:paraId="52979BC3"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97,9</w:t>
            </w:r>
          </w:p>
          <w:p w14:paraId="52979BC4"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9BC5"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s 73,3</w:t>
            </w:r>
          </w:p>
        </w:tc>
      </w:tr>
      <w:tr w:rsidR="00AD67A5" w:rsidRPr="004A59B1" w14:paraId="52979BD5" w14:textId="77777777" w:rsidTr="009C1193">
        <w:trPr>
          <w:cantSplit/>
        </w:trPr>
        <w:tc>
          <w:tcPr>
            <w:tcW w:w="934" w:type="dxa"/>
            <w:vMerge/>
            <w:tcBorders>
              <w:bottom w:val="single" w:sz="4" w:space="0" w:color="auto"/>
            </w:tcBorders>
            <w:shd w:val="clear" w:color="auto" w:fill="auto"/>
          </w:tcPr>
          <w:p w14:paraId="52979BC7" w14:textId="77777777" w:rsidR="00AD67A5" w:rsidRPr="004A59B1" w:rsidRDefault="00AD67A5" w:rsidP="009C1193">
            <w:pPr>
              <w:pStyle w:val="Table"/>
              <w:widowControl w:val="0"/>
              <w:spacing w:before="0" w:after="0"/>
              <w:rPr>
                <w:rFonts w:ascii="Times New Roman" w:hAnsi="Times New Roman"/>
                <w:color w:val="000000"/>
                <w:sz w:val="22"/>
                <w:szCs w:val="22"/>
              </w:rPr>
            </w:pPr>
          </w:p>
        </w:tc>
        <w:tc>
          <w:tcPr>
            <w:tcW w:w="1316" w:type="dxa"/>
            <w:tcBorders>
              <w:top w:val="nil"/>
              <w:bottom w:val="single" w:sz="4" w:space="0" w:color="auto"/>
              <w:right w:val="single" w:sz="4" w:space="0" w:color="auto"/>
            </w:tcBorders>
            <w:vAlign w:val="bottom"/>
          </w:tcPr>
          <w:p w14:paraId="52979BC8" w14:textId="77777777" w:rsidR="00AD67A5" w:rsidRPr="004A59B1" w:rsidRDefault="00AD67A5" w:rsidP="009C1193">
            <w:pPr>
              <w:pStyle w:val="Table"/>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veliko</w:t>
            </w:r>
          </w:p>
        </w:tc>
        <w:tc>
          <w:tcPr>
            <w:tcW w:w="961" w:type="dxa"/>
            <w:tcBorders>
              <w:top w:val="nil"/>
              <w:left w:val="single" w:sz="4" w:space="0" w:color="auto"/>
              <w:bottom w:val="single" w:sz="4" w:space="0" w:color="auto"/>
              <w:right w:val="single" w:sz="4" w:space="0" w:color="auto"/>
            </w:tcBorders>
            <w:vAlign w:val="bottom"/>
          </w:tcPr>
          <w:p w14:paraId="52979BC9" w14:textId="77777777" w:rsidR="00AD67A5" w:rsidRPr="004A59B1" w:rsidRDefault="00AD67A5" w:rsidP="009C1193">
            <w:pPr>
              <w:pStyle w:val="Table"/>
              <w:widowControl w:val="0"/>
              <w:spacing w:before="0" w:after="0"/>
              <w:ind w:right="-3"/>
              <w:jc w:val="center"/>
              <w:rPr>
                <w:rFonts w:ascii="Times New Roman" w:hAnsi="Times New Roman"/>
                <w:color w:val="000000"/>
                <w:sz w:val="22"/>
                <w:szCs w:val="22"/>
              </w:rPr>
            </w:pPr>
            <w:r w:rsidRPr="004A59B1">
              <w:rPr>
                <w:rFonts w:ascii="Times New Roman" w:hAnsi="Times New Roman"/>
                <w:color w:val="000000"/>
                <w:sz w:val="22"/>
                <w:szCs w:val="22"/>
              </w:rPr>
              <w:t>29,7</w:t>
            </w:r>
          </w:p>
        </w:tc>
        <w:tc>
          <w:tcPr>
            <w:tcW w:w="1717" w:type="dxa"/>
            <w:tcBorders>
              <w:top w:val="nil"/>
              <w:left w:val="single" w:sz="4" w:space="0" w:color="auto"/>
              <w:bottom w:val="single" w:sz="4" w:space="0" w:color="auto"/>
              <w:right w:val="single" w:sz="4" w:space="0" w:color="auto"/>
            </w:tcBorders>
            <w:vAlign w:val="bottom"/>
          </w:tcPr>
          <w:p w14:paraId="52979BCA"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16/84</w:t>
            </w:r>
          </w:p>
          <w:p w14:paraId="52979BCB"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9BCC"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z 39/81</w:t>
            </w:r>
          </w:p>
        </w:tc>
        <w:tc>
          <w:tcPr>
            <w:tcW w:w="1357" w:type="dxa"/>
            <w:tcBorders>
              <w:top w:val="nil"/>
              <w:left w:val="single" w:sz="4" w:space="0" w:color="auto"/>
              <w:bottom w:val="single" w:sz="4" w:space="0" w:color="auto"/>
              <w:right w:val="single" w:sz="4" w:space="0" w:color="auto"/>
            </w:tcBorders>
            <w:vAlign w:val="bottom"/>
          </w:tcPr>
          <w:p w14:paraId="52979BCD"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0,27</w:t>
            </w:r>
          </w:p>
          <w:p w14:paraId="52979BCE"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(0,15; 0,48)</w:t>
            </w:r>
          </w:p>
        </w:tc>
        <w:tc>
          <w:tcPr>
            <w:tcW w:w="1440" w:type="dxa"/>
            <w:tcBorders>
              <w:top w:val="nil"/>
              <w:left w:val="single" w:sz="4" w:space="0" w:color="auto"/>
              <w:bottom w:val="single" w:sz="4" w:space="0" w:color="auto"/>
              <w:right w:val="single" w:sz="4" w:space="0" w:color="auto"/>
            </w:tcBorders>
            <w:vAlign w:val="bottom"/>
          </w:tcPr>
          <w:p w14:paraId="52979BCF"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98,7</w:t>
            </w:r>
          </w:p>
          <w:p w14:paraId="52979BD0"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9BD1"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s 56,1</w:t>
            </w:r>
          </w:p>
        </w:tc>
        <w:tc>
          <w:tcPr>
            <w:tcW w:w="1360" w:type="dxa"/>
            <w:tcBorders>
              <w:top w:val="nil"/>
              <w:left w:val="single" w:sz="4" w:space="0" w:color="auto"/>
              <w:bottom w:val="single" w:sz="4" w:space="0" w:color="auto"/>
            </w:tcBorders>
            <w:vAlign w:val="bottom"/>
          </w:tcPr>
          <w:p w14:paraId="52979BD2"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79,9</w:t>
            </w:r>
          </w:p>
          <w:p w14:paraId="52979BD3"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9BD4" w14:textId="77777777" w:rsidR="00AD67A5" w:rsidRPr="004A59B1" w:rsidRDefault="00AD67A5"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z 41,5</w:t>
            </w:r>
          </w:p>
        </w:tc>
      </w:tr>
    </w:tbl>
    <w:p w14:paraId="52979BD6" w14:textId="77777777" w:rsidR="00AD67A5" w:rsidRPr="004A59B1" w:rsidRDefault="00AD67A5" w:rsidP="009C1193">
      <w:pPr>
        <w:pStyle w:val="Text"/>
        <w:keepNext/>
        <w:keepLines/>
        <w:widowControl w:val="0"/>
        <w:spacing w:before="0"/>
        <w:rPr>
          <w:color w:val="000000"/>
          <w:sz w:val="22"/>
          <w:szCs w:val="22"/>
          <w:lang w:val="es-ES"/>
        </w:rPr>
      </w:pPr>
      <w:r w:rsidRPr="004A59B1">
        <w:rPr>
          <w:color w:val="000000"/>
          <w:sz w:val="22"/>
          <w:szCs w:val="22"/>
          <w:lang w:val="es-ES"/>
        </w:rPr>
        <w:t>* celotno obdobje spremljanja; NO – ni mogoče oceniti</w:t>
      </w:r>
    </w:p>
    <w:p w14:paraId="52979BD7" w14:textId="77777777" w:rsidR="006837B3" w:rsidRPr="004A59B1" w:rsidRDefault="006837B3" w:rsidP="009C1193">
      <w:pPr>
        <w:pStyle w:val="Text"/>
        <w:widowControl w:val="0"/>
        <w:spacing w:before="0"/>
        <w:rPr>
          <w:rFonts w:eastAsia="MS Mincho"/>
          <w:color w:val="000000"/>
          <w:lang w:val="es-ES" w:eastAsia="ja-JP"/>
        </w:rPr>
      </w:pPr>
    </w:p>
    <w:p w14:paraId="52979BD8" w14:textId="77777777" w:rsidR="006837B3" w:rsidRPr="004A59B1" w:rsidRDefault="006837B3" w:rsidP="009C1193">
      <w:pPr>
        <w:widowControl w:val="0"/>
        <w:tabs>
          <w:tab w:val="clear" w:pos="567"/>
        </w:tabs>
        <w:spacing w:line="240" w:lineRule="auto"/>
        <w:rPr>
          <w:rFonts w:eastAsia="MS Mincho"/>
          <w:iCs/>
          <w:szCs w:val="22"/>
          <w:lang w:val="es-ES" w:eastAsia="ja-JP"/>
        </w:rPr>
      </w:pPr>
      <w:r w:rsidRPr="004A59B1">
        <w:rPr>
          <w:rFonts w:eastAsia="MS Mincho"/>
          <w:color w:val="000000"/>
          <w:szCs w:val="22"/>
          <w:lang w:val="es-ES" w:eastAsia="ja-JP"/>
        </w:rPr>
        <w:lastRenderedPageBreak/>
        <w:t>V drugi multicentrični, odprti študiji faze III (</w:t>
      </w:r>
      <w:r w:rsidRPr="004A59B1">
        <w:rPr>
          <w:rFonts w:eastAsia="MS Mincho"/>
          <w:szCs w:val="22"/>
          <w:lang w:val="es-ES" w:eastAsia="ja-JP"/>
        </w:rPr>
        <w:t>SSG XVIII/AIO</w:t>
      </w:r>
      <w:r w:rsidRPr="004A59B1">
        <w:rPr>
          <w:rFonts w:eastAsia="MS Mincho"/>
          <w:color w:val="000000"/>
          <w:szCs w:val="22"/>
          <w:lang w:val="es-ES" w:eastAsia="ja-JP"/>
        </w:rPr>
        <w:t xml:space="preserve">) so primerjali 12-mesečno zdravljenje z odmerkom </w:t>
      </w:r>
      <w:r w:rsidRPr="004A59B1">
        <w:rPr>
          <w:rFonts w:eastAsia="MS Mincho"/>
          <w:szCs w:val="22"/>
          <w:lang w:val="es-ES" w:eastAsia="ja-JP"/>
        </w:rPr>
        <w:t xml:space="preserve">400 mg zdravila Glivec na dan s 36-mesečnim zdravljenjem pri bolnikih po kirurški resekciji GIST z eno od naslednjih možnosti: premer tumorja </w:t>
      </w:r>
      <w:r w:rsidRPr="004A59B1">
        <w:rPr>
          <w:rFonts w:eastAsia="MS Mincho"/>
          <w:iCs/>
          <w:szCs w:val="22"/>
          <w:lang w:val="es-ES" w:eastAsia="ja-JP"/>
        </w:rPr>
        <w:t>&gt; 5</w:t>
      </w:r>
      <w:r w:rsidRPr="004A59B1">
        <w:rPr>
          <w:rFonts w:eastAsia="MS Mincho"/>
          <w:szCs w:val="22"/>
          <w:lang w:val="es-ES" w:eastAsia="ja-JP"/>
        </w:rPr>
        <w:t> </w:t>
      </w:r>
      <w:r w:rsidRPr="004A59B1">
        <w:rPr>
          <w:rFonts w:eastAsia="MS Mincho"/>
          <w:iCs/>
          <w:szCs w:val="22"/>
          <w:lang w:val="es-ES" w:eastAsia="ja-JP"/>
        </w:rPr>
        <w:t>cm in število mitoz &gt; 5/50 v vidnem polju mikroskopa pri veliki povečavi (</w:t>
      </w:r>
      <w:r w:rsidR="008A1B6E" w:rsidRPr="004A59B1">
        <w:rPr>
          <w:rFonts w:eastAsia="MS Mincho"/>
          <w:iCs/>
          <w:szCs w:val="22"/>
          <w:lang w:val="es-ES" w:eastAsia="ja-JP"/>
        </w:rPr>
        <w:t xml:space="preserve">HPF - </w:t>
      </w:r>
      <w:r w:rsidRPr="00304E94">
        <w:rPr>
          <w:rFonts w:eastAsia="MS Mincho"/>
          <w:i/>
          <w:iCs/>
          <w:szCs w:val="22"/>
          <w:lang w:val="es-ES" w:eastAsia="ja-JP"/>
        </w:rPr>
        <w:t>high power fields</w:t>
      </w:r>
      <w:r w:rsidRPr="004A59B1">
        <w:rPr>
          <w:rFonts w:eastAsia="MS Mincho"/>
          <w:iCs/>
          <w:szCs w:val="22"/>
          <w:lang w:val="es-ES" w:eastAsia="ja-JP"/>
        </w:rPr>
        <w:t>) ali premer tumorja &gt; 10</w:t>
      </w:r>
      <w:r w:rsidRPr="004A59B1">
        <w:rPr>
          <w:rFonts w:eastAsia="MS Mincho"/>
          <w:szCs w:val="22"/>
          <w:lang w:val="es-ES" w:eastAsia="ja-JP"/>
        </w:rPr>
        <w:t> </w:t>
      </w:r>
      <w:r w:rsidRPr="004A59B1">
        <w:rPr>
          <w:rFonts w:eastAsia="MS Mincho"/>
          <w:iCs/>
          <w:szCs w:val="22"/>
          <w:lang w:val="es-ES" w:eastAsia="ja-JP"/>
        </w:rPr>
        <w:t>cm in kakršnokoli število mitoz ali kakršnakoli velikost tumorja in število mitoz &gt; 10/50 HPF ali pa razpok tumorja v peritonealno votlino. V sodelovanje v študiji je privolilo skupaj 397</w:t>
      </w:r>
      <w:r w:rsidRPr="004A59B1">
        <w:rPr>
          <w:rFonts w:eastAsia="MS Mincho"/>
          <w:szCs w:val="22"/>
          <w:lang w:val="es-ES" w:eastAsia="ja-JP"/>
        </w:rPr>
        <w:t xml:space="preserve"> bolnikov, ki so jih randomizirali </w:t>
      </w:r>
      <w:r w:rsidRPr="004A59B1">
        <w:rPr>
          <w:rFonts w:eastAsia="MS Mincho"/>
          <w:iCs/>
          <w:szCs w:val="22"/>
          <w:lang w:val="es-ES" w:eastAsia="ja-JP"/>
        </w:rPr>
        <w:t>(199</w:t>
      </w:r>
      <w:r w:rsidRPr="004A59B1">
        <w:rPr>
          <w:rFonts w:eastAsia="MS Mincho"/>
          <w:szCs w:val="22"/>
          <w:lang w:val="es-ES" w:eastAsia="ja-JP"/>
        </w:rPr>
        <w:t xml:space="preserve"> bolnikov v skupino z 12-mesečnim zdravljenjem, </w:t>
      </w:r>
      <w:r w:rsidRPr="004A59B1">
        <w:rPr>
          <w:rFonts w:eastAsia="MS Mincho"/>
          <w:iCs/>
          <w:szCs w:val="22"/>
          <w:lang w:val="es-ES" w:eastAsia="ja-JP"/>
        </w:rPr>
        <w:t>198</w:t>
      </w:r>
      <w:r w:rsidRPr="004A59B1">
        <w:rPr>
          <w:rFonts w:eastAsia="MS Mincho"/>
          <w:szCs w:val="22"/>
          <w:lang w:val="es-ES" w:eastAsia="ja-JP"/>
        </w:rPr>
        <w:t> bolnikov pa v skupino s 36-mesečnim zdravljenjem</w:t>
      </w:r>
      <w:r w:rsidRPr="004A59B1">
        <w:rPr>
          <w:rFonts w:eastAsia="MS Mincho"/>
          <w:iCs/>
          <w:szCs w:val="22"/>
          <w:lang w:val="es-ES" w:eastAsia="ja-JP"/>
        </w:rPr>
        <w:t xml:space="preserve">), pri čemer je bila srednja vrednost starosti bolnikov </w:t>
      </w:r>
      <w:r w:rsidRPr="004A59B1">
        <w:rPr>
          <w:rFonts w:eastAsia="MS Mincho"/>
          <w:bCs/>
          <w:iCs/>
          <w:szCs w:val="22"/>
          <w:lang w:val="es-ES" w:eastAsia="ja-JP"/>
        </w:rPr>
        <w:t>61</w:t>
      </w:r>
      <w:r w:rsidRPr="004A59B1">
        <w:rPr>
          <w:rFonts w:eastAsia="MS Mincho"/>
          <w:szCs w:val="22"/>
          <w:lang w:val="es-ES" w:eastAsia="ja-JP"/>
        </w:rPr>
        <w:t> let</w:t>
      </w:r>
      <w:r w:rsidRPr="004A59B1">
        <w:rPr>
          <w:rFonts w:eastAsia="MS Mincho"/>
          <w:iCs/>
          <w:szCs w:val="22"/>
          <w:lang w:val="es-ES" w:eastAsia="ja-JP"/>
        </w:rPr>
        <w:t xml:space="preserve"> (v okviru od 22 do 84</w:t>
      </w:r>
      <w:r w:rsidRPr="004A59B1">
        <w:rPr>
          <w:rFonts w:eastAsia="MS Mincho"/>
          <w:szCs w:val="22"/>
          <w:lang w:val="es-ES" w:eastAsia="ja-JP"/>
        </w:rPr>
        <w:t> let</w:t>
      </w:r>
      <w:r w:rsidRPr="004A59B1">
        <w:rPr>
          <w:rFonts w:eastAsia="MS Mincho"/>
          <w:iCs/>
          <w:szCs w:val="22"/>
          <w:lang w:val="es-ES" w:eastAsia="ja-JP"/>
        </w:rPr>
        <w:t>). Srednja vrednost trajanja spremljanja bolnikov je bila 54</w:t>
      </w:r>
      <w:r w:rsidRPr="004A59B1">
        <w:rPr>
          <w:rFonts w:eastAsia="MS Mincho"/>
          <w:szCs w:val="22"/>
          <w:lang w:val="es-ES" w:eastAsia="ja-JP"/>
        </w:rPr>
        <w:t> </w:t>
      </w:r>
      <w:r w:rsidRPr="004A59B1">
        <w:rPr>
          <w:rFonts w:eastAsia="MS Mincho"/>
          <w:iCs/>
          <w:szCs w:val="22"/>
          <w:lang w:val="es-ES" w:eastAsia="ja-JP"/>
        </w:rPr>
        <w:t>mesecev (od datuma randomizacije do predvidenega zaključka zbiranja podatkov), pri čemer je med randomizacijo prvega bolnika in datumom zaključka zbiranja podatkov minilo 83</w:t>
      </w:r>
      <w:r w:rsidRPr="004A59B1">
        <w:rPr>
          <w:rFonts w:eastAsia="MS Mincho"/>
          <w:szCs w:val="22"/>
          <w:lang w:val="es-ES" w:eastAsia="ja-JP"/>
        </w:rPr>
        <w:t> </w:t>
      </w:r>
      <w:r w:rsidRPr="004A59B1">
        <w:rPr>
          <w:rFonts w:eastAsia="MS Mincho"/>
          <w:iCs/>
          <w:szCs w:val="22"/>
          <w:lang w:val="es-ES" w:eastAsia="ja-JP"/>
        </w:rPr>
        <w:t>mesecev.</w:t>
      </w:r>
    </w:p>
    <w:p w14:paraId="52979BD9" w14:textId="77777777" w:rsidR="006837B3" w:rsidRPr="004A59B1" w:rsidRDefault="006837B3" w:rsidP="009C1193">
      <w:pPr>
        <w:widowControl w:val="0"/>
        <w:tabs>
          <w:tab w:val="clear" w:pos="567"/>
        </w:tabs>
        <w:spacing w:line="240" w:lineRule="auto"/>
        <w:rPr>
          <w:rFonts w:eastAsia="MS Mincho"/>
          <w:iCs/>
          <w:szCs w:val="22"/>
          <w:lang w:val="es-ES" w:eastAsia="ja-JP"/>
        </w:rPr>
      </w:pPr>
    </w:p>
    <w:p w14:paraId="52979BDA" w14:textId="77777777" w:rsidR="006837B3" w:rsidRPr="004A59B1" w:rsidRDefault="006837B3" w:rsidP="009C1193">
      <w:pPr>
        <w:pStyle w:val="Text"/>
        <w:widowControl w:val="0"/>
        <w:spacing w:before="0"/>
        <w:jc w:val="left"/>
        <w:rPr>
          <w:rFonts w:eastAsia="MS Mincho"/>
          <w:color w:val="000000"/>
          <w:sz w:val="22"/>
          <w:szCs w:val="22"/>
          <w:lang w:val="es-ES" w:eastAsia="ja-JP"/>
        </w:rPr>
      </w:pPr>
      <w:r w:rsidRPr="004A59B1">
        <w:rPr>
          <w:rFonts w:eastAsia="MS Mincho"/>
          <w:color w:val="000000"/>
          <w:sz w:val="22"/>
          <w:szCs w:val="22"/>
          <w:lang w:val="es-ES" w:eastAsia="ja-JP"/>
        </w:rPr>
        <w:t>Primarni cilj opazovanja te študije je bilo preživetje brez ponovitve bolezni (RFS), ki je bilo opredeljeno kot čas od dneva randomizacije do dneva ponovitve bolezni ali smrti iz kateregakoli vzroka.</w:t>
      </w:r>
    </w:p>
    <w:p w14:paraId="52979BDB" w14:textId="77777777" w:rsidR="006837B3" w:rsidRPr="004A59B1" w:rsidRDefault="006837B3" w:rsidP="009C1193">
      <w:pPr>
        <w:widowControl w:val="0"/>
        <w:tabs>
          <w:tab w:val="clear" w:pos="567"/>
        </w:tabs>
        <w:spacing w:line="240" w:lineRule="auto"/>
        <w:rPr>
          <w:rFonts w:eastAsia="MS Mincho"/>
          <w:szCs w:val="22"/>
          <w:lang w:val="es-ES" w:eastAsia="ja-JP"/>
        </w:rPr>
      </w:pPr>
    </w:p>
    <w:p w14:paraId="52979BDC" w14:textId="77777777" w:rsidR="006837B3" w:rsidRPr="004A59B1" w:rsidRDefault="006837B3" w:rsidP="009C1193">
      <w:pPr>
        <w:widowControl w:val="0"/>
        <w:tabs>
          <w:tab w:val="clear" w:pos="567"/>
        </w:tabs>
        <w:spacing w:line="240" w:lineRule="auto"/>
        <w:rPr>
          <w:rFonts w:eastAsia="MS Mincho"/>
          <w:iCs/>
          <w:color w:val="000000"/>
          <w:szCs w:val="22"/>
          <w:lang w:val="es-ES" w:eastAsia="ja-JP"/>
        </w:rPr>
      </w:pPr>
      <w:r w:rsidRPr="004A59B1">
        <w:rPr>
          <w:rFonts w:eastAsia="MS Mincho"/>
          <w:iCs/>
          <w:szCs w:val="22"/>
          <w:lang w:val="es-ES" w:eastAsia="ja-JP"/>
        </w:rPr>
        <w:t xml:space="preserve">Šestintrideset (36) mesecev zdravljenja z zdravilom Glivec je </w:t>
      </w:r>
      <w:r w:rsidRPr="004A59B1">
        <w:rPr>
          <w:rFonts w:eastAsia="MS Mincho"/>
          <w:color w:val="000000"/>
          <w:szCs w:val="22"/>
          <w:lang w:val="es-ES" w:eastAsia="ja-JP"/>
        </w:rPr>
        <w:t xml:space="preserve">statistično značilno bolj podaljšalo preživetje brez ponovitve bolezni v primerjavi z 12 meseci zdravljenja z zdravilom Glivec </w:t>
      </w:r>
      <w:r w:rsidRPr="004A59B1">
        <w:rPr>
          <w:rFonts w:eastAsia="MS Mincho"/>
          <w:iCs/>
          <w:color w:val="000000"/>
          <w:szCs w:val="22"/>
          <w:lang w:val="es-ES" w:eastAsia="ja-JP"/>
        </w:rPr>
        <w:t>(z razmerjem tveganj 0,46 [0,32, 0,65], p&lt;0,0001</w:t>
      </w:r>
      <w:r w:rsidR="00FA2B48" w:rsidRPr="004A59B1">
        <w:rPr>
          <w:rFonts w:eastAsia="MS Mincho"/>
          <w:iCs/>
          <w:color w:val="000000"/>
          <w:szCs w:val="22"/>
          <w:lang w:val="es-ES" w:eastAsia="ja-JP"/>
        </w:rPr>
        <w:t>)</w:t>
      </w:r>
      <w:r w:rsidRPr="004A59B1">
        <w:rPr>
          <w:rFonts w:eastAsia="MS Mincho"/>
          <w:iCs/>
          <w:color w:val="000000"/>
          <w:szCs w:val="22"/>
          <w:lang w:val="es-ES" w:eastAsia="ja-JP"/>
        </w:rPr>
        <w:t xml:space="preserve"> (preglednica</w:t>
      </w:r>
      <w:r w:rsidRPr="004A59B1">
        <w:rPr>
          <w:rFonts w:eastAsia="MS Mincho"/>
          <w:color w:val="000000"/>
          <w:szCs w:val="22"/>
          <w:lang w:val="es-ES" w:eastAsia="ja-JP"/>
        </w:rPr>
        <w:t> </w:t>
      </w:r>
      <w:r w:rsidR="00106423" w:rsidRPr="004A59B1">
        <w:rPr>
          <w:rFonts w:eastAsia="MS Mincho"/>
          <w:color w:val="000000"/>
          <w:szCs w:val="22"/>
          <w:lang w:val="es-ES" w:eastAsia="ja-JP"/>
        </w:rPr>
        <w:t>8</w:t>
      </w:r>
      <w:r w:rsidRPr="004A59B1">
        <w:rPr>
          <w:rFonts w:eastAsia="MS Mincho"/>
          <w:iCs/>
          <w:color w:val="000000"/>
          <w:szCs w:val="22"/>
          <w:lang w:val="es-ES" w:eastAsia="ja-JP"/>
        </w:rPr>
        <w:t>, slika</w:t>
      </w:r>
      <w:r w:rsidRPr="004A59B1">
        <w:rPr>
          <w:rFonts w:eastAsia="MS Mincho"/>
          <w:lang w:val="es-ES"/>
        </w:rPr>
        <w:t> 1</w:t>
      </w:r>
      <w:r w:rsidRPr="004A59B1">
        <w:rPr>
          <w:rFonts w:eastAsia="MS Mincho"/>
          <w:iCs/>
          <w:color w:val="000000"/>
          <w:szCs w:val="22"/>
          <w:lang w:val="es-ES" w:eastAsia="ja-JP"/>
        </w:rPr>
        <w:t>).</w:t>
      </w:r>
    </w:p>
    <w:p w14:paraId="52979BDD" w14:textId="77777777" w:rsidR="006837B3" w:rsidRPr="004A59B1" w:rsidRDefault="006837B3" w:rsidP="009C1193">
      <w:pPr>
        <w:widowControl w:val="0"/>
        <w:tabs>
          <w:tab w:val="clear" w:pos="567"/>
        </w:tabs>
        <w:spacing w:line="240" w:lineRule="auto"/>
        <w:rPr>
          <w:rFonts w:eastAsia="MS Mincho"/>
          <w:iCs/>
          <w:color w:val="000000"/>
          <w:szCs w:val="22"/>
          <w:lang w:val="es-ES" w:eastAsia="ja-JP"/>
        </w:rPr>
      </w:pPr>
    </w:p>
    <w:p w14:paraId="52979BDE" w14:textId="77777777" w:rsidR="007031D1" w:rsidRPr="004A59B1" w:rsidRDefault="006837B3" w:rsidP="009C1193">
      <w:pPr>
        <w:widowControl w:val="0"/>
        <w:tabs>
          <w:tab w:val="clear" w:pos="567"/>
        </w:tabs>
        <w:spacing w:line="240" w:lineRule="auto"/>
        <w:rPr>
          <w:rFonts w:eastAsia="MS Mincho"/>
          <w:iCs/>
          <w:color w:val="000000"/>
          <w:szCs w:val="22"/>
          <w:lang w:val="es-ES" w:eastAsia="ja-JP"/>
        </w:rPr>
      </w:pPr>
      <w:r w:rsidRPr="004A59B1">
        <w:rPr>
          <w:rFonts w:eastAsia="MS Mincho"/>
          <w:iCs/>
          <w:color w:val="000000"/>
          <w:szCs w:val="22"/>
          <w:lang w:val="es-ES" w:eastAsia="ja-JP"/>
        </w:rPr>
        <w:t>Poleg tega je šestintrideset (36) mesecev zdravljenja z zdravilom Glivec s</w:t>
      </w:r>
      <w:r w:rsidRPr="004A59B1">
        <w:rPr>
          <w:rFonts w:eastAsia="MS Mincho"/>
          <w:color w:val="000000"/>
          <w:szCs w:val="22"/>
          <w:lang w:val="es-ES" w:eastAsia="ja-JP"/>
        </w:rPr>
        <w:t xml:space="preserve">tatistično značilno bolj podaljšalo </w:t>
      </w:r>
      <w:r w:rsidRPr="004A59B1">
        <w:rPr>
          <w:color w:val="000000"/>
          <w:lang w:val="sl-SI"/>
        </w:rPr>
        <w:t xml:space="preserve">celotno preživetje v primerjavi z 12-mesečnim zdravljenjem </w:t>
      </w:r>
      <w:r w:rsidRPr="004A59B1">
        <w:rPr>
          <w:rFonts w:eastAsia="MS Mincho"/>
          <w:iCs/>
          <w:color w:val="000000"/>
          <w:szCs w:val="22"/>
          <w:lang w:val="es-ES" w:eastAsia="ja-JP"/>
        </w:rPr>
        <w:t>z zdravilom Glivec (razmerje tveganj = 0,45 [0,22, 0,89], p=0,0187) (preglednica</w:t>
      </w:r>
      <w:r w:rsidRPr="004A59B1">
        <w:rPr>
          <w:rFonts w:eastAsia="MS Mincho"/>
          <w:color w:val="000000"/>
          <w:szCs w:val="22"/>
          <w:lang w:val="es-ES" w:eastAsia="ja-JP"/>
        </w:rPr>
        <w:t> </w:t>
      </w:r>
      <w:r w:rsidR="00106423" w:rsidRPr="004A59B1">
        <w:rPr>
          <w:rFonts w:eastAsia="MS Mincho"/>
          <w:color w:val="000000"/>
          <w:szCs w:val="22"/>
          <w:lang w:val="es-ES" w:eastAsia="ja-JP"/>
        </w:rPr>
        <w:t>8</w:t>
      </w:r>
      <w:r w:rsidRPr="004A59B1">
        <w:rPr>
          <w:rFonts w:eastAsia="MS Mincho"/>
          <w:iCs/>
          <w:color w:val="000000"/>
          <w:szCs w:val="22"/>
          <w:lang w:val="es-ES" w:eastAsia="ja-JP"/>
        </w:rPr>
        <w:t>, slika 2).</w:t>
      </w:r>
    </w:p>
    <w:p w14:paraId="52979BDF" w14:textId="77777777" w:rsidR="007031D1" w:rsidRPr="004A59B1" w:rsidRDefault="007031D1" w:rsidP="009C1193">
      <w:pPr>
        <w:widowControl w:val="0"/>
        <w:tabs>
          <w:tab w:val="clear" w:pos="567"/>
        </w:tabs>
        <w:spacing w:line="240" w:lineRule="auto"/>
        <w:rPr>
          <w:rFonts w:eastAsia="MS Mincho"/>
          <w:iCs/>
          <w:color w:val="000000"/>
          <w:szCs w:val="22"/>
          <w:lang w:val="es-ES" w:eastAsia="ja-JP"/>
        </w:rPr>
      </w:pPr>
    </w:p>
    <w:p w14:paraId="52979BE0" w14:textId="77777777" w:rsidR="00782DA2" w:rsidRPr="004A59B1" w:rsidRDefault="00782DA2" w:rsidP="009C1193">
      <w:pPr>
        <w:widowControl w:val="0"/>
        <w:rPr>
          <w:color w:val="000000"/>
          <w:lang w:val="sl-SI"/>
        </w:rPr>
      </w:pPr>
      <w:r w:rsidRPr="004A59B1">
        <w:rPr>
          <w:color w:val="000000"/>
          <w:lang w:val="sl-SI"/>
        </w:rPr>
        <w:t>Daljše trajanje zdravljenja (&gt;</w:t>
      </w:r>
      <w:r w:rsidR="0099295D" w:rsidRPr="004A59B1">
        <w:rPr>
          <w:color w:val="000000"/>
          <w:lang w:val="sl-SI"/>
        </w:rPr>
        <w:t> </w:t>
      </w:r>
      <w:r w:rsidRPr="004A59B1">
        <w:rPr>
          <w:color w:val="000000"/>
          <w:lang w:val="sl-SI"/>
        </w:rPr>
        <w:t>36</w:t>
      </w:r>
      <w:r w:rsidR="0099295D" w:rsidRPr="004A59B1">
        <w:rPr>
          <w:color w:val="000000"/>
          <w:lang w:val="sl-SI"/>
        </w:rPr>
        <w:t> </w:t>
      </w:r>
      <w:r w:rsidRPr="004A59B1">
        <w:rPr>
          <w:color w:val="000000"/>
          <w:lang w:val="sl-SI"/>
        </w:rPr>
        <w:t>mesecev) bi lahko podaljšalo čas do nadaljnjih ponovitev bolezni, vendar vpliv tega pojava na celotno preživetje še vedno ni znan.</w:t>
      </w:r>
    </w:p>
    <w:p w14:paraId="52979BE1" w14:textId="77777777" w:rsidR="00782DA2" w:rsidRPr="004A59B1" w:rsidRDefault="00782DA2" w:rsidP="009C1193">
      <w:pPr>
        <w:widowControl w:val="0"/>
        <w:tabs>
          <w:tab w:val="clear" w:pos="567"/>
        </w:tabs>
        <w:spacing w:line="240" w:lineRule="auto"/>
        <w:rPr>
          <w:rFonts w:eastAsia="MS Mincho"/>
          <w:iCs/>
          <w:color w:val="000000"/>
          <w:szCs w:val="22"/>
          <w:lang w:val="es-ES" w:eastAsia="ja-JP"/>
        </w:rPr>
      </w:pPr>
    </w:p>
    <w:p w14:paraId="52979BE2" w14:textId="77777777" w:rsidR="006837B3" w:rsidRPr="004A59B1" w:rsidRDefault="006837B3" w:rsidP="009C1193">
      <w:pPr>
        <w:widowControl w:val="0"/>
        <w:tabs>
          <w:tab w:val="clear" w:pos="567"/>
        </w:tabs>
        <w:spacing w:line="240" w:lineRule="auto"/>
        <w:rPr>
          <w:rFonts w:eastAsia="MS Mincho"/>
          <w:iCs/>
          <w:color w:val="000000"/>
          <w:szCs w:val="22"/>
          <w:lang w:val="es-ES" w:eastAsia="ja-JP"/>
        </w:rPr>
      </w:pPr>
      <w:r w:rsidRPr="004A59B1">
        <w:rPr>
          <w:rFonts w:eastAsia="MS Mincho"/>
          <w:iCs/>
          <w:color w:val="000000"/>
          <w:szCs w:val="22"/>
          <w:lang w:val="es-ES" w:eastAsia="ja-JP"/>
        </w:rPr>
        <w:t>V skupini z 12-mesečnim zdravljenjem je skupno umrlo 25 bolnikov, v skupini s 36-mesečnim zdravljenjem pa 12.</w:t>
      </w:r>
    </w:p>
    <w:p w14:paraId="52979BE3" w14:textId="77777777" w:rsidR="006837B3" w:rsidRPr="004A59B1" w:rsidRDefault="006837B3" w:rsidP="009C1193">
      <w:pPr>
        <w:widowControl w:val="0"/>
        <w:tabs>
          <w:tab w:val="clear" w:pos="567"/>
        </w:tabs>
        <w:spacing w:line="240" w:lineRule="auto"/>
        <w:rPr>
          <w:rFonts w:eastAsia="MS Mincho"/>
          <w:iCs/>
          <w:color w:val="000000"/>
          <w:szCs w:val="22"/>
          <w:lang w:val="es-ES" w:eastAsia="ja-JP"/>
        </w:rPr>
      </w:pPr>
    </w:p>
    <w:p w14:paraId="52979BE4" w14:textId="77777777" w:rsidR="00782DA2" w:rsidRPr="004A59B1" w:rsidRDefault="00782DA2" w:rsidP="009C1193">
      <w:pPr>
        <w:widowControl w:val="0"/>
        <w:rPr>
          <w:color w:val="000000"/>
          <w:lang w:val="sl-SI"/>
        </w:rPr>
      </w:pPr>
      <w:r w:rsidRPr="004A59B1">
        <w:rPr>
          <w:color w:val="000000"/>
          <w:lang w:val="sl-SI"/>
        </w:rPr>
        <w:t xml:space="preserve">Rezultati analize ITT, ki </w:t>
      </w:r>
      <w:r w:rsidR="004A706C" w:rsidRPr="004A59B1">
        <w:rPr>
          <w:color w:val="000000"/>
          <w:lang w:val="sl-SI"/>
        </w:rPr>
        <w:t>obsega celotno študijsko populacijo</w:t>
      </w:r>
      <w:r w:rsidRPr="004A59B1">
        <w:rPr>
          <w:color w:val="000000"/>
          <w:lang w:val="sl-SI"/>
        </w:rPr>
        <w:t xml:space="preserve">, kažejo, da je 36-mesečno zdravljenje </w:t>
      </w:r>
      <w:r w:rsidR="004A706C" w:rsidRPr="004A59B1">
        <w:rPr>
          <w:color w:val="000000"/>
          <w:lang w:val="sl-SI"/>
        </w:rPr>
        <w:t xml:space="preserve">z imatinibom </w:t>
      </w:r>
      <w:r w:rsidRPr="004A59B1">
        <w:rPr>
          <w:color w:val="000000"/>
          <w:lang w:val="sl-SI"/>
        </w:rPr>
        <w:t xml:space="preserve">boljše od 12-mesečnega zdravljenja. Rezultati načrtovane analize podatkov podskupin glede na vrsto mutacije kažejo, da je pri 36-mesečnem zdravljenju bolnikov z mutacijo eksona 11 razmerje </w:t>
      </w:r>
      <w:r w:rsidR="00E93181" w:rsidRPr="004A59B1">
        <w:rPr>
          <w:color w:val="000000"/>
          <w:lang w:val="sl-SI"/>
        </w:rPr>
        <w:t>tveganj</w:t>
      </w:r>
      <w:r w:rsidRPr="004A59B1">
        <w:rPr>
          <w:color w:val="000000"/>
          <w:lang w:val="sl-SI"/>
        </w:rPr>
        <w:t xml:space="preserve"> za preživetje brez ponovitve bolezni 0,35 [95-odstotni IZ: 0,22, 0,56]. Za druge podskupine z manj pogos</w:t>
      </w:r>
      <w:r w:rsidR="00E93181" w:rsidRPr="004A59B1">
        <w:rPr>
          <w:color w:val="000000"/>
          <w:lang w:val="sl-SI"/>
        </w:rPr>
        <w:t xml:space="preserve">timi mutacijami </w:t>
      </w:r>
      <w:r w:rsidR="004A706C" w:rsidRPr="004A59B1">
        <w:rPr>
          <w:color w:val="000000"/>
          <w:lang w:val="sl-SI"/>
        </w:rPr>
        <w:t xml:space="preserve">zaključkov </w:t>
      </w:r>
      <w:r w:rsidR="00E93181" w:rsidRPr="004A59B1">
        <w:rPr>
          <w:color w:val="000000"/>
          <w:lang w:val="sl-SI"/>
        </w:rPr>
        <w:t>ni mogoče podat</w:t>
      </w:r>
      <w:r w:rsidR="004A706C" w:rsidRPr="004A59B1">
        <w:rPr>
          <w:color w:val="000000"/>
          <w:lang w:val="sl-SI"/>
        </w:rPr>
        <w:t>i</w:t>
      </w:r>
      <w:r w:rsidRPr="004A59B1">
        <w:rPr>
          <w:color w:val="000000"/>
          <w:lang w:val="sl-SI"/>
        </w:rPr>
        <w:t>, ker je bilo število opazovanih dogodkov premajhno.</w:t>
      </w:r>
    </w:p>
    <w:p w14:paraId="52979BE5" w14:textId="77777777" w:rsidR="00782DA2" w:rsidRPr="004A59B1" w:rsidRDefault="00782DA2" w:rsidP="009C1193">
      <w:pPr>
        <w:widowControl w:val="0"/>
        <w:tabs>
          <w:tab w:val="clear" w:pos="567"/>
        </w:tabs>
        <w:spacing w:line="240" w:lineRule="auto"/>
        <w:rPr>
          <w:rFonts w:eastAsia="MS Mincho"/>
          <w:iCs/>
          <w:szCs w:val="22"/>
          <w:lang w:val="sl-SI" w:eastAsia="ja-JP"/>
        </w:rPr>
      </w:pPr>
    </w:p>
    <w:p w14:paraId="52979BE6" w14:textId="77777777" w:rsidR="006837B3" w:rsidRPr="004A59B1" w:rsidRDefault="006837B3" w:rsidP="009C1193">
      <w:pPr>
        <w:keepNext/>
        <w:keepLines/>
        <w:widowControl w:val="0"/>
        <w:tabs>
          <w:tab w:val="clear" w:pos="567"/>
        </w:tabs>
        <w:spacing w:line="240" w:lineRule="auto"/>
        <w:ind w:left="1701" w:hanging="1701"/>
        <w:rPr>
          <w:rFonts w:eastAsia="MS Mincho"/>
          <w:b/>
          <w:szCs w:val="22"/>
          <w:lang w:val="sl-SI" w:eastAsia="ja-JP"/>
        </w:rPr>
      </w:pPr>
      <w:r w:rsidRPr="004A59B1">
        <w:rPr>
          <w:rFonts w:eastAsia="MS Mincho"/>
          <w:b/>
          <w:szCs w:val="22"/>
          <w:lang w:val="sl-SI"/>
        </w:rPr>
        <w:t>Preglednica </w:t>
      </w:r>
      <w:r w:rsidR="00106423" w:rsidRPr="004A59B1">
        <w:rPr>
          <w:rFonts w:eastAsia="MS Mincho"/>
          <w:b/>
          <w:szCs w:val="22"/>
          <w:lang w:val="sl-SI"/>
        </w:rPr>
        <w:t>8</w:t>
      </w:r>
      <w:r w:rsidRPr="004A59B1">
        <w:rPr>
          <w:rFonts w:eastAsia="MS Mincho"/>
          <w:szCs w:val="22"/>
          <w:lang w:val="sl-SI"/>
        </w:rPr>
        <w:tab/>
      </w:r>
      <w:r w:rsidRPr="004A59B1">
        <w:rPr>
          <w:rFonts w:eastAsia="MS Mincho"/>
          <w:b/>
          <w:szCs w:val="22"/>
          <w:lang w:val="sl-SI" w:eastAsia="ja-JP"/>
        </w:rPr>
        <w:t>12-mesečno in 36-mesečno zdravljenje z zdravilom Glivec (študija SSGXVIII/AIO)</w:t>
      </w:r>
    </w:p>
    <w:p w14:paraId="52979BE7" w14:textId="77777777" w:rsidR="006837B3" w:rsidRPr="004A59B1" w:rsidRDefault="006837B3" w:rsidP="009C1193">
      <w:pPr>
        <w:keepNext/>
        <w:keepLines/>
        <w:widowControl w:val="0"/>
        <w:tabs>
          <w:tab w:val="clear" w:pos="567"/>
        </w:tabs>
        <w:spacing w:line="240" w:lineRule="auto"/>
        <w:rPr>
          <w:rFonts w:eastAsia="MS Mincho"/>
          <w:szCs w:val="22"/>
          <w:lang w:val="sl-SI"/>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6837B3" w:rsidRPr="004A59B1" w14:paraId="52979BEB" w14:textId="77777777" w:rsidTr="009C1193">
        <w:trPr>
          <w:cantSplit/>
        </w:trPr>
        <w:tc>
          <w:tcPr>
            <w:tcW w:w="3099" w:type="dxa"/>
            <w:tcBorders>
              <w:top w:val="single" w:sz="4" w:space="0" w:color="auto"/>
              <w:bottom w:val="nil"/>
            </w:tcBorders>
            <w:shd w:val="clear" w:color="auto" w:fill="auto"/>
          </w:tcPr>
          <w:p w14:paraId="52979BE8" w14:textId="77777777" w:rsidR="006837B3" w:rsidRPr="004A59B1" w:rsidRDefault="006837B3" w:rsidP="009C1193">
            <w:pPr>
              <w:keepNext/>
              <w:keepLines/>
              <w:widowControl w:val="0"/>
              <w:tabs>
                <w:tab w:val="clear" w:pos="567"/>
                <w:tab w:val="left" w:pos="284"/>
              </w:tabs>
              <w:spacing w:line="240" w:lineRule="auto"/>
              <w:rPr>
                <w:rFonts w:eastAsia="MS Mincho"/>
                <w:szCs w:val="22"/>
                <w:lang w:val="sl-SI"/>
              </w:rPr>
            </w:pPr>
          </w:p>
        </w:tc>
        <w:tc>
          <w:tcPr>
            <w:tcW w:w="3100" w:type="dxa"/>
            <w:tcBorders>
              <w:top w:val="single" w:sz="4" w:space="0" w:color="auto"/>
              <w:bottom w:val="nil"/>
            </w:tcBorders>
            <w:shd w:val="clear" w:color="auto" w:fill="auto"/>
          </w:tcPr>
          <w:p w14:paraId="52979BE9" w14:textId="77777777" w:rsidR="006837B3" w:rsidRPr="004A59B1" w:rsidRDefault="006837B3" w:rsidP="009C1193">
            <w:pPr>
              <w:keepNext/>
              <w:keepLines/>
              <w:widowControl w:val="0"/>
              <w:tabs>
                <w:tab w:val="clear" w:pos="567"/>
                <w:tab w:val="left" w:pos="284"/>
              </w:tabs>
              <w:spacing w:line="240" w:lineRule="auto"/>
              <w:rPr>
                <w:rFonts w:eastAsia="MS Mincho"/>
                <w:b/>
                <w:szCs w:val="22"/>
                <w:lang w:val="en-US"/>
              </w:rPr>
            </w:pPr>
            <w:r w:rsidRPr="004A59B1">
              <w:rPr>
                <w:rFonts w:eastAsia="MS Mincho"/>
                <w:b/>
                <w:szCs w:val="22"/>
                <w:lang w:val="en-US"/>
              </w:rPr>
              <w:t>skupina z 12-mesečnim zdravljenjem</w:t>
            </w:r>
          </w:p>
        </w:tc>
        <w:tc>
          <w:tcPr>
            <w:tcW w:w="3100" w:type="dxa"/>
            <w:tcBorders>
              <w:top w:val="single" w:sz="4" w:space="0" w:color="auto"/>
              <w:bottom w:val="nil"/>
            </w:tcBorders>
            <w:shd w:val="clear" w:color="auto" w:fill="auto"/>
          </w:tcPr>
          <w:p w14:paraId="52979BEA" w14:textId="77777777" w:rsidR="006837B3" w:rsidRPr="004A59B1" w:rsidRDefault="006837B3" w:rsidP="009C1193">
            <w:pPr>
              <w:keepNext/>
              <w:keepLines/>
              <w:widowControl w:val="0"/>
              <w:tabs>
                <w:tab w:val="clear" w:pos="567"/>
                <w:tab w:val="left" w:pos="284"/>
              </w:tabs>
              <w:spacing w:line="240" w:lineRule="auto"/>
              <w:rPr>
                <w:rFonts w:eastAsia="MS Mincho"/>
                <w:b/>
                <w:szCs w:val="22"/>
                <w:lang w:val="en-US"/>
              </w:rPr>
            </w:pPr>
            <w:r w:rsidRPr="004A59B1">
              <w:rPr>
                <w:rFonts w:eastAsia="MS Mincho"/>
                <w:b/>
                <w:szCs w:val="22"/>
                <w:lang w:val="en-US"/>
              </w:rPr>
              <w:t>skupina s 36-mesečnim zdravljenjem</w:t>
            </w:r>
          </w:p>
        </w:tc>
      </w:tr>
      <w:tr w:rsidR="006837B3" w:rsidRPr="004A59B1" w14:paraId="52979BEF" w14:textId="77777777" w:rsidTr="009C1193">
        <w:trPr>
          <w:cantSplit/>
        </w:trPr>
        <w:tc>
          <w:tcPr>
            <w:tcW w:w="3099" w:type="dxa"/>
            <w:tcBorders>
              <w:top w:val="nil"/>
            </w:tcBorders>
            <w:shd w:val="clear" w:color="auto" w:fill="auto"/>
          </w:tcPr>
          <w:p w14:paraId="52979BEC" w14:textId="77777777" w:rsidR="006837B3" w:rsidRPr="004A59B1" w:rsidRDefault="006837B3" w:rsidP="009C1193">
            <w:pPr>
              <w:keepNext/>
              <w:keepLines/>
              <w:widowControl w:val="0"/>
              <w:tabs>
                <w:tab w:val="clear" w:pos="567"/>
                <w:tab w:val="left" w:pos="284"/>
              </w:tabs>
              <w:spacing w:line="240" w:lineRule="auto"/>
              <w:rPr>
                <w:rFonts w:eastAsia="MS Mincho"/>
                <w:b/>
                <w:szCs w:val="22"/>
                <w:lang w:val="en-US"/>
              </w:rPr>
            </w:pPr>
            <w:r w:rsidRPr="004A59B1">
              <w:rPr>
                <w:rFonts w:eastAsia="MS Mincho"/>
                <w:b/>
                <w:szCs w:val="22"/>
                <w:lang w:val="en-US"/>
              </w:rPr>
              <w:t>preživetje brez ponovitve bolezni</w:t>
            </w:r>
          </w:p>
        </w:tc>
        <w:tc>
          <w:tcPr>
            <w:tcW w:w="3100" w:type="dxa"/>
            <w:tcBorders>
              <w:top w:val="nil"/>
            </w:tcBorders>
            <w:shd w:val="clear" w:color="auto" w:fill="auto"/>
          </w:tcPr>
          <w:p w14:paraId="52979BED" w14:textId="77777777" w:rsidR="006837B3" w:rsidRPr="004A59B1" w:rsidRDefault="006837B3" w:rsidP="009C1193">
            <w:pPr>
              <w:keepNext/>
              <w:keepLines/>
              <w:widowControl w:val="0"/>
              <w:tabs>
                <w:tab w:val="clear" w:pos="567"/>
                <w:tab w:val="left" w:pos="284"/>
              </w:tabs>
              <w:spacing w:line="240" w:lineRule="auto"/>
              <w:rPr>
                <w:rFonts w:eastAsia="MS Mincho"/>
                <w:b/>
                <w:szCs w:val="22"/>
                <w:lang w:val="en-US"/>
              </w:rPr>
            </w:pPr>
            <w:r w:rsidRPr="004A59B1">
              <w:rPr>
                <w:rFonts w:eastAsia="MS Mincho"/>
                <w:b/>
                <w:szCs w:val="22"/>
                <w:lang w:val="en-US"/>
              </w:rPr>
              <w:t>%(IZ)</w:t>
            </w:r>
          </w:p>
        </w:tc>
        <w:tc>
          <w:tcPr>
            <w:tcW w:w="3100" w:type="dxa"/>
            <w:tcBorders>
              <w:top w:val="nil"/>
            </w:tcBorders>
            <w:shd w:val="clear" w:color="auto" w:fill="auto"/>
          </w:tcPr>
          <w:p w14:paraId="52979BEE" w14:textId="77777777" w:rsidR="006837B3" w:rsidRPr="004A59B1" w:rsidRDefault="006837B3" w:rsidP="009C1193">
            <w:pPr>
              <w:keepNext/>
              <w:keepLines/>
              <w:widowControl w:val="0"/>
              <w:tabs>
                <w:tab w:val="clear" w:pos="567"/>
                <w:tab w:val="left" w:pos="284"/>
              </w:tabs>
              <w:spacing w:line="240" w:lineRule="auto"/>
              <w:rPr>
                <w:rFonts w:eastAsia="MS Mincho"/>
                <w:b/>
                <w:szCs w:val="22"/>
                <w:lang w:val="en-US"/>
              </w:rPr>
            </w:pPr>
            <w:r w:rsidRPr="004A59B1">
              <w:rPr>
                <w:rFonts w:eastAsia="MS Mincho"/>
                <w:b/>
                <w:szCs w:val="22"/>
                <w:lang w:val="en-US"/>
              </w:rPr>
              <w:t>%(IZ)</w:t>
            </w:r>
          </w:p>
        </w:tc>
      </w:tr>
      <w:tr w:rsidR="006837B3" w:rsidRPr="004A59B1" w14:paraId="52979BF3" w14:textId="77777777" w:rsidTr="009C1193">
        <w:trPr>
          <w:cantSplit/>
        </w:trPr>
        <w:tc>
          <w:tcPr>
            <w:tcW w:w="3099" w:type="dxa"/>
            <w:shd w:val="clear" w:color="auto" w:fill="auto"/>
          </w:tcPr>
          <w:p w14:paraId="52979BF0" w14:textId="77777777" w:rsidR="006837B3" w:rsidRPr="004A59B1" w:rsidRDefault="006837B3" w:rsidP="009C1193">
            <w:pPr>
              <w:keepNext/>
              <w:keepLines/>
              <w:widowControl w:val="0"/>
              <w:tabs>
                <w:tab w:val="clear" w:pos="567"/>
              </w:tabs>
              <w:spacing w:line="240" w:lineRule="auto"/>
              <w:ind w:left="284"/>
              <w:rPr>
                <w:rFonts w:eastAsia="MS Mincho"/>
                <w:szCs w:val="22"/>
                <w:lang w:val="en-US"/>
              </w:rPr>
            </w:pPr>
            <w:r w:rsidRPr="004A59B1">
              <w:rPr>
                <w:rFonts w:eastAsia="MS Mincho"/>
                <w:szCs w:val="22"/>
                <w:lang w:val="en-US"/>
              </w:rPr>
              <w:t>12</w:t>
            </w:r>
            <w:r w:rsidRPr="004A59B1">
              <w:rPr>
                <w:rFonts w:eastAsia="MS Mincho"/>
                <w:szCs w:val="22"/>
                <w:lang w:val="en-US" w:eastAsia="ja-JP"/>
              </w:rPr>
              <w:t> </w:t>
            </w:r>
            <w:r w:rsidRPr="004A59B1">
              <w:rPr>
                <w:rFonts w:eastAsia="MS Mincho"/>
                <w:szCs w:val="22"/>
                <w:lang w:val="en-US"/>
              </w:rPr>
              <w:t>mesecev</w:t>
            </w:r>
          </w:p>
        </w:tc>
        <w:tc>
          <w:tcPr>
            <w:tcW w:w="3100" w:type="dxa"/>
            <w:shd w:val="clear" w:color="auto" w:fill="auto"/>
          </w:tcPr>
          <w:p w14:paraId="52979BF1" w14:textId="77777777" w:rsidR="006837B3" w:rsidRPr="004A59B1" w:rsidRDefault="006837B3" w:rsidP="009C1193">
            <w:pPr>
              <w:keepNext/>
              <w:keepLines/>
              <w:widowControl w:val="0"/>
              <w:tabs>
                <w:tab w:val="clear" w:pos="567"/>
                <w:tab w:val="left" w:pos="284"/>
              </w:tabs>
              <w:spacing w:line="240" w:lineRule="auto"/>
              <w:rPr>
                <w:rFonts w:eastAsia="MS Mincho"/>
                <w:szCs w:val="22"/>
                <w:lang w:val="en-US"/>
              </w:rPr>
            </w:pPr>
            <w:r w:rsidRPr="004A59B1">
              <w:rPr>
                <w:rFonts w:eastAsia="MS Mincho"/>
                <w:szCs w:val="22"/>
                <w:lang w:val="en-US"/>
              </w:rPr>
              <w:t>93,7 (89,2</w:t>
            </w:r>
            <w:r w:rsidRPr="004A59B1">
              <w:rPr>
                <w:rFonts w:eastAsia="MS Mincho"/>
                <w:szCs w:val="22"/>
                <w:lang w:val="en-US"/>
              </w:rPr>
              <w:noBreakHyphen/>
              <w:t>96,4)</w:t>
            </w:r>
          </w:p>
        </w:tc>
        <w:tc>
          <w:tcPr>
            <w:tcW w:w="3100" w:type="dxa"/>
            <w:shd w:val="clear" w:color="auto" w:fill="auto"/>
          </w:tcPr>
          <w:p w14:paraId="52979BF2" w14:textId="77777777" w:rsidR="006837B3" w:rsidRPr="004A59B1" w:rsidRDefault="006837B3" w:rsidP="009C1193">
            <w:pPr>
              <w:keepNext/>
              <w:keepLines/>
              <w:widowControl w:val="0"/>
              <w:tabs>
                <w:tab w:val="clear" w:pos="567"/>
                <w:tab w:val="left" w:pos="284"/>
              </w:tabs>
              <w:spacing w:line="240" w:lineRule="auto"/>
              <w:rPr>
                <w:rFonts w:eastAsia="MS Mincho"/>
                <w:szCs w:val="22"/>
                <w:lang w:val="en-US"/>
              </w:rPr>
            </w:pPr>
            <w:r w:rsidRPr="004A59B1">
              <w:rPr>
                <w:rFonts w:eastAsia="MS Mincho"/>
                <w:szCs w:val="22"/>
                <w:lang w:val="en-US"/>
              </w:rPr>
              <w:t>95,9 (91,9</w:t>
            </w:r>
            <w:r w:rsidRPr="004A59B1">
              <w:rPr>
                <w:rFonts w:eastAsia="MS Mincho"/>
                <w:szCs w:val="22"/>
                <w:lang w:val="en-US"/>
              </w:rPr>
              <w:noBreakHyphen/>
              <w:t>97,9)</w:t>
            </w:r>
          </w:p>
        </w:tc>
      </w:tr>
      <w:tr w:rsidR="006837B3" w:rsidRPr="004A59B1" w14:paraId="52979BF7" w14:textId="77777777" w:rsidTr="009C1193">
        <w:trPr>
          <w:cantSplit/>
        </w:trPr>
        <w:tc>
          <w:tcPr>
            <w:tcW w:w="3099" w:type="dxa"/>
            <w:shd w:val="clear" w:color="auto" w:fill="auto"/>
          </w:tcPr>
          <w:p w14:paraId="52979BF4" w14:textId="77777777" w:rsidR="006837B3" w:rsidRPr="004A59B1" w:rsidRDefault="006837B3" w:rsidP="009C1193">
            <w:pPr>
              <w:keepNext/>
              <w:keepLines/>
              <w:widowControl w:val="0"/>
              <w:tabs>
                <w:tab w:val="clear" w:pos="567"/>
              </w:tabs>
              <w:spacing w:line="240" w:lineRule="auto"/>
              <w:ind w:left="284"/>
              <w:rPr>
                <w:rFonts w:eastAsia="MS Mincho"/>
                <w:szCs w:val="22"/>
                <w:lang w:val="en-US"/>
              </w:rPr>
            </w:pPr>
            <w:r w:rsidRPr="004A59B1">
              <w:rPr>
                <w:rFonts w:eastAsia="MS Mincho"/>
                <w:szCs w:val="22"/>
                <w:lang w:val="en-US"/>
              </w:rPr>
              <w:t>24</w:t>
            </w:r>
            <w:r w:rsidRPr="004A59B1">
              <w:rPr>
                <w:rFonts w:eastAsia="MS Mincho"/>
                <w:szCs w:val="22"/>
                <w:lang w:val="en-US" w:eastAsia="ja-JP"/>
              </w:rPr>
              <w:t> </w:t>
            </w:r>
            <w:r w:rsidRPr="004A59B1">
              <w:rPr>
                <w:rFonts w:eastAsia="MS Mincho"/>
                <w:szCs w:val="22"/>
                <w:lang w:val="en-US"/>
              </w:rPr>
              <w:t>mesecev</w:t>
            </w:r>
          </w:p>
        </w:tc>
        <w:tc>
          <w:tcPr>
            <w:tcW w:w="3100" w:type="dxa"/>
            <w:shd w:val="clear" w:color="auto" w:fill="auto"/>
          </w:tcPr>
          <w:p w14:paraId="52979BF5" w14:textId="77777777" w:rsidR="006837B3" w:rsidRPr="004A59B1" w:rsidRDefault="006837B3" w:rsidP="009C1193">
            <w:pPr>
              <w:keepNext/>
              <w:keepLines/>
              <w:widowControl w:val="0"/>
              <w:tabs>
                <w:tab w:val="clear" w:pos="567"/>
                <w:tab w:val="left" w:pos="284"/>
              </w:tabs>
              <w:spacing w:line="240" w:lineRule="auto"/>
              <w:rPr>
                <w:rFonts w:eastAsia="MS Mincho"/>
                <w:szCs w:val="22"/>
                <w:lang w:val="en-US"/>
              </w:rPr>
            </w:pPr>
            <w:r w:rsidRPr="004A59B1">
              <w:rPr>
                <w:rFonts w:eastAsia="MS Mincho"/>
                <w:szCs w:val="22"/>
                <w:lang w:val="en-US"/>
              </w:rPr>
              <w:t>75,4 (68,6</w:t>
            </w:r>
            <w:r w:rsidRPr="004A59B1">
              <w:rPr>
                <w:rFonts w:eastAsia="MS Mincho"/>
                <w:szCs w:val="22"/>
                <w:lang w:val="en-US"/>
              </w:rPr>
              <w:noBreakHyphen/>
              <w:t>81,0)</w:t>
            </w:r>
          </w:p>
        </w:tc>
        <w:tc>
          <w:tcPr>
            <w:tcW w:w="3100" w:type="dxa"/>
            <w:shd w:val="clear" w:color="auto" w:fill="auto"/>
          </w:tcPr>
          <w:p w14:paraId="52979BF6" w14:textId="77777777" w:rsidR="006837B3" w:rsidRPr="004A59B1" w:rsidRDefault="006837B3" w:rsidP="009C1193">
            <w:pPr>
              <w:keepNext/>
              <w:keepLines/>
              <w:widowControl w:val="0"/>
              <w:tabs>
                <w:tab w:val="clear" w:pos="567"/>
                <w:tab w:val="left" w:pos="284"/>
              </w:tabs>
              <w:spacing w:line="240" w:lineRule="auto"/>
              <w:rPr>
                <w:rFonts w:eastAsia="MS Mincho"/>
                <w:szCs w:val="22"/>
                <w:lang w:val="en-US"/>
              </w:rPr>
            </w:pPr>
            <w:r w:rsidRPr="004A59B1">
              <w:rPr>
                <w:rFonts w:eastAsia="MS Mincho"/>
                <w:szCs w:val="22"/>
                <w:lang w:val="en-US"/>
              </w:rPr>
              <w:t>90,7 (85,6</w:t>
            </w:r>
            <w:r w:rsidRPr="004A59B1">
              <w:rPr>
                <w:rFonts w:eastAsia="MS Mincho"/>
                <w:szCs w:val="22"/>
                <w:lang w:val="en-US"/>
              </w:rPr>
              <w:noBreakHyphen/>
              <w:t>94</w:t>
            </w:r>
            <w:r w:rsidR="007031D1" w:rsidRPr="004A59B1">
              <w:rPr>
                <w:rFonts w:eastAsia="MS Mincho"/>
                <w:szCs w:val="22"/>
                <w:lang w:val="en-US"/>
              </w:rPr>
              <w:t>,0</w:t>
            </w:r>
            <w:r w:rsidRPr="004A59B1">
              <w:rPr>
                <w:rFonts w:eastAsia="MS Mincho"/>
                <w:szCs w:val="22"/>
                <w:lang w:val="en-US"/>
              </w:rPr>
              <w:t>)</w:t>
            </w:r>
          </w:p>
        </w:tc>
      </w:tr>
      <w:tr w:rsidR="006837B3" w:rsidRPr="004A59B1" w14:paraId="52979BFB" w14:textId="77777777" w:rsidTr="009C1193">
        <w:trPr>
          <w:cantSplit/>
        </w:trPr>
        <w:tc>
          <w:tcPr>
            <w:tcW w:w="3099" w:type="dxa"/>
            <w:shd w:val="clear" w:color="auto" w:fill="auto"/>
          </w:tcPr>
          <w:p w14:paraId="52979BF8" w14:textId="77777777" w:rsidR="006837B3" w:rsidRPr="004A59B1" w:rsidRDefault="006837B3" w:rsidP="009C1193">
            <w:pPr>
              <w:keepNext/>
              <w:keepLines/>
              <w:widowControl w:val="0"/>
              <w:tabs>
                <w:tab w:val="clear" w:pos="567"/>
              </w:tabs>
              <w:spacing w:line="240" w:lineRule="auto"/>
              <w:ind w:left="284"/>
              <w:rPr>
                <w:rFonts w:eastAsia="MS Mincho"/>
                <w:szCs w:val="22"/>
                <w:lang w:val="en-US"/>
              </w:rPr>
            </w:pPr>
            <w:r w:rsidRPr="004A59B1">
              <w:rPr>
                <w:rFonts w:eastAsia="MS Mincho"/>
                <w:szCs w:val="22"/>
                <w:lang w:val="en-US"/>
              </w:rPr>
              <w:t>36</w:t>
            </w:r>
            <w:r w:rsidRPr="004A59B1">
              <w:rPr>
                <w:rFonts w:eastAsia="MS Mincho"/>
                <w:szCs w:val="22"/>
                <w:lang w:val="en-US" w:eastAsia="ja-JP"/>
              </w:rPr>
              <w:t> </w:t>
            </w:r>
            <w:r w:rsidRPr="004A59B1">
              <w:rPr>
                <w:rFonts w:eastAsia="MS Mincho"/>
                <w:szCs w:val="22"/>
                <w:lang w:val="en-US"/>
              </w:rPr>
              <w:t>mesecev</w:t>
            </w:r>
          </w:p>
        </w:tc>
        <w:tc>
          <w:tcPr>
            <w:tcW w:w="3100" w:type="dxa"/>
            <w:shd w:val="clear" w:color="auto" w:fill="auto"/>
          </w:tcPr>
          <w:p w14:paraId="52979BF9" w14:textId="77777777" w:rsidR="006837B3" w:rsidRPr="004A59B1" w:rsidRDefault="006837B3" w:rsidP="009C1193">
            <w:pPr>
              <w:keepNext/>
              <w:keepLines/>
              <w:widowControl w:val="0"/>
              <w:tabs>
                <w:tab w:val="clear" w:pos="567"/>
                <w:tab w:val="left" w:pos="284"/>
              </w:tabs>
              <w:spacing w:line="240" w:lineRule="auto"/>
              <w:rPr>
                <w:rFonts w:eastAsia="MS Mincho"/>
                <w:szCs w:val="22"/>
                <w:lang w:val="en-US"/>
              </w:rPr>
            </w:pPr>
            <w:r w:rsidRPr="004A59B1">
              <w:rPr>
                <w:rFonts w:eastAsia="MS Mincho"/>
                <w:szCs w:val="22"/>
                <w:lang w:val="en-US"/>
              </w:rPr>
              <w:t>60,1 (52,5</w:t>
            </w:r>
            <w:r w:rsidRPr="004A59B1">
              <w:rPr>
                <w:rFonts w:eastAsia="MS Mincho"/>
                <w:szCs w:val="22"/>
                <w:lang w:val="en-US"/>
              </w:rPr>
              <w:noBreakHyphen/>
              <w:t>66,9)</w:t>
            </w:r>
          </w:p>
        </w:tc>
        <w:tc>
          <w:tcPr>
            <w:tcW w:w="3100" w:type="dxa"/>
            <w:shd w:val="clear" w:color="auto" w:fill="auto"/>
          </w:tcPr>
          <w:p w14:paraId="52979BFA" w14:textId="77777777" w:rsidR="006837B3" w:rsidRPr="004A59B1" w:rsidRDefault="006837B3" w:rsidP="009C1193">
            <w:pPr>
              <w:keepNext/>
              <w:keepLines/>
              <w:widowControl w:val="0"/>
              <w:tabs>
                <w:tab w:val="clear" w:pos="567"/>
                <w:tab w:val="left" w:pos="284"/>
              </w:tabs>
              <w:spacing w:line="240" w:lineRule="auto"/>
              <w:rPr>
                <w:rFonts w:eastAsia="MS Mincho"/>
                <w:szCs w:val="22"/>
                <w:lang w:val="en-US"/>
              </w:rPr>
            </w:pPr>
            <w:r w:rsidRPr="004A59B1">
              <w:rPr>
                <w:rFonts w:eastAsia="MS Mincho"/>
                <w:szCs w:val="22"/>
                <w:lang w:val="en-US"/>
              </w:rPr>
              <w:t>86,6 (80,8</w:t>
            </w:r>
            <w:r w:rsidRPr="004A59B1">
              <w:rPr>
                <w:rFonts w:eastAsia="MS Mincho"/>
                <w:szCs w:val="22"/>
                <w:lang w:val="en-US"/>
              </w:rPr>
              <w:noBreakHyphen/>
              <w:t>90,8)</w:t>
            </w:r>
          </w:p>
        </w:tc>
      </w:tr>
      <w:tr w:rsidR="006837B3" w:rsidRPr="004A59B1" w14:paraId="52979BFF" w14:textId="77777777" w:rsidTr="009C1193">
        <w:trPr>
          <w:cantSplit/>
        </w:trPr>
        <w:tc>
          <w:tcPr>
            <w:tcW w:w="3099" w:type="dxa"/>
            <w:shd w:val="clear" w:color="auto" w:fill="auto"/>
          </w:tcPr>
          <w:p w14:paraId="52979BFC" w14:textId="77777777" w:rsidR="006837B3" w:rsidRPr="004A59B1" w:rsidRDefault="006837B3" w:rsidP="009C1193">
            <w:pPr>
              <w:keepNext/>
              <w:keepLines/>
              <w:widowControl w:val="0"/>
              <w:tabs>
                <w:tab w:val="clear" w:pos="567"/>
              </w:tabs>
              <w:spacing w:line="240" w:lineRule="auto"/>
              <w:ind w:left="284"/>
              <w:rPr>
                <w:rFonts w:eastAsia="MS Mincho"/>
                <w:szCs w:val="22"/>
                <w:lang w:val="en-US"/>
              </w:rPr>
            </w:pPr>
            <w:r w:rsidRPr="004A59B1">
              <w:rPr>
                <w:rFonts w:eastAsia="MS Mincho"/>
                <w:szCs w:val="22"/>
                <w:lang w:val="en-US"/>
              </w:rPr>
              <w:t>48</w:t>
            </w:r>
            <w:r w:rsidRPr="004A59B1">
              <w:rPr>
                <w:rFonts w:eastAsia="MS Mincho"/>
                <w:szCs w:val="22"/>
                <w:lang w:val="en-US" w:eastAsia="ja-JP"/>
              </w:rPr>
              <w:t> </w:t>
            </w:r>
            <w:r w:rsidRPr="004A59B1">
              <w:rPr>
                <w:rFonts w:eastAsia="MS Mincho"/>
                <w:szCs w:val="22"/>
                <w:lang w:val="en-US"/>
              </w:rPr>
              <w:t>mesecev</w:t>
            </w:r>
          </w:p>
        </w:tc>
        <w:tc>
          <w:tcPr>
            <w:tcW w:w="3100" w:type="dxa"/>
            <w:shd w:val="clear" w:color="auto" w:fill="auto"/>
          </w:tcPr>
          <w:p w14:paraId="52979BFD" w14:textId="77777777" w:rsidR="006837B3" w:rsidRPr="004A59B1" w:rsidRDefault="006837B3" w:rsidP="009C1193">
            <w:pPr>
              <w:keepNext/>
              <w:keepLines/>
              <w:widowControl w:val="0"/>
              <w:tabs>
                <w:tab w:val="clear" w:pos="567"/>
                <w:tab w:val="left" w:pos="284"/>
              </w:tabs>
              <w:spacing w:line="240" w:lineRule="auto"/>
              <w:rPr>
                <w:rFonts w:eastAsia="MS Mincho"/>
                <w:szCs w:val="22"/>
                <w:lang w:val="en-US"/>
              </w:rPr>
            </w:pPr>
            <w:r w:rsidRPr="004A59B1">
              <w:rPr>
                <w:rFonts w:eastAsia="MS Mincho"/>
                <w:szCs w:val="22"/>
                <w:lang w:val="en-US"/>
              </w:rPr>
              <w:t>52,3 (44,0</w:t>
            </w:r>
            <w:r w:rsidRPr="004A59B1">
              <w:rPr>
                <w:rFonts w:eastAsia="MS Mincho"/>
                <w:szCs w:val="22"/>
                <w:lang w:val="en-US"/>
              </w:rPr>
              <w:noBreakHyphen/>
              <w:t>59,8)</w:t>
            </w:r>
          </w:p>
        </w:tc>
        <w:tc>
          <w:tcPr>
            <w:tcW w:w="3100" w:type="dxa"/>
            <w:shd w:val="clear" w:color="auto" w:fill="auto"/>
          </w:tcPr>
          <w:p w14:paraId="52979BFE" w14:textId="77777777" w:rsidR="006837B3" w:rsidRPr="004A59B1" w:rsidRDefault="006837B3" w:rsidP="009C1193">
            <w:pPr>
              <w:keepNext/>
              <w:keepLines/>
              <w:widowControl w:val="0"/>
              <w:tabs>
                <w:tab w:val="clear" w:pos="567"/>
                <w:tab w:val="left" w:pos="284"/>
              </w:tabs>
              <w:spacing w:line="240" w:lineRule="auto"/>
              <w:rPr>
                <w:rFonts w:eastAsia="MS Mincho"/>
                <w:szCs w:val="22"/>
                <w:lang w:val="en-US"/>
              </w:rPr>
            </w:pPr>
            <w:r w:rsidRPr="004A59B1">
              <w:rPr>
                <w:rFonts w:eastAsia="MS Mincho"/>
                <w:szCs w:val="22"/>
                <w:lang w:val="en-US"/>
              </w:rPr>
              <w:t>78,3 (70,8</w:t>
            </w:r>
            <w:r w:rsidRPr="004A59B1">
              <w:rPr>
                <w:rFonts w:eastAsia="MS Mincho"/>
                <w:szCs w:val="22"/>
                <w:lang w:val="en-US"/>
              </w:rPr>
              <w:noBreakHyphen/>
              <w:t>84,1)</w:t>
            </w:r>
          </w:p>
        </w:tc>
      </w:tr>
      <w:tr w:rsidR="006837B3" w:rsidRPr="004A59B1" w14:paraId="52979C03" w14:textId="77777777" w:rsidTr="009C1193">
        <w:trPr>
          <w:cantSplit/>
        </w:trPr>
        <w:tc>
          <w:tcPr>
            <w:tcW w:w="3099" w:type="dxa"/>
            <w:shd w:val="clear" w:color="auto" w:fill="auto"/>
          </w:tcPr>
          <w:p w14:paraId="52979C00" w14:textId="77777777" w:rsidR="006837B3" w:rsidRPr="004A59B1" w:rsidRDefault="006837B3" w:rsidP="009C1193">
            <w:pPr>
              <w:keepNext/>
              <w:keepLines/>
              <w:widowControl w:val="0"/>
              <w:tabs>
                <w:tab w:val="clear" w:pos="567"/>
              </w:tabs>
              <w:spacing w:line="240" w:lineRule="auto"/>
              <w:ind w:left="284"/>
              <w:rPr>
                <w:rFonts w:eastAsia="MS Mincho"/>
                <w:szCs w:val="22"/>
                <w:lang w:val="en-US"/>
              </w:rPr>
            </w:pPr>
            <w:r w:rsidRPr="004A59B1">
              <w:rPr>
                <w:rFonts w:eastAsia="MS Mincho"/>
                <w:szCs w:val="22"/>
                <w:lang w:val="en-US"/>
              </w:rPr>
              <w:t>60</w:t>
            </w:r>
            <w:r w:rsidRPr="004A59B1">
              <w:rPr>
                <w:rFonts w:eastAsia="MS Mincho"/>
                <w:szCs w:val="22"/>
                <w:lang w:val="en-US" w:eastAsia="ja-JP"/>
              </w:rPr>
              <w:t> </w:t>
            </w:r>
            <w:r w:rsidRPr="004A59B1">
              <w:rPr>
                <w:rFonts w:eastAsia="MS Mincho"/>
                <w:szCs w:val="22"/>
                <w:lang w:val="en-US"/>
              </w:rPr>
              <w:t>mesecev</w:t>
            </w:r>
          </w:p>
        </w:tc>
        <w:tc>
          <w:tcPr>
            <w:tcW w:w="3100" w:type="dxa"/>
            <w:shd w:val="clear" w:color="auto" w:fill="auto"/>
          </w:tcPr>
          <w:p w14:paraId="52979C01" w14:textId="77777777" w:rsidR="006837B3" w:rsidRPr="004A59B1" w:rsidRDefault="006837B3" w:rsidP="009C1193">
            <w:pPr>
              <w:keepNext/>
              <w:keepLines/>
              <w:widowControl w:val="0"/>
              <w:tabs>
                <w:tab w:val="clear" w:pos="567"/>
                <w:tab w:val="left" w:pos="284"/>
              </w:tabs>
              <w:spacing w:line="240" w:lineRule="auto"/>
              <w:rPr>
                <w:rFonts w:eastAsia="MS Mincho"/>
                <w:szCs w:val="22"/>
                <w:lang w:val="en-US"/>
              </w:rPr>
            </w:pPr>
            <w:r w:rsidRPr="004A59B1">
              <w:rPr>
                <w:rFonts w:eastAsia="MS Mincho"/>
                <w:szCs w:val="22"/>
                <w:lang w:val="en-US"/>
              </w:rPr>
              <w:t>47,9 (39,0</w:t>
            </w:r>
            <w:r w:rsidRPr="004A59B1">
              <w:rPr>
                <w:rFonts w:eastAsia="MS Mincho"/>
                <w:szCs w:val="22"/>
                <w:lang w:val="en-US"/>
              </w:rPr>
              <w:noBreakHyphen/>
              <w:t>56,3)</w:t>
            </w:r>
          </w:p>
        </w:tc>
        <w:tc>
          <w:tcPr>
            <w:tcW w:w="3100" w:type="dxa"/>
            <w:shd w:val="clear" w:color="auto" w:fill="auto"/>
          </w:tcPr>
          <w:p w14:paraId="52979C02" w14:textId="77777777" w:rsidR="006837B3" w:rsidRPr="004A59B1" w:rsidRDefault="006837B3" w:rsidP="009C1193">
            <w:pPr>
              <w:keepNext/>
              <w:keepLines/>
              <w:widowControl w:val="0"/>
              <w:tabs>
                <w:tab w:val="clear" w:pos="567"/>
                <w:tab w:val="left" w:pos="284"/>
              </w:tabs>
              <w:spacing w:line="240" w:lineRule="auto"/>
              <w:rPr>
                <w:rFonts w:eastAsia="MS Mincho"/>
                <w:szCs w:val="22"/>
                <w:lang w:val="en-US"/>
              </w:rPr>
            </w:pPr>
            <w:r w:rsidRPr="004A59B1">
              <w:rPr>
                <w:rFonts w:eastAsia="MS Mincho"/>
                <w:szCs w:val="22"/>
                <w:lang w:val="en-US"/>
              </w:rPr>
              <w:t>65,6 (56,1</w:t>
            </w:r>
            <w:r w:rsidRPr="004A59B1">
              <w:rPr>
                <w:rFonts w:eastAsia="MS Mincho"/>
                <w:szCs w:val="22"/>
                <w:lang w:val="en-US"/>
              </w:rPr>
              <w:noBreakHyphen/>
              <w:t>73,4)</w:t>
            </w:r>
          </w:p>
        </w:tc>
      </w:tr>
      <w:tr w:rsidR="006837B3" w:rsidRPr="004A59B1" w14:paraId="52979C07" w14:textId="77777777" w:rsidTr="009C1193">
        <w:trPr>
          <w:cantSplit/>
        </w:trPr>
        <w:tc>
          <w:tcPr>
            <w:tcW w:w="3099" w:type="dxa"/>
            <w:shd w:val="clear" w:color="auto" w:fill="auto"/>
          </w:tcPr>
          <w:p w14:paraId="52979C04" w14:textId="77777777" w:rsidR="006837B3" w:rsidRPr="004A59B1" w:rsidRDefault="006837B3" w:rsidP="009C1193">
            <w:pPr>
              <w:keepNext/>
              <w:keepLines/>
              <w:widowControl w:val="0"/>
              <w:tabs>
                <w:tab w:val="clear" w:pos="567"/>
                <w:tab w:val="left" w:pos="284"/>
              </w:tabs>
              <w:spacing w:line="240" w:lineRule="auto"/>
              <w:rPr>
                <w:rFonts w:eastAsia="MS Mincho"/>
                <w:b/>
                <w:szCs w:val="22"/>
                <w:lang w:val="en-US"/>
              </w:rPr>
            </w:pPr>
            <w:r w:rsidRPr="004A59B1">
              <w:rPr>
                <w:rFonts w:eastAsia="MS Mincho"/>
                <w:b/>
                <w:szCs w:val="22"/>
                <w:lang w:val="en-US"/>
              </w:rPr>
              <w:t>preživetje</w:t>
            </w:r>
          </w:p>
        </w:tc>
        <w:tc>
          <w:tcPr>
            <w:tcW w:w="3100" w:type="dxa"/>
            <w:shd w:val="clear" w:color="auto" w:fill="auto"/>
          </w:tcPr>
          <w:p w14:paraId="52979C05" w14:textId="77777777" w:rsidR="006837B3" w:rsidRPr="004A59B1" w:rsidRDefault="006837B3" w:rsidP="009C1193">
            <w:pPr>
              <w:keepNext/>
              <w:keepLines/>
              <w:widowControl w:val="0"/>
              <w:tabs>
                <w:tab w:val="clear" w:pos="567"/>
                <w:tab w:val="left" w:pos="284"/>
              </w:tabs>
              <w:spacing w:line="240" w:lineRule="auto"/>
              <w:rPr>
                <w:rFonts w:eastAsia="MS Mincho"/>
                <w:szCs w:val="22"/>
                <w:lang w:val="en-US"/>
              </w:rPr>
            </w:pPr>
          </w:p>
        </w:tc>
        <w:tc>
          <w:tcPr>
            <w:tcW w:w="3100" w:type="dxa"/>
            <w:shd w:val="clear" w:color="auto" w:fill="auto"/>
          </w:tcPr>
          <w:p w14:paraId="52979C06" w14:textId="77777777" w:rsidR="006837B3" w:rsidRPr="004A59B1" w:rsidRDefault="006837B3" w:rsidP="009C1193">
            <w:pPr>
              <w:keepNext/>
              <w:keepLines/>
              <w:widowControl w:val="0"/>
              <w:tabs>
                <w:tab w:val="clear" w:pos="567"/>
                <w:tab w:val="left" w:pos="284"/>
              </w:tabs>
              <w:spacing w:line="240" w:lineRule="auto"/>
              <w:rPr>
                <w:rFonts w:eastAsia="MS Mincho"/>
                <w:szCs w:val="22"/>
                <w:lang w:val="en-US"/>
              </w:rPr>
            </w:pPr>
          </w:p>
        </w:tc>
      </w:tr>
      <w:tr w:rsidR="006837B3" w:rsidRPr="004A59B1" w14:paraId="52979C0B" w14:textId="77777777" w:rsidTr="009C1193">
        <w:trPr>
          <w:cantSplit/>
        </w:trPr>
        <w:tc>
          <w:tcPr>
            <w:tcW w:w="3099" w:type="dxa"/>
            <w:shd w:val="clear" w:color="auto" w:fill="auto"/>
          </w:tcPr>
          <w:p w14:paraId="52979C08" w14:textId="77777777" w:rsidR="006837B3" w:rsidRPr="004A59B1" w:rsidRDefault="006837B3" w:rsidP="009C1193">
            <w:pPr>
              <w:keepNext/>
              <w:keepLines/>
              <w:widowControl w:val="0"/>
              <w:tabs>
                <w:tab w:val="clear" w:pos="567"/>
              </w:tabs>
              <w:spacing w:line="240" w:lineRule="auto"/>
              <w:ind w:left="284"/>
              <w:rPr>
                <w:rFonts w:eastAsia="MS Mincho"/>
                <w:szCs w:val="22"/>
                <w:lang w:val="en-US"/>
              </w:rPr>
            </w:pPr>
            <w:r w:rsidRPr="004A59B1">
              <w:rPr>
                <w:rFonts w:eastAsia="MS Mincho"/>
                <w:szCs w:val="22"/>
                <w:lang w:val="en-US"/>
              </w:rPr>
              <w:t>36</w:t>
            </w:r>
            <w:r w:rsidRPr="004A59B1">
              <w:rPr>
                <w:rFonts w:eastAsia="MS Mincho"/>
                <w:szCs w:val="22"/>
                <w:lang w:val="en-US" w:eastAsia="ja-JP"/>
              </w:rPr>
              <w:t> </w:t>
            </w:r>
            <w:r w:rsidRPr="004A59B1">
              <w:rPr>
                <w:rFonts w:eastAsia="MS Mincho"/>
                <w:szCs w:val="22"/>
                <w:lang w:val="en-US"/>
              </w:rPr>
              <w:t>mesecev</w:t>
            </w:r>
          </w:p>
        </w:tc>
        <w:tc>
          <w:tcPr>
            <w:tcW w:w="3100" w:type="dxa"/>
            <w:shd w:val="clear" w:color="auto" w:fill="auto"/>
          </w:tcPr>
          <w:p w14:paraId="52979C09" w14:textId="77777777" w:rsidR="006837B3" w:rsidRPr="004A59B1" w:rsidRDefault="006837B3" w:rsidP="009C1193">
            <w:pPr>
              <w:keepNext/>
              <w:keepLines/>
              <w:widowControl w:val="0"/>
              <w:tabs>
                <w:tab w:val="clear" w:pos="567"/>
                <w:tab w:val="left" w:pos="284"/>
              </w:tabs>
              <w:spacing w:line="240" w:lineRule="auto"/>
              <w:rPr>
                <w:rFonts w:eastAsia="MS Mincho"/>
                <w:szCs w:val="22"/>
                <w:lang w:val="en-US"/>
              </w:rPr>
            </w:pPr>
            <w:r w:rsidRPr="004A59B1">
              <w:rPr>
                <w:rFonts w:eastAsia="MS Mincho"/>
                <w:szCs w:val="22"/>
                <w:lang w:val="en-US"/>
              </w:rPr>
              <w:t>94,0 (89,5</w:t>
            </w:r>
            <w:r w:rsidRPr="004A59B1">
              <w:rPr>
                <w:rFonts w:eastAsia="MS Mincho"/>
                <w:szCs w:val="22"/>
                <w:lang w:val="en-US"/>
              </w:rPr>
              <w:noBreakHyphen/>
              <w:t>96,7)</w:t>
            </w:r>
          </w:p>
        </w:tc>
        <w:tc>
          <w:tcPr>
            <w:tcW w:w="3100" w:type="dxa"/>
            <w:shd w:val="clear" w:color="auto" w:fill="auto"/>
          </w:tcPr>
          <w:p w14:paraId="52979C0A" w14:textId="77777777" w:rsidR="006837B3" w:rsidRPr="004A59B1" w:rsidRDefault="006837B3" w:rsidP="009C1193">
            <w:pPr>
              <w:keepNext/>
              <w:keepLines/>
              <w:widowControl w:val="0"/>
              <w:tabs>
                <w:tab w:val="clear" w:pos="567"/>
                <w:tab w:val="left" w:pos="284"/>
              </w:tabs>
              <w:spacing w:line="240" w:lineRule="auto"/>
              <w:rPr>
                <w:rFonts w:eastAsia="MS Mincho"/>
                <w:szCs w:val="22"/>
                <w:lang w:val="en-US"/>
              </w:rPr>
            </w:pPr>
            <w:r w:rsidRPr="004A59B1">
              <w:rPr>
                <w:rFonts w:eastAsia="MS Mincho"/>
                <w:szCs w:val="22"/>
                <w:lang w:val="en-US"/>
              </w:rPr>
              <w:t>96,3 (92,4</w:t>
            </w:r>
            <w:r w:rsidRPr="004A59B1">
              <w:rPr>
                <w:rFonts w:eastAsia="MS Mincho"/>
                <w:szCs w:val="22"/>
                <w:lang w:val="en-US"/>
              </w:rPr>
              <w:noBreakHyphen/>
              <w:t>98,2)</w:t>
            </w:r>
          </w:p>
        </w:tc>
      </w:tr>
      <w:tr w:rsidR="006837B3" w:rsidRPr="004A59B1" w14:paraId="52979C0F" w14:textId="77777777" w:rsidTr="009C1193">
        <w:trPr>
          <w:cantSplit/>
        </w:trPr>
        <w:tc>
          <w:tcPr>
            <w:tcW w:w="3099" w:type="dxa"/>
            <w:shd w:val="clear" w:color="auto" w:fill="auto"/>
          </w:tcPr>
          <w:p w14:paraId="52979C0C" w14:textId="77777777" w:rsidR="006837B3" w:rsidRPr="004A59B1" w:rsidRDefault="006837B3" w:rsidP="009C1193">
            <w:pPr>
              <w:keepNext/>
              <w:keepLines/>
              <w:widowControl w:val="0"/>
              <w:tabs>
                <w:tab w:val="clear" w:pos="567"/>
              </w:tabs>
              <w:spacing w:line="240" w:lineRule="auto"/>
              <w:ind w:left="284"/>
              <w:rPr>
                <w:rFonts w:eastAsia="MS Mincho"/>
                <w:szCs w:val="22"/>
                <w:lang w:val="en-US"/>
              </w:rPr>
            </w:pPr>
            <w:r w:rsidRPr="004A59B1">
              <w:rPr>
                <w:rFonts w:eastAsia="MS Mincho"/>
                <w:szCs w:val="22"/>
                <w:lang w:val="en-US"/>
              </w:rPr>
              <w:t>48</w:t>
            </w:r>
            <w:r w:rsidRPr="004A59B1">
              <w:rPr>
                <w:rFonts w:eastAsia="MS Mincho"/>
                <w:szCs w:val="22"/>
                <w:lang w:val="en-US" w:eastAsia="ja-JP"/>
              </w:rPr>
              <w:t> </w:t>
            </w:r>
            <w:r w:rsidRPr="004A59B1">
              <w:rPr>
                <w:rFonts w:eastAsia="MS Mincho"/>
                <w:szCs w:val="22"/>
                <w:lang w:val="en-US"/>
              </w:rPr>
              <w:t>mesecev</w:t>
            </w:r>
          </w:p>
        </w:tc>
        <w:tc>
          <w:tcPr>
            <w:tcW w:w="3100" w:type="dxa"/>
            <w:shd w:val="clear" w:color="auto" w:fill="auto"/>
          </w:tcPr>
          <w:p w14:paraId="52979C0D" w14:textId="77777777" w:rsidR="006837B3" w:rsidRPr="004A59B1" w:rsidRDefault="006837B3" w:rsidP="009C1193">
            <w:pPr>
              <w:keepNext/>
              <w:keepLines/>
              <w:widowControl w:val="0"/>
              <w:tabs>
                <w:tab w:val="clear" w:pos="567"/>
                <w:tab w:val="left" w:pos="284"/>
              </w:tabs>
              <w:spacing w:line="240" w:lineRule="auto"/>
              <w:rPr>
                <w:rFonts w:eastAsia="MS Mincho"/>
                <w:szCs w:val="22"/>
                <w:lang w:val="en-US"/>
              </w:rPr>
            </w:pPr>
            <w:r w:rsidRPr="004A59B1">
              <w:rPr>
                <w:rFonts w:eastAsia="MS Mincho"/>
                <w:szCs w:val="22"/>
                <w:lang w:val="en-US"/>
              </w:rPr>
              <w:t>87,9 (81,1</w:t>
            </w:r>
            <w:r w:rsidRPr="004A59B1">
              <w:rPr>
                <w:rFonts w:eastAsia="MS Mincho"/>
                <w:szCs w:val="22"/>
                <w:lang w:val="en-US"/>
              </w:rPr>
              <w:noBreakHyphen/>
              <w:t>92,3)</w:t>
            </w:r>
          </w:p>
        </w:tc>
        <w:tc>
          <w:tcPr>
            <w:tcW w:w="3100" w:type="dxa"/>
            <w:shd w:val="clear" w:color="auto" w:fill="auto"/>
          </w:tcPr>
          <w:p w14:paraId="52979C0E" w14:textId="77777777" w:rsidR="006837B3" w:rsidRPr="004A59B1" w:rsidRDefault="006837B3" w:rsidP="009C1193">
            <w:pPr>
              <w:keepNext/>
              <w:keepLines/>
              <w:widowControl w:val="0"/>
              <w:tabs>
                <w:tab w:val="clear" w:pos="567"/>
                <w:tab w:val="left" w:pos="284"/>
              </w:tabs>
              <w:spacing w:line="240" w:lineRule="auto"/>
              <w:rPr>
                <w:rFonts w:eastAsia="MS Mincho"/>
                <w:szCs w:val="22"/>
                <w:lang w:val="en-US"/>
              </w:rPr>
            </w:pPr>
            <w:r w:rsidRPr="004A59B1">
              <w:rPr>
                <w:rFonts w:eastAsia="MS Mincho"/>
                <w:szCs w:val="22"/>
                <w:lang w:val="en-US"/>
              </w:rPr>
              <w:t>95,6 (91,2</w:t>
            </w:r>
            <w:r w:rsidRPr="004A59B1">
              <w:rPr>
                <w:rFonts w:eastAsia="MS Mincho"/>
                <w:szCs w:val="22"/>
                <w:lang w:val="en-US"/>
              </w:rPr>
              <w:noBreakHyphen/>
              <w:t>97,8)</w:t>
            </w:r>
          </w:p>
        </w:tc>
      </w:tr>
      <w:tr w:rsidR="006837B3" w:rsidRPr="004A59B1" w14:paraId="52979C13" w14:textId="77777777" w:rsidTr="009C1193">
        <w:trPr>
          <w:cantSplit/>
        </w:trPr>
        <w:tc>
          <w:tcPr>
            <w:tcW w:w="3099" w:type="dxa"/>
            <w:shd w:val="clear" w:color="auto" w:fill="auto"/>
          </w:tcPr>
          <w:p w14:paraId="52979C10" w14:textId="77777777" w:rsidR="006837B3" w:rsidRPr="004A59B1" w:rsidRDefault="006837B3" w:rsidP="009C1193">
            <w:pPr>
              <w:keepNext/>
              <w:keepLines/>
              <w:widowControl w:val="0"/>
              <w:tabs>
                <w:tab w:val="clear" w:pos="567"/>
              </w:tabs>
              <w:spacing w:line="240" w:lineRule="auto"/>
              <w:ind w:left="284"/>
              <w:rPr>
                <w:rFonts w:eastAsia="MS Mincho"/>
                <w:szCs w:val="22"/>
                <w:lang w:val="en-US"/>
              </w:rPr>
            </w:pPr>
            <w:r w:rsidRPr="004A59B1">
              <w:rPr>
                <w:rFonts w:eastAsia="MS Mincho"/>
                <w:szCs w:val="22"/>
                <w:lang w:val="en-US"/>
              </w:rPr>
              <w:t>60</w:t>
            </w:r>
            <w:r w:rsidRPr="004A59B1">
              <w:rPr>
                <w:rFonts w:eastAsia="MS Mincho"/>
                <w:szCs w:val="22"/>
                <w:lang w:val="en-US" w:eastAsia="ja-JP"/>
              </w:rPr>
              <w:t> </w:t>
            </w:r>
            <w:r w:rsidRPr="004A59B1">
              <w:rPr>
                <w:rFonts w:eastAsia="MS Mincho"/>
                <w:szCs w:val="22"/>
                <w:lang w:val="en-US"/>
              </w:rPr>
              <w:t>mesecev</w:t>
            </w:r>
          </w:p>
        </w:tc>
        <w:tc>
          <w:tcPr>
            <w:tcW w:w="3100" w:type="dxa"/>
            <w:shd w:val="clear" w:color="auto" w:fill="auto"/>
          </w:tcPr>
          <w:p w14:paraId="52979C11" w14:textId="77777777" w:rsidR="006837B3" w:rsidRPr="004A59B1" w:rsidRDefault="006837B3" w:rsidP="009C1193">
            <w:pPr>
              <w:keepNext/>
              <w:keepLines/>
              <w:widowControl w:val="0"/>
              <w:tabs>
                <w:tab w:val="clear" w:pos="567"/>
                <w:tab w:val="left" w:pos="284"/>
              </w:tabs>
              <w:spacing w:line="240" w:lineRule="auto"/>
              <w:rPr>
                <w:rFonts w:eastAsia="MS Mincho"/>
                <w:szCs w:val="22"/>
                <w:lang w:val="en-US"/>
              </w:rPr>
            </w:pPr>
            <w:r w:rsidRPr="004A59B1">
              <w:rPr>
                <w:rFonts w:eastAsia="MS Mincho"/>
                <w:szCs w:val="22"/>
                <w:lang w:val="en-US"/>
              </w:rPr>
              <w:t>81,7 (73,0</w:t>
            </w:r>
            <w:r w:rsidRPr="004A59B1">
              <w:rPr>
                <w:rFonts w:eastAsia="MS Mincho"/>
                <w:szCs w:val="22"/>
                <w:lang w:val="en-US"/>
              </w:rPr>
              <w:noBreakHyphen/>
              <w:t>87,8)</w:t>
            </w:r>
          </w:p>
        </w:tc>
        <w:tc>
          <w:tcPr>
            <w:tcW w:w="3100" w:type="dxa"/>
            <w:shd w:val="clear" w:color="auto" w:fill="auto"/>
          </w:tcPr>
          <w:p w14:paraId="52979C12" w14:textId="77777777" w:rsidR="006837B3" w:rsidRPr="004A59B1" w:rsidRDefault="006837B3" w:rsidP="009C1193">
            <w:pPr>
              <w:keepNext/>
              <w:keepLines/>
              <w:widowControl w:val="0"/>
              <w:tabs>
                <w:tab w:val="clear" w:pos="567"/>
                <w:tab w:val="left" w:pos="284"/>
              </w:tabs>
              <w:spacing w:line="240" w:lineRule="auto"/>
              <w:rPr>
                <w:rFonts w:eastAsia="MS Mincho"/>
                <w:szCs w:val="22"/>
                <w:lang w:val="en-US"/>
              </w:rPr>
            </w:pPr>
            <w:r w:rsidRPr="004A59B1">
              <w:rPr>
                <w:rFonts w:eastAsia="MS Mincho"/>
                <w:szCs w:val="22"/>
                <w:lang w:val="en-US"/>
              </w:rPr>
              <w:t>92,0 (85,3</w:t>
            </w:r>
            <w:r w:rsidRPr="004A59B1">
              <w:rPr>
                <w:rFonts w:eastAsia="MS Mincho"/>
                <w:szCs w:val="22"/>
                <w:lang w:val="en-US"/>
              </w:rPr>
              <w:noBreakHyphen/>
              <w:t>95,7)</w:t>
            </w:r>
          </w:p>
        </w:tc>
      </w:tr>
    </w:tbl>
    <w:p w14:paraId="52979C14" w14:textId="77777777" w:rsidR="006837B3" w:rsidRPr="004A59B1" w:rsidRDefault="006837B3" w:rsidP="009C1193">
      <w:pPr>
        <w:widowControl w:val="0"/>
        <w:tabs>
          <w:tab w:val="clear" w:pos="567"/>
        </w:tabs>
        <w:spacing w:line="240" w:lineRule="auto"/>
        <w:rPr>
          <w:rFonts w:eastAsia="MS Mincho"/>
          <w:szCs w:val="22"/>
          <w:lang w:val="en-US"/>
        </w:rPr>
      </w:pPr>
    </w:p>
    <w:p w14:paraId="52979C15" w14:textId="77777777" w:rsidR="00AD67A5" w:rsidRPr="004A59B1" w:rsidRDefault="003B1E8C" w:rsidP="009C1193">
      <w:pPr>
        <w:pStyle w:val="Text"/>
        <w:keepNext/>
        <w:keepLines/>
        <w:widowControl w:val="0"/>
        <w:spacing w:before="0"/>
        <w:ind w:left="1134" w:hanging="1134"/>
        <w:jc w:val="left"/>
        <w:rPr>
          <w:rFonts w:eastAsia="MS Mincho"/>
          <w:color w:val="000000"/>
          <w:sz w:val="22"/>
          <w:szCs w:val="22"/>
          <w:lang w:eastAsia="ja-JP"/>
        </w:rPr>
      </w:pPr>
      <w:r w:rsidRPr="004A59B1">
        <w:rPr>
          <w:noProof/>
        </w:rPr>
        <w:lastRenderedPageBreak/>
        <mc:AlternateContent>
          <mc:Choice Requires="wps">
            <w:drawing>
              <wp:anchor distT="0" distB="0" distL="114300" distR="114300" simplePos="0" relativeHeight="251652096" behindDoc="0" locked="0" layoutInCell="1" allowOverlap="1" wp14:anchorId="5297AC16" wp14:editId="5297AC17">
                <wp:simplePos x="0" y="0"/>
                <wp:positionH relativeFrom="column">
                  <wp:posOffset>-288290</wp:posOffset>
                </wp:positionH>
                <wp:positionV relativeFrom="paragraph">
                  <wp:posOffset>203200</wp:posOffset>
                </wp:positionV>
                <wp:extent cx="335915" cy="29464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946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97AC47" w14:textId="77777777" w:rsidR="00AD188A" w:rsidRPr="00A33DBA" w:rsidRDefault="00AD188A" w:rsidP="004D77BC">
                            <w:pPr>
                              <w:rPr>
                                <w:rFonts w:ascii="Arial" w:hAnsi="Arial" w:cs="Arial"/>
                                <w:sz w:val="20"/>
                              </w:rPr>
                            </w:pPr>
                            <w:r>
                              <w:rPr>
                                <w:rFonts w:ascii="Arial" w:hAnsi="Arial" w:cs="Arial"/>
                                <w:sz w:val="20"/>
                              </w:rPr>
                              <w:t>verjetnost preživetja brez ponovitve  bolezni</w:t>
                            </w:r>
                          </w:p>
                          <w:p w14:paraId="5297AC48" w14:textId="77777777" w:rsidR="00AD188A" w:rsidRPr="00A33DBA" w:rsidRDefault="00AD188A" w:rsidP="004D77BC">
                            <w:pPr>
                              <w:rPr>
                                <w:rFonts w:ascii="Arial" w:hAnsi="Arial" w:cs="Arial"/>
                                <w:sz w:val="20"/>
                              </w:rPr>
                            </w:pPr>
                          </w:p>
                          <w:p w14:paraId="5297AC49" w14:textId="77777777" w:rsidR="00AD188A" w:rsidRPr="00A33DBA" w:rsidRDefault="00AD188A" w:rsidP="006837B3">
                            <w:pPr>
                              <w:rPr>
                                <w:rFonts w:ascii="Arial" w:hAnsi="Arial" w:cs="Arial"/>
                                <w:sz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297AC16" id="_x0000_t202" coordsize="21600,21600" o:spt="202" path="m,l,21600r21600,l21600,xe">
                <v:stroke joinstyle="miter"/>
                <v:path gradientshapeok="t" o:connecttype="rect"/>
              </v:shapetype>
              <v:shape id="Text Box 2" o:spid="_x0000_s1026" type="#_x0000_t202" style="position:absolute;left:0;text-align:left;margin-left:-22.7pt;margin-top:16pt;width:26.45pt;height:23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" stroked="f">
                <v:fill opacity="0"/>
                <v:textbox style="layout-flow:vertical;mso-layout-flow-alt:bottom-to-top">
                  <w:txbxContent>
                    <w:p w14:paraId="5297AC47" w14:textId="77777777" w:rsidR="00AD188A" w:rsidRPr="00A33DBA" w:rsidRDefault="00AD188A" w:rsidP="004D77BC">
                      <w:pPr>
                        <w:rPr>
                          <w:rFonts w:ascii="Arial" w:hAnsi="Arial" w:cs="Arial"/>
                          <w:sz w:val="20"/>
                        </w:rPr>
                      </w:pPr>
                      <w:r>
                        <w:rPr>
                          <w:rFonts w:ascii="Arial" w:hAnsi="Arial" w:cs="Arial"/>
                          <w:sz w:val="20"/>
                        </w:rPr>
                        <w:t>verjetnost preživetja brez ponovitve  bolezni</w:t>
                      </w:r>
                    </w:p>
                    <w:p w14:paraId="5297AC48" w14:textId="77777777" w:rsidR="00AD188A" w:rsidRPr="00A33DBA" w:rsidRDefault="00AD188A" w:rsidP="004D77BC">
                      <w:pPr>
                        <w:rPr>
                          <w:rFonts w:ascii="Arial" w:hAnsi="Arial" w:cs="Arial"/>
                          <w:sz w:val="20"/>
                        </w:rPr>
                      </w:pPr>
                    </w:p>
                    <w:p w14:paraId="5297AC49" w14:textId="77777777" w:rsidR="00AD188A" w:rsidRPr="00A33DBA" w:rsidRDefault="00AD188A" w:rsidP="006837B3">
                      <w:pPr>
                        <w:rPr>
                          <w:rFonts w:ascii="Arial" w:hAnsi="Arial" w:cs="Arial"/>
                          <w:sz w:val="20"/>
                        </w:rPr>
                      </w:pPr>
                    </w:p>
                  </w:txbxContent>
                </v:textbox>
              </v:shape>
            </w:pict>
          </mc:Fallback>
        </mc:AlternateContent>
      </w:r>
      <w:r w:rsidR="006837B3" w:rsidRPr="004A59B1">
        <w:rPr>
          <w:rFonts w:eastAsia="MS Mincho"/>
          <w:b/>
          <w:sz w:val="22"/>
          <w:szCs w:val="22"/>
        </w:rPr>
        <w:t>Slika 1</w:t>
      </w:r>
      <w:r w:rsidR="006837B3" w:rsidRPr="004A59B1">
        <w:rPr>
          <w:rFonts w:eastAsia="MS Mincho"/>
          <w:b/>
          <w:sz w:val="22"/>
          <w:szCs w:val="22"/>
        </w:rPr>
        <w:tab/>
        <w:t>Ocena primarnega cilja opazovanja preživetja brez ponovitve bolezni po Kaplan-Meierjevi metodi (populacija z namenom zdravljenja -ITT)</w:t>
      </w:r>
    </w:p>
    <w:p w14:paraId="52979C16" w14:textId="77777777" w:rsidR="006837B3" w:rsidRPr="004A59B1" w:rsidRDefault="006837B3" w:rsidP="009C1193">
      <w:pPr>
        <w:pStyle w:val="Text"/>
        <w:keepNext/>
        <w:keepLines/>
        <w:widowControl w:val="0"/>
        <w:spacing w:before="0"/>
        <w:jc w:val="left"/>
        <w:rPr>
          <w:rFonts w:eastAsia="MS Mincho"/>
          <w:color w:val="000000"/>
          <w:sz w:val="22"/>
          <w:szCs w:val="22"/>
          <w:lang w:eastAsia="ja-JP"/>
        </w:rPr>
      </w:pPr>
    </w:p>
    <w:p w14:paraId="52979C17" w14:textId="77777777" w:rsidR="006837B3" w:rsidRPr="004A59B1" w:rsidRDefault="003B1E8C" w:rsidP="009C1193">
      <w:pPr>
        <w:pStyle w:val="Text"/>
        <w:keepNext/>
        <w:keepLines/>
        <w:widowControl w:val="0"/>
        <w:spacing w:before="0"/>
        <w:jc w:val="left"/>
        <w:rPr>
          <w:rFonts w:eastAsia="MS Mincho"/>
          <w:color w:val="000000"/>
          <w:sz w:val="22"/>
          <w:szCs w:val="22"/>
          <w:lang w:eastAsia="ja-JP"/>
        </w:rPr>
      </w:pPr>
      <w:r w:rsidRPr="004A59B1">
        <w:rPr>
          <w:noProof/>
        </w:rPr>
        <mc:AlternateContent>
          <mc:Choice Requires="wps">
            <w:drawing>
              <wp:anchor distT="0" distB="0" distL="114300" distR="114300" simplePos="0" relativeHeight="251653120" behindDoc="0" locked="0" layoutInCell="1" allowOverlap="1" wp14:anchorId="5297AC18" wp14:editId="5297AC19">
                <wp:simplePos x="0" y="0"/>
                <wp:positionH relativeFrom="column">
                  <wp:posOffset>388620</wp:posOffset>
                </wp:positionH>
                <wp:positionV relativeFrom="paragraph">
                  <wp:posOffset>1086485</wp:posOffset>
                </wp:positionV>
                <wp:extent cx="4585335" cy="132397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323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371"/>
                              <w:gridCol w:w="851"/>
                              <w:gridCol w:w="709"/>
                              <w:gridCol w:w="850"/>
                            </w:tblGrid>
                            <w:tr w:rsidR="00AD188A" w:rsidRPr="0055776F" w14:paraId="5297AC4D" w14:textId="77777777" w:rsidTr="00B910D5">
                              <w:trPr>
                                <w:gridAfter w:val="4"/>
                                <w:wAfter w:w="2781" w:type="dxa"/>
                              </w:trPr>
                              <w:tc>
                                <w:tcPr>
                                  <w:tcW w:w="3281" w:type="dxa"/>
                                  <w:gridSpan w:val="2"/>
                                  <w:shd w:val="clear" w:color="auto" w:fill="auto"/>
                                </w:tcPr>
                                <w:p w14:paraId="5297AC4A" w14:textId="77777777" w:rsidR="00AD188A" w:rsidRPr="0055776F" w:rsidRDefault="00AD188A" w:rsidP="00B910D5">
                                  <w:pPr>
                                    <w:rPr>
                                      <w:rFonts w:ascii="Arial" w:hAnsi="Arial" w:cs="Arial"/>
                                      <w:sz w:val="20"/>
                                    </w:rPr>
                                  </w:pPr>
                                  <w:r>
                                    <w:rPr>
                                      <w:rFonts w:ascii="Arial" w:hAnsi="Arial" w:cs="Arial"/>
                                      <w:sz w:val="20"/>
                                    </w:rPr>
                                    <w:t>P &lt; 0,0001</w:t>
                                  </w:r>
                                </w:p>
                                <w:p w14:paraId="5297AC4B" w14:textId="77777777" w:rsidR="00AD188A" w:rsidRPr="0055776F" w:rsidRDefault="00AD188A" w:rsidP="00B910D5">
                                  <w:pPr>
                                    <w:rPr>
                                      <w:rFonts w:ascii="Arial" w:hAnsi="Arial" w:cs="Arial"/>
                                      <w:sz w:val="20"/>
                                    </w:rPr>
                                  </w:pPr>
                                  <w:r>
                                    <w:rPr>
                                      <w:rFonts w:ascii="Arial" w:hAnsi="Arial" w:cs="Arial"/>
                                      <w:sz w:val="20"/>
                                    </w:rPr>
                                    <w:t>razmerje tveganj 0,</w:t>
                                  </w:r>
                                  <w:r w:rsidRPr="0055776F">
                                    <w:rPr>
                                      <w:rFonts w:ascii="Arial" w:hAnsi="Arial" w:cs="Arial"/>
                                      <w:sz w:val="20"/>
                                    </w:rPr>
                                    <w:t>4</w:t>
                                  </w:r>
                                  <w:r>
                                    <w:rPr>
                                      <w:rFonts w:ascii="Arial" w:hAnsi="Arial" w:cs="Arial"/>
                                      <w:sz w:val="20"/>
                                    </w:rPr>
                                    <w:t>6</w:t>
                                  </w:r>
                                </w:p>
                                <w:p w14:paraId="5297AC4C" w14:textId="77777777" w:rsidR="00AD188A" w:rsidRPr="0055776F" w:rsidRDefault="00AD188A" w:rsidP="00B910D5">
                                  <w:pPr>
                                    <w:rPr>
                                      <w:rFonts w:ascii="Arial" w:hAnsi="Arial" w:cs="Arial"/>
                                      <w:sz w:val="20"/>
                                      <w:lang w:val="de-DE"/>
                                    </w:rPr>
                                  </w:pPr>
                                  <w:r w:rsidRPr="00A33DBA">
                                    <w:rPr>
                                      <w:rFonts w:ascii="Arial" w:hAnsi="Arial" w:cs="Arial"/>
                                      <w:sz w:val="20"/>
                                    </w:rPr>
                                    <w:t>(95</w:t>
                                  </w:r>
                                  <w:r>
                                    <w:rPr>
                                      <w:rFonts w:ascii="Arial" w:hAnsi="Arial" w:cs="Arial"/>
                                      <w:sz w:val="20"/>
                                    </w:rPr>
                                    <w:t> </w:t>
                                  </w:r>
                                  <w:r w:rsidRPr="00A33DBA">
                                    <w:rPr>
                                      <w:rFonts w:ascii="Arial" w:hAnsi="Arial" w:cs="Arial"/>
                                      <w:sz w:val="20"/>
                                    </w:rPr>
                                    <w:t xml:space="preserve">% </w:t>
                                  </w:r>
                                  <w:r>
                                    <w:rPr>
                                      <w:rFonts w:ascii="Arial" w:hAnsi="Arial" w:cs="Arial"/>
                                      <w:sz w:val="20"/>
                                    </w:rPr>
                                    <w:t>IZ,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AD188A" w:rsidRPr="0055776F" w14:paraId="5297AC53" w14:textId="77777777" w:rsidTr="004D77BC">
                              <w:tc>
                                <w:tcPr>
                                  <w:tcW w:w="817" w:type="dxa"/>
                                  <w:shd w:val="clear" w:color="auto" w:fill="auto"/>
                                </w:tcPr>
                                <w:p w14:paraId="5297AC4E" w14:textId="77777777" w:rsidR="00AD188A" w:rsidRPr="0055776F" w:rsidRDefault="00AD188A" w:rsidP="00747CA8">
                                  <w:pPr>
                                    <w:rPr>
                                      <w:rFonts w:ascii="Arial" w:hAnsi="Arial" w:cs="Arial"/>
                                      <w:sz w:val="20"/>
                                    </w:rPr>
                                  </w:pPr>
                                </w:p>
                              </w:tc>
                              <w:tc>
                                <w:tcPr>
                                  <w:tcW w:w="2835" w:type="dxa"/>
                                  <w:gridSpan w:val="2"/>
                                  <w:shd w:val="clear" w:color="auto" w:fill="auto"/>
                                </w:tcPr>
                                <w:p w14:paraId="5297AC4F" w14:textId="77777777" w:rsidR="00AD188A" w:rsidRPr="0055776F" w:rsidRDefault="00AD188A" w:rsidP="00747CA8">
                                  <w:pPr>
                                    <w:rPr>
                                      <w:rFonts w:ascii="Arial" w:hAnsi="Arial" w:cs="Arial"/>
                                      <w:sz w:val="20"/>
                                    </w:rPr>
                                  </w:pPr>
                                </w:p>
                              </w:tc>
                              <w:tc>
                                <w:tcPr>
                                  <w:tcW w:w="851" w:type="dxa"/>
                                  <w:tcBorders>
                                    <w:bottom w:val="single" w:sz="4" w:space="0" w:color="auto"/>
                                  </w:tcBorders>
                                  <w:shd w:val="clear" w:color="auto" w:fill="auto"/>
                                </w:tcPr>
                                <w:p w14:paraId="5297AC50" w14:textId="77777777" w:rsidR="00AD188A" w:rsidRPr="004D77BC" w:rsidRDefault="00AD188A" w:rsidP="00747CA8">
                                  <w:pPr>
                                    <w:rPr>
                                      <w:rFonts w:ascii="Arial" w:hAnsi="Arial" w:cs="Arial"/>
                                      <w:sz w:val="20"/>
                                    </w:rPr>
                                  </w:pPr>
                                  <w:r w:rsidRPr="004D77BC">
                                    <w:rPr>
                                      <w:rFonts w:ascii="Arial" w:hAnsi="Arial" w:cs="Arial"/>
                                      <w:sz w:val="20"/>
                                      <w:lang w:val="de-DE"/>
                                    </w:rPr>
                                    <w:t>N</w:t>
                                  </w:r>
                                </w:p>
                              </w:tc>
                              <w:tc>
                                <w:tcPr>
                                  <w:tcW w:w="709" w:type="dxa"/>
                                  <w:tcBorders>
                                    <w:bottom w:val="single" w:sz="4" w:space="0" w:color="auto"/>
                                  </w:tcBorders>
                                  <w:shd w:val="clear" w:color="auto" w:fill="auto"/>
                                </w:tcPr>
                                <w:p w14:paraId="5297AC51" w14:textId="77777777" w:rsidR="00AD188A" w:rsidRPr="004D77BC" w:rsidRDefault="00AD188A" w:rsidP="00747CA8">
                                  <w:pPr>
                                    <w:rPr>
                                      <w:rFonts w:ascii="Arial" w:hAnsi="Arial" w:cs="Arial"/>
                                      <w:sz w:val="20"/>
                                    </w:rPr>
                                  </w:pPr>
                                  <w:r w:rsidRPr="004D77BC">
                                    <w:rPr>
                                      <w:rFonts w:ascii="Arial" w:hAnsi="Arial" w:cs="Arial"/>
                                      <w:sz w:val="20"/>
                                      <w:lang w:val="es-ES"/>
                                    </w:rPr>
                                    <w:t>dog</w:t>
                                  </w:r>
                                </w:p>
                              </w:tc>
                              <w:tc>
                                <w:tcPr>
                                  <w:tcW w:w="850" w:type="dxa"/>
                                  <w:tcBorders>
                                    <w:bottom w:val="single" w:sz="4" w:space="0" w:color="auto"/>
                                  </w:tcBorders>
                                  <w:shd w:val="clear" w:color="auto" w:fill="auto"/>
                                </w:tcPr>
                                <w:p w14:paraId="5297AC52" w14:textId="77777777" w:rsidR="00AD188A" w:rsidRPr="004D77BC" w:rsidRDefault="00AD188A" w:rsidP="00747CA8">
                                  <w:pPr>
                                    <w:rPr>
                                      <w:rFonts w:ascii="Arial" w:hAnsi="Arial" w:cs="Arial"/>
                                      <w:sz w:val="20"/>
                                    </w:rPr>
                                  </w:pPr>
                                  <w:r w:rsidRPr="004D77BC">
                                    <w:rPr>
                                      <w:rFonts w:ascii="Arial" w:hAnsi="Arial" w:cs="Arial"/>
                                      <w:sz w:val="20"/>
                                      <w:lang w:val="de-DE"/>
                                    </w:rPr>
                                    <w:t>cen</w:t>
                                  </w:r>
                                </w:p>
                              </w:tc>
                            </w:tr>
                            <w:tr w:rsidR="00AD188A" w:rsidRPr="0055776F" w14:paraId="5297AC59" w14:textId="77777777" w:rsidTr="004D77BC">
                              <w:tc>
                                <w:tcPr>
                                  <w:tcW w:w="817" w:type="dxa"/>
                                  <w:shd w:val="clear" w:color="auto" w:fill="auto"/>
                                </w:tcPr>
                                <w:p w14:paraId="5297AC54" w14:textId="77777777" w:rsidR="00AD188A" w:rsidRPr="0055776F" w:rsidRDefault="00AD188A" w:rsidP="00747CA8">
                                  <w:pPr>
                                    <w:rPr>
                                      <w:rFonts w:ascii="Arial" w:hAnsi="Arial" w:cs="Arial"/>
                                      <w:sz w:val="20"/>
                                    </w:rPr>
                                  </w:pPr>
                                  <w:r w:rsidRPr="0055776F">
                                    <w:rPr>
                                      <w:rFonts w:ascii="Arial" w:hAnsi="Arial" w:cs="Arial"/>
                                      <w:b/>
                                      <w:sz w:val="20"/>
                                    </w:rPr>
                                    <w:t>——</w:t>
                                  </w:r>
                                </w:p>
                              </w:tc>
                              <w:tc>
                                <w:tcPr>
                                  <w:tcW w:w="2835" w:type="dxa"/>
                                  <w:gridSpan w:val="2"/>
                                  <w:shd w:val="clear" w:color="auto" w:fill="auto"/>
                                </w:tcPr>
                                <w:p w14:paraId="5297AC55" w14:textId="77777777" w:rsidR="00AD188A" w:rsidRPr="0055776F" w:rsidRDefault="00AD188A" w:rsidP="00747CA8">
                                  <w:pPr>
                                    <w:rPr>
                                      <w:rFonts w:ascii="Arial" w:hAnsi="Arial" w:cs="Arial"/>
                                      <w:sz w:val="20"/>
                                    </w:rPr>
                                  </w:pPr>
                                  <w:r>
                                    <w:rPr>
                                      <w:rFonts w:ascii="Arial" w:hAnsi="Arial" w:cs="Arial"/>
                                      <w:sz w:val="20"/>
                                      <w:lang w:val="fr-FR"/>
                                    </w:rPr>
                                    <w:t>(1) imatinib 12 </w:t>
                                  </w:r>
                                  <w:r w:rsidRPr="00F735F7">
                                    <w:rPr>
                                      <w:rFonts w:ascii="Arial" w:hAnsi="Arial" w:cs="Arial"/>
                                      <w:sz w:val="20"/>
                                      <w:lang w:val="fr-FR"/>
                                    </w:rPr>
                                    <w:t>mes.:</w:t>
                                  </w:r>
                                </w:p>
                              </w:tc>
                              <w:tc>
                                <w:tcPr>
                                  <w:tcW w:w="851" w:type="dxa"/>
                                  <w:tcBorders>
                                    <w:top w:val="single" w:sz="4" w:space="0" w:color="auto"/>
                                  </w:tcBorders>
                                  <w:shd w:val="clear" w:color="auto" w:fill="auto"/>
                                </w:tcPr>
                                <w:p w14:paraId="5297AC56" w14:textId="77777777" w:rsidR="00AD188A" w:rsidRPr="0055776F" w:rsidRDefault="00AD188A" w:rsidP="00747CA8">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5297AC57" w14:textId="77777777" w:rsidR="00AD188A" w:rsidRPr="0055776F" w:rsidRDefault="00AD188A" w:rsidP="00747CA8">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5297AC58" w14:textId="77777777" w:rsidR="00AD188A" w:rsidRPr="0055776F" w:rsidRDefault="00AD188A" w:rsidP="00747CA8">
                                  <w:pPr>
                                    <w:rPr>
                                      <w:rFonts w:ascii="Arial" w:hAnsi="Arial" w:cs="Arial"/>
                                      <w:sz w:val="20"/>
                                    </w:rPr>
                                  </w:pPr>
                                  <w:r w:rsidRPr="0055776F">
                                    <w:rPr>
                                      <w:rFonts w:ascii="Arial" w:hAnsi="Arial" w:cs="Arial"/>
                                      <w:sz w:val="20"/>
                                    </w:rPr>
                                    <w:t>115</w:t>
                                  </w:r>
                                </w:p>
                              </w:tc>
                            </w:tr>
                            <w:tr w:rsidR="00AD188A" w:rsidRPr="0055776F" w14:paraId="5297AC5F" w14:textId="77777777" w:rsidTr="004D77BC">
                              <w:tc>
                                <w:tcPr>
                                  <w:tcW w:w="817" w:type="dxa"/>
                                  <w:shd w:val="clear" w:color="auto" w:fill="auto"/>
                                </w:tcPr>
                                <w:p w14:paraId="5297AC5A" w14:textId="77777777" w:rsidR="00AD188A" w:rsidRPr="0055776F" w:rsidRDefault="00AD188A" w:rsidP="00747CA8">
                                  <w:pPr>
                                    <w:rPr>
                                      <w:rFonts w:ascii="Arial" w:hAnsi="Arial" w:cs="Arial"/>
                                      <w:sz w:val="20"/>
                                    </w:rPr>
                                  </w:pPr>
                                  <w:r w:rsidRPr="0055776F">
                                    <w:rPr>
                                      <w:rFonts w:ascii="Arial" w:hAnsi="Arial" w:cs="Arial"/>
                                      <w:sz w:val="20"/>
                                    </w:rPr>
                                    <w:t>-----</w:t>
                                  </w:r>
                                </w:p>
                              </w:tc>
                              <w:tc>
                                <w:tcPr>
                                  <w:tcW w:w="2835" w:type="dxa"/>
                                  <w:gridSpan w:val="2"/>
                                  <w:shd w:val="clear" w:color="auto" w:fill="auto"/>
                                </w:tcPr>
                                <w:p w14:paraId="5297AC5B" w14:textId="77777777" w:rsidR="00AD188A" w:rsidRPr="0055776F" w:rsidRDefault="00AD188A" w:rsidP="00747CA8">
                                  <w:pPr>
                                    <w:rPr>
                                      <w:rFonts w:ascii="Arial" w:hAnsi="Arial" w:cs="Arial"/>
                                      <w:sz w:val="20"/>
                                    </w:rPr>
                                  </w:pPr>
                                  <w:r>
                                    <w:rPr>
                                      <w:rFonts w:ascii="Arial" w:hAnsi="Arial" w:cs="Arial"/>
                                      <w:sz w:val="20"/>
                                      <w:lang w:val="fr-FR"/>
                                    </w:rPr>
                                    <w:t>(2) imatinib 36 </w:t>
                                  </w:r>
                                  <w:r w:rsidRPr="00F735F7">
                                    <w:rPr>
                                      <w:rFonts w:ascii="Arial" w:hAnsi="Arial" w:cs="Arial"/>
                                      <w:sz w:val="20"/>
                                      <w:lang w:val="fr-FR"/>
                                    </w:rPr>
                                    <w:t>mes.:</w:t>
                                  </w:r>
                                </w:p>
                              </w:tc>
                              <w:tc>
                                <w:tcPr>
                                  <w:tcW w:w="851" w:type="dxa"/>
                                  <w:tcBorders>
                                    <w:bottom w:val="single" w:sz="4" w:space="0" w:color="auto"/>
                                  </w:tcBorders>
                                  <w:shd w:val="clear" w:color="auto" w:fill="auto"/>
                                </w:tcPr>
                                <w:p w14:paraId="5297AC5C" w14:textId="77777777" w:rsidR="00AD188A" w:rsidRPr="0055776F" w:rsidRDefault="00AD188A" w:rsidP="00747CA8">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5297AC5D" w14:textId="77777777" w:rsidR="00AD188A" w:rsidRPr="0055776F" w:rsidRDefault="00AD188A" w:rsidP="00747CA8">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5297AC5E" w14:textId="77777777" w:rsidR="00AD188A" w:rsidRPr="0055776F" w:rsidRDefault="00AD188A" w:rsidP="00747CA8">
                                  <w:pPr>
                                    <w:rPr>
                                      <w:rFonts w:ascii="Arial" w:hAnsi="Arial" w:cs="Arial"/>
                                      <w:sz w:val="20"/>
                                    </w:rPr>
                                  </w:pPr>
                                  <w:r w:rsidRPr="0055776F">
                                    <w:rPr>
                                      <w:rFonts w:ascii="Arial" w:hAnsi="Arial" w:cs="Arial"/>
                                      <w:sz w:val="20"/>
                                    </w:rPr>
                                    <w:t>148</w:t>
                                  </w:r>
                                </w:p>
                              </w:tc>
                            </w:tr>
                            <w:tr w:rsidR="00AD188A" w:rsidRPr="0055776F" w14:paraId="5297AC65" w14:textId="77777777" w:rsidTr="004D77BC">
                              <w:tc>
                                <w:tcPr>
                                  <w:tcW w:w="817" w:type="dxa"/>
                                  <w:shd w:val="clear" w:color="auto" w:fill="auto"/>
                                </w:tcPr>
                                <w:p w14:paraId="5297AC60" w14:textId="77777777" w:rsidR="00AD188A" w:rsidRPr="0055776F" w:rsidRDefault="00AD188A" w:rsidP="00747CA8">
                                  <w:pPr>
                                    <w:rPr>
                                      <w:rFonts w:ascii="Arial" w:hAnsi="Arial" w:cs="Arial"/>
                                      <w:sz w:val="20"/>
                                    </w:rPr>
                                  </w:pPr>
                                  <w:r w:rsidRPr="0055776F">
                                    <w:rPr>
                                      <w:rFonts w:ascii="Arial" w:hAnsi="Arial" w:cs="Arial"/>
                                      <w:sz w:val="20"/>
                                    </w:rPr>
                                    <w:t>│││</w:t>
                                  </w:r>
                                </w:p>
                              </w:tc>
                              <w:tc>
                                <w:tcPr>
                                  <w:tcW w:w="2835" w:type="dxa"/>
                                  <w:gridSpan w:val="2"/>
                                  <w:shd w:val="clear" w:color="auto" w:fill="auto"/>
                                </w:tcPr>
                                <w:p w14:paraId="5297AC61" w14:textId="77777777" w:rsidR="00AD188A" w:rsidRPr="0055776F" w:rsidRDefault="00AD188A" w:rsidP="00747CA8">
                                  <w:pPr>
                                    <w:rPr>
                                      <w:rFonts w:ascii="Arial" w:hAnsi="Arial" w:cs="Arial"/>
                                      <w:sz w:val="20"/>
                                    </w:rPr>
                                  </w:pPr>
                                  <w:r>
                                    <w:rPr>
                                      <w:rFonts w:ascii="Arial" w:hAnsi="Arial" w:cs="Arial"/>
                                      <w:sz w:val="20"/>
                                    </w:rPr>
                                    <w:t>c</w:t>
                                  </w:r>
                                  <w:r w:rsidRPr="00A33DBA">
                                    <w:rPr>
                                      <w:rFonts w:ascii="Arial" w:hAnsi="Arial" w:cs="Arial"/>
                                      <w:sz w:val="20"/>
                                    </w:rPr>
                                    <w:t>en</w:t>
                                  </w:r>
                                  <w:r>
                                    <w:rPr>
                                      <w:rFonts w:ascii="Arial" w:hAnsi="Arial" w:cs="Arial"/>
                                      <w:sz w:val="20"/>
                                    </w:rPr>
                                    <w:t>zurirani podatki</w:t>
                                  </w:r>
                                </w:p>
                              </w:tc>
                              <w:tc>
                                <w:tcPr>
                                  <w:tcW w:w="851" w:type="dxa"/>
                                  <w:tcBorders>
                                    <w:top w:val="single" w:sz="4" w:space="0" w:color="auto"/>
                                  </w:tcBorders>
                                  <w:shd w:val="clear" w:color="auto" w:fill="auto"/>
                                </w:tcPr>
                                <w:p w14:paraId="5297AC62" w14:textId="77777777" w:rsidR="00AD188A" w:rsidRPr="0055776F" w:rsidRDefault="00AD188A" w:rsidP="00747CA8">
                                  <w:pPr>
                                    <w:rPr>
                                      <w:rFonts w:ascii="Arial" w:hAnsi="Arial" w:cs="Arial"/>
                                      <w:sz w:val="20"/>
                                    </w:rPr>
                                  </w:pPr>
                                </w:p>
                              </w:tc>
                              <w:tc>
                                <w:tcPr>
                                  <w:tcW w:w="709" w:type="dxa"/>
                                  <w:tcBorders>
                                    <w:top w:val="single" w:sz="4" w:space="0" w:color="auto"/>
                                  </w:tcBorders>
                                  <w:shd w:val="clear" w:color="auto" w:fill="auto"/>
                                </w:tcPr>
                                <w:p w14:paraId="5297AC63" w14:textId="77777777" w:rsidR="00AD188A" w:rsidRPr="0055776F" w:rsidRDefault="00AD188A" w:rsidP="00747CA8">
                                  <w:pPr>
                                    <w:rPr>
                                      <w:rFonts w:ascii="Arial" w:hAnsi="Arial" w:cs="Arial"/>
                                      <w:sz w:val="20"/>
                                    </w:rPr>
                                  </w:pPr>
                                </w:p>
                              </w:tc>
                              <w:tc>
                                <w:tcPr>
                                  <w:tcW w:w="850" w:type="dxa"/>
                                  <w:tcBorders>
                                    <w:top w:val="single" w:sz="4" w:space="0" w:color="auto"/>
                                  </w:tcBorders>
                                  <w:shd w:val="clear" w:color="auto" w:fill="auto"/>
                                </w:tcPr>
                                <w:p w14:paraId="5297AC64" w14:textId="77777777" w:rsidR="00AD188A" w:rsidRPr="0055776F" w:rsidRDefault="00AD188A" w:rsidP="00747CA8">
                                  <w:pPr>
                                    <w:rPr>
                                      <w:rFonts w:ascii="Arial" w:hAnsi="Arial" w:cs="Arial"/>
                                      <w:sz w:val="20"/>
                                    </w:rPr>
                                  </w:pPr>
                                </w:p>
                              </w:tc>
                            </w:tr>
                          </w:tbl>
                          <w:p w14:paraId="5297AC66" w14:textId="77777777" w:rsidR="00AD188A" w:rsidRPr="00A33DBA" w:rsidRDefault="00AD188A" w:rsidP="006837B3">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97AC18" id="_x0000_s1027" type="#_x0000_t202" style="position:absolute;margin-left:30.6pt;margin-top:85.55pt;width:361.05pt;height:104.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" filled="f" stroked="f">
                <v:textbox>
                  <w:txbxContent>
                    <w:tbl>
                      <w:tblPr>
                        <w:tblW w:w="0" w:type="auto"/>
                        <w:tblLook w:val="04A0" w:firstRow="1" w:lastRow="0" w:firstColumn="1" w:lastColumn="0" w:noHBand="0" w:noVBand="1"/>
                      </w:tblPr>
                      <w:tblGrid>
                        <w:gridCol w:w="817"/>
                        <w:gridCol w:w="2464"/>
                        <w:gridCol w:w="371"/>
                        <w:gridCol w:w="851"/>
                        <w:gridCol w:w="709"/>
                        <w:gridCol w:w="850"/>
                      </w:tblGrid>
                      <w:tr w:rsidR="00AD188A" w:rsidRPr="0055776F" w14:paraId="5297AC4D" w14:textId="77777777" w:rsidTr="00B910D5">
                        <w:trPr>
                          <w:gridAfter w:val="4"/>
                          <w:wAfter w:w="2781" w:type="dxa"/>
                        </w:trPr>
                        <w:tc>
                          <w:tcPr>
                            <w:tcW w:w="3281" w:type="dxa"/>
                            <w:gridSpan w:val="2"/>
                            <w:shd w:val="clear" w:color="auto" w:fill="auto"/>
                          </w:tcPr>
                          <w:p w14:paraId="5297AC4A" w14:textId="77777777" w:rsidR="00AD188A" w:rsidRPr="0055776F" w:rsidRDefault="00AD188A" w:rsidP="00B910D5">
                            <w:pPr>
                              <w:rPr>
                                <w:rFonts w:ascii="Arial" w:hAnsi="Arial" w:cs="Arial"/>
                                <w:sz w:val="20"/>
                              </w:rPr>
                            </w:pPr>
                            <w:r>
                              <w:rPr>
                                <w:rFonts w:ascii="Arial" w:hAnsi="Arial" w:cs="Arial"/>
                                <w:sz w:val="20"/>
                              </w:rPr>
                              <w:t>P &lt; 0,0001</w:t>
                            </w:r>
                          </w:p>
                          <w:p w14:paraId="5297AC4B" w14:textId="77777777" w:rsidR="00AD188A" w:rsidRPr="0055776F" w:rsidRDefault="00AD188A" w:rsidP="00B910D5">
                            <w:pPr>
                              <w:rPr>
                                <w:rFonts w:ascii="Arial" w:hAnsi="Arial" w:cs="Arial"/>
                                <w:sz w:val="20"/>
                              </w:rPr>
                            </w:pPr>
                            <w:r>
                              <w:rPr>
                                <w:rFonts w:ascii="Arial" w:hAnsi="Arial" w:cs="Arial"/>
                                <w:sz w:val="20"/>
                              </w:rPr>
                              <w:t>razmerje tveganj 0,</w:t>
                            </w:r>
                            <w:r w:rsidRPr="0055776F">
                              <w:rPr>
                                <w:rFonts w:ascii="Arial" w:hAnsi="Arial" w:cs="Arial"/>
                                <w:sz w:val="20"/>
                              </w:rPr>
                              <w:t>4</w:t>
                            </w:r>
                            <w:r>
                              <w:rPr>
                                <w:rFonts w:ascii="Arial" w:hAnsi="Arial" w:cs="Arial"/>
                                <w:sz w:val="20"/>
                              </w:rPr>
                              <w:t>6</w:t>
                            </w:r>
                          </w:p>
                          <w:p w14:paraId="5297AC4C" w14:textId="77777777" w:rsidR="00AD188A" w:rsidRPr="0055776F" w:rsidRDefault="00AD188A" w:rsidP="00B910D5">
                            <w:pPr>
                              <w:rPr>
                                <w:rFonts w:ascii="Arial" w:hAnsi="Arial" w:cs="Arial"/>
                                <w:sz w:val="20"/>
                                <w:lang w:val="de-DE"/>
                              </w:rPr>
                            </w:pPr>
                            <w:r w:rsidRPr="00A33DBA">
                              <w:rPr>
                                <w:rFonts w:ascii="Arial" w:hAnsi="Arial" w:cs="Arial"/>
                                <w:sz w:val="20"/>
                              </w:rPr>
                              <w:t>(95</w:t>
                            </w:r>
                            <w:r>
                              <w:rPr>
                                <w:rFonts w:ascii="Arial" w:hAnsi="Arial" w:cs="Arial"/>
                                <w:sz w:val="20"/>
                              </w:rPr>
                              <w:t> </w:t>
                            </w:r>
                            <w:r w:rsidRPr="00A33DBA">
                              <w:rPr>
                                <w:rFonts w:ascii="Arial" w:hAnsi="Arial" w:cs="Arial"/>
                                <w:sz w:val="20"/>
                              </w:rPr>
                              <w:t xml:space="preserve">% </w:t>
                            </w:r>
                            <w:r>
                              <w:rPr>
                                <w:rFonts w:ascii="Arial" w:hAnsi="Arial" w:cs="Arial"/>
                                <w:sz w:val="20"/>
                              </w:rPr>
                              <w:t>IZ,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AD188A" w:rsidRPr="0055776F" w14:paraId="5297AC53" w14:textId="77777777" w:rsidTr="004D77BC">
                        <w:tc>
                          <w:tcPr>
                            <w:tcW w:w="817" w:type="dxa"/>
                            <w:shd w:val="clear" w:color="auto" w:fill="auto"/>
                          </w:tcPr>
                          <w:p w14:paraId="5297AC4E" w14:textId="77777777" w:rsidR="00AD188A" w:rsidRPr="0055776F" w:rsidRDefault="00AD188A" w:rsidP="00747CA8">
                            <w:pPr>
                              <w:rPr>
                                <w:rFonts w:ascii="Arial" w:hAnsi="Arial" w:cs="Arial"/>
                                <w:sz w:val="20"/>
                              </w:rPr>
                            </w:pPr>
                          </w:p>
                        </w:tc>
                        <w:tc>
                          <w:tcPr>
                            <w:tcW w:w="2835" w:type="dxa"/>
                            <w:gridSpan w:val="2"/>
                            <w:shd w:val="clear" w:color="auto" w:fill="auto"/>
                          </w:tcPr>
                          <w:p w14:paraId="5297AC4F" w14:textId="77777777" w:rsidR="00AD188A" w:rsidRPr="0055776F" w:rsidRDefault="00AD188A" w:rsidP="00747CA8">
                            <w:pPr>
                              <w:rPr>
                                <w:rFonts w:ascii="Arial" w:hAnsi="Arial" w:cs="Arial"/>
                                <w:sz w:val="20"/>
                              </w:rPr>
                            </w:pPr>
                          </w:p>
                        </w:tc>
                        <w:tc>
                          <w:tcPr>
                            <w:tcW w:w="851" w:type="dxa"/>
                            <w:tcBorders>
                              <w:bottom w:val="single" w:sz="4" w:space="0" w:color="auto"/>
                            </w:tcBorders>
                            <w:shd w:val="clear" w:color="auto" w:fill="auto"/>
                          </w:tcPr>
                          <w:p w14:paraId="5297AC50" w14:textId="77777777" w:rsidR="00AD188A" w:rsidRPr="004D77BC" w:rsidRDefault="00AD188A" w:rsidP="00747CA8">
                            <w:pPr>
                              <w:rPr>
                                <w:rFonts w:ascii="Arial" w:hAnsi="Arial" w:cs="Arial"/>
                                <w:sz w:val="20"/>
                              </w:rPr>
                            </w:pPr>
                            <w:r w:rsidRPr="004D77BC">
                              <w:rPr>
                                <w:rFonts w:ascii="Arial" w:hAnsi="Arial" w:cs="Arial"/>
                                <w:sz w:val="20"/>
                                <w:lang w:val="de-DE"/>
                              </w:rPr>
                              <w:t>N</w:t>
                            </w:r>
                          </w:p>
                        </w:tc>
                        <w:tc>
                          <w:tcPr>
                            <w:tcW w:w="709" w:type="dxa"/>
                            <w:tcBorders>
                              <w:bottom w:val="single" w:sz="4" w:space="0" w:color="auto"/>
                            </w:tcBorders>
                            <w:shd w:val="clear" w:color="auto" w:fill="auto"/>
                          </w:tcPr>
                          <w:p w14:paraId="5297AC51" w14:textId="77777777" w:rsidR="00AD188A" w:rsidRPr="004D77BC" w:rsidRDefault="00AD188A" w:rsidP="00747CA8">
                            <w:pPr>
                              <w:rPr>
                                <w:rFonts w:ascii="Arial" w:hAnsi="Arial" w:cs="Arial"/>
                                <w:sz w:val="20"/>
                              </w:rPr>
                            </w:pPr>
                            <w:r w:rsidRPr="004D77BC">
                              <w:rPr>
                                <w:rFonts w:ascii="Arial" w:hAnsi="Arial" w:cs="Arial"/>
                                <w:sz w:val="20"/>
                                <w:lang w:val="es-ES"/>
                              </w:rPr>
                              <w:t>dog</w:t>
                            </w:r>
                          </w:p>
                        </w:tc>
                        <w:tc>
                          <w:tcPr>
                            <w:tcW w:w="850" w:type="dxa"/>
                            <w:tcBorders>
                              <w:bottom w:val="single" w:sz="4" w:space="0" w:color="auto"/>
                            </w:tcBorders>
                            <w:shd w:val="clear" w:color="auto" w:fill="auto"/>
                          </w:tcPr>
                          <w:p w14:paraId="5297AC52" w14:textId="77777777" w:rsidR="00AD188A" w:rsidRPr="004D77BC" w:rsidRDefault="00AD188A" w:rsidP="00747CA8">
                            <w:pPr>
                              <w:rPr>
                                <w:rFonts w:ascii="Arial" w:hAnsi="Arial" w:cs="Arial"/>
                                <w:sz w:val="20"/>
                              </w:rPr>
                            </w:pPr>
                            <w:r w:rsidRPr="004D77BC">
                              <w:rPr>
                                <w:rFonts w:ascii="Arial" w:hAnsi="Arial" w:cs="Arial"/>
                                <w:sz w:val="20"/>
                                <w:lang w:val="de-DE"/>
                              </w:rPr>
                              <w:t>cen</w:t>
                            </w:r>
                          </w:p>
                        </w:tc>
                      </w:tr>
                      <w:tr w:rsidR="00AD188A" w:rsidRPr="0055776F" w14:paraId="5297AC59" w14:textId="77777777" w:rsidTr="004D77BC">
                        <w:tc>
                          <w:tcPr>
                            <w:tcW w:w="817" w:type="dxa"/>
                            <w:shd w:val="clear" w:color="auto" w:fill="auto"/>
                          </w:tcPr>
                          <w:p w14:paraId="5297AC54" w14:textId="77777777" w:rsidR="00AD188A" w:rsidRPr="0055776F" w:rsidRDefault="00AD188A" w:rsidP="00747CA8">
                            <w:pPr>
                              <w:rPr>
                                <w:rFonts w:ascii="Arial" w:hAnsi="Arial" w:cs="Arial"/>
                                <w:sz w:val="20"/>
                              </w:rPr>
                            </w:pPr>
                            <w:r w:rsidRPr="0055776F">
                              <w:rPr>
                                <w:rFonts w:ascii="Arial" w:hAnsi="Arial" w:cs="Arial"/>
                                <w:b/>
                                <w:sz w:val="20"/>
                              </w:rPr>
                              <w:t>——</w:t>
                            </w:r>
                          </w:p>
                        </w:tc>
                        <w:tc>
                          <w:tcPr>
                            <w:tcW w:w="2835" w:type="dxa"/>
                            <w:gridSpan w:val="2"/>
                            <w:shd w:val="clear" w:color="auto" w:fill="auto"/>
                          </w:tcPr>
                          <w:p w14:paraId="5297AC55" w14:textId="77777777" w:rsidR="00AD188A" w:rsidRPr="0055776F" w:rsidRDefault="00AD188A" w:rsidP="00747CA8">
                            <w:pPr>
                              <w:rPr>
                                <w:rFonts w:ascii="Arial" w:hAnsi="Arial" w:cs="Arial"/>
                                <w:sz w:val="20"/>
                              </w:rPr>
                            </w:pPr>
                            <w:r>
                              <w:rPr>
                                <w:rFonts w:ascii="Arial" w:hAnsi="Arial" w:cs="Arial"/>
                                <w:sz w:val="20"/>
                                <w:lang w:val="fr-FR"/>
                              </w:rPr>
                              <w:t>(1) imatinib 12 </w:t>
                            </w:r>
                            <w:r w:rsidRPr="00F735F7">
                              <w:rPr>
                                <w:rFonts w:ascii="Arial" w:hAnsi="Arial" w:cs="Arial"/>
                                <w:sz w:val="20"/>
                                <w:lang w:val="fr-FR"/>
                              </w:rPr>
                              <w:t>mes.:</w:t>
                            </w:r>
                          </w:p>
                        </w:tc>
                        <w:tc>
                          <w:tcPr>
                            <w:tcW w:w="851" w:type="dxa"/>
                            <w:tcBorders>
                              <w:top w:val="single" w:sz="4" w:space="0" w:color="auto"/>
                            </w:tcBorders>
                            <w:shd w:val="clear" w:color="auto" w:fill="auto"/>
                          </w:tcPr>
                          <w:p w14:paraId="5297AC56" w14:textId="77777777" w:rsidR="00AD188A" w:rsidRPr="0055776F" w:rsidRDefault="00AD188A" w:rsidP="00747CA8">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5297AC57" w14:textId="77777777" w:rsidR="00AD188A" w:rsidRPr="0055776F" w:rsidRDefault="00AD188A" w:rsidP="00747CA8">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5297AC58" w14:textId="77777777" w:rsidR="00AD188A" w:rsidRPr="0055776F" w:rsidRDefault="00AD188A" w:rsidP="00747CA8">
                            <w:pPr>
                              <w:rPr>
                                <w:rFonts w:ascii="Arial" w:hAnsi="Arial" w:cs="Arial"/>
                                <w:sz w:val="20"/>
                              </w:rPr>
                            </w:pPr>
                            <w:r w:rsidRPr="0055776F">
                              <w:rPr>
                                <w:rFonts w:ascii="Arial" w:hAnsi="Arial" w:cs="Arial"/>
                                <w:sz w:val="20"/>
                              </w:rPr>
                              <w:t>115</w:t>
                            </w:r>
                          </w:p>
                        </w:tc>
                      </w:tr>
                      <w:tr w:rsidR="00AD188A" w:rsidRPr="0055776F" w14:paraId="5297AC5F" w14:textId="77777777" w:rsidTr="004D77BC">
                        <w:tc>
                          <w:tcPr>
                            <w:tcW w:w="817" w:type="dxa"/>
                            <w:shd w:val="clear" w:color="auto" w:fill="auto"/>
                          </w:tcPr>
                          <w:p w14:paraId="5297AC5A" w14:textId="77777777" w:rsidR="00AD188A" w:rsidRPr="0055776F" w:rsidRDefault="00AD188A" w:rsidP="00747CA8">
                            <w:pPr>
                              <w:rPr>
                                <w:rFonts w:ascii="Arial" w:hAnsi="Arial" w:cs="Arial"/>
                                <w:sz w:val="20"/>
                              </w:rPr>
                            </w:pPr>
                            <w:r w:rsidRPr="0055776F">
                              <w:rPr>
                                <w:rFonts w:ascii="Arial" w:hAnsi="Arial" w:cs="Arial"/>
                                <w:sz w:val="20"/>
                              </w:rPr>
                              <w:t>-----</w:t>
                            </w:r>
                          </w:p>
                        </w:tc>
                        <w:tc>
                          <w:tcPr>
                            <w:tcW w:w="2835" w:type="dxa"/>
                            <w:gridSpan w:val="2"/>
                            <w:shd w:val="clear" w:color="auto" w:fill="auto"/>
                          </w:tcPr>
                          <w:p w14:paraId="5297AC5B" w14:textId="77777777" w:rsidR="00AD188A" w:rsidRPr="0055776F" w:rsidRDefault="00AD188A" w:rsidP="00747CA8">
                            <w:pPr>
                              <w:rPr>
                                <w:rFonts w:ascii="Arial" w:hAnsi="Arial" w:cs="Arial"/>
                                <w:sz w:val="20"/>
                              </w:rPr>
                            </w:pPr>
                            <w:r>
                              <w:rPr>
                                <w:rFonts w:ascii="Arial" w:hAnsi="Arial" w:cs="Arial"/>
                                <w:sz w:val="20"/>
                                <w:lang w:val="fr-FR"/>
                              </w:rPr>
                              <w:t>(2) imatinib 36 </w:t>
                            </w:r>
                            <w:r w:rsidRPr="00F735F7">
                              <w:rPr>
                                <w:rFonts w:ascii="Arial" w:hAnsi="Arial" w:cs="Arial"/>
                                <w:sz w:val="20"/>
                                <w:lang w:val="fr-FR"/>
                              </w:rPr>
                              <w:t>mes.:</w:t>
                            </w:r>
                          </w:p>
                        </w:tc>
                        <w:tc>
                          <w:tcPr>
                            <w:tcW w:w="851" w:type="dxa"/>
                            <w:tcBorders>
                              <w:bottom w:val="single" w:sz="4" w:space="0" w:color="auto"/>
                            </w:tcBorders>
                            <w:shd w:val="clear" w:color="auto" w:fill="auto"/>
                          </w:tcPr>
                          <w:p w14:paraId="5297AC5C" w14:textId="77777777" w:rsidR="00AD188A" w:rsidRPr="0055776F" w:rsidRDefault="00AD188A" w:rsidP="00747CA8">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5297AC5D" w14:textId="77777777" w:rsidR="00AD188A" w:rsidRPr="0055776F" w:rsidRDefault="00AD188A" w:rsidP="00747CA8">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5297AC5E" w14:textId="77777777" w:rsidR="00AD188A" w:rsidRPr="0055776F" w:rsidRDefault="00AD188A" w:rsidP="00747CA8">
                            <w:pPr>
                              <w:rPr>
                                <w:rFonts w:ascii="Arial" w:hAnsi="Arial" w:cs="Arial"/>
                                <w:sz w:val="20"/>
                              </w:rPr>
                            </w:pPr>
                            <w:r w:rsidRPr="0055776F">
                              <w:rPr>
                                <w:rFonts w:ascii="Arial" w:hAnsi="Arial" w:cs="Arial"/>
                                <w:sz w:val="20"/>
                              </w:rPr>
                              <w:t>148</w:t>
                            </w:r>
                          </w:p>
                        </w:tc>
                      </w:tr>
                      <w:tr w:rsidR="00AD188A" w:rsidRPr="0055776F" w14:paraId="5297AC65" w14:textId="77777777" w:rsidTr="004D77BC">
                        <w:tc>
                          <w:tcPr>
                            <w:tcW w:w="817" w:type="dxa"/>
                            <w:shd w:val="clear" w:color="auto" w:fill="auto"/>
                          </w:tcPr>
                          <w:p w14:paraId="5297AC60" w14:textId="77777777" w:rsidR="00AD188A" w:rsidRPr="0055776F" w:rsidRDefault="00AD188A" w:rsidP="00747CA8">
                            <w:pPr>
                              <w:rPr>
                                <w:rFonts w:ascii="Arial" w:hAnsi="Arial" w:cs="Arial"/>
                                <w:sz w:val="20"/>
                              </w:rPr>
                            </w:pPr>
                            <w:r w:rsidRPr="0055776F">
                              <w:rPr>
                                <w:rFonts w:ascii="Arial" w:hAnsi="Arial" w:cs="Arial"/>
                                <w:sz w:val="20"/>
                              </w:rPr>
                              <w:t>│││</w:t>
                            </w:r>
                          </w:p>
                        </w:tc>
                        <w:tc>
                          <w:tcPr>
                            <w:tcW w:w="2835" w:type="dxa"/>
                            <w:gridSpan w:val="2"/>
                            <w:shd w:val="clear" w:color="auto" w:fill="auto"/>
                          </w:tcPr>
                          <w:p w14:paraId="5297AC61" w14:textId="77777777" w:rsidR="00AD188A" w:rsidRPr="0055776F" w:rsidRDefault="00AD188A" w:rsidP="00747CA8">
                            <w:pPr>
                              <w:rPr>
                                <w:rFonts w:ascii="Arial" w:hAnsi="Arial" w:cs="Arial"/>
                                <w:sz w:val="20"/>
                              </w:rPr>
                            </w:pPr>
                            <w:r>
                              <w:rPr>
                                <w:rFonts w:ascii="Arial" w:hAnsi="Arial" w:cs="Arial"/>
                                <w:sz w:val="20"/>
                              </w:rPr>
                              <w:t>c</w:t>
                            </w:r>
                            <w:r w:rsidRPr="00A33DBA">
                              <w:rPr>
                                <w:rFonts w:ascii="Arial" w:hAnsi="Arial" w:cs="Arial"/>
                                <w:sz w:val="20"/>
                              </w:rPr>
                              <w:t>en</w:t>
                            </w:r>
                            <w:r>
                              <w:rPr>
                                <w:rFonts w:ascii="Arial" w:hAnsi="Arial" w:cs="Arial"/>
                                <w:sz w:val="20"/>
                              </w:rPr>
                              <w:t>zurirani podatki</w:t>
                            </w:r>
                          </w:p>
                        </w:tc>
                        <w:tc>
                          <w:tcPr>
                            <w:tcW w:w="851" w:type="dxa"/>
                            <w:tcBorders>
                              <w:top w:val="single" w:sz="4" w:space="0" w:color="auto"/>
                            </w:tcBorders>
                            <w:shd w:val="clear" w:color="auto" w:fill="auto"/>
                          </w:tcPr>
                          <w:p w14:paraId="5297AC62" w14:textId="77777777" w:rsidR="00AD188A" w:rsidRPr="0055776F" w:rsidRDefault="00AD188A" w:rsidP="00747CA8">
                            <w:pPr>
                              <w:rPr>
                                <w:rFonts w:ascii="Arial" w:hAnsi="Arial" w:cs="Arial"/>
                                <w:sz w:val="20"/>
                              </w:rPr>
                            </w:pPr>
                          </w:p>
                        </w:tc>
                        <w:tc>
                          <w:tcPr>
                            <w:tcW w:w="709" w:type="dxa"/>
                            <w:tcBorders>
                              <w:top w:val="single" w:sz="4" w:space="0" w:color="auto"/>
                            </w:tcBorders>
                            <w:shd w:val="clear" w:color="auto" w:fill="auto"/>
                          </w:tcPr>
                          <w:p w14:paraId="5297AC63" w14:textId="77777777" w:rsidR="00AD188A" w:rsidRPr="0055776F" w:rsidRDefault="00AD188A" w:rsidP="00747CA8">
                            <w:pPr>
                              <w:rPr>
                                <w:rFonts w:ascii="Arial" w:hAnsi="Arial" w:cs="Arial"/>
                                <w:sz w:val="20"/>
                              </w:rPr>
                            </w:pPr>
                          </w:p>
                        </w:tc>
                        <w:tc>
                          <w:tcPr>
                            <w:tcW w:w="850" w:type="dxa"/>
                            <w:tcBorders>
                              <w:top w:val="single" w:sz="4" w:space="0" w:color="auto"/>
                            </w:tcBorders>
                            <w:shd w:val="clear" w:color="auto" w:fill="auto"/>
                          </w:tcPr>
                          <w:p w14:paraId="5297AC64" w14:textId="77777777" w:rsidR="00AD188A" w:rsidRPr="0055776F" w:rsidRDefault="00AD188A" w:rsidP="00747CA8">
                            <w:pPr>
                              <w:rPr>
                                <w:rFonts w:ascii="Arial" w:hAnsi="Arial" w:cs="Arial"/>
                                <w:sz w:val="20"/>
                              </w:rPr>
                            </w:pPr>
                          </w:p>
                        </w:tc>
                      </w:tr>
                    </w:tbl>
                    <w:p w14:paraId="5297AC66" w14:textId="77777777" w:rsidR="00AD188A" w:rsidRPr="00A33DBA" w:rsidRDefault="00AD188A" w:rsidP="006837B3">
                      <w:pPr>
                        <w:rPr>
                          <w:rFonts w:ascii="Arial" w:hAnsi="Arial" w:cs="Arial"/>
                          <w:sz w:val="20"/>
                        </w:rPr>
                      </w:pPr>
                    </w:p>
                  </w:txbxContent>
                </v:textbox>
              </v:shape>
            </w:pict>
          </mc:Fallback>
        </mc:AlternateContent>
      </w:r>
      <w:r w:rsidRPr="004A59B1">
        <w:rPr>
          <w:noProof/>
        </w:rPr>
        <w:drawing>
          <wp:inline distT="0" distB="0" distL="0" distR="0" wp14:anchorId="5297AC1A" wp14:editId="5297AC1B">
            <wp:extent cx="5937885" cy="267779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885" cy="2677795"/>
                    </a:xfrm>
                    <a:prstGeom prst="rect">
                      <a:avLst/>
                    </a:prstGeom>
                    <a:noFill/>
                    <a:ln>
                      <a:noFill/>
                    </a:ln>
                  </pic:spPr>
                </pic:pic>
              </a:graphicData>
            </a:graphic>
          </wp:inline>
        </w:drawing>
      </w:r>
    </w:p>
    <w:p w14:paraId="52979C18" w14:textId="77777777" w:rsidR="006837B3" w:rsidRPr="004A59B1" w:rsidRDefault="003B1E8C" w:rsidP="009C1193">
      <w:pPr>
        <w:pStyle w:val="Text"/>
        <w:keepNext/>
        <w:keepLines/>
        <w:widowControl w:val="0"/>
        <w:spacing w:before="0"/>
        <w:jc w:val="left"/>
        <w:rPr>
          <w:rFonts w:eastAsia="MS Mincho"/>
          <w:color w:val="000000"/>
          <w:sz w:val="22"/>
          <w:szCs w:val="22"/>
          <w:lang w:eastAsia="ja-JP"/>
        </w:rPr>
      </w:pPr>
      <w:r w:rsidRPr="004A59B1">
        <w:rPr>
          <w:rFonts w:eastAsia="MS Mincho"/>
          <w:noProof/>
          <w:color w:val="000000"/>
          <w:sz w:val="22"/>
          <w:szCs w:val="22"/>
        </w:rPr>
        <mc:AlternateContent>
          <mc:Choice Requires="wps">
            <w:drawing>
              <wp:anchor distT="0" distB="0" distL="114300" distR="114300" simplePos="0" relativeHeight="251654144" behindDoc="0" locked="0" layoutInCell="1" allowOverlap="1" wp14:anchorId="5297AC1C" wp14:editId="5297AC1D">
                <wp:simplePos x="0" y="0"/>
                <wp:positionH relativeFrom="column">
                  <wp:posOffset>2282190</wp:posOffset>
                </wp:positionH>
                <wp:positionV relativeFrom="paragraph">
                  <wp:posOffset>-635</wp:posOffset>
                </wp:positionV>
                <wp:extent cx="1797685" cy="32385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685" cy="3238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97AC67" w14:textId="77777777" w:rsidR="00AD188A" w:rsidRPr="00A33DBA" w:rsidRDefault="00AD188A" w:rsidP="006837B3">
                            <w:pPr>
                              <w:rPr>
                                <w:rFonts w:ascii="Arial" w:hAnsi="Arial" w:cs="Arial"/>
                                <w:sz w:val="20"/>
                              </w:rPr>
                            </w:pPr>
                            <w:r>
                              <w:rPr>
                                <w:rFonts w:ascii="Arial" w:hAnsi="Arial" w:cs="Arial"/>
                                <w:sz w:val="20"/>
                                <w:lang w:val="de-DE"/>
                              </w:rPr>
                              <w:t>trajanje preživetja v mesecih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97AC1C" id="_x0000_s1028" type="#_x0000_t202" style="position:absolute;margin-left:179.7pt;margin-top:-.05pt;width:141.55pt;height:2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" stroked="f">
                <v:fill opacity="0"/>
                <v:textbox>
                  <w:txbxContent>
                    <w:p w14:paraId="5297AC67" w14:textId="77777777" w:rsidR="00AD188A" w:rsidRPr="00A33DBA" w:rsidRDefault="00AD188A" w:rsidP="006837B3">
                      <w:pPr>
                        <w:rPr>
                          <w:rFonts w:ascii="Arial" w:hAnsi="Arial" w:cs="Arial"/>
                          <w:sz w:val="20"/>
                        </w:rPr>
                      </w:pPr>
                      <w:r>
                        <w:rPr>
                          <w:rFonts w:ascii="Arial" w:hAnsi="Arial" w:cs="Arial"/>
                          <w:sz w:val="20"/>
                          <w:lang w:val="de-DE"/>
                        </w:rPr>
                        <w:t>trajanje preživetja v mesecih</w:t>
                      </w:r>
                    </w:p>
                  </w:txbxContent>
                </v:textbox>
              </v:shape>
            </w:pict>
          </mc:Fallback>
        </mc:AlternateContent>
      </w:r>
    </w:p>
    <w:p w14:paraId="52979C19" w14:textId="77777777" w:rsidR="006837B3" w:rsidRPr="004A59B1" w:rsidRDefault="006837B3" w:rsidP="009C1193">
      <w:pPr>
        <w:pStyle w:val="Text"/>
        <w:keepNext/>
        <w:keepLines/>
        <w:widowControl w:val="0"/>
        <w:spacing w:before="0"/>
        <w:jc w:val="left"/>
        <w:rPr>
          <w:rFonts w:eastAsia="MS Mincho"/>
          <w:color w:val="000000"/>
          <w:sz w:val="22"/>
          <w:szCs w:val="22"/>
          <w:lang w:eastAsia="ja-JP"/>
        </w:rPr>
      </w:pPr>
    </w:p>
    <w:p w14:paraId="52979C1A" w14:textId="77777777" w:rsidR="006837B3" w:rsidRPr="004A59B1" w:rsidRDefault="006837B3" w:rsidP="009C1193">
      <w:pPr>
        <w:keepNext/>
        <w:keepLines/>
        <w:widowControl w:val="0"/>
        <w:rPr>
          <w:noProof/>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6837B3" w:rsidRPr="004A59B1" w14:paraId="52979C1C" w14:textId="77777777" w:rsidTr="00957544">
        <w:tc>
          <w:tcPr>
            <w:tcW w:w="10599" w:type="dxa"/>
            <w:gridSpan w:val="16"/>
            <w:shd w:val="clear" w:color="auto" w:fill="auto"/>
          </w:tcPr>
          <w:p w14:paraId="52979C1B" w14:textId="77777777" w:rsidR="006837B3" w:rsidRPr="004A59B1" w:rsidRDefault="004D77BC" w:rsidP="009C1193">
            <w:pPr>
              <w:keepNext/>
              <w:keepLines/>
              <w:widowControl w:val="0"/>
              <w:ind w:left="-27"/>
              <w:rPr>
                <w:rFonts w:ascii="Arial" w:hAnsi="Arial" w:cs="Arial"/>
                <w:sz w:val="16"/>
                <w:szCs w:val="16"/>
              </w:rPr>
            </w:pPr>
            <w:r w:rsidRPr="004A59B1">
              <w:rPr>
                <w:rFonts w:ascii="Arial" w:hAnsi="Arial" w:cs="Arial"/>
                <w:sz w:val="20"/>
              </w:rPr>
              <w:t>število tveganju izpostavljenih bolnikov : število dogodkov</w:t>
            </w:r>
          </w:p>
        </w:tc>
      </w:tr>
      <w:tr w:rsidR="006837B3" w:rsidRPr="004A59B1" w14:paraId="52979C2D" w14:textId="77777777" w:rsidTr="00957544">
        <w:tc>
          <w:tcPr>
            <w:tcW w:w="450" w:type="dxa"/>
            <w:shd w:val="clear" w:color="auto" w:fill="auto"/>
          </w:tcPr>
          <w:p w14:paraId="52979C1D" w14:textId="77777777" w:rsidR="006837B3" w:rsidRPr="004A59B1" w:rsidRDefault="006837B3" w:rsidP="009C1193">
            <w:pPr>
              <w:keepNext/>
              <w:keepLines/>
              <w:widowControl w:val="0"/>
              <w:rPr>
                <w:sz w:val="18"/>
                <w:szCs w:val="18"/>
              </w:rPr>
            </w:pPr>
            <w:r w:rsidRPr="004A59B1">
              <w:rPr>
                <w:sz w:val="18"/>
                <w:szCs w:val="18"/>
              </w:rPr>
              <w:t>(1)</w:t>
            </w:r>
          </w:p>
        </w:tc>
        <w:tc>
          <w:tcPr>
            <w:tcW w:w="646" w:type="dxa"/>
            <w:shd w:val="clear" w:color="auto" w:fill="auto"/>
          </w:tcPr>
          <w:p w14:paraId="52979C1E" w14:textId="77777777" w:rsidR="006837B3" w:rsidRPr="004A59B1" w:rsidRDefault="006837B3" w:rsidP="009C1193">
            <w:pPr>
              <w:keepNext/>
              <w:keepLines/>
              <w:widowControl w:val="0"/>
              <w:ind w:left="-27"/>
              <w:rPr>
                <w:sz w:val="18"/>
                <w:szCs w:val="18"/>
              </w:rPr>
            </w:pPr>
            <w:r w:rsidRPr="004A59B1">
              <w:rPr>
                <w:sz w:val="18"/>
                <w:szCs w:val="18"/>
              </w:rPr>
              <w:t>199:0</w:t>
            </w:r>
          </w:p>
        </w:tc>
        <w:tc>
          <w:tcPr>
            <w:tcW w:w="645" w:type="dxa"/>
            <w:shd w:val="clear" w:color="auto" w:fill="auto"/>
          </w:tcPr>
          <w:p w14:paraId="52979C1F" w14:textId="77777777" w:rsidR="006837B3" w:rsidRPr="004A59B1" w:rsidRDefault="006837B3" w:rsidP="009C1193">
            <w:pPr>
              <w:keepNext/>
              <w:keepLines/>
              <w:widowControl w:val="0"/>
              <w:ind w:left="-27"/>
              <w:rPr>
                <w:sz w:val="18"/>
                <w:szCs w:val="18"/>
              </w:rPr>
            </w:pPr>
            <w:r w:rsidRPr="004A59B1">
              <w:rPr>
                <w:sz w:val="18"/>
                <w:szCs w:val="18"/>
              </w:rPr>
              <w:t>182:8</w:t>
            </w:r>
          </w:p>
        </w:tc>
        <w:tc>
          <w:tcPr>
            <w:tcW w:w="745" w:type="dxa"/>
            <w:shd w:val="clear" w:color="auto" w:fill="auto"/>
          </w:tcPr>
          <w:p w14:paraId="52979C20" w14:textId="77777777" w:rsidR="006837B3" w:rsidRPr="004A59B1" w:rsidRDefault="006837B3" w:rsidP="009C1193">
            <w:pPr>
              <w:keepNext/>
              <w:keepLines/>
              <w:widowControl w:val="0"/>
              <w:ind w:left="-27"/>
              <w:rPr>
                <w:sz w:val="18"/>
                <w:szCs w:val="18"/>
              </w:rPr>
            </w:pPr>
            <w:r w:rsidRPr="004A59B1">
              <w:rPr>
                <w:sz w:val="18"/>
                <w:szCs w:val="18"/>
              </w:rPr>
              <w:t>177:12</w:t>
            </w:r>
          </w:p>
        </w:tc>
        <w:tc>
          <w:tcPr>
            <w:tcW w:w="745" w:type="dxa"/>
            <w:shd w:val="clear" w:color="auto" w:fill="auto"/>
          </w:tcPr>
          <w:p w14:paraId="52979C21" w14:textId="77777777" w:rsidR="006837B3" w:rsidRPr="004A59B1" w:rsidRDefault="006837B3" w:rsidP="009C1193">
            <w:pPr>
              <w:keepNext/>
              <w:keepLines/>
              <w:widowControl w:val="0"/>
              <w:ind w:left="-27"/>
              <w:rPr>
                <w:sz w:val="18"/>
                <w:szCs w:val="18"/>
              </w:rPr>
            </w:pPr>
            <w:r w:rsidRPr="004A59B1">
              <w:rPr>
                <w:sz w:val="18"/>
                <w:szCs w:val="18"/>
              </w:rPr>
              <w:t>163:25</w:t>
            </w:r>
          </w:p>
        </w:tc>
        <w:tc>
          <w:tcPr>
            <w:tcW w:w="745" w:type="dxa"/>
            <w:shd w:val="clear" w:color="auto" w:fill="auto"/>
          </w:tcPr>
          <w:p w14:paraId="52979C22" w14:textId="77777777" w:rsidR="006837B3" w:rsidRPr="004A59B1" w:rsidRDefault="006837B3" w:rsidP="009C1193">
            <w:pPr>
              <w:keepNext/>
              <w:keepLines/>
              <w:widowControl w:val="0"/>
              <w:ind w:left="-27"/>
              <w:rPr>
                <w:sz w:val="18"/>
                <w:szCs w:val="18"/>
              </w:rPr>
            </w:pPr>
            <w:r w:rsidRPr="004A59B1">
              <w:rPr>
                <w:sz w:val="18"/>
                <w:szCs w:val="18"/>
              </w:rPr>
              <w:t>137:46</w:t>
            </w:r>
          </w:p>
        </w:tc>
        <w:tc>
          <w:tcPr>
            <w:tcW w:w="752" w:type="dxa"/>
            <w:shd w:val="clear" w:color="auto" w:fill="auto"/>
          </w:tcPr>
          <w:p w14:paraId="52979C23" w14:textId="77777777" w:rsidR="006837B3" w:rsidRPr="004A59B1" w:rsidRDefault="006837B3" w:rsidP="009C1193">
            <w:pPr>
              <w:keepNext/>
              <w:keepLines/>
              <w:widowControl w:val="0"/>
              <w:ind w:left="-27"/>
              <w:rPr>
                <w:sz w:val="18"/>
                <w:szCs w:val="18"/>
              </w:rPr>
            </w:pPr>
            <w:r w:rsidRPr="004A59B1">
              <w:rPr>
                <w:sz w:val="18"/>
                <w:szCs w:val="18"/>
              </w:rPr>
              <w:t>105:65</w:t>
            </w:r>
          </w:p>
        </w:tc>
        <w:tc>
          <w:tcPr>
            <w:tcW w:w="745" w:type="dxa"/>
            <w:shd w:val="clear" w:color="auto" w:fill="auto"/>
          </w:tcPr>
          <w:p w14:paraId="52979C24" w14:textId="77777777" w:rsidR="006837B3" w:rsidRPr="004A59B1" w:rsidRDefault="006837B3" w:rsidP="009C1193">
            <w:pPr>
              <w:keepNext/>
              <w:keepLines/>
              <w:widowControl w:val="0"/>
              <w:ind w:left="-27"/>
              <w:rPr>
                <w:sz w:val="18"/>
                <w:szCs w:val="18"/>
              </w:rPr>
            </w:pPr>
            <w:r w:rsidRPr="004A59B1">
              <w:rPr>
                <w:sz w:val="18"/>
                <w:szCs w:val="18"/>
              </w:rPr>
              <w:t>88:72</w:t>
            </w:r>
          </w:p>
        </w:tc>
        <w:tc>
          <w:tcPr>
            <w:tcW w:w="745" w:type="dxa"/>
            <w:shd w:val="clear" w:color="auto" w:fill="auto"/>
          </w:tcPr>
          <w:p w14:paraId="52979C25" w14:textId="77777777" w:rsidR="006837B3" w:rsidRPr="004A59B1" w:rsidRDefault="006837B3" w:rsidP="009C1193">
            <w:pPr>
              <w:keepNext/>
              <w:keepLines/>
              <w:widowControl w:val="0"/>
              <w:ind w:left="-27"/>
              <w:rPr>
                <w:sz w:val="18"/>
                <w:szCs w:val="18"/>
              </w:rPr>
            </w:pPr>
            <w:r w:rsidRPr="004A59B1">
              <w:rPr>
                <w:sz w:val="18"/>
                <w:szCs w:val="18"/>
              </w:rPr>
              <w:t>61:77</w:t>
            </w:r>
          </w:p>
        </w:tc>
        <w:tc>
          <w:tcPr>
            <w:tcW w:w="652" w:type="dxa"/>
            <w:shd w:val="clear" w:color="auto" w:fill="auto"/>
          </w:tcPr>
          <w:p w14:paraId="52979C26" w14:textId="77777777" w:rsidR="006837B3" w:rsidRPr="004A59B1" w:rsidRDefault="006837B3" w:rsidP="009C1193">
            <w:pPr>
              <w:keepNext/>
              <w:keepLines/>
              <w:widowControl w:val="0"/>
              <w:ind w:left="-27"/>
              <w:rPr>
                <w:sz w:val="18"/>
                <w:szCs w:val="18"/>
              </w:rPr>
            </w:pPr>
            <w:r w:rsidRPr="004A59B1">
              <w:rPr>
                <w:sz w:val="18"/>
                <w:szCs w:val="18"/>
              </w:rPr>
              <w:t>49:81</w:t>
            </w:r>
          </w:p>
        </w:tc>
        <w:tc>
          <w:tcPr>
            <w:tcW w:w="652" w:type="dxa"/>
            <w:shd w:val="clear" w:color="auto" w:fill="auto"/>
          </w:tcPr>
          <w:p w14:paraId="52979C27" w14:textId="77777777" w:rsidR="006837B3" w:rsidRPr="004A59B1" w:rsidRDefault="006837B3" w:rsidP="009C1193">
            <w:pPr>
              <w:keepNext/>
              <w:keepLines/>
              <w:widowControl w:val="0"/>
              <w:ind w:left="-27"/>
              <w:rPr>
                <w:sz w:val="18"/>
                <w:szCs w:val="18"/>
              </w:rPr>
            </w:pPr>
            <w:r w:rsidRPr="004A59B1">
              <w:rPr>
                <w:sz w:val="18"/>
                <w:szCs w:val="18"/>
              </w:rPr>
              <w:t>36:83</w:t>
            </w:r>
          </w:p>
        </w:tc>
        <w:tc>
          <w:tcPr>
            <w:tcW w:w="649" w:type="dxa"/>
            <w:shd w:val="clear" w:color="auto" w:fill="auto"/>
          </w:tcPr>
          <w:p w14:paraId="52979C28" w14:textId="77777777" w:rsidR="006837B3" w:rsidRPr="004A59B1" w:rsidRDefault="006837B3" w:rsidP="009C1193">
            <w:pPr>
              <w:keepNext/>
              <w:keepLines/>
              <w:widowControl w:val="0"/>
              <w:ind w:left="-27"/>
              <w:rPr>
                <w:sz w:val="18"/>
                <w:szCs w:val="18"/>
              </w:rPr>
            </w:pPr>
            <w:r w:rsidRPr="004A59B1">
              <w:rPr>
                <w:sz w:val="18"/>
                <w:szCs w:val="18"/>
              </w:rPr>
              <w:t>27:84</w:t>
            </w:r>
          </w:p>
        </w:tc>
        <w:tc>
          <w:tcPr>
            <w:tcW w:w="660" w:type="dxa"/>
            <w:shd w:val="clear" w:color="auto" w:fill="auto"/>
          </w:tcPr>
          <w:p w14:paraId="52979C29" w14:textId="77777777" w:rsidR="006837B3" w:rsidRPr="004A59B1" w:rsidRDefault="006837B3" w:rsidP="009C1193">
            <w:pPr>
              <w:keepNext/>
              <w:keepLines/>
              <w:widowControl w:val="0"/>
              <w:ind w:left="-27"/>
              <w:rPr>
                <w:sz w:val="18"/>
                <w:szCs w:val="18"/>
              </w:rPr>
            </w:pPr>
            <w:r w:rsidRPr="004A59B1">
              <w:rPr>
                <w:sz w:val="18"/>
                <w:szCs w:val="18"/>
              </w:rPr>
              <w:t>14:84</w:t>
            </w:r>
          </w:p>
        </w:tc>
        <w:tc>
          <w:tcPr>
            <w:tcW w:w="649" w:type="dxa"/>
            <w:shd w:val="clear" w:color="auto" w:fill="auto"/>
          </w:tcPr>
          <w:p w14:paraId="52979C2A" w14:textId="77777777" w:rsidR="006837B3" w:rsidRPr="004A59B1" w:rsidRDefault="006837B3" w:rsidP="009C1193">
            <w:pPr>
              <w:keepNext/>
              <w:keepLines/>
              <w:widowControl w:val="0"/>
              <w:ind w:left="-27"/>
              <w:rPr>
                <w:sz w:val="18"/>
                <w:szCs w:val="18"/>
              </w:rPr>
            </w:pPr>
            <w:r w:rsidRPr="004A59B1">
              <w:rPr>
                <w:sz w:val="18"/>
                <w:szCs w:val="18"/>
              </w:rPr>
              <w:t>10:84</w:t>
            </w:r>
          </w:p>
        </w:tc>
        <w:tc>
          <w:tcPr>
            <w:tcW w:w="564" w:type="dxa"/>
            <w:shd w:val="clear" w:color="auto" w:fill="auto"/>
          </w:tcPr>
          <w:p w14:paraId="52979C2B" w14:textId="77777777" w:rsidR="006837B3" w:rsidRPr="004A59B1" w:rsidRDefault="006837B3" w:rsidP="009C1193">
            <w:pPr>
              <w:keepNext/>
              <w:keepLines/>
              <w:widowControl w:val="0"/>
              <w:ind w:left="-27"/>
              <w:rPr>
                <w:sz w:val="18"/>
                <w:szCs w:val="18"/>
              </w:rPr>
            </w:pPr>
            <w:r w:rsidRPr="004A59B1">
              <w:rPr>
                <w:sz w:val="18"/>
                <w:szCs w:val="18"/>
              </w:rPr>
              <w:t>2:84</w:t>
            </w:r>
          </w:p>
        </w:tc>
        <w:tc>
          <w:tcPr>
            <w:tcW w:w="555" w:type="dxa"/>
            <w:shd w:val="clear" w:color="auto" w:fill="auto"/>
          </w:tcPr>
          <w:p w14:paraId="52979C2C" w14:textId="77777777" w:rsidR="006837B3" w:rsidRPr="004A59B1" w:rsidRDefault="006837B3" w:rsidP="009C1193">
            <w:pPr>
              <w:keepNext/>
              <w:keepLines/>
              <w:widowControl w:val="0"/>
              <w:ind w:left="-27"/>
              <w:rPr>
                <w:sz w:val="18"/>
                <w:szCs w:val="18"/>
              </w:rPr>
            </w:pPr>
            <w:r w:rsidRPr="004A59B1">
              <w:rPr>
                <w:sz w:val="18"/>
                <w:szCs w:val="18"/>
              </w:rPr>
              <w:t>0:84</w:t>
            </w:r>
          </w:p>
        </w:tc>
      </w:tr>
      <w:tr w:rsidR="006837B3" w:rsidRPr="004A59B1" w14:paraId="52979C3E" w14:textId="77777777" w:rsidTr="00957544">
        <w:tc>
          <w:tcPr>
            <w:tcW w:w="450" w:type="dxa"/>
            <w:shd w:val="clear" w:color="auto" w:fill="auto"/>
          </w:tcPr>
          <w:p w14:paraId="52979C2E" w14:textId="77777777" w:rsidR="006837B3" w:rsidRPr="004A59B1" w:rsidRDefault="006837B3" w:rsidP="009C1193">
            <w:pPr>
              <w:keepNext/>
              <w:keepLines/>
              <w:widowControl w:val="0"/>
              <w:rPr>
                <w:sz w:val="18"/>
                <w:szCs w:val="18"/>
              </w:rPr>
            </w:pPr>
            <w:r w:rsidRPr="004A59B1">
              <w:rPr>
                <w:sz w:val="18"/>
                <w:szCs w:val="18"/>
              </w:rPr>
              <w:t>(2)</w:t>
            </w:r>
          </w:p>
        </w:tc>
        <w:tc>
          <w:tcPr>
            <w:tcW w:w="646" w:type="dxa"/>
            <w:shd w:val="clear" w:color="auto" w:fill="auto"/>
          </w:tcPr>
          <w:p w14:paraId="52979C2F" w14:textId="77777777" w:rsidR="006837B3" w:rsidRPr="004A59B1" w:rsidRDefault="006837B3" w:rsidP="009C1193">
            <w:pPr>
              <w:keepNext/>
              <w:keepLines/>
              <w:widowControl w:val="0"/>
              <w:ind w:left="-27"/>
              <w:rPr>
                <w:sz w:val="18"/>
                <w:szCs w:val="18"/>
              </w:rPr>
            </w:pPr>
            <w:r w:rsidRPr="004A59B1">
              <w:rPr>
                <w:sz w:val="18"/>
                <w:szCs w:val="18"/>
              </w:rPr>
              <w:t>198:0</w:t>
            </w:r>
          </w:p>
        </w:tc>
        <w:tc>
          <w:tcPr>
            <w:tcW w:w="645" w:type="dxa"/>
            <w:shd w:val="clear" w:color="auto" w:fill="auto"/>
          </w:tcPr>
          <w:p w14:paraId="52979C30" w14:textId="77777777" w:rsidR="006837B3" w:rsidRPr="004A59B1" w:rsidRDefault="006837B3" w:rsidP="009C1193">
            <w:pPr>
              <w:keepNext/>
              <w:keepLines/>
              <w:widowControl w:val="0"/>
              <w:ind w:left="-27"/>
              <w:rPr>
                <w:sz w:val="18"/>
                <w:szCs w:val="18"/>
              </w:rPr>
            </w:pPr>
            <w:r w:rsidRPr="004A59B1">
              <w:rPr>
                <w:sz w:val="18"/>
                <w:szCs w:val="18"/>
              </w:rPr>
              <w:t>189:5</w:t>
            </w:r>
          </w:p>
        </w:tc>
        <w:tc>
          <w:tcPr>
            <w:tcW w:w="745" w:type="dxa"/>
            <w:shd w:val="clear" w:color="auto" w:fill="auto"/>
          </w:tcPr>
          <w:p w14:paraId="52979C31" w14:textId="77777777" w:rsidR="006837B3" w:rsidRPr="004A59B1" w:rsidRDefault="006837B3" w:rsidP="009C1193">
            <w:pPr>
              <w:keepNext/>
              <w:keepLines/>
              <w:widowControl w:val="0"/>
              <w:ind w:left="-27"/>
              <w:rPr>
                <w:sz w:val="18"/>
                <w:szCs w:val="18"/>
              </w:rPr>
            </w:pPr>
            <w:r w:rsidRPr="004A59B1">
              <w:rPr>
                <w:sz w:val="18"/>
                <w:szCs w:val="18"/>
              </w:rPr>
              <w:t>184:8</w:t>
            </w:r>
          </w:p>
        </w:tc>
        <w:tc>
          <w:tcPr>
            <w:tcW w:w="745" w:type="dxa"/>
            <w:shd w:val="clear" w:color="auto" w:fill="auto"/>
          </w:tcPr>
          <w:p w14:paraId="52979C32" w14:textId="77777777" w:rsidR="006837B3" w:rsidRPr="004A59B1" w:rsidRDefault="006837B3" w:rsidP="009C1193">
            <w:pPr>
              <w:keepNext/>
              <w:keepLines/>
              <w:widowControl w:val="0"/>
              <w:ind w:left="-27"/>
              <w:rPr>
                <w:sz w:val="18"/>
                <w:szCs w:val="18"/>
              </w:rPr>
            </w:pPr>
            <w:r w:rsidRPr="004A59B1">
              <w:rPr>
                <w:sz w:val="18"/>
                <w:szCs w:val="18"/>
              </w:rPr>
              <w:t>181:11</w:t>
            </w:r>
          </w:p>
        </w:tc>
        <w:tc>
          <w:tcPr>
            <w:tcW w:w="745" w:type="dxa"/>
            <w:shd w:val="clear" w:color="auto" w:fill="auto"/>
          </w:tcPr>
          <w:p w14:paraId="52979C33" w14:textId="77777777" w:rsidR="006837B3" w:rsidRPr="004A59B1" w:rsidRDefault="006837B3" w:rsidP="009C1193">
            <w:pPr>
              <w:keepNext/>
              <w:keepLines/>
              <w:widowControl w:val="0"/>
              <w:ind w:left="-27"/>
              <w:rPr>
                <w:sz w:val="18"/>
                <w:szCs w:val="18"/>
              </w:rPr>
            </w:pPr>
            <w:r w:rsidRPr="004A59B1">
              <w:rPr>
                <w:sz w:val="18"/>
                <w:szCs w:val="18"/>
              </w:rPr>
              <w:t>173:18</w:t>
            </w:r>
          </w:p>
        </w:tc>
        <w:tc>
          <w:tcPr>
            <w:tcW w:w="752" w:type="dxa"/>
            <w:shd w:val="clear" w:color="auto" w:fill="auto"/>
          </w:tcPr>
          <w:p w14:paraId="52979C34" w14:textId="77777777" w:rsidR="006837B3" w:rsidRPr="004A59B1" w:rsidRDefault="006837B3" w:rsidP="009C1193">
            <w:pPr>
              <w:keepNext/>
              <w:keepLines/>
              <w:widowControl w:val="0"/>
              <w:ind w:left="-27"/>
              <w:rPr>
                <w:sz w:val="18"/>
                <w:szCs w:val="18"/>
              </w:rPr>
            </w:pPr>
            <w:r w:rsidRPr="004A59B1">
              <w:rPr>
                <w:sz w:val="18"/>
                <w:szCs w:val="18"/>
              </w:rPr>
              <w:t>152:22</w:t>
            </w:r>
          </w:p>
        </w:tc>
        <w:tc>
          <w:tcPr>
            <w:tcW w:w="745" w:type="dxa"/>
            <w:shd w:val="clear" w:color="auto" w:fill="auto"/>
          </w:tcPr>
          <w:p w14:paraId="52979C35" w14:textId="77777777" w:rsidR="006837B3" w:rsidRPr="004A59B1" w:rsidRDefault="006837B3" w:rsidP="009C1193">
            <w:pPr>
              <w:keepNext/>
              <w:keepLines/>
              <w:widowControl w:val="0"/>
              <w:ind w:left="-27"/>
              <w:rPr>
                <w:sz w:val="18"/>
                <w:szCs w:val="18"/>
              </w:rPr>
            </w:pPr>
            <w:r w:rsidRPr="004A59B1">
              <w:rPr>
                <w:sz w:val="18"/>
                <w:szCs w:val="18"/>
              </w:rPr>
              <w:t>133:25</w:t>
            </w:r>
          </w:p>
        </w:tc>
        <w:tc>
          <w:tcPr>
            <w:tcW w:w="745" w:type="dxa"/>
            <w:shd w:val="clear" w:color="auto" w:fill="auto"/>
          </w:tcPr>
          <w:p w14:paraId="52979C36" w14:textId="77777777" w:rsidR="006837B3" w:rsidRPr="004A59B1" w:rsidRDefault="006837B3" w:rsidP="009C1193">
            <w:pPr>
              <w:keepNext/>
              <w:keepLines/>
              <w:widowControl w:val="0"/>
              <w:ind w:left="-27"/>
              <w:rPr>
                <w:sz w:val="18"/>
                <w:szCs w:val="18"/>
              </w:rPr>
            </w:pPr>
            <w:r w:rsidRPr="004A59B1">
              <w:rPr>
                <w:sz w:val="18"/>
                <w:szCs w:val="18"/>
              </w:rPr>
              <w:t>102:29</w:t>
            </w:r>
          </w:p>
        </w:tc>
        <w:tc>
          <w:tcPr>
            <w:tcW w:w="652" w:type="dxa"/>
            <w:shd w:val="clear" w:color="auto" w:fill="auto"/>
          </w:tcPr>
          <w:p w14:paraId="52979C37" w14:textId="77777777" w:rsidR="006837B3" w:rsidRPr="004A59B1" w:rsidRDefault="006837B3" w:rsidP="009C1193">
            <w:pPr>
              <w:keepNext/>
              <w:keepLines/>
              <w:widowControl w:val="0"/>
              <w:ind w:left="-27"/>
              <w:rPr>
                <w:sz w:val="18"/>
                <w:szCs w:val="18"/>
              </w:rPr>
            </w:pPr>
            <w:r w:rsidRPr="004A59B1">
              <w:rPr>
                <w:sz w:val="18"/>
                <w:szCs w:val="18"/>
              </w:rPr>
              <w:t>82:35</w:t>
            </w:r>
          </w:p>
        </w:tc>
        <w:tc>
          <w:tcPr>
            <w:tcW w:w="652" w:type="dxa"/>
            <w:shd w:val="clear" w:color="auto" w:fill="auto"/>
          </w:tcPr>
          <w:p w14:paraId="52979C38" w14:textId="77777777" w:rsidR="006837B3" w:rsidRPr="004A59B1" w:rsidRDefault="006837B3" w:rsidP="009C1193">
            <w:pPr>
              <w:keepNext/>
              <w:keepLines/>
              <w:widowControl w:val="0"/>
              <w:ind w:left="-27"/>
              <w:rPr>
                <w:sz w:val="18"/>
                <w:szCs w:val="18"/>
              </w:rPr>
            </w:pPr>
            <w:r w:rsidRPr="004A59B1">
              <w:rPr>
                <w:sz w:val="18"/>
                <w:szCs w:val="18"/>
              </w:rPr>
              <w:t>54:46</w:t>
            </w:r>
          </w:p>
        </w:tc>
        <w:tc>
          <w:tcPr>
            <w:tcW w:w="649" w:type="dxa"/>
            <w:shd w:val="clear" w:color="auto" w:fill="auto"/>
          </w:tcPr>
          <w:p w14:paraId="52979C39" w14:textId="77777777" w:rsidR="006837B3" w:rsidRPr="004A59B1" w:rsidRDefault="006837B3" w:rsidP="009C1193">
            <w:pPr>
              <w:keepNext/>
              <w:keepLines/>
              <w:widowControl w:val="0"/>
              <w:ind w:left="-27"/>
              <w:rPr>
                <w:sz w:val="18"/>
                <w:szCs w:val="18"/>
              </w:rPr>
            </w:pPr>
            <w:r w:rsidRPr="004A59B1">
              <w:rPr>
                <w:sz w:val="18"/>
                <w:szCs w:val="18"/>
              </w:rPr>
              <w:t>39:47</w:t>
            </w:r>
          </w:p>
        </w:tc>
        <w:tc>
          <w:tcPr>
            <w:tcW w:w="660" w:type="dxa"/>
            <w:shd w:val="clear" w:color="auto" w:fill="auto"/>
          </w:tcPr>
          <w:p w14:paraId="52979C3A" w14:textId="77777777" w:rsidR="006837B3" w:rsidRPr="004A59B1" w:rsidRDefault="006837B3" w:rsidP="009C1193">
            <w:pPr>
              <w:keepNext/>
              <w:keepLines/>
              <w:widowControl w:val="0"/>
              <w:ind w:left="-27"/>
              <w:rPr>
                <w:sz w:val="18"/>
                <w:szCs w:val="18"/>
              </w:rPr>
            </w:pPr>
            <w:r w:rsidRPr="004A59B1">
              <w:rPr>
                <w:sz w:val="18"/>
                <w:szCs w:val="18"/>
              </w:rPr>
              <w:t>21:49</w:t>
            </w:r>
          </w:p>
        </w:tc>
        <w:tc>
          <w:tcPr>
            <w:tcW w:w="649" w:type="dxa"/>
            <w:shd w:val="clear" w:color="auto" w:fill="auto"/>
          </w:tcPr>
          <w:p w14:paraId="52979C3B" w14:textId="77777777" w:rsidR="006837B3" w:rsidRPr="004A59B1" w:rsidRDefault="006837B3" w:rsidP="009C1193">
            <w:pPr>
              <w:keepNext/>
              <w:keepLines/>
              <w:widowControl w:val="0"/>
              <w:ind w:left="-27"/>
              <w:rPr>
                <w:sz w:val="18"/>
                <w:szCs w:val="18"/>
              </w:rPr>
            </w:pPr>
            <w:r w:rsidRPr="004A59B1">
              <w:rPr>
                <w:sz w:val="18"/>
                <w:szCs w:val="18"/>
              </w:rPr>
              <w:t>8:50</w:t>
            </w:r>
          </w:p>
        </w:tc>
        <w:tc>
          <w:tcPr>
            <w:tcW w:w="564" w:type="dxa"/>
            <w:shd w:val="clear" w:color="auto" w:fill="auto"/>
          </w:tcPr>
          <w:p w14:paraId="52979C3C" w14:textId="77777777" w:rsidR="006837B3" w:rsidRPr="004A59B1" w:rsidRDefault="006837B3" w:rsidP="009C1193">
            <w:pPr>
              <w:keepNext/>
              <w:keepLines/>
              <w:widowControl w:val="0"/>
              <w:ind w:left="-27"/>
              <w:rPr>
                <w:sz w:val="18"/>
                <w:szCs w:val="18"/>
              </w:rPr>
            </w:pPr>
            <w:r w:rsidRPr="004A59B1">
              <w:rPr>
                <w:sz w:val="18"/>
                <w:szCs w:val="18"/>
              </w:rPr>
              <w:t>0:50</w:t>
            </w:r>
          </w:p>
        </w:tc>
        <w:tc>
          <w:tcPr>
            <w:tcW w:w="555" w:type="dxa"/>
            <w:shd w:val="clear" w:color="auto" w:fill="auto"/>
          </w:tcPr>
          <w:p w14:paraId="52979C3D" w14:textId="77777777" w:rsidR="006837B3" w:rsidRPr="004A59B1" w:rsidRDefault="006837B3" w:rsidP="009C1193">
            <w:pPr>
              <w:keepNext/>
              <w:keepLines/>
              <w:widowControl w:val="0"/>
              <w:ind w:left="-27"/>
              <w:rPr>
                <w:sz w:val="18"/>
                <w:szCs w:val="18"/>
              </w:rPr>
            </w:pPr>
          </w:p>
        </w:tc>
      </w:tr>
    </w:tbl>
    <w:p w14:paraId="52979C3F" w14:textId="77777777" w:rsidR="006837B3" w:rsidRPr="004A59B1" w:rsidRDefault="006837B3" w:rsidP="009C1193">
      <w:pPr>
        <w:pStyle w:val="Text"/>
        <w:widowControl w:val="0"/>
        <w:spacing w:before="0"/>
        <w:jc w:val="left"/>
        <w:rPr>
          <w:rFonts w:eastAsia="MS Mincho"/>
          <w:color w:val="000000"/>
          <w:sz w:val="22"/>
          <w:szCs w:val="22"/>
          <w:lang w:eastAsia="ja-JP"/>
        </w:rPr>
      </w:pPr>
    </w:p>
    <w:p w14:paraId="52979C40" w14:textId="77777777" w:rsidR="006837B3" w:rsidRPr="004A59B1" w:rsidRDefault="006837B3" w:rsidP="009C1193">
      <w:pPr>
        <w:pStyle w:val="Text"/>
        <w:keepNext/>
        <w:keepLines/>
        <w:widowControl w:val="0"/>
        <w:spacing w:before="0"/>
        <w:ind w:left="1134" w:hanging="1134"/>
        <w:jc w:val="left"/>
        <w:rPr>
          <w:rFonts w:eastAsia="MS Mincho"/>
          <w:color w:val="000000"/>
          <w:lang w:eastAsia="ja-JP"/>
        </w:rPr>
      </w:pPr>
      <w:r w:rsidRPr="004A59B1">
        <w:rPr>
          <w:rFonts w:eastAsia="MS Mincho"/>
          <w:b/>
          <w:sz w:val="22"/>
          <w:szCs w:val="22"/>
        </w:rPr>
        <w:t>Slika 2</w:t>
      </w:r>
      <w:r w:rsidRPr="004A59B1">
        <w:rPr>
          <w:rFonts w:eastAsia="MS Mincho"/>
          <w:b/>
          <w:sz w:val="22"/>
          <w:szCs w:val="22"/>
        </w:rPr>
        <w:tab/>
        <w:t>Ocena celotnega preživetja po Kaplan-Meierjevi metodi (populacija z namenom zdravljenja -ITT)</w:t>
      </w:r>
    </w:p>
    <w:p w14:paraId="52979C41" w14:textId="77777777" w:rsidR="006837B3" w:rsidRPr="004A59B1" w:rsidRDefault="006837B3" w:rsidP="009C1193">
      <w:pPr>
        <w:pStyle w:val="Text"/>
        <w:keepNext/>
        <w:keepLines/>
        <w:widowControl w:val="0"/>
        <w:spacing w:before="0"/>
        <w:jc w:val="left"/>
        <w:rPr>
          <w:rFonts w:eastAsia="MS Mincho"/>
          <w:color w:val="000000"/>
          <w:lang w:eastAsia="ja-JP"/>
        </w:rPr>
      </w:pPr>
    </w:p>
    <w:p w14:paraId="52979C42" w14:textId="77777777" w:rsidR="006837B3" w:rsidRPr="004A59B1" w:rsidRDefault="003B1E8C" w:rsidP="009C1193">
      <w:pPr>
        <w:pStyle w:val="Text"/>
        <w:keepNext/>
        <w:keepLines/>
        <w:widowControl w:val="0"/>
        <w:spacing w:before="0"/>
        <w:jc w:val="left"/>
        <w:rPr>
          <w:rFonts w:eastAsia="MS Mincho"/>
          <w:color w:val="000000"/>
          <w:lang w:eastAsia="ja-JP"/>
        </w:rPr>
      </w:pPr>
      <w:r w:rsidRPr="004A59B1">
        <w:rPr>
          <w:noProof/>
        </w:rPr>
        <mc:AlternateContent>
          <mc:Choice Requires="wps">
            <w:drawing>
              <wp:anchor distT="0" distB="0" distL="114300" distR="114300" simplePos="0" relativeHeight="251656192" behindDoc="0" locked="0" layoutInCell="1" allowOverlap="1" wp14:anchorId="5297AC1E" wp14:editId="5297AC1F">
                <wp:simplePos x="0" y="0"/>
                <wp:positionH relativeFrom="column">
                  <wp:posOffset>340995</wp:posOffset>
                </wp:positionH>
                <wp:positionV relativeFrom="paragraph">
                  <wp:posOffset>909320</wp:posOffset>
                </wp:positionV>
                <wp:extent cx="4585335" cy="142875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7AC68" w14:textId="77777777" w:rsidR="00AD188A" w:rsidRDefault="00AD188A" w:rsidP="004D77BC">
                            <w:pPr>
                              <w:rPr>
                                <w:rFonts w:ascii="Arial" w:hAnsi="Arial" w:cs="Arial"/>
                                <w:sz w:val="20"/>
                              </w:rPr>
                            </w:pPr>
                          </w:p>
                          <w:tbl>
                            <w:tblPr>
                              <w:tblW w:w="0" w:type="auto"/>
                              <w:tblLook w:val="04A0" w:firstRow="1" w:lastRow="0" w:firstColumn="1" w:lastColumn="0" w:noHBand="0" w:noVBand="1"/>
                            </w:tblPr>
                            <w:tblGrid>
                              <w:gridCol w:w="817"/>
                              <w:gridCol w:w="2464"/>
                              <w:gridCol w:w="851"/>
                              <w:gridCol w:w="709"/>
                              <w:gridCol w:w="850"/>
                            </w:tblGrid>
                            <w:tr w:rsidR="00AD188A" w:rsidRPr="0055776F" w14:paraId="5297AC6C" w14:textId="77777777" w:rsidTr="00747CA8">
                              <w:tc>
                                <w:tcPr>
                                  <w:tcW w:w="5691" w:type="dxa"/>
                                  <w:gridSpan w:val="5"/>
                                  <w:shd w:val="clear" w:color="auto" w:fill="auto"/>
                                </w:tcPr>
                                <w:p w14:paraId="5297AC69" w14:textId="77777777" w:rsidR="00AD188A" w:rsidRPr="00A33DBA" w:rsidRDefault="00AD188A" w:rsidP="004D77BC">
                                  <w:pPr>
                                    <w:rPr>
                                      <w:rFonts w:ascii="Arial" w:hAnsi="Arial" w:cs="Arial"/>
                                      <w:sz w:val="20"/>
                                    </w:rPr>
                                  </w:pPr>
                                  <w:r>
                                    <w:rPr>
                                      <w:rFonts w:ascii="Arial" w:hAnsi="Arial" w:cs="Arial"/>
                                      <w:sz w:val="20"/>
                                    </w:rPr>
                                    <w:t>P = 0,0</w:t>
                                  </w:r>
                                  <w:r w:rsidRPr="00A33DBA">
                                    <w:rPr>
                                      <w:rFonts w:ascii="Arial" w:hAnsi="Arial" w:cs="Arial"/>
                                      <w:sz w:val="20"/>
                                    </w:rPr>
                                    <w:t>19</w:t>
                                  </w:r>
                                </w:p>
                                <w:p w14:paraId="5297AC6A" w14:textId="77777777" w:rsidR="00AD188A" w:rsidRPr="00A33DBA" w:rsidRDefault="00AD188A" w:rsidP="004D77BC">
                                  <w:pPr>
                                    <w:rPr>
                                      <w:rFonts w:ascii="Arial" w:hAnsi="Arial" w:cs="Arial"/>
                                      <w:sz w:val="20"/>
                                    </w:rPr>
                                  </w:pPr>
                                  <w:r>
                                    <w:rPr>
                                      <w:rFonts w:ascii="Arial" w:hAnsi="Arial" w:cs="Arial"/>
                                      <w:sz w:val="20"/>
                                    </w:rPr>
                                    <w:t>razmerje tveganj</w:t>
                                  </w:r>
                                  <w:r w:rsidRPr="00A33DBA">
                                    <w:rPr>
                                      <w:rFonts w:ascii="Arial" w:hAnsi="Arial" w:cs="Arial"/>
                                      <w:sz w:val="20"/>
                                    </w:rPr>
                                    <w:t xml:space="preserve"> 0</w:t>
                                  </w:r>
                                  <w:r>
                                    <w:rPr>
                                      <w:rFonts w:ascii="Arial" w:hAnsi="Arial" w:cs="Arial"/>
                                      <w:sz w:val="20"/>
                                    </w:rPr>
                                    <w:t>,</w:t>
                                  </w:r>
                                  <w:r w:rsidRPr="00A33DBA">
                                    <w:rPr>
                                      <w:rFonts w:ascii="Arial" w:hAnsi="Arial" w:cs="Arial"/>
                                      <w:sz w:val="20"/>
                                    </w:rPr>
                                    <w:t>45</w:t>
                                  </w:r>
                                </w:p>
                                <w:p w14:paraId="5297AC6B" w14:textId="77777777" w:rsidR="00AD188A" w:rsidRPr="0055776F" w:rsidRDefault="00AD188A" w:rsidP="004D77BC">
                                  <w:pPr>
                                    <w:rPr>
                                      <w:rFonts w:ascii="Arial" w:hAnsi="Arial" w:cs="Arial"/>
                                      <w:sz w:val="20"/>
                                      <w:lang w:val="de-DE"/>
                                    </w:rPr>
                                  </w:pPr>
                                  <w:r w:rsidRPr="00A33DBA">
                                    <w:rPr>
                                      <w:rFonts w:ascii="Arial" w:hAnsi="Arial" w:cs="Arial"/>
                                      <w:sz w:val="20"/>
                                    </w:rPr>
                                    <w:t>(95</w:t>
                                  </w:r>
                                  <w:r>
                                    <w:rPr>
                                      <w:rFonts w:ascii="Arial" w:hAnsi="Arial" w:cs="Arial"/>
                                      <w:sz w:val="20"/>
                                    </w:rPr>
                                    <w:t> </w:t>
                                  </w:r>
                                  <w:r w:rsidRPr="00A33DBA">
                                    <w:rPr>
                                      <w:rFonts w:ascii="Arial" w:hAnsi="Arial" w:cs="Arial"/>
                                      <w:sz w:val="20"/>
                                    </w:rPr>
                                    <w:t xml:space="preserve">% </w:t>
                                  </w:r>
                                  <w:r>
                                    <w:rPr>
                                      <w:rFonts w:ascii="Arial" w:hAnsi="Arial" w:cs="Arial"/>
                                      <w:sz w:val="20"/>
                                    </w:rPr>
                                    <w:t>IZ</w:t>
                                  </w:r>
                                  <w:r w:rsidRPr="00A33DBA">
                                    <w:rPr>
                                      <w:rFonts w:ascii="Arial" w:hAnsi="Arial" w:cs="Arial"/>
                                      <w:sz w:val="20"/>
                                    </w:rPr>
                                    <w:t>, 0</w:t>
                                  </w:r>
                                  <w:r>
                                    <w:rPr>
                                      <w:rFonts w:ascii="Arial" w:hAnsi="Arial" w:cs="Arial"/>
                                      <w:sz w:val="20"/>
                                    </w:rPr>
                                    <w:t>,22</w:t>
                                  </w:r>
                                  <w:r>
                                    <w:rPr>
                                      <w:rFonts w:ascii="Arial" w:hAnsi="Arial" w:cs="Arial"/>
                                      <w:sz w:val="20"/>
                                    </w:rPr>
                                    <w:noBreakHyphen/>
                                    <w:t>0,</w:t>
                                  </w:r>
                                  <w:r w:rsidRPr="00A33DBA">
                                    <w:rPr>
                                      <w:rFonts w:ascii="Arial" w:hAnsi="Arial" w:cs="Arial"/>
                                      <w:sz w:val="20"/>
                                    </w:rPr>
                                    <w:t>89)</w:t>
                                  </w:r>
                                </w:p>
                              </w:tc>
                            </w:tr>
                            <w:tr w:rsidR="00AD188A" w:rsidRPr="0055776F" w14:paraId="5297AC72" w14:textId="77777777" w:rsidTr="00747CA8">
                              <w:tc>
                                <w:tcPr>
                                  <w:tcW w:w="817" w:type="dxa"/>
                                  <w:shd w:val="clear" w:color="auto" w:fill="auto"/>
                                </w:tcPr>
                                <w:p w14:paraId="5297AC6D" w14:textId="77777777" w:rsidR="00AD188A" w:rsidRPr="0055776F" w:rsidRDefault="00AD188A" w:rsidP="00747CA8">
                                  <w:pPr>
                                    <w:rPr>
                                      <w:rFonts w:ascii="Arial" w:hAnsi="Arial" w:cs="Arial"/>
                                      <w:sz w:val="20"/>
                                    </w:rPr>
                                  </w:pPr>
                                </w:p>
                              </w:tc>
                              <w:tc>
                                <w:tcPr>
                                  <w:tcW w:w="2464" w:type="dxa"/>
                                  <w:shd w:val="clear" w:color="auto" w:fill="auto"/>
                                </w:tcPr>
                                <w:p w14:paraId="5297AC6E" w14:textId="77777777" w:rsidR="00AD188A" w:rsidRPr="0055776F" w:rsidRDefault="00AD188A" w:rsidP="00747CA8">
                                  <w:pPr>
                                    <w:rPr>
                                      <w:rFonts w:ascii="Arial" w:hAnsi="Arial" w:cs="Arial"/>
                                      <w:sz w:val="20"/>
                                    </w:rPr>
                                  </w:pPr>
                                </w:p>
                              </w:tc>
                              <w:tc>
                                <w:tcPr>
                                  <w:tcW w:w="851" w:type="dxa"/>
                                  <w:tcBorders>
                                    <w:bottom w:val="single" w:sz="4" w:space="0" w:color="auto"/>
                                  </w:tcBorders>
                                  <w:shd w:val="clear" w:color="auto" w:fill="auto"/>
                                </w:tcPr>
                                <w:p w14:paraId="5297AC6F" w14:textId="77777777" w:rsidR="00AD188A" w:rsidRPr="0055776F" w:rsidRDefault="00AD188A" w:rsidP="00747CA8">
                                  <w:pPr>
                                    <w:rPr>
                                      <w:rFonts w:ascii="Arial" w:hAnsi="Arial" w:cs="Arial"/>
                                      <w:sz w:val="20"/>
                                    </w:rPr>
                                  </w:pPr>
                                  <w:r w:rsidRPr="004D77BC">
                                    <w:rPr>
                                      <w:rFonts w:ascii="Arial" w:hAnsi="Arial" w:cs="Arial"/>
                                      <w:sz w:val="20"/>
                                      <w:lang w:val="de-DE"/>
                                    </w:rPr>
                                    <w:t>N</w:t>
                                  </w:r>
                                </w:p>
                              </w:tc>
                              <w:tc>
                                <w:tcPr>
                                  <w:tcW w:w="709" w:type="dxa"/>
                                  <w:tcBorders>
                                    <w:bottom w:val="single" w:sz="4" w:space="0" w:color="auto"/>
                                  </w:tcBorders>
                                  <w:shd w:val="clear" w:color="auto" w:fill="auto"/>
                                </w:tcPr>
                                <w:p w14:paraId="5297AC70" w14:textId="77777777" w:rsidR="00AD188A" w:rsidRPr="0055776F" w:rsidRDefault="00AD188A" w:rsidP="00747CA8">
                                  <w:pPr>
                                    <w:rPr>
                                      <w:rFonts w:ascii="Arial" w:hAnsi="Arial" w:cs="Arial"/>
                                      <w:sz w:val="20"/>
                                    </w:rPr>
                                  </w:pPr>
                                  <w:r w:rsidRPr="004D77BC">
                                    <w:rPr>
                                      <w:rFonts w:ascii="Arial" w:hAnsi="Arial" w:cs="Arial"/>
                                      <w:sz w:val="20"/>
                                      <w:lang w:val="es-ES"/>
                                    </w:rPr>
                                    <w:t>dog</w:t>
                                  </w:r>
                                </w:p>
                              </w:tc>
                              <w:tc>
                                <w:tcPr>
                                  <w:tcW w:w="850" w:type="dxa"/>
                                  <w:tcBorders>
                                    <w:bottom w:val="single" w:sz="4" w:space="0" w:color="auto"/>
                                  </w:tcBorders>
                                  <w:shd w:val="clear" w:color="auto" w:fill="auto"/>
                                </w:tcPr>
                                <w:p w14:paraId="5297AC71" w14:textId="77777777" w:rsidR="00AD188A" w:rsidRPr="0055776F" w:rsidRDefault="00AD188A" w:rsidP="00747CA8">
                                  <w:pPr>
                                    <w:rPr>
                                      <w:rFonts w:ascii="Arial" w:hAnsi="Arial" w:cs="Arial"/>
                                      <w:sz w:val="20"/>
                                    </w:rPr>
                                  </w:pPr>
                                  <w:r w:rsidRPr="004D77BC">
                                    <w:rPr>
                                      <w:rFonts w:ascii="Arial" w:hAnsi="Arial" w:cs="Arial"/>
                                      <w:sz w:val="20"/>
                                      <w:lang w:val="de-DE"/>
                                    </w:rPr>
                                    <w:t>cen</w:t>
                                  </w:r>
                                </w:p>
                              </w:tc>
                            </w:tr>
                            <w:tr w:rsidR="00AD188A" w:rsidRPr="0055776F" w14:paraId="5297AC78" w14:textId="77777777" w:rsidTr="00747CA8">
                              <w:tc>
                                <w:tcPr>
                                  <w:tcW w:w="817" w:type="dxa"/>
                                  <w:shd w:val="clear" w:color="auto" w:fill="auto"/>
                                </w:tcPr>
                                <w:p w14:paraId="5297AC73" w14:textId="77777777" w:rsidR="00AD188A" w:rsidRPr="0055776F" w:rsidRDefault="00AD188A" w:rsidP="00747CA8">
                                  <w:pPr>
                                    <w:rPr>
                                      <w:rFonts w:ascii="Arial" w:hAnsi="Arial" w:cs="Arial"/>
                                      <w:sz w:val="20"/>
                                    </w:rPr>
                                  </w:pPr>
                                  <w:r w:rsidRPr="0055776F">
                                    <w:rPr>
                                      <w:rFonts w:ascii="Arial" w:hAnsi="Arial" w:cs="Arial"/>
                                      <w:b/>
                                      <w:sz w:val="20"/>
                                    </w:rPr>
                                    <w:t>——</w:t>
                                  </w:r>
                                </w:p>
                              </w:tc>
                              <w:tc>
                                <w:tcPr>
                                  <w:tcW w:w="2464" w:type="dxa"/>
                                  <w:shd w:val="clear" w:color="auto" w:fill="auto"/>
                                </w:tcPr>
                                <w:p w14:paraId="5297AC74" w14:textId="77777777" w:rsidR="00AD188A" w:rsidRPr="0055776F" w:rsidRDefault="00AD188A" w:rsidP="00747CA8">
                                  <w:pPr>
                                    <w:rPr>
                                      <w:rFonts w:ascii="Arial" w:hAnsi="Arial" w:cs="Arial"/>
                                      <w:sz w:val="20"/>
                                    </w:rPr>
                                  </w:pPr>
                                  <w:r>
                                    <w:rPr>
                                      <w:rFonts w:ascii="Arial" w:hAnsi="Arial" w:cs="Arial"/>
                                      <w:sz w:val="20"/>
                                      <w:lang w:val="fr-FR"/>
                                    </w:rPr>
                                    <w:t>(1) imatinib 12 </w:t>
                                  </w:r>
                                  <w:r w:rsidRPr="00F735F7">
                                    <w:rPr>
                                      <w:rFonts w:ascii="Arial" w:hAnsi="Arial" w:cs="Arial"/>
                                      <w:sz w:val="20"/>
                                      <w:lang w:val="fr-FR"/>
                                    </w:rPr>
                                    <w:t>mes.:</w:t>
                                  </w:r>
                                </w:p>
                              </w:tc>
                              <w:tc>
                                <w:tcPr>
                                  <w:tcW w:w="851" w:type="dxa"/>
                                  <w:tcBorders>
                                    <w:top w:val="single" w:sz="4" w:space="0" w:color="auto"/>
                                  </w:tcBorders>
                                  <w:shd w:val="clear" w:color="auto" w:fill="auto"/>
                                </w:tcPr>
                                <w:p w14:paraId="5297AC75" w14:textId="77777777" w:rsidR="00AD188A" w:rsidRPr="0055776F" w:rsidRDefault="00AD188A" w:rsidP="00747CA8">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5297AC76" w14:textId="77777777" w:rsidR="00AD188A" w:rsidRPr="0055776F" w:rsidRDefault="00AD188A" w:rsidP="00747CA8">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5297AC77" w14:textId="77777777" w:rsidR="00AD188A" w:rsidRPr="0055776F" w:rsidRDefault="00AD188A" w:rsidP="00747CA8">
                                  <w:pPr>
                                    <w:rPr>
                                      <w:rFonts w:ascii="Arial" w:hAnsi="Arial" w:cs="Arial"/>
                                      <w:sz w:val="20"/>
                                    </w:rPr>
                                  </w:pPr>
                                  <w:r w:rsidRPr="0055776F">
                                    <w:rPr>
                                      <w:rFonts w:ascii="Arial" w:hAnsi="Arial" w:cs="Arial"/>
                                      <w:sz w:val="20"/>
                                    </w:rPr>
                                    <w:t>174</w:t>
                                  </w:r>
                                </w:p>
                              </w:tc>
                            </w:tr>
                            <w:tr w:rsidR="00AD188A" w:rsidRPr="0055776F" w14:paraId="5297AC7E" w14:textId="77777777" w:rsidTr="00747CA8">
                              <w:tc>
                                <w:tcPr>
                                  <w:tcW w:w="817" w:type="dxa"/>
                                  <w:shd w:val="clear" w:color="auto" w:fill="auto"/>
                                </w:tcPr>
                                <w:p w14:paraId="5297AC79" w14:textId="77777777" w:rsidR="00AD188A" w:rsidRPr="0055776F" w:rsidRDefault="00AD188A" w:rsidP="00747CA8">
                                  <w:pPr>
                                    <w:rPr>
                                      <w:rFonts w:ascii="Arial" w:hAnsi="Arial" w:cs="Arial"/>
                                      <w:sz w:val="20"/>
                                    </w:rPr>
                                  </w:pPr>
                                  <w:r w:rsidRPr="0055776F">
                                    <w:rPr>
                                      <w:rFonts w:ascii="Arial" w:hAnsi="Arial" w:cs="Arial"/>
                                      <w:sz w:val="20"/>
                                    </w:rPr>
                                    <w:t>-----</w:t>
                                  </w:r>
                                </w:p>
                              </w:tc>
                              <w:tc>
                                <w:tcPr>
                                  <w:tcW w:w="2464" w:type="dxa"/>
                                  <w:shd w:val="clear" w:color="auto" w:fill="auto"/>
                                </w:tcPr>
                                <w:p w14:paraId="5297AC7A" w14:textId="77777777" w:rsidR="00AD188A" w:rsidRPr="0055776F" w:rsidRDefault="00AD188A" w:rsidP="00747CA8">
                                  <w:pPr>
                                    <w:rPr>
                                      <w:rFonts w:ascii="Arial" w:hAnsi="Arial" w:cs="Arial"/>
                                      <w:sz w:val="20"/>
                                    </w:rPr>
                                  </w:pPr>
                                  <w:r>
                                    <w:rPr>
                                      <w:rFonts w:ascii="Arial" w:hAnsi="Arial" w:cs="Arial"/>
                                      <w:sz w:val="20"/>
                                      <w:lang w:val="fr-FR"/>
                                    </w:rPr>
                                    <w:t>(2) imatinib 36 </w:t>
                                  </w:r>
                                  <w:r w:rsidRPr="00F735F7">
                                    <w:rPr>
                                      <w:rFonts w:ascii="Arial" w:hAnsi="Arial" w:cs="Arial"/>
                                      <w:sz w:val="20"/>
                                      <w:lang w:val="fr-FR"/>
                                    </w:rPr>
                                    <w:t>mes.:</w:t>
                                  </w:r>
                                </w:p>
                              </w:tc>
                              <w:tc>
                                <w:tcPr>
                                  <w:tcW w:w="851" w:type="dxa"/>
                                  <w:tcBorders>
                                    <w:bottom w:val="single" w:sz="4" w:space="0" w:color="auto"/>
                                  </w:tcBorders>
                                  <w:shd w:val="clear" w:color="auto" w:fill="auto"/>
                                </w:tcPr>
                                <w:p w14:paraId="5297AC7B" w14:textId="77777777" w:rsidR="00AD188A" w:rsidRPr="0055776F" w:rsidRDefault="00AD188A" w:rsidP="00747CA8">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5297AC7C" w14:textId="77777777" w:rsidR="00AD188A" w:rsidRPr="0055776F" w:rsidRDefault="00AD188A" w:rsidP="00747CA8">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5297AC7D" w14:textId="77777777" w:rsidR="00AD188A" w:rsidRPr="0055776F" w:rsidRDefault="00AD188A" w:rsidP="00747CA8">
                                  <w:pPr>
                                    <w:rPr>
                                      <w:rFonts w:ascii="Arial" w:hAnsi="Arial" w:cs="Arial"/>
                                      <w:sz w:val="20"/>
                                    </w:rPr>
                                  </w:pPr>
                                  <w:r w:rsidRPr="0055776F">
                                    <w:rPr>
                                      <w:rFonts w:ascii="Arial" w:hAnsi="Arial" w:cs="Arial"/>
                                      <w:sz w:val="20"/>
                                    </w:rPr>
                                    <w:t>186</w:t>
                                  </w:r>
                                </w:p>
                              </w:tc>
                            </w:tr>
                            <w:tr w:rsidR="00AD188A" w:rsidRPr="0055776F" w14:paraId="5297AC84" w14:textId="77777777" w:rsidTr="00747CA8">
                              <w:tc>
                                <w:tcPr>
                                  <w:tcW w:w="817" w:type="dxa"/>
                                  <w:shd w:val="clear" w:color="auto" w:fill="auto"/>
                                </w:tcPr>
                                <w:p w14:paraId="5297AC7F" w14:textId="77777777" w:rsidR="00AD188A" w:rsidRPr="0055776F" w:rsidRDefault="00AD188A" w:rsidP="00747CA8">
                                  <w:pPr>
                                    <w:rPr>
                                      <w:rFonts w:ascii="Arial" w:hAnsi="Arial" w:cs="Arial"/>
                                      <w:sz w:val="20"/>
                                    </w:rPr>
                                  </w:pPr>
                                  <w:r w:rsidRPr="0055776F">
                                    <w:rPr>
                                      <w:rFonts w:ascii="Arial" w:hAnsi="Arial" w:cs="Arial"/>
                                      <w:sz w:val="20"/>
                                    </w:rPr>
                                    <w:t>│││</w:t>
                                  </w:r>
                                </w:p>
                              </w:tc>
                              <w:tc>
                                <w:tcPr>
                                  <w:tcW w:w="2464" w:type="dxa"/>
                                  <w:shd w:val="clear" w:color="auto" w:fill="auto"/>
                                </w:tcPr>
                                <w:p w14:paraId="5297AC80" w14:textId="77777777" w:rsidR="00AD188A" w:rsidRPr="0055776F" w:rsidRDefault="00AD188A" w:rsidP="00747CA8">
                                  <w:pPr>
                                    <w:rPr>
                                      <w:rFonts w:ascii="Arial" w:hAnsi="Arial" w:cs="Arial"/>
                                      <w:sz w:val="20"/>
                                    </w:rPr>
                                  </w:pPr>
                                  <w:r w:rsidRPr="00F735F7">
                                    <w:rPr>
                                      <w:rFonts w:ascii="Arial" w:hAnsi="Arial" w:cs="Arial"/>
                                      <w:sz w:val="20"/>
                                      <w:lang w:val="fr-FR"/>
                                    </w:rPr>
                                    <w:t>cenzurirani podatki</w:t>
                                  </w:r>
                                </w:p>
                              </w:tc>
                              <w:tc>
                                <w:tcPr>
                                  <w:tcW w:w="851" w:type="dxa"/>
                                  <w:tcBorders>
                                    <w:top w:val="single" w:sz="4" w:space="0" w:color="auto"/>
                                  </w:tcBorders>
                                  <w:shd w:val="clear" w:color="auto" w:fill="auto"/>
                                </w:tcPr>
                                <w:p w14:paraId="5297AC81" w14:textId="77777777" w:rsidR="00AD188A" w:rsidRPr="0055776F" w:rsidRDefault="00AD188A" w:rsidP="00747CA8">
                                  <w:pPr>
                                    <w:rPr>
                                      <w:rFonts w:ascii="Arial" w:hAnsi="Arial" w:cs="Arial"/>
                                      <w:sz w:val="20"/>
                                    </w:rPr>
                                  </w:pPr>
                                </w:p>
                              </w:tc>
                              <w:tc>
                                <w:tcPr>
                                  <w:tcW w:w="709" w:type="dxa"/>
                                  <w:tcBorders>
                                    <w:top w:val="single" w:sz="4" w:space="0" w:color="auto"/>
                                  </w:tcBorders>
                                  <w:shd w:val="clear" w:color="auto" w:fill="auto"/>
                                </w:tcPr>
                                <w:p w14:paraId="5297AC82" w14:textId="77777777" w:rsidR="00AD188A" w:rsidRPr="0055776F" w:rsidRDefault="00AD188A" w:rsidP="00747CA8">
                                  <w:pPr>
                                    <w:rPr>
                                      <w:rFonts w:ascii="Arial" w:hAnsi="Arial" w:cs="Arial"/>
                                      <w:sz w:val="20"/>
                                    </w:rPr>
                                  </w:pPr>
                                </w:p>
                              </w:tc>
                              <w:tc>
                                <w:tcPr>
                                  <w:tcW w:w="850" w:type="dxa"/>
                                  <w:tcBorders>
                                    <w:top w:val="single" w:sz="4" w:space="0" w:color="auto"/>
                                  </w:tcBorders>
                                  <w:shd w:val="clear" w:color="auto" w:fill="auto"/>
                                </w:tcPr>
                                <w:p w14:paraId="5297AC83" w14:textId="77777777" w:rsidR="00AD188A" w:rsidRPr="0055776F" w:rsidRDefault="00AD188A" w:rsidP="00747CA8">
                                  <w:pPr>
                                    <w:rPr>
                                      <w:rFonts w:ascii="Arial" w:hAnsi="Arial" w:cs="Arial"/>
                                      <w:sz w:val="20"/>
                                    </w:rPr>
                                  </w:pPr>
                                </w:p>
                              </w:tc>
                            </w:tr>
                          </w:tbl>
                          <w:p w14:paraId="5297AC85" w14:textId="77777777" w:rsidR="00AD188A" w:rsidRPr="00A33DBA" w:rsidRDefault="00AD188A" w:rsidP="006837B3">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97AC1E" id="_x0000_s1029" type="#_x0000_t202" style="position:absolute;margin-left:26.85pt;margin-top:71.6pt;width:361.05pt;height: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" filled="f" stroked="f">
                <v:textbox>
                  <w:txbxContent>
                    <w:p w14:paraId="5297AC68" w14:textId="77777777" w:rsidR="00AD188A" w:rsidRDefault="00AD188A" w:rsidP="004D77BC">
                      <w:pPr>
                        <w:rPr>
                          <w:rFonts w:ascii="Arial" w:hAnsi="Arial" w:cs="Arial"/>
                          <w:sz w:val="20"/>
                        </w:rPr>
                      </w:pPr>
                    </w:p>
                    <w:tbl>
                      <w:tblPr>
                        <w:tblW w:w="0" w:type="auto"/>
                        <w:tblLook w:val="04A0" w:firstRow="1" w:lastRow="0" w:firstColumn="1" w:lastColumn="0" w:noHBand="0" w:noVBand="1"/>
                      </w:tblPr>
                      <w:tblGrid>
                        <w:gridCol w:w="817"/>
                        <w:gridCol w:w="2464"/>
                        <w:gridCol w:w="851"/>
                        <w:gridCol w:w="709"/>
                        <w:gridCol w:w="850"/>
                      </w:tblGrid>
                      <w:tr w:rsidR="00AD188A" w:rsidRPr="0055776F" w14:paraId="5297AC6C" w14:textId="77777777" w:rsidTr="00747CA8">
                        <w:tc>
                          <w:tcPr>
                            <w:tcW w:w="5691" w:type="dxa"/>
                            <w:gridSpan w:val="5"/>
                            <w:shd w:val="clear" w:color="auto" w:fill="auto"/>
                          </w:tcPr>
                          <w:p w14:paraId="5297AC69" w14:textId="77777777" w:rsidR="00AD188A" w:rsidRPr="00A33DBA" w:rsidRDefault="00AD188A" w:rsidP="004D77BC">
                            <w:pPr>
                              <w:rPr>
                                <w:rFonts w:ascii="Arial" w:hAnsi="Arial" w:cs="Arial"/>
                                <w:sz w:val="20"/>
                              </w:rPr>
                            </w:pPr>
                            <w:r>
                              <w:rPr>
                                <w:rFonts w:ascii="Arial" w:hAnsi="Arial" w:cs="Arial"/>
                                <w:sz w:val="20"/>
                              </w:rPr>
                              <w:t>P = 0,0</w:t>
                            </w:r>
                            <w:r w:rsidRPr="00A33DBA">
                              <w:rPr>
                                <w:rFonts w:ascii="Arial" w:hAnsi="Arial" w:cs="Arial"/>
                                <w:sz w:val="20"/>
                              </w:rPr>
                              <w:t>19</w:t>
                            </w:r>
                          </w:p>
                          <w:p w14:paraId="5297AC6A" w14:textId="77777777" w:rsidR="00AD188A" w:rsidRPr="00A33DBA" w:rsidRDefault="00AD188A" w:rsidP="004D77BC">
                            <w:pPr>
                              <w:rPr>
                                <w:rFonts w:ascii="Arial" w:hAnsi="Arial" w:cs="Arial"/>
                                <w:sz w:val="20"/>
                              </w:rPr>
                            </w:pPr>
                            <w:r>
                              <w:rPr>
                                <w:rFonts w:ascii="Arial" w:hAnsi="Arial" w:cs="Arial"/>
                                <w:sz w:val="20"/>
                              </w:rPr>
                              <w:t>razmerje tveganj</w:t>
                            </w:r>
                            <w:r w:rsidRPr="00A33DBA">
                              <w:rPr>
                                <w:rFonts w:ascii="Arial" w:hAnsi="Arial" w:cs="Arial"/>
                                <w:sz w:val="20"/>
                              </w:rPr>
                              <w:t xml:space="preserve"> 0</w:t>
                            </w:r>
                            <w:r>
                              <w:rPr>
                                <w:rFonts w:ascii="Arial" w:hAnsi="Arial" w:cs="Arial"/>
                                <w:sz w:val="20"/>
                              </w:rPr>
                              <w:t>,</w:t>
                            </w:r>
                            <w:r w:rsidRPr="00A33DBA">
                              <w:rPr>
                                <w:rFonts w:ascii="Arial" w:hAnsi="Arial" w:cs="Arial"/>
                                <w:sz w:val="20"/>
                              </w:rPr>
                              <w:t>45</w:t>
                            </w:r>
                          </w:p>
                          <w:p w14:paraId="5297AC6B" w14:textId="77777777" w:rsidR="00AD188A" w:rsidRPr="0055776F" w:rsidRDefault="00AD188A" w:rsidP="004D77BC">
                            <w:pPr>
                              <w:rPr>
                                <w:rFonts w:ascii="Arial" w:hAnsi="Arial" w:cs="Arial"/>
                                <w:sz w:val="20"/>
                                <w:lang w:val="de-DE"/>
                              </w:rPr>
                            </w:pPr>
                            <w:r w:rsidRPr="00A33DBA">
                              <w:rPr>
                                <w:rFonts w:ascii="Arial" w:hAnsi="Arial" w:cs="Arial"/>
                                <w:sz w:val="20"/>
                              </w:rPr>
                              <w:t>(95</w:t>
                            </w:r>
                            <w:r>
                              <w:rPr>
                                <w:rFonts w:ascii="Arial" w:hAnsi="Arial" w:cs="Arial"/>
                                <w:sz w:val="20"/>
                              </w:rPr>
                              <w:t> </w:t>
                            </w:r>
                            <w:r w:rsidRPr="00A33DBA">
                              <w:rPr>
                                <w:rFonts w:ascii="Arial" w:hAnsi="Arial" w:cs="Arial"/>
                                <w:sz w:val="20"/>
                              </w:rPr>
                              <w:t xml:space="preserve">% </w:t>
                            </w:r>
                            <w:r>
                              <w:rPr>
                                <w:rFonts w:ascii="Arial" w:hAnsi="Arial" w:cs="Arial"/>
                                <w:sz w:val="20"/>
                              </w:rPr>
                              <w:t>IZ</w:t>
                            </w:r>
                            <w:r w:rsidRPr="00A33DBA">
                              <w:rPr>
                                <w:rFonts w:ascii="Arial" w:hAnsi="Arial" w:cs="Arial"/>
                                <w:sz w:val="20"/>
                              </w:rPr>
                              <w:t>, 0</w:t>
                            </w:r>
                            <w:r>
                              <w:rPr>
                                <w:rFonts w:ascii="Arial" w:hAnsi="Arial" w:cs="Arial"/>
                                <w:sz w:val="20"/>
                              </w:rPr>
                              <w:t>,22</w:t>
                            </w:r>
                            <w:r>
                              <w:rPr>
                                <w:rFonts w:ascii="Arial" w:hAnsi="Arial" w:cs="Arial"/>
                                <w:sz w:val="20"/>
                              </w:rPr>
                              <w:noBreakHyphen/>
                              <w:t>0,</w:t>
                            </w:r>
                            <w:r w:rsidRPr="00A33DBA">
                              <w:rPr>
                                <w:rFonts w:ascii="Arial" w:hAnsi="Arial" w:cs="Arial"/>
                                <w:sz w:val="20"/>
                              </w:rPr>
                              <w:t>89)</w:t>
                            </w:r>
                          </w:p>
                        </w:tc>
                      </w:tr>
                      <w:tr w:rsidR="00AD188A" w:rsidRPr="0055776F" w14:paraId="5297AC72" w14:textId="77777777" w:rsidTr="00747CA8">
                        <w:tc>
                          <w:tcPr>
                            <w:tcW w:w="817" w:type="dxa"/>
                            <w:shd w:val="clear" w:color="auto" w:fill="auto"/>
                          </w:tcPr>
                          <w:p w14:paraId="5297AC6D" w14:textId="77777777" w:rsidR="00AD188A" w:rsidRPr="0055776F" w:rsidRDefault="00AD188A" w:rsidP="00747CA8">
                            <w:pPr>
                              <w:rPr>
                                <w:rFonts w:ascii="Arial" w:hAnsi="Arial" w:cs="Arial"/>
                                <w:sz w:val="20"/>
                              </w:rPr>
                            </w:pPr>
                          </w:p>
                        </w:tc>
                        <w:tc>
                          <w:tcPr>
                            <w:tcW w:w="2464" w:type="dxa"/>
                            <w:shd w:val="clear" w:color="auto" w:fill="auto"/>
                          </w:tcPr>
                          <w:p w14:paraId="5297AC6E" w14:textId="77777777" w:rsidR="00AD188A" w:rsidRPr="0055776F" w:rsidRDefault="00AD188A" w:rsidP="00747CA8">
                            <w:pPr>
                              <w:rPr>
                                <w:rFonts w:ascii="Arial" w:hAnsi="Arial" w:cs="Arial"/>
                                <w:sz w:val="20"/>
                              </w:rPr>
                            </w:pPr>
                          </w:p>
                        </w:tc>
                        <w:tc>
                          <w:tcPr>
                            <w:tcW w:w="851" w:type="dxa"/>
                            <w:tcBorders>
                              <w:bottom w:val="single" w:sz="4" w:space="0" w:color="auto"/>
                            </w:tcBorders>
                            <w:shd w:val="clear" w:color="auto" w:fill="auto"/>
                          </w:tcPr>
                          <w:p w14:paraId="5297AC6F" w14:textId="77777777" w:rsidR="00AD188A" w:rsidRPr="0055776F" w:rsidRDefault="00AD188A" w:rsidP="00747CA8">
                            <w:pPr>
                              <w:rPr>
                                <w:rFonts w:ascii="Arial" w:hAnsi="Arial" w:cs="Arial"/>
                                <w:sz w:val="20"/>
                              </w:rPr>
                            </w:pPr>
                            <w:r w:rsidRPr="004D77BC">
                              <w:rPr>
                                <w:rFonts w:ascii="Arial" w:hAnsi="Arial" w:cs="Arial"/>
                                <w:sz w:val="20"/>
                                <w:lang w:val="de-DE"/>
                              </w:rPr>
                              <w:t>N</w:t>
                            </w:r>
                          </w:p>
                        </w:tc>
                        <w:tc>
                          <w:tcPr>
                            <w:tcW w:w="709" w:type="dxa"/>
                            <w:tcBorders>
                              <w:bottom w:val="single" w:sz="4" w:space="0" w:color="auto"/>
                            </w:tcBorders>
                            <w:shd w:val="clear" w:color="auto" w:fill="auto"/>
                          </w:tcPr>
                          <w:p w14:paraId="5297AC70" w14:textId="77777777" w:rsidR="00AD188A" w:rsidRPr="0055776F" w:rsidRDefault="00AD188A" w:rsidP="00747CA8">
                            <w:pPr>
                              <w:rPr>
                                <w:rFonts w:ascii="Arial" w:hAnsi="Arial" w:cs="Arial"/>
                                <w:sz w:val="20"/>
                              </w:rPr>
                            </w:pPr>
                            <w:r w:rsidRPr="004D77BC">
                              <w:rPr>
                                <w:rFonts w:ascii="Arial" w:hAnsi="Arial" w:cs="Arial"/>
                                <w:sz w:val="20"/>
                                <w:lang w:val="es-ES"/>
                              </w:rPr>
                              <w:t>dog</w:t>
                            </w:r>
                          </w:p>
                        </w:tc>
                        <w:tc>
                          <w:tcPr>
                            <w:tcW w:w="850" w:type="dxa"/>
                            <w:tcBorders>
                              <w:bottom w:val="single" w:sz="4" w:space="0" w:color="auto"/>
                            </w:tcBorders>
                            <w:shd w:val="clear" w:color="auto" w:fill="auto"/>
                          </w:tcPr>
                          <w:p w14:paraId="5297AC71" w14:textId="77777777" w:rsidR="00AD188A" w:rsidRPr="0055776F" w:rsidRDefault="00AD188A" w:rsidP="00747CA8">
                            <w:pPr>
                              <w:rPr>
                                <w:rFonts w:ascii="Arial" w:hAnsi="Arial" w:cs="Arial"/>
                                <w:sz w:val="20"/>
                              </w:rPr>
                            </w:pPr>
                            <w:r w:rsidRPr="004D77BC">
                              <w:rPr>
                                <w:rFonts w:ascii="Arial" w:hAnsi="Arial" w:cs="Arial"/>
                                <w:sz w:val="20"/>
                                <w:lang w:val="de-DE"/>
                              </w:rPr>
                              <w:t>cen</w:t>
                            </w:r>
                          </w:p>
                        </w:tc>
                      </w:tr>
                      <w:tr w:rsidR="00AD188A" w:rsidRPr="0055776F" w14:paraId="5297AC78" w14:textId="77777777" w:rsidTr="00747CA8">
                        <w:tc>
                          <w:tcPr>
                            <w:tcW w:w="817" w:type="dxa"/>
                            <w:shd w:val="clear" w:color="auto" w:fill="auto"/>
                          </w:tcPr>
                          <w:p w14:paraId="5297AC73" w14:textId="77777777" w:rsidR="00AD188A" w:rsidRPr="0055776F" w:rsidRDefault="00AD188A" w:rsidP="00747CA8">
                            <w:pPr>
                              <w:rPr>
                                <w:rFonts w:ascii="Arial" w:hAnsi="Arial" w:cs="Arial"/>
                                <w:sz w:val="20"/>
                              </w:rPr>
                            </w:pPr>
                            <w:r w:rsidRPr="0055776F">
                              <w:rPr>
                                <w:rFonts w:ascii="Arial" w:hAnsi="Arial" w:cs="Arial"/>
                                <w:b/>
                                <w:sz w:val="20"/>
                              </w:rPr>
                              <w:t>——</w:t>
                            </w:r>
                          </w:p>
                        </w:tc>
                        <w:tc>
                          <w:tcPr>
                            <w:tcW w:w="2464" w:type="dxa"/>
                            <w:shd w:val="clear" w:color="auto" w:fill="auto"/>
                          </w:tcPr>
                          <w:p w14:paraId="5297AC74" w14:textId="77777777" w:rsidR="00AD188A" w:rsidRPr="0055776F" w:rsidRDefault="00AD188A" w:rsidP="00747CA8">
                            <w:pPr>
                              <w:rPr>
                                <w:rFonts w:ascii="Arial" w:hAnsi="Arial" w:cs="Arial"/>
                                <w:sz w:val="20"/>
                              </w:rPr>
                            </w:pPr>
                            <w:r>
                              <w:rPr>
                                <w:rFonts w:ascii="Arial" w:hAnsi="Arial" w:cs="Arial"/>
                                <w:sz w:val="20"/>
                                <w:lang w:val="fr-FR"/>
                              </w:rPr>
                              <w:t>(1) imatinib 12 </w:t>
                            </w:r>
                            <w:r w:rsidRPr="00F735F7">
                              <w:rPr>
                                <w:rFonts w:ascii="Arial" w:hAnsi="Arial" w:cs="Arial"/>
                                <w:sz w:val="20"/>
                                <w:lang w:val="fr-FR"/>
                              </w:rPr>
                              <w:t>mes.:</w:t>
                            </w:r>
                          </w:p>
                        </w:tc>
                        <w:tc>
                          <w:tcPr>
                            <w:tcW w:w="851" w:type="dxa"/>
                            <w:tcBorders>
                              <w:top w:val="single" w:sz="4" w:space="0" w:color="auto"/>
                            </w:tcBorders>
                            <w:shd w:val="clear" w:color="auto" w:fill="auto"/>
                          </w:tcPr>
                          <w:p w14:paraId="5297AC75" w14:textId="77777777" w:rsidR="00AD188A" w:rsidRPr="0055776F" w:rsidRDefault="00AD188A" w:rsidP="00747CA8">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5297AC76" w14:textId="77777777" w:rsidR="00AD188A" w:rsidRPr="0055776F" w:rsidRDefault="00AD188A" w:rsidP="00747CA8">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5297AC77" w14:textId="77777777" w:rsidR="00AD188A" w:rsidRPr="0055776F" w:rsidRDefault="00AD188A" w:rsidP="00747CA8">
                            <w:pPr>
                              <w:rPr>
                                <w:rFonts w:ascii="Arial" w:hAnsi="Arial" w:cs="Arial"/>
                                <w:sz w:val="20"/>
                              </w:rPr>
                            </w:pPr>
                            <w:r w:rsidRPr="0055776F">
                              <w:rPr>
                                <w:rFonts w:ascii="Arial" w:hAnsi="Arial" w:cs="Arial"/>
                                <w:sz w:val="20"/>
                              </w:rPr>
                              <w:t>174</w:t>
                            </w:r>
                          </w:p>
                        </w:tc>
                      </w:tr>
                      <w:tr w:rsidR="00AD188A" w:rsidRPr="0055776F" w14:paraId="5297AC7E" w14:textId="77777777" w:rsidTr="00747CA8">
                        <w:tc>
                          <w:tcPr>
                            <w:tcW w:w="817" w:type="dxa"/>
                            <w:shd w:val="clear" w:color="auto" w:fill="auto"/>
                          </w:tcPr>
                          <w:p w14:paraId="5297AC79" w14:textId="77777777" w:rsidR="00AD188A" w:rsidRPr="0055776F" w:rsidRDefault="00AD188A" w:rsidP="00747CA8">
                            <w:pPr>
                              <w:rPr>
                                <w:rFonts w:ascii="Arial" w:hAnsi="Arial" w:cs="Arial"/>
                                <w:sz w:val="20"/>
                              </w:rPr>
                            </w:pPr>
                            <w:r w:rsidRPr="0055776F">
                              <w:rPr>
                                <w:rFonts w:ascii="Arial" w:hAnsi="Arial" w:cs="Arial"/>
                                <w:sz w:val="20"/>
                              </w:rPr>
                              <w:t>-----</w:t>
                            </w:r>
                          </w:p>
                        </w:tc>
                        <w:tc>
                          <w:tcPr>
                            <w:tcW w:w="2464" w:type="dxa"/>
                            <w:shd w:val="clear" w:color="auto" w:fill="auto"/>
                          </w:tcPr>
                          <w:p w14:paraId="5297AC7A" w14:textId="77777777" w:rsidR="00AD188A" w:rsidRPr="0055776F" w:rsidRDefault="00AD188A" w:rsidP="00747CA8">
                            <w:pPr>
                              <w:rPr>
                                <w:rFonts w:ascii="Arial" w:hAnsi="Arial" w:cs="Arial"/>
                                <w:sz w:val="20"/>
                              </w:rPr>
                            </w:pPr>
                            <w:r>
                              <w:rPr>
                                <w:rFonts w:ascii="Arial" w:hAnsi="Arial" w:cs="Arial"/>
                                <w:sz w:val="20"/>
                                <w:lang w:val="fr-FR"/>
                              </w:rPr>
                              <w:t>(2) imatinib 36 </w:t>
                            </w:r>
                            <w:r w:rsidRPr="00F735F7">
                              <w:rPr>
                                <w:rFonts w:ascii="Arial" w:hAnsi="Arial" w:cs="Arial"/>
                                <w:sz w:val="20"/>
                                <w:lang w:val="fr-FR"/>
                              </w:rPr>
                              <w:t>mes.:</w:t>
                            </w:r>
                          </w:p>
                        </w:tc>
                        <w:tc>
                          <w:tcPr>
                            <w:tcW w:w="851" w:type="dxa"/>
                            <w:tcBorders>
                              <w:bottom w:val="single" w:sz="4" w:space="0" w:color="auto"/>
                            </w:tcBorders>
                            <w:shd w:val="clear" w:color="auto" w:fill="auto"/>
                          </w:tcPr>
                          <w:p w14:paraId="5297AC7B" w14:textId="77777777" w:rsidR="00AD188A" w:rsidRPr="0055776F" w:rsidRDefault="00AD188A" w:rsidP="00747CA8">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5297AC7C" w14:textId="77777777" w:rsidR="00AD188A" w:rsidRPr="0055776F" w:rsidRDefault="00AD188A" w:rsidP="00747CA8">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5297AC7D" w14:textId="77777777" w:rsidR="00AD188A" w:rsidRPr="0055776F" w:rsidRDefault="00AD188A" w:rsidP="00747CA8">
                            <w:pPr>
                              <w:rPr>
                                <w:rFonts w:ascii="Arial" w:hAnsi="Arial" w:cs="Arial"/>
                                <w:sz w:val="20"/>
                              </w:rPr>
                            </w:pPr>
                            <w:r w:rsidRPr="0055776F">
                              <w:rPr>
                                <w:rFonts w:ascii="Arial" w:hAnsi="Arial" w:cs="Arial"/>
                                <w:sz w:val="20"/>
                              </w:rPr>
                              <w:t>186</w:t>
                            </w:r>
                          </w:p>
                        </w:tc>
                      </w:tr>
                      <w:tr w:rsidR="00AD188A" w:rsidRPr="0055776F" w14:paraId="5297AC84" w14:textId="77777777" w:rsidTr="00747CA8">
                        <w:tc>
                          <w:tcPr>
                            <w:tcW w:w="817" w:type="dxa"/>
                            <w:shd w:val="clear" w:color="auto" w:fill="auto"/>
                          </w:tcPr>
                          <w:p w14:paraId="5297AC7F" w14:textId="77777777" w:rsidR="00AD188A" w:rsidRPr="0055776F" w:rsidRDefault="00AD188A" w:rsidP="00747CA8">
                            <w:pPr>
                              <w:rPr>
                                <w:rFonts w:ascii="Arial" w:hAnsi="Arial" w:cs="Arial"/>
                                <w:sz w:val="20"/>
                              </w:rPr>
                            </w:pPr>
                            <w:r w:rsidRPr="0055776F">
                              <w:rPr>
                                <w:rFonts w:ascii="Arial" w:hAnsi="Arial" w:cs="Arial"/>
                                <w:sz w:val="20"/>
                              </w:rPr>
                              <w:t>│││</w:t>
                            </w:r>
                          </w:p>
                        </w:tc>
                        <w:tc>
                          <w:tcPr>
                            <w:tcW w:w="2464" w:type="dxa"/>
                            <w:shd w:val="clear" w:color="auto" w:fill="auto"/>
                          </w:tcPr>
                          <w:p w14:paraId="5297AC80" w14:textId="77777777" w:rsidR="00AD188A" w:rsidRPr="0055776F" w:rsidRDefault="00AD188A" w:rsidP="00747CA8">
                            <w:pPr>
                              <w:rPr>
                                <w:rFonts w:ascii="Arial" w:hAnsi="Arial" w:cs="Arial"/>
                                <w:sz w:val="20"/>
                              </w:rPr>
                            </w:pPr>
                            <w:r w:rsidRPr="00F735F7">
                              <w:rPr>
                                <w:rFonts w:ascii="Arial" w:hAnsi="Arial" w:cs="Arial"/>
                                <w:sz w:val="20"/>
                                <w:lang w:val="fr-FR"/>
                              </w:rPr>
                              <w:t>cenzurirani podatki</w:t>
                            </w:r>
                          </w:p>
                        </w:tc>
                        <w:tc>
                          <w:tcPr>
                            <w:tcW w:w="851" w:type="dxa"/>
                            <w:tcBorders>
                              <w:top w:val="single" w:sz="4" w:space="0" w:color="auto"/>
                            </w:tcBorders>
                            <w:shd w:val="clear" w:color="auto" w:fill="auto"/>
                          </w:tcPr>
                          <w:p w14:paraId="5297AC81" w14:textId="77777777" w:rsidR="00AD188A" w:rsidRPr="0055776F" w:rsidRDefault="00AD188A" w:rsidP="00747CA8">
                            <w:pPr>
                              <w:rPr>
                                <w:rFonts w:ascii="Arial" w:hAnsi="Arial" w:cs="Arial"/>
                                <w:sz w:val="20"/>
                              </w:rPr>
                            </w:pPr>
                          </w:p>
                        </w:tc>
                        <w:tc>
                          <w:tcPr>
                            <w:tcW w:w="709" w:type="dxa"/>
                            <w:tcBorders>
                              <w:top w:val="single" w:sz="4" w:space="0" w:color="auto"/>
                            </w:tcBorders>
                            <w:shd w:val="clear" w:color="auto" w:fill="auto"/>
                          </w:tcPr>
                          <w:p w14:paraId="5297AC82" w14:textId="77777777" w:rsidR="00AD188A" w:rsidRPr="0055776F" w:rsidRDefault="00AD188A" w:rsidP="00747CA8">
                            <w:pPr>
                              <w:rPr>
                                <w:rFonts w:ascii="Arial" w:hAnsi="Arial" w:cs="Arial"/>
                                <w:sz w:val="20"/>
                              </w:rPr>
                            </w:pPr>
                          </w:p>
                        </w:tc>
                        <w:tc>
                          <w:tcPr>
                            <w:tcW w:w="850" w:type="dxa"/>
                            <w:tcBorders>
                              <w:top w:val="single" w:sz="4" w:space="0" w:color="auto"/>
                            </w:tcBorders>
                            <w:shd w:val="clear" w:color="auto" w:fill="auto"/>
                          </w:tcPr>
                          <w:p w14:paraId="5297AC83" w14:textId="77777777" w:rsidR="00AD188A" w:rsidRPr="0055776F" w:rsidRDefault="00AD188A" w:rsidP="00747CA8">
                            <w:pPr>
                              <w:rPr>
                                <w:rFonts w:ascii="Arial" w:hAnsi="Arial" w:cs="Arial"/>
                                <w:sz w:val="20"/>
                              </w:rPr>
                            </w:pPr>
                          </w:p>
                        </w:tc>
                      </w:tr>
                    </w:tbl>
                    <w:p w14:paraId="5297AC85" w14:textId="77777777" w:rsidR="00AD188A" w:rsidRPr="00A33DBA" w:rsidRDefault="00AD188A" w:rsidP="006837B3">
                      <w:pPr>
                        <w:rPr>
                          <w:rFonts w:ascii="Arial" w:hAnsi="Arial" w:cs="Arial"/>
                          <w:sz w:val="20"/>
                        </w:rPr>
                      </w:pPr>
                    </w:p>
                  </w:txbxContent>
                </v:textbox>
              </v:shape>
            </w:pict>
          </mc:Fallback>
        </mc:AlternateContent>
      </w:r>
      <w:r w:rsidRPr="004A59B1">
        <w:rPr>
          <w:noProof/>
        </w:rPr>
        <mc:AlternateContent>
          <mc:Choice Requires="wps">
            <w:drawing>
              <wp:anchor distT="0" distB="0" distL="114300" distR="114300" simplePos="0" relativeHeight="251655168" behindDoc="0" locked="0" layoutInCell="1" allowOverlap="1" wp14:anchorId="5297AC20" wp14:editId="5297AC21">
                <wp:simplePos x="0" y="0"/>
                <wp:positionH relativeFrom="column">
                  <wp:posOffset>-288290</wp:posOffset>
                </wp:positionH>
                <wp:positionV relativeFrom="paragraph">
                  <wp:posOffset>105410</wp:posOffset>
                </wp:positionV>
                <wp:extent cx="335915" cy="223266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2326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97AC86" w14:textId="77777777" w:rsidR="00AD188A" w:rsidRPr="00A33DBA" w:rsidRDefault="00AD188A" w:rsidP="004D77BC">
                            <w:pPr>
                              <w:rPr>
                                <w:rFonts w:ascii="Arial" w:hAnsi="Arial" w:cs="Arial"/>
                                <w:sz w:val="20"/>
                              </w:rPr>
                            </w:pPr>
                            <w:r>
                              <w:rPr>
                                <w:rFonts w:ascii="Arial" w:hAnsi="Arial" w:cs="Arial"/>
                                <w:sz w:val="20"/>
                              </w:rPr>
                              <w:t>verjetnost  celotnega preživetja</w:t>
                            </w:r>
                          </w:p>
                          <w:p w14:paraId="5297AC87" w14:textId="77777777" w:rsidR="00AD188A" w:rsidRPr="00A33DBA" w:rsidRDefault="00AD188A" w:rsidP="006837B3">
                            <w:pPr>
                              <w:rPr>
                                <w:rFonts w:ascii="Arial" w:hAnsi="Arial" w:cs="Arial"/>
                                <w:sz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97AC20" id="_x0000_s1030" type="#_x0000_t202" style="position:absolute;margin-left:-22.7pt;margin-top:8.3pt;width:26.45pt;height:175.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" stroked="f">
                <v:fill opacity="0"/>
                <v:textbox style="layout-flow:vertical;mso-layout-flow-alt:bottom-to-top">
                  <w:txbxContent>
                    <w:p w14:paraId="5297AC86" w14:textId="77777777" w:rsidR="00AD188A" w:rsidRPr="00A33DBA" w:rsidRDefault="00AD188A" w:rsidP="004D77BC">
                      <w:pPr>
                        <w:rPr>
                          <w:rFonts w:ascii="Arial" w:hAnsi="Arial" w:cs="Arial"/>
                          <w:sz w:val="20"/>
                        </w:rPr>
                      </w:pPr>
                      <w:r>
                        <w:rPr>
                          <w:rFonts w:ascii="Arial" w:hAnsi="Arial" w:cs="Arial"/>
                          <w:sz w:val="20"/>
                        </w:rPr>
                        <w:t>verjetnost  celotnega preživetja</w:t>
                      </w:r>
                    </w:p>
                    <w:p w14:paraId="5297AC87" w14:textId="77777777" w:rsidR="00AD188A" w:rsidRPr="00A33DBA" w:rsidRDefault="00AD188A" w:rsidP="006837B3">
                      <w:pPr>
                        <w:rPr>
                          <w:rFonts w:ascii="Arial" w:hAnsi="Arial" w:cs="Arial"/>
                          <w:sz w:val="20"/>
                        </w:rPr>
                      </w:pPr>
                    </w:p>
                  </w:txbxContent>
                </v:textbox>
              </v:shape>
            </w:pict>
          </mc:Fallback>
        </mc:AlternateContent>
      </w:r>
      <w:r w:rsidRPr="004A59B1">
        <w:rPr>
          <w:noProof/>
        </w:rPr>
        <w:drawing>
          <wp:inline distT="0" distB="0" distL="0" distR="0" wp14:anchorId="5297AC22" wp14:editId="5297AC23">
            <wp:extent cx="5949315" cy="263461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9315" cy="2634615"/>
                    </a:xfrm>
                    <a:prstGeom prst="rect">
                      <a:avLst/>
                    </a:prstGeom>
                    <a:noFill/>
                    <a:ln>
                      <a:noFill/>
                    </a:ln>
                  </pic:spPr>
                </pic:pic>
              </a:graphicData>
            </a:graphic>
          </wp:inline>
        </w:drawing>
      </w:r>
    </w:p>
    <w:p w14:paraId="52979C43" w14:textId="77777777" w:rsidR="006837B3" w:rsidRPr="004A59B1" w:rsidRDefault="003B1E8C" w:rsidP="009C1193">
      <w:pPr>
        <w:pStyle w:val="Text"/>
        <w:keepNext/>
        <w:keepLines/>
        <w:widowControl w:val="0"/>
        <w:spacing w:before="0"/>
        <w:jc w:val="left"/>
        <w:rPr>
          <w:rFonts w:eastAsia="MS Mincho"/>
          <w:color w:val="000000"/>
          <w:lang w:eastAsia="ja-JP"/>
        </w:rPr>
      </w:pPr>
      <w:r w:rsidRPr="004A59B1">
        <w:rPr>
          <w:rFonts w:eastAsia="MS Mincho"/>
          <w:noProof/>
          <w:color w:val="000000"/>
        </w:rPr>
        <mc:AlternateContent>
          <mc:Choice Requires="wps">
            <w:drawing>
              <wp:anchor distT="0" distB="0" distL="114300" distR="114300" simplePos="0" relativeHeight="251657216" behindDoc="0" locked="0" layoutInCell="1" allowOverlap="1" wp14:anchorId="5297AC24" wp14:editId="5297AC25">
                <wp:simplePos x="0" y="0"/>
                <wp:positionH relativeFrom="column">
                  <wp:posOffset>1939290</wp:posOffset>
                </wp:positionH>
                <wp:positionV relativeFrom="paragraph">
                  <wp:posOffset>28575</wp:posOffset>
                </wp:positionV>
                <wp:extent cx="1924050" cy="30861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3086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97AC88" w14:textId="77777777" w:rsidR="00AD188A" w:rsidRPr="00A33DBA" w:rsidRDefault="00AD188A" w:rsidP="006837B3">
                            <w:pPr>
                              <w:rPr>
                                <w:rFonts w:ascii="Arial" w:hAnsi="Arial" w:cs="Arial"/>
                                <w:sz w:val="20"/>
                              </w:rPr>
                            </w:pPr>
                            <w:r>
                              <w:rPr>
                                <w:rFonts w:ascii="Arial" w:hAnsi="Arial" w:cs="Arial"/>
                                <w:sz w:val="20"/>
                                <w:lang w:val="de-DE"/>
                              </w:rPr>
                              <w:t>trajanje preživetja v mesecih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97AC24" id="_x0000_s1031" type="#_x0000_t202" style="position:absolute;margin-left:152.7pt;margin-top:2.25pt;width:151.5pt;height:24.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" stroked="f">
                <v:fill opacity="0"/>
                <v:textbox>
                  <w:txbxContent>
                    <w:p w14:paraId="5297AC88" w14:textId="77777777" w:rsidR="00AD188A" w:rsidRPr="00A33DBA" w:rsidRDefault="00AD188A" w:rsidP="006837B3">
                      <w:pPr>
                        <w:rPr>
                          <w:rFonts w:ascii="Arial" w:hAnsi="Arial" w:cs="Arial"/>
                          <w:sz w:val="20"/>
                        </w:rPr>
                      </w:pPr>
                      <w:r>
                        <w:rPr>
                          <w:rFonts w:ascii="Arial" w:hAnsi="Arial" w:cs="Arial"/>
                          <w:sz w:val="20"/>
                          <w:lang w:val="de-DE"/>
                        </w:rPr>
                        <w:t>trajanje preživetja v mesecih</w:t>
                      </w:r>
                    </w:p>
                  </w:txbxContent>
                </v:textbox>
              </v:shape>
            </w:pict>
          </mc:Fallback>
        </mc:AlternateContent>
      </w:r>
    </w:p>
    <w:p w14:paraId="52979C44" w14:textId="77777777" w:rsidR="006837B3" w:rsidRPr="004A59B1" w:rsidRDefault="006837B3" w:rsidP="009C1193">
      <w:pPr>
        <w:pStyle w:val="Text"/>
        <w:keepNext/>
        <w:keepLines/>
        <w:widowControl w:val="0"/>
        <w:spacing w:before="0"/>
        <w:jc w:val="left"/>
        <w:rPr>
          <w:rFonts w:eastAsia="MS Mincho"/>
          <w:color w:val="000000"/>
          <w:lang w:eastAsia="ja-JP"/>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6837B3" w:rsidRPr="004A59B1" w14:paraId="52979C46" w14:textId="77777777" w:rsidTr="00957544">
        <w:tc>
          <w:tcPr>
            <w:tcW w:w="10632" w:type="dxa"/>
            <w:gridSpan w:val="16"/>
            <w:shd w:val="clear" w:color="auto" w:fill="auto"/>
          </w:tcPr>
          <w:p w14:paraId="52979C45" w14:textId="77777777" w:rsidR="006837B3" w:rsidRPr="004A59B1" w:rsidRDefault="004D77BC" w:rsidP="009C1193">
            <w:pPr>
              <w:keepNext/>
              <w:keepLines/>
              <w:widowControl w:val="0"/>
              <w:ind w:left="-27"/>
              <w:rPr>
                <w:rFonts w:ascii="Arial" w:hAnsi="Arial" w:cs="Arial"/>
                <w:sz w:val="16"/>
                <w:szCs w:val="16"/>
              </w:rPr>
            </w:pPr>
            <w:r w:rsidRPr="004A59B1">
              <w:rPr>
                <w:rFonts w:ascii="Arial" w:hAnsi="Arial" w:cs="Arial"/>
                <w:sz w:val="20"/>
              </w:rPr>
              <w:t>število tveganju izpostavljenih bolnikov : število dogodkov</w:t>
            </w:r>
          </w:p>
        </w:tc>
      </w:tr>
      <w:tr w:rsidR="006837B3" w:rsidRPr="004A59B1" w14:paraId="52979C57" w14:textId="77777777" w:rsidTr="006837B3">
        <w:tc>
          <w:tcPr>
            <w:tcW w:w="450" w:type="dxa"/>
            <w:shd w:val="clear" w:color="auto" w:fill="auto"/>
          </w:tcPr>
          <w:p w14:paraId="52979C47" w14:textId="77777777" w:rsidR="006837B3" w:rsidRPr="004A59B1" w:rsidRDefault="006837B3" w:rsidP="009C1193">
            <w:pPr>
              <w:keepNext/>
              <w:keepLines/>
              <w:widowControl w:val="0"/>
              <w:rPr>
                <w:sz w:val="20"/>
              </w:rPr>
            </w:pPr>
            <w:r w:rsidRPr="004A59B1">
              <w:rPr>
                <w:sz w:val="20"/>
              </w:rPr>
              <w:t>(1)</w:t>
            </w:r>
          </w:p>
        </w:tc>
        <w:tc>
          <w:tcPr>
            <w:tcW w:w="687" w:type="dxa"/>
            <w:shd w:val="clear" w:color="auto" w:fill="auto"/>
          </w:tcPr>
          <w:p w14:paraId="52979C48" w14:textId="77777777" w:rsidR="006837B3" w:rsidRPr="004A59B1" w:rsidRDefault="006837B3" w:rsidP="009C1193">
            <w:pPr>
              <w:keepNext/>
              <w:keepLines/>
              <w:widowControl w:val="0"/>
              <w:ind w:left="-45"/>
              <w:rPr>
                <w:sz w:val="20"/>
              </w:rPr>
            </w:pPr>
            <w:r w:rsidRPr="004A59B1">
              <w:rPr>
                <w:sz w:val="20"/>
              </w:rPr>
              <w:t>199:0</w:t>
            </w:r>
          </w:p>
        </w:tc>
        <w:tc>
          <w:tcPr>
            <w:tcW w:w="670" w:type="dxa"/>
            <w:shd w:val="clear" w:color="auto" w:fill="auto"/>
          </w:tcPr>
          <w:p w14:paraId="52979C49" w14:textId="77777777" w:rsidR="006837B3" w:rsidRPr="004A59B1" w:rsidRDefault="006837B3" w:rsidP="009C1193">
            <w:pPr>
              <w:keepNext/>
              <w:keepLines/>
              <w:widowControl w:val="0"/>
              <w:ind w:left="-45"/>
              <w:rPr>
                <w:sz w:val="20"/>
              </w:rPr>
            </w:pPr>
            <w:r w:rsidRPr="004A59B1">
              <w:rPr>
                <w:sz w:val="20"/>
              </w:rPr>
              <w:t>190:2</w:t>
            </w:r>
          </w:p>
        </w:tc>
        <w:tc>
          <w:tcPr>
            <w:tcW w:w="710" w:type="dxa"/>
            <w:shd w:val="clear" w:color="auto" w:fill="auto"/>
          </w:tcPr>
          <w:p w14:paraId="52979C4A" w14:textId="77777777" w:rsidR="006837B3" w:rsidRPr="004A59B1" w:rsidRDefault="006837B3" w:rsidP="009C1193">
            <w:pPr>
              <w:keepNext/>
              <w:keepLines/>
              <w:widowControl w:val="0"/>
              <w:ind w:left="-45"/>
              <w:rPr>
                <w:sz w:val="20"/>
              </w:rPr>
            </w:pPr>
            <w:r w:rsidRPr="004A59B1">
              <w:rPr>
                <w:sz w:val="20"/>
              </w:rPr>
              <w:t>188:2</w:t>
            </w:r>
          </w:p>
        </w:tc>
        <w:tc>
          <w:tcPr>
            <w:tcW w:w="717" w:type="dxa"/>
            <w:shd w:val="clear" w:color="auto" w:fill="auto"/>
          </w:tcPr>
          <w:p w14:paraId="52979C4B" w14:textId="77777777" w:rsidR="006837B3" w:rsidRPr="004A59B1" w:rsidRDefault="006837B3" w:rsidP="009C1193">
            <w:pPr>
              <w:keepNext/>
              <w:keepLines/>
              <w:widowControl w:val="0"/>
              <w:ind w:left="-45"/>
              <w:rPr>
                <w:sz w:val="20"/>
              </w:rPr>
            </w:pPr>
            <w:r w:rsidRPr="004A59B1">
              <w:rPr>
                <w:sz w:val="20"/>
              </w:rPr>
              <w:t>183:6</w:t>
            </w:r>
          </w:p>
        </w:tc>
        <w:tc>
          <w:tcPr>
            <w:tcW w:w="691" w:type="dxa"/>
            <w:shd w:val="clear" w:color="auto" w:fill="auto"/>
          </w:tcPr>
          <w:p w14:paraId="52979C4C" w14:textId="77777777" w:rsidR="006837B3" w:rsidRPr="004A59B1" w:rsidRDefault="006837B3" w:rsidP="009C1193">
            <w:pPr>
              <w:keepNext/>
              <w:keepLines/>
              <w:widowControl w:val="0"/>
              <w:ind w:left="-45"/>
              <w:rPr>
                <w:sz w:val="20"/>
              </w:rPr>
            </w:pPr>
            <w:r w:rsidRPr="004A59B1">
              <w:rPr>
                <w:sz w:val="20"/>
              </w:rPr>
              <w:t>176:8</w:t>
            </w:r>
          </w:p>
        </w:tc>
        <w:tc>
          <w:tcPr>
            <w:tcW w:w="770" w:type="dxa"/>
            <w:shd w:val="clear" w:color="auto" w:fill="auto"/>
          </w:tcPr>
          <w:p w14:paraId="52979C4D" w14:textId="77777777" w:rsidR="006837B3" w:rsidRPr="004A59B1" w:rsidRDefault="006837B3" w:rsidP="009C1193">
            <w:pPr>
              <w:keepNext/>
              <w:keepLines/>
              <w:widowControl w:val="0"/>
              <w:ind w:left="-45"/>
              <w:rPr>
                <w:sz w:val="20"/>
              </w:rPr>
            </w:pPr>
            <w:r w:rsidRPr="004A59B1">
              <w:rPr>
                <w:sz w:val="20"/>
              </w:rPr>
              <w:t>156:10</w:t>
            </w:r>
          </w:p>
        </w:tc>
        <w:tc>
          <w:tcPr>
            <w:tcW w:w="779" w:type="dxa"/>
            <w:shd w:val="clear" w:color="auto" w:fill="auto"/>
          </w:tcPr>
          <w:p w14:paraId="52979C4E" w14:textId="77777777" w:rsidR="006837B3" w:rsidRPr="004A59B1" w:rsidRDefault="006837B3" w:rsidP="009C1193">
            <w:pPr>
              <w:keepNext/>
              <w:keepLines/>
              <w:widowControl w:val="0"/>
              <w:ind w:left="-45"/>
              <w:rPr>
                <w:sz w:val="20"/>
              </w:rPr>
            </w:pPr>
            <w:r w:rsidRPr="004A59B1">
              <w:rPr>
                <w:sz w:val="20"/>
              </w:rPr>
              <w:t>140:11</w:t>
            </w:r>
          </w:p>
        </w:tc>
        <w:tc>
          <w:tcPr>
            <w:tcW w:w="794" w:type="dxa"/>
            <w:shd w:val="clear" w:color="auto" w:fill="auto"/>
          </w:tcPr>
          <w:p w14:paraId="52979C4F" w14:textId="77777777" w:rsidR="006837B3" w:rsidRPr="004A59B1" w:rsidRDefault="006837B3" w:rsidP="009C1193">
            <w:pPr>
              <w:keepNext/>
              <w:keepLines/>
              <w:widowControl w:val="0"/>
              <w:ind w:left="-45"/>
              <w:rPr>
                <w:sz w:val="20"/>
              </w:rPr>
            </w:pPr>
            <w:r w:rsidRPr="004A59B1">
              <w:rPr>
                <w:sz w:val="20"/>
              </w:rPr>
              <w:t>105:14</w:t>
            </w:r>
          </w:p>
        </w:tc>
        <w:tc>
          <w:tcPr>
            <w:tcW w:w="653" w:type="dxa"/>
            <w:shd w:val="clear" w:color="auto" w:fill="auto"/>
          </w:tcPr>
          <w:p w14:paraId="52979C50" w14:textId="77777777" w:rsidR="006837B3" w:rsidRPr="004A59B1" w:rsidRDefault="006837B3" w:rsidP="009C1193">
            <w:pPr>
              <w:keepNext/>
              <w:keepLines/>
              <w:widowControl w:val="0"/>
              <w:ind w:left="-45"/>
              <w:rPr>
                <w:sz w:val="20"/>
              </w:rPr>
            </w:pPr>
            <w:r w:rsidRPr="004A59B1">
              <w:rPr>
                <w:sz w:val="20"/>
              </w:rPr>
              <w:t>87:18</w:t>
            </w:r>
          </w:p>
        </w:tc>
        <w:tc>
          <w:tcPr>
            <w:tcW w:w="630" w:type="dxa"/>
            <w:shd w:val="clear" w:color="auto" w:fill="auto"/>
          </w:tcPr>
          <w:p w14:paraId="52979C51" w14:textId="77777777" w:rsidR="006837B3" w:rsidRPr="004A59B1" w:rsidRDefault="006837B3" w:rsidP="009C1193">
            <w:pPr>
              <w:keepNext/>
              <w:keepLines/>
              <w:widowControl w:val="0"/>
              <w:ind w:left="-45"/>
              <w:rPr>
                <w:sz w:val="20"/>
              </w:rPr>
            </w:pPr>
            <w:r w:rsidRPr="004A59B1">
              <w:rPr>
                <w:sz w:val="20"/>
              </w:rPr>
              <w:t>64:22</w:t>
            </w:r>
          </w:p>
        </w:tc>
        <w:tc>
          <w:tcPr>
            <w:tcW w:w="643" w:type="dxa"/>
            <w:shd w:val="clear" w:color="auto" w:fill="auto"/>
          </w:tcPr>
          <w:p w14:paraId="52979C52" w14:textId="77777777" w:rsidR="006837B3" w:rsidRPr="004A59B1" w:rsidRDefault="006837B3" w:rsidP="009C1193">
            <w:pPr>
              <w:keepNext/>
              <w:keepLines/>
              <w:widowControl w:val="0"/>
              <w:ind w:left="-45"/>
              <w:rPr>
                <w:sz w:val="20"/>
              </w:rPr>
            </w:pPr>
            <w:r w:rsidRPr="004A59B1">
              <w:rPr>
                <w:sz w:val="20"/>
              </w:rPr>
              <w:t>46:23</w:t>
            </w:r>
          </w:p>
        </w:tc>
        <w:tc>
          <w:tcPr>
            <w:tcW w:w="670" w:type="dxa"/>
            <w:shd w:val="clear" w:color="auto" w:fill="auto"/>
          </w:tcPr>
          <w:p w14:paraId="52979C53" w14:textId="77777777" w:rsidR="006837B3" w:rsidRPr="004A59B1" w:rsidRDefault="006837B3" w:rsidP="009C1193">
            <w:pPr>
              <w:keepNext/>
              <w:keepLines/>
              <w:widowControl w:val="0"/>
              <w:ind w:left="-45"/>
              <w:rPr>
                <w:sz w:val="20"/>
              </w:rPr>
            </w:pPr>
            <w:r w:rsidRPr="004A59B1">
              <w:rPr>
                <w:sz w:val="20"/>
              </w:rPr>
              <w:t>27:25</w:t>
            </w:r>
          </w:p>
        </w:tc>
        <w:tc>
          <w:tcPr>
            <w:tcW w:w="683" w:type="dxa"/>
            <w:shd w:val="clear" w:color="auto" w:fill="auto"/>
          </w:tcPr>
          <w:p w14:paraId="52979C54" w14:textId="77777777" w:rsidR="006837B3" w:rsidRPr="004A59B1" w:rsidRDefault="006837B3" w:rsidP="009C1193">
            <w:pPr>
              <w:keepNext/>
              <w:keepLines/>
              <w:widowControl w:val="0"/>
              <w:ind w:left="-45"/>
              <w:rPr>
                <w:sz w:val="20"/>
              </w:rPr>
            </w:pPr>
            <w:r w:rsidRPr="004A59B1">
              <w:rPr>
                <w:sz w:val="20"/>
              </w:rPr>
              <w:t>20:25</w:t>
            </w:r>
          </w:p>
        </w:tc>
        <w:tc>
          <w:tcPr>
            <w:tcW w:w="558" w:type="dxa"/>
            <w:shd w:val="clear" w:color="auto" w:fill="auto"/>
          </w:tcPr>
          <w:p w14:paraId="52979C55" w14:textId="77777777" w:rsidR="006837B3" w:rsidRPr="004A59B1" w:rsidRDefault="006837B3" w:rsidP="009C1193">
            <w:pPr>
              <w:keepNext/>
              <w:keepLines/>
              <w:widowControl w:val="0"/>
              <w:ind w:left="-45"/>
              <w:rPr>
                <w:sz w:val="20"/>
              </w:rPr>
            </w:pPr>
            <w:r w:rsidRPr="004A59B1">
              <w:rPr>
                <w:sz w:val="20"/>
              </w:rPr>
              <w:t>2:25</w:t>
            </w:r>
          </w:p>
        </w:tc>
        <w:tc>
          <w:tcPr>
            <w:tcW w:w="527" w:type="dxa"/>
            <w:shd w:val="clear" w:color="auto" w:fill="auto"/>
          </w:tcPr>
          <w:p w14:paraId="52979C56" w14:textId="77777777" w:rsidR="006837B3" w:rsidRPr="004A59B1" w:rsidRDefault="006837B3" w:rsidP="009C1193">
            <w:pPr>
              <w:keepNext/>
              <w:keepLines/>
              <w:widowControl w:val="0"/>
              <w:ind w:left="-45"/>
              <w:rPr>
                <w:sz w:val="20"/>
              </w:rPr>
            </w:pPr>
            <w:r w:rsidRPr="004A59B1">
              <w:rPr>
                <w:sz w:val="20"/>
              </w:rPr>
              <w:t>0:25</w:t>
            </w:r>
          </w:p>
        </w:tc>
      </w:tr>
      <w:tr w:rsidR="006837B3" w:rsidRPr="004A59B1" w14:paraId="52979C68" w14:textId="77777777" w:rsidTr="006837B3">
        <w:tc>
          <w:tcPr>
            <w:tcW w:w="450" w:type="dxa"/>
            <w:shd w:val="clear" w:color="auto" w:fill="auto"/>
          </w:tcPr>
          <w:p w14:paraId="52979C58" w14:textId="77777777" w:rsidR="006837B3" w:rsidRPr="004A59B1" w:rsidRDefault="006837B3" w:rsidP="009C1193">
            <w:pPr>
              <w:keepNext/>
              <w:keepLines/>
              <w:widowControl w:val="0"/>
              <w:rPr>
                <w:sz w:val="20"/>
              </w:rPr>
            </w:pPr>
            <w:r w:rsidRPr="004A59B1">
              <w:rPr>
                <w:sz w:val="20"/>
              </w:rPr>
              <w:t>(2)</w:t>
            </w:r>
          </w:p>
        </w:tc>
        <w:tc>
          <w:tcPr>
            <w:tcW w:w="687" w:type="dxa"/>
            <w:shd w:val="clear" w:color="auto" w:fill="auto"/>
          </w:tcPr>
          <w:p w14:paraId="52979C59" w14:textId="77777777" w:rsidR="006837B3" w:rsidRPr="004A59B1" w:rsidRDefault="006837B3" w:rsidP="009C1193">
            <w:pPr>
              <w:keepNext/>
              <w:keepLines/>
              <w:widowControl w:val="0"/>
              <w:ind w:left="-45"/>
              <w:rPr>
                <w:sz w:val="20"/>
              </w:rPr>
            </w:pPr>
            <w:r w:rsidRPr="004A59B1">
              <w:rPr>
                <w:sz w:val="20"/>
              </w:rPr>
              <w:t>198:0</w:t>
            </w:r>
          </w:p>
        </w:tc>
        <w:tc>
          <w:tcPr>
            <w:tcW w:w="670" w:type="dxa"/>
            <w:shd w:val="clear" w:color="auto" w:fill="auto"/>
          </w:tcPr>
          <w:p w14:paraId="52979C5A" w14:textId="77777777" w:rsidR="006837B3" w:rsidRPr="004A59B1" w:rsidRDefault="006837B3" w:rsidP="009C1193">
            <w:pPr>
              <w:keepNext/>
              <w:keepLines/>
              <w:widowControl w:val="0"/>
              <w:ind w:left="-45"/>
              <w:rPr>
                <w:sz w:val="20"/>
              </w:rPr>
            </w:pPr>
            <w:r w:rsidRPr="004A59B1">
              <w:rPr>
                <w:sz w:val="20"/>
              </w:rPr>
              <w:t>196:0</w:t>
            </w:r>
          </w:p>
        </w:tc>
        <w:tc>
          <w:tcPr>
            <w:tcW w:w="710" w:type="dxa"/>
            <w:shd w:val="clear" w:color="auto" w:fill="auto"/>
          </w:tcPr>
          <w:p w14:paraId="52979C5B" w14:textId="77777777" w:rsidR="006837B3" w:rsidRPr="004A59B1" w:rsidRDefault="006837B3" w:rsidP="009C1193">
            <w:pPr>
              <w:keepNext/>
              <w:keepLines/>
              <w:widowControl w:val="0"/>
              <w:ind w:left="-45"/>
              <w:rPr>
                <w:sz w:val="20"/>
              </w:rPr>
            </w:pPr>
            <w:r w:rsidRPr="004A59B1">
              <w:rPr>
                <w:sz w:val="20"/>
              </w:rPr>
              <w:t>192:0</w:t>
            </w:r>
          </w:p>
        </w:tc>
        <w:tc>
          <w:tcPr>
            <w:tcW w:w="717" w:type="dxa"/>
            <w:shd w:val="clear" w:color="auto" w:fill="auto"/>
          </w:tcPr>
          <w:p w14:paraId="52979C5C" w14:textId="77777777" w:rsidR="006837B3" w:rsidRPr="004A59B1" w:rsidRDefault="006837B3" w:rsidP="009C1193">
            <w:pPr>
              <w:keepNext/>
              <w:keepLines/>
              <w:widowControl w:val="0"/>
              <w:ind w:left="-45"/>
              <w:rPr>
                <w:sz w:val="20"/>
              </w:rPr>
            </w:pPr>
            <w:r w:rsidRPr="004A59B1">
              <w:rPr>
                <w:sz w:val="20"/>
              </w:rPr>
              <w:t>187:4</w:t>
            </w:r>
          </w:p>
        </w:tc>
        <w:tc>
          <w:tcPr>
            <w:tcW w:w="691" w:type="dxa"/>
            <w:shd w:val="clear" w:color="auto" w:fill="auto"/>
          </w:tcPr>
          <w:p w14:paraId="52979C5D" w14:textId="77777777" w:rsidR="006837B3" w:rsidRPr="004A59B1" w:rsidRDefault="006837B3" w:rsidP="009C1193">
            <w:pPr>
              <w:keepNext/>
              <w:keepLines/>
              <w:widowControl w:val="0"/>
              <w:ind w:left="-45"/>
              <w:rPr>
                <w:sz w:val="20"/>
              </w:rPr>
            </w:pPr>
            <w:r w:rsidRPr="004A59B1">
              <w:rPr>
                <w:sz w:val="20"/>
              </w:rPr>
              <w:t>184:5</w:t>
            </w:r>
          </w:p>
        </w:tc>
        <w:tc>
          <w:tcPr>
            <w:tcW w:w="770" w:type="dxa"/>
            <w:shd w:val="clear" w:color="auto" w:fill="auto"/>
          </w:tcPr>
          <w:p w14:paraId="52979C5E" w14:textId="77777777" w:rsidR="006837B3" w:rsidRPr="004A59B1" w:rsidRDefault="006837B3" w:rsidP="009C1193">
            <w:pPr>
              <w:keepNext/>
              <w:keepLines/>
              <w:widowControl w:val="0"/>
              <w:ind w:left="-45"/>
              <w:rPr>
                <w:sz w:val="20"/>
              </w:rPr>
            </w:pPr>
            <w:r w:rsidRPr="004A59B1">
              <w:rPr>
                <w:sz w:val="20"/>
              </w:rPr>
              <w:t>164:7</w:t>
            </w:r>
          </w:p>
        </w:tc>
        <w:tc>
          <w:tcPr>
            <w:tcW w:w="779" w:type="dxa"/>
            <w:shd w:val="clear" w:color="auto" w:fill="auto"/>
          </w:tcPr>
          <w:p w14:paraId="52979C5F" w14:textId="77777777" w:rsidR="006837B3" w:rsidRPr="004A59B1" w:rsidRDefault="006837B3" w:rsidP="009C1193">
            <w:pPr>
              <w:keepNext/>
              <w:keepLines/>
              <w:widowControl w:val="0"/>
              <w:ind w:left="-45"/>
              <w:rPr>
                <w:sz w:val="20"/>
              </w:rPr>
            </w:pPr>
            <w:r w:rsidRPr="004A59B1">
              <w:rPr>
                <w:sz w:val="20"/>
              </w:rPr>
              <w:t>152:7</w:t>
            </w:r>
          </w:p>
        </w:tc>
        <w:tc>
          <w:tcPr>
            <w:tcW w:w="794" w:type="dxa"/>
            <w:shd w:val="clear" w:color="auto" w:fill="auto"/>
          </w:tcPr>
          <w:p w14:paraId="52979C60" w14:textId="77777777" w:rsidR="006837B3" w:rsidRPr="004A59B1" w:rsidRDefault="006837B3" w:rsidP="009C1193">
            <w:pPr>
              <w:keepNext/>
              <w:keepLines/>
              <w:widowControl w:val="0"/>
              <w:ind w:left="-45"/>
              <w:rPr>
                <w:sz w:val="20"/>
              </w:rPr>
            </w:pPr>
            <w:r w:rsidRPr="004A59B1">
              <w:rPr>
                <w:sz w:val="20"/>
              </w:rPr>
              <w:t>119:8</w:t>
            </w:r>
          </w:p>
        </w:tc>
        <w:tc>
          <w:tcPr>
            <w:tcW w:w="653" w:type="dxa"/>
            <w:shd w:val="clear" w:color="auto" w:fill="auto"/>
          </w:tcPr>
          <w:p w14:paraId="52979C61" w14:textId="77777777" w:rsidR="006837B3" w:rsidRPr="004A59B1" w:rsidRDefault="006837B3" w:rsidP="009C1193">
            <w:pPr>
              <w:keepNext/>
              <w:keepLines/>
              <w:widowControl w:val="0"/>
              <w:ind w:left="-45"/>
              <w:rPr>
                <w:sz w:val="20"/>
              </w:rPr>
            </w:pPr>
            <w:r w:rsidRPr="004A59B1">
              <w:rPr>
                <w:sz w:val="20"/>
              </w:rPr>
              <w:t>100:8</w:t>
            </w:r>
          </w:p>
        </w:tc>
        <w:tc>
          <w:tcPr>
            <w:tcW w:w="630" w:type="dxa"/>
            <w:shd w:val="clear" w:color="auto" w:fill="auto"/>
          </w:tcPr>
          <w:p w14:paraId="52979C62" w14:textId="77777777" w:rsidR="006837B3" w:rsidRPr="004A59B1" w:rsidRDefault="006837B3" w:rsidP="009C1193">
            <w:pPr>
              <w:keepNext/>
              <w:keepLines/>
              <w:widowControl w:val="0"/>
              <w:ind w:left="-45"/>
              <w:rPr>
                <w:sz w:val="20"/>
              </w:rPr>
            </w:pPr>
            <w:r w:rsidRPr="004A59B1">
              <w:rPr>
                <w:sz w:val="20"/>
              </w:rPr>
              <w:t>76:10</w:t>
            </w:r>
          </w:p>
        </w:tc>
        <w:tc>
          <w:tcPr>
            <w:tcW w:w="643" w:type="dxa"/>
            <w:shd w:val="clear" w:color="auto" w:fill="auto"/>
          </w:tcPr>
          <w:p w14:paraId="52979C63" w14:textId="77777777" w:rsidR="006837B3" w:rsidRPr="004A59B1" w:rsidRDefault="006837B3" w:rsidP="009C1193">
            <w:pPr>
              <w:keepNext/>
              <w:keepLines/>
              <w:widowControl w:val="0"/>
              <w:ind w:left="-45"/>
              <w:rPr>
                <w:sz w:val="20"/>
              </w:rPr>
            </w:pPr>
            <w:r w:rsidRPr="004A59B1">
              <w:rPr>
                <w:sz w:val="20"/>
              </w:rPr>
              <w:t>56:11</w:t>
            </w:r>
          </w:p>
        </w:tc>
        <w:tc>
          <w:tcPr>
            <w:tcW w:w="670" w:type="dxa"/>
            <w:shd w:val="clear" w:color="auto" w:fill="auto"/>
          </w:tcPr>
          <w:p w14:paraId="52979C64" w14:textId="77777777" w:rsidR="006837B3" w:rsidRPr="004A59B1" w:rsidRDefault="006837B3" w:rsidP="009C1193">
            <w:pPr>
              <w:keepNext/>
              <w:keepLines/>
              <w:widowControl w:val="0"/>
              <w:ind w:left="-45"/>
              <w:rPr>
                <w:sz w:val="20"/>
              </w:rPr>
            </w:pPr>
            <w:r w:rsidRPr="004A59B1">
              <w:rPr>
                <w:sz w:val="20"/>
              </w:rPr>
              <w:t>31:11</w:t>
            </w:r>
          </w:p>
        </w:tc>
        <w:tc>
          <w:tcPr>
            <w:tcW w:w="683" w:type="dxa"/>
            <w:shd w:val="clear" w:color="auto" w:fill="auto"/>
          </w:tcPr>
          <w:p w14:paraId="52979C65" w14:textId="77777777" w:rsidR="006837B3" w:rsidRPr="004A59B1" w:rsidRDefault="006837B3" w:rsidP="009C1193">
            <w:pPr>
              <w:keepNext/>
              <w:keepLines/>
              <w:widowControl w:val="0"/>
              <w:ind w:left="-45"/>
              <w:rPr>
                <w:sz w:val="20"/>
              </w:rPr>
            </w:pPr>
            <w:r w:rsidRPr="004A59B1">
              <w:rPr>
                <w:sz w:val="20"/>
              </w:rPr>
              <w:t>13:12</w:t>
            </w:r>
          </w:p>
        </w:tc>
        <w:tc>
          <w:tcPr>
            <w:tcW w:w="558" w:type="dxa"/>
            <w:shd w:val="clear" w:color="auto" w:fill="auto"/>
          </w:tcPr>
          <w:p w14:paraId="52979C66" w14:textId="77777777" w:rsidR="006837B3" w:rsidRPr="004A59B1" w:rsidRDefault="00857568" w:rsidP="009C1193">
            <w:pPr>
              <w:keepNext/>
              <w:keepLines/>
              <w:widowControl w:val="0"/>
              <w:ind w:left="-45"/>
              <w:rPr>
                <w:sz w:val="20"/>
              </w:rPr>
            </w:pPr>
            <w:r w:rsidRPr="004A59B1">
              <w:rPr>
                <w:sz w:val="20"/>
              </w:rPr>
              <w:t>0</w:t>
            </w:r>
            <w:r w:rsidR="006837B3" w:rsidRPr="004A59B1">
              <w:rPr>
                <w:sz w:val="20"/>
              </w:rPr>
              <w:t>:12</w:t>
            </w:r>
          </w:p>
        </w:tc>
        <w:tc>
          <w:tcPr>
            <w:tcW w:w="527" w:type="dxa"/>
            <w:shd w:val="clear" w:color="auto" w:fill="auto"/>
          </w:tcPr>
          <w:p w14:paraId="52979C67" w14:textId="77777777" w:rsidR="006837B3" w:rsidRPr="004A59B1" w:rsidRDefault="006837B3" w:rsidP="009C1193">
            <w:pPr>
              <w:keepNext/>
              <w:keepLines/>
              <w:widowControl w:val="0"/>
              <w:ind w:left="-45"/>
              <w:rPr>
                <w:sz w:val="20"/>
              </w:rPr>
            </w:pPr>
          </w:p>
        </w:tc>
      </w:tr>
    </w:tbl>
    <w:p w14:paraId="52979C69" w14:textId="77777777" w:rsidR="006837B3" w:rsidRPr="004A59B1" w:rsidRDefault="006837B3" w:rsidP="009C1193">
      <w:pPr>
        <w:pStyle w:val="Text"/>
        <w:widowControl w:val="0"/>
        <w:spacing w:before="0"/>
        <w:jc w:val="left"/>
        <w:rPr>
          <w:rFonts w:eastAsia="MS Mincho"/>
          <w:color w:val="000000"/>
          <w:lang w:eastAsia="ja-JP"/>
        </w:rPr>
      </w:pPr>
    </w:p>
    <w:p w14:paraId="52979C6A" w14:textId="77777777" w:rsidR="009231B2" w:rsidRPr="004A59B1" w:rsidRDefault="003F317D" w:rsidP="009C1193">
      <w:pPr>
        <w:pStyle w:val="Text"/>
        <w:widowControl w:val="0"/>
        <w:spacing w:before="0"/>
        <w:jc w:val="left"/>
        <w:rPr>
          <w:rStyle w:val="CommentReference"/>
          <w:sz w:val="22"/>
          <w:szCs w:val="22"/>
          <w:lang w:val="sl-SI"/>
        </w:rPr>
      </w:pPr>
      <w:r w:rsidRPr="004A59B1">
        <w:rPr>
          <w:color w:val="000000"/>
          <w:sz w:val="22"/>
          <w:szCs w:val="22"/>
          <w:lang w:val="sl-SI"/>
        </w:rPr>
        <w:t xml:space="preserve">Pri pediatričnih bolnikih s </w:t>
      </w:r>
      <w:r w:rsidR="0056133E" w:rsidRPr="004A59B1">
        <w:rPr>
          <w:color w:val="000000"/>
          <w:sz w:val="22"/>
          <w:szCs w:val="22"/>
          <w:lang w:val="sl-SI"/>
        </w:rPr>
        <w:t>c-</w:t>
      </w:r>
      <w:r w:rsidRPr="004A59B1">
        <w:rPr>
          <w:color w:val="000000"/>
          <w:sz w:val="22"/>
          <w:szCs w:val="22"/>
          <w:lang w:val="sl-SI"/>
        </w:rPr>
        <w:t>Kit-pozitivnim GIST niso opravili nobene</w:t>
      </w:r>
      <w:r w:rsidR="004F22E9" w:rsidRPr="004A59B1">
        <w:rPr>
          <w:color w:val="000000"/>
          <w:sz w:val="22"/>
          <w:szCs w:val="22"/>
          <w:lang w:val="sl-SI"/>
        </w:rPr>
        <w:t>ga</w:t>
      </w:r>
      <w:r w:rsidRPr="004A59B1">
        <w:rPr>
          <w:color w:val="000000"/>
          <w:sz w:val="22"/>
          <w:szCs w:val="22"/>
          <w:lang w:val="sl-SI"/>
        </w:rPr>
        <w:t xml:space="preserve"> kontrolirane</w:t>
      </w:r>
      <w:r w:rsidR="004F22E9" w:rsidRPr="004A59B1">
        <w:rPr>
          <w:color w:val="000000"/>
          <w:sz w:val="22"/>
          <w:szCs w:val="22"/>
          <w:lang w:val="sl-SI"/>
        </w:rPr>
        <w:t>ga</w:t>
      </w:r>
      <w:r w:rsidRPr="004A59B1">
        <w:rPr>
          <w:color w:val="000000"/>
          <w:sz w:val="22"/>
          <w:szCs w:val="22"/>
          <w:lang w:val="sl-SI"/>
        </w:rPr>
        <w:t xml:space="preserve"> </w:t>
      </w:r>
      <w:r w:rsidR="004F22E9" w:rsidRPr="004A59B1">
        <w:rPr>
          <w:color w:val="000000"/>
          <w:sz w:val="22"/>
          <w:szCs w:val="22"/>
          <w:lang w:val="sl-SI"/>
        </w:rPr>
        <w:t>preskušanja</w:t>
      </w:r>
      <w:r w:rsidRPr="004A59B1">
        <w:rPr>
          <w:color w:val="000000"/>
          <w:sz w:val="22"/>
          <w:szCs w:val="22"/>
          <w:lang w:val="sl-SI"/>
        </w:rPr>
        <w:t xml:space="preserve">. V 7 publikacijah so objavljeni podatki </w:t>
      </w:r>
      <w:r w:rsidR="00421499" w:rsidRPr="004A59B1">
        <w:rPr>
          <w:color w:val="000000"/>
          <w:sz w:val="22"/>
          <w:szCs w:val="22"/>
          <w:lang w:val="sl-SI"/>
        </w:rPr>
        <w:t>sedemnajstih (</w:t>
      </w:r>
      <w:r w:rsidRPr="004A59B1">
        <w:rPr>
          <w:color w:val="000000"/>
          <w:sz w:val="22"/>
          <w:szCs w:val="22"/>
          <w:lang w:val="sl-SI"/>
        </w:rPr>
        <w:t>17</w:t>
      </w:r>
      <w:r w:rsidR="00421499" w:rsidRPr="004A59B1">
        <w:rPr>
          <w:color w:val="000000"/>
          <w:sz w:val="22"/>
          <w:szCs w:val="22"/>
          <w:lang w:val="sl-SI"/>
        </w:rPr>
        <w:t>)</w:t>
      </w:r>
      <w:r w:rsidRPr="004A59B1">
        <w:rPr>
          <w:color w:val="000000"/>
          <w:sz w:val="22"/>
          <w:szCs w:val="22"/>
          <w:lang w:val="sl-SI"/>
        </w:rPr>
        <w:t xml:space="preserve"> bolnikov </w:t>
      </w:r>
      <w:r w:rsidRPr="004A59B1">
        <w:rPr>
          <w:rFonts w:eastAsia="MS Mincho"/>
          <w:color w:val="000000"/>
          <w:sz w:val="22"/>
          <w:szCs w:val="22"/>
          <w:lang w:val="sl-SI" w:eastAsia="ja-JP"/>
        </w:rPr>
        <w:t xml:space="preserve">z GIST (z mutacijo genov Kit </w:t>
      </w:r>
      <w:r w:rsidR="00113358" w:rsidRPr="004A59B1">
        <w:rPr>
          <w:rFonts w:eastAsia="MS Mincho"/>
          <w:color w:val="000000"/>
          <w:sz w:val="22"/>
          <w:szCs w:val="22"/>
          <w:lang w:val="sl-SI" w:eastAsia="ja-JP"/>
        </w:rPr>
        <w:t>oziroma</w:t>
      </w:r>
      <w:r w:rsidRPr="004A59B1">
        <w:rPr>
          <w:rFonts w:eastAsia="MS Mincho"/>
          <w:color w:val="000000"/>
          <w:sz w:val="22"/>
          <w:szCs w:val="22"/>
          <w:lang w:val="sl-SI" w:eastAsia="ja-JP"/>
        </w:rPr>
        <w:t xml:space="preserve"> PDGFR ali brez njiju). Ti bolniki so bili stari od 8</w:t>
      </w:r>
      <w:r w:rsidR="0058768C" w:rsidRPr="004A59B1">
        <w:rPr>
          <w:rFonts w:eastAsia="MS Mincho"/>
          <w:color w:val="000000"/>
          <w:sz w:val="22"/>
          <w:szCs w:val="22"/>
          <w:lang w:val="sl-SI" w:eastAsia="ja-JP"/>
        </w:rPr>
        <w:t xml:space="preserve"> </w:t>
      </w:r>
      <w:r w:rsidRPr="004A59B1">
        <w:rPr>
          <w:rFonts w:eastAsia="MS Mincho"/>
          <w:sz w:val="22"/>
          <w:szCs w:val="22"/>
          <w:lang w:val="sl-SI"/>
        </w:rPr>
        <w:t>do 18 let, imatinib pa so prejemali tako v okviru adjuvantnega zdra</w:t>
      </w:r>
      <w:r w:rsidR="00E95D63" w:rsidRPr="004A59B1">
        <w:rPr>
          <w:rFonts w:eastAsia="MS Mincho"/>
          <w:sz w:val="22"/>
          <w:szCs w:val="22"/>
          <w:lang w:val="sl-SI"/>
        </w:rPr>
        <w:t>v</w:t>
      </w:r>
      <w:r w:rsidRPr="004A59B1">
        <w:rPr>
          <w:rFonts w:eastAsia="MS Mincho"/>
          <w:sz w:val="22"/>
          <w:szCs w:val="22"/>
          <w:lang w:val="sl-SI"/>
        </w:rPr>
        <w:t>ljenja kot v okviru zdravljenja metastaz</w:t>
      </w:r>
      <w:r w:rsidR="00E95D63" w:rsidRPr="004A59B1">
        <w:rPr>
          <w:rFonts w:eastAsia="MS Mincho"/>
          <w:sz w:val="22"/>
          <w:szCs w:val="22"/>
          <w:lang w:val="sl-SI"/>
        </w:rPr>
        <w:t>, in sicer</w:t>
      </w:r>
      <w:r w:rsidRPr="004A59B1">
        <w:rPr>
          <w:rFonts w:eastAsia="MS Mincho"/>
          <w:sz w:val="22"/>
          <w:szCs w:val="22"/>
          <w:lang w:val="sl-SI"/>
        </w:rPr>
        <w:t xml:space="preserve"> v odmerkih od 300</w:t>
      </w:r>
      <w:r w:rsidR="002E3C7D" w:rsidRPr="004A59B1">
        <w:rPr>
          <w:color w:val="000000"/>
          <w:sz w:val="22"/>
          <w:szCs w:val="22"/>
          <w:lang w:val="sl-SI"/>
        </w:rPr>
        <w:t> </w:t>
      </w:r>
      <w:r w:rsidR="00CF7C31" w:rsidRPr="004A59B1">
        <w:rPr>
          <w:color w:val="000000"/>
          <w:sz w:val="22"/>
          <w:szCs w:val="22"/>
          <w:lang w:val="sl-SI"/>
        </w:rPr>
        <w:t xml:space="preserve">mg </w:t>
      </w:r>
      <w:r w:rsidRPr="004A59B1">
        <w:rPr>
          <w:color w:val="000000"/>
          <w:sz w:val="22"/>
          <w:szCs w:val="22"/>
          <w:lang w:val="sl-SI"/>
        </w:rPr>
        <w:t xml:space="preserve">do </w:t>
      </w:r>
      <w:r w:rsidRPr="004A59B1">
        <w:rPr>
          <w:color w:val="000000"/>
          <w:sz w:val="22"/>
          <w:szCs w:val="22"/>
          <w:lang w:val="sl-SI"/>
        </w:rPr>
        <w:lastRenderedPageBreak/>
        <w:t>800 mg na dan. Pri večini pediatričnih bolnikov, ki so jih zdravili zaradi GIST, ni bilo na voljo podatkov</w:t>
      </w:r>
      <w:r w:rsidR="00E95D63" w:rsidRPr="004A59B1">
        <w:rPr>
          <w:color w:val="000000"/>
          <w:sz w:val="22"/>
          <w:szCs w:val="22"/>
          <w:lang w:val="sl-SI"/>
        </w:rPr>
        <w:t xml:space="preserve"> za </w:t>
      </w:r>
      <w:r w:rsidRPr="004A59B1">
        <w:rPr>
          <w:color w:val="000000"/>
          <w:sz w:val="22"/>
          <w:szCs w:val="22"/>
          <w:lang w:val="sl-SI"/>
        </w:rPr>
        <w:t>potrdi</w:t>
      </w:r>
      <w:r w:rsidR="00E95D63" w:rsidRPr="004A59B1">
        <w:rPr>
          <w:color w:val="000000"/>
          <w:sz w:val="22"/>
          <w:szCs w:val="22"/>
          <w:lang w:val="sl-SI"/>
        </w:rPr>
        <w:t>tev</w:t>
      </w:r>
      <w:r w:rsidRPr="004A59B1">
        <w:rPr>
          <w:color w:val="000000"/>
          <w:sz w:val="22"/>
          <w:szCs w:val="22"/>
          <w:lang w:val="sl-SI"/>
        </w:rPr>
        <w:t xml:space="preserve"> mutacij</w:t>
      </w:r>
      <w:r w:rsidR="00E95D63" w:rsidRPr="004A59B1">
        <w:rPr>
          <w:color w:val="000000"/>
          <w:sz w:val="22"/>
          <w:szCs w:val="22"/>
          <w:lang w:val="sl-SI"/>
        </w:rPr>
        <w:t>e</w:t>
      </w:r>
      <w:r w:rsidRPr="004A59B1">
        <w:rPr>
          <w:color w:val="000000"/>
          <w:sz w:val="22"/>
          <w:szCs w:val="22"/>
          <w:lang w:val="sl-SI"/>
        </w:rPr>
        <w:t xml:space="preserve"> </w:t>
      </w:r>
      <w:r w:rsidR="009231B2" w:rsidRPr="004A59B1">
        <w:rPr>
          <w:rFonts w:eastAsia="MS Mincho"/>
          <w:sz w:val="22"/>
          <w:szCs w:val="22"/>
          <w:lang w:val="sl-SI" w:eastAsia="ja-JP"/>
        </w:rPr>
        <w:t>c</w:t>
      </w:r>
      <w:r w:rsidR="00E95D63" w:rsidRPr="004A59B1">
        <w:rPr>
          <w:rFonts w:eastAsia="MS Mincho"/>
          <w:sz w:val="22"/>
          <w:szCs w:val="22"/>
          <w:lang w:val="sl-SI" w:eastAsia="ja-JP"/>
        </w:rPr>
        <w:noBreakHyphen/>
      </w:r>
      <w:r w:rsidR="009231B2" w:rsidRPr="004A59B1">
        <w:rPr>
          <w:rFonts w:eastAsia="MS Mincho"/>
          <w:sz w:val="22"/>
          <w:szCs w:val="22"/>
          <w:lang w:val="sl-SI" w:eastAsia="ja-JP"/>
        </w:rPr>
        <w:t xml:space="preserve">kit </w:t>
      </w:r>
      <w:r w:rsidRPr="004A59B1">
        <w:rPr>
          <w:rFonts w:eastAsia="MS Mincho"/>
          <w:sz w:val="22"/>
          <w:szCs w:val="22"/>
          <w:lang w:val="sl-SI" w:eastAsia="ja-JP"/>
        </w:rPr>
        <w:t>ali PDGFR, ki bi lahko povzročil</w:t>
      </w:r>
      <w:r w:rsidR="00E95D63" w:rsidRPr="004A59B1">
        <w:rPr>
          <w:rFonts w:eastAsia="MS Mincho"/>
          <w:sz w:val="22"/>
          <w:szCs w:val="22"/>
          <w:lang w:val="sl-SI" w:eastAsia="ja-JP"/>
        </w:rPr>
        <w:t>e</w:t>
      </w:r>
      <w:r w:rsidRPr="004A59B1">
        <w:rPr>
          <w:rFonts w:eastAsia="MS Mincho"/>
          <w:sz w:val="22"/>
          <w:szCs w:val="22"/>
          <w:lang w:val="sl-SI" w:eastAsia="ja-JP"/>
        </w:rPr>
        <w:t xml:space="preserve"> </w:t>
      </w:r>
      <w:r w:rsidR="00E95D63" w:rsidRPr="004A59B1">
        <w:rPr>
          <w:rFonts w:eastAsia="MS Mincho"/>
          <w:sz w:val="22"/>
          <w:szCs w:val="22"/>
          <w:lang w:val="sl-SI" w:eastAsia="ja-JP"/>
        </w:rPr>
        <w:t xml:space="preserve">mešane </w:t>
      </w:r>
      <w:r w:rsidRPr="004A59B1">
        <w:rPr>
          <w:rFonts w:eastAsia="MS Mincho"/>
          <w:sz w:val="22"/>
          <w:szCs w:val="22"/>
          <w:lang w:val="sl-SI" w:eastAsia="ja-JP"/>
        </w:rPr>
        <w:t>klinične izide.</w:t>
      </w:r>
    </w:p>
    <w:p w14:paraId="52979C6B" w14:textId="77777777" w:rsidR="009231B2" w:rsidRPr="004A59B1" w:rsidRDefault="009231B2" w:rsidP="009C1193">
      <w:pPr>
        <w:pStyle w:val="Text"/>
        <w:widowControl w:val="0"/>
        <w:spacing w:before="0"/>
        <w:jc w:val="left"/>
        <w:rPr>
          <w:rFonts w:eastAsia="MS Mincho"/>
          <w:color w:val="000000"/>
          <w:lang w:val="sl-SI" w:eastAsia="ja-JP"/>
        </w:rPr>
      </w:pPr>
    </w:p>
    <w:p w14:paraId="52979C6C" w14:textId="77777777" w:rsidR="00302E5F" w:rsidRPr="004A59B1" w:rsidRDefault="00302E5F" w:rsidP="009C1193">
      <w:pPr>
        <w:pStyle w:val="Nottoc-headings"/>
        <w:widowControl w:val="0"/>
        <w:spacing w:before="0" w:after="0"/>
        <w:rPr>
          <w:rFonts w:ascii="Times New Roman" w:eastAsia="MS Mincho" w:hAnsi="Times New Roman"/>
          <w:b w:val="0"/>
          <w:color w:val="000000"/>
          <w:sz w:val="22"/>
          <w:szCs w:val="22"/>
          <w:u w:val="single"/>
          <w:lang w:val="sl-SI" w:eastAsia="ja-JP"/>
        </w:rPr>
      </w:pPr>
      <w:r w:rsidRPr="004A59B1">
        <w:rPr>
          <w:rFonts w:ascii="Times New Roman" w:eastAsia="MS Mincho" w:hAnsi="Times New Roman"/>
          <w:b w:val="0"/>
          <w:color w:val="000000"/>
          <w:sz w:val="22"/>
          <w:szCs w:val="22"/>
          <w:u w:val="single"/>
          <w:lang w:val="sl-SI" w:eastAsia="ja-JP"/>
        </w:rPr>
        <w:t>Klinične študije pri protuberantnem dermatofibrosarkomu (DFSP)</w:t>
      </w:r>
    </w:p>
    <w:p w14:paraId="52979C6D" w14:textId="77777777" w:rsidR="00302E5F" w:rsidRPr="004A59B1" w:rsidRDefault="00302E5F" w:rsidP="009C1193">
      <w:pPr>
        <w:pStyle w:val="Text"/>
        <w:widowControl w:val="0"/>
        <w:spacing w:before="0"/>
        <w:jc w:val="left"/>
        <w:rPr>
          <w:rFonts w:eastAsia="MS Mincho"/>
          <w:color w:val="000000"/>
          <w:sz w:val="22"/>
          <w:szCs w:val="22"/>
          <w:lang w:val="pl-PL" w:eastAsia="ja-JP"/>
        </w:rPr>
      </w:pPr>
      <w:r w:rsidRPr="004A59B1">
        <w:rPr>
          <w:rFonts w:eastAsia="MS Mincho"/>
          <w:color w:val="000000"/>
          <w:sz w:val="22"/>
          <w:szCs w:val="22"/>
          <w:lang w:val="da-DK" w:eastAsia="ja-JP"/>
        </w:rPr>
        <w:t xml:space="preserve">Eno odprto, multicentrično klinično preskušanje faze II (študija B2225) je vključevalo 12 bolnikov z DFSP, zdravljenih z </w:t>
      </w:r>
      <w:r w:rsidR="00D81193" w:rsidRPr="004A59B1">
        <w:rPr>
          <w:rFonts w:eastAsia="MS Mincho"/>
          <w:color w:val="000000"/>
          <w:sz w:val="22"/>
          <w:szCs w:val="22"/>
          <w:lang w:val="da-DK" w:eastAsia="ja-JP"/>
        </w:rPr>
        <w:t>zdravilom Glivec</w:t>
      </w:r>
      <w:r w:rsidRPr="004A59B1">
        <w:rPr>
          <w:rFonts w:eastAsia="MS Mincho"/>
          <w:color w:val="000000"/>
          <w:sz w:val="22"/>
          <w:szCs w:val="22"/>
          <w:lang w:val="da-DK" w:eastAsia="ja-JP"/>
        </w:rPr>
        <w:t xml:space="preserve"> 800 mg na dan. Starost bolnikov z DFSP se je gibala med 23 in 75 leti. DFSP je bil metastatičen, z lokalno ponovitvijo po začetni kirurški odstranitvi in v času vključitve v študijo ocenjen kot neprimeren za nadaljnje kirurško odstranjevanje. Primarni dokaz učinkovitosti je temeljil na stopnjah objektivne odzivnosti. Od 12 vključenih bolnikov je do odziva prišlo pri 9 bolnikih, pri enem do popolnega in pri 8 do delnega. </w:t>
      </w:r>
      <w:r w:rsidRPr="004A59B1">
        <w:rPr>
          <w:rFonts w:eastAsia="MS Mincho"/>
          <w:color w:val="000000"/>
          <w:sz w:val="22"/>
          <w:szCs w:val="22"/>
          <w:lang w:val="pl-PL" w:eastAsia="ja-JP"/>
        </w:rPr>
        <w:t>Trije od bolnikov z delnim odzivom so bili naknadno kirurško ozdravljeni. Mediano trajanje zdravljenja v študiji B2225 je bilo 6,2 meseca z najdaljšim trajanjem 24,3 mesec</w:t>
      </w:r>
      <w:r w:rsidR="009A6DC1" w:rsidRPr="004A59B1">
        <w:rPr>
          <w:rFonts w:eastAsia="MS Mincho"/>
          <w:color w:val="000000"/>
          <w:sz w:val="22"/>
          <w:szCs w:val="22"/>
          <w:lang w:val="pl-PL" w:eastAsia="ja-JP"/>
        </w:rPr>
        <w:t>a</w:t>
      </w:r>
      <w:r w:rsidRPr="004A59B1">
        <w:rPr>
          <w:rFonts w:eastAsia="MS Mincho"/>
          <w:color w:val="000000"/>
          <w:sz w:val="22"/>
          <w:szCs w:val="22"/>
          <w:lang w:val="pl-PL" w:eastAsia="ja-JP"/>
        </w:rPr>
        <w:t xml:space="preserve">. Nadaljnjih 6 bolnikov z DFSP, zdravljenih z </w:t>
      </w:r>
      <w:r w:rsidR="00D81193" w:rsidRPr="004A59B1">
        <w:rPr>
          <w:rFonts w:eastAsia="MS Mincho"/>
          <w:color w:val="000000"/>
          <w:sz w:val="22"/>
          <w:szCs w:val="22"/>
          <w:lang w:val="pl-PL" w:eastAsia="ja-JP"/>
        </w:rPr>
        <w:t>zdravilom Glivec</w:t>
      </w:r>
      <w:r w:rsidRPr="004A59B1">
        <w:rPr>
          <w:rFonts w:eastAsia="MS Mincho"/>
          <w:color w:val="000000"/>
          <w:sz w:val="22"/>
          <w:szCs w:val="22"/>
          <w:lang w:val="pl-PL" w:eastAsia="ja-JP"/>
        </w:rPr>
        <w:t xml:space="preserve">, so opisali v 5 publikacijah opisov primera, njihova starost se je gibala med 18 meseci in 49 leti. Odrasli bolniki, o katerih so pisali v objavljeni literaturi, so bili zdravljeni z odmerki bodisi 400 mg (v 4 primerih) ali pa 800 mg (v 1 primeru) zdravila Glivec </w:t>
      </w:r>
      <w:r w:rsidR="008B4FB4" w:rsidRPr="004A59B1">
        <w:rPr>
          <w:rFonts w:eastAsia="MS Mincho"/>
          <w:color w:val="000000"/>
          <w:sz w:val="22"/>
          <w:szCs w:val="22"/>
          <w:lang w:val="pl-PL" w:eastAsia="ja-JP"/>
        </w:rPr>
        <w:t>n</w:t>
      </w:r>
      <w:r w:rsidR="00592682" w:rsidRPr="004A59B1">
        <w:rPr>
          <w:rFonts w:eastAsia="MS Mincho"/>
          <w:color w:val="000000"/>
          <w:sz w:val="22"/>
          <w:szCs w:val="22"/>
          <w:lang w:val="pl-PL" w:eastAsia="ja-JP"/>
        </w:rPr>
        <w:t>a dan</w:t>
      </w:r>
      <w:r w:rsidRPr="004A59B1">
        <w:rPr>
          <w:rFonts w:eastAsia="MS Mincho"/>
          <w:color w:val="000000"/>
          <w:sz w:val="22"/>
          <w:szCs w:val="22"/>
          <w:lang w:val="pl-PL" w:eastAsia="ja-JP"/>
        </w:rPr>
        <w:t>. Do odziva je prišlo pri</w:t>
      </w:r>
      <w:r w:rsidR="00E37B98" w:rsidRPr="004A59B1">
        <w:rPr>
          <w:rFonts w:eastAsia="MS Mincho"/>
          <w:color w:val="000000"/>
          <w:sz w:val="22"/>
          <w:szCs w:val="22"/>
          <w:lang w:val="pl-PL" w:eastAsia="ja-JP"/>
        </w:rPr>
        <w:t xml:space="preserve"> petih (</w:t>
      </w:r>
      <w:r w:rsidRPr="004A59B1">
        <w:rPr>
          <w:rFonts w:eastAsia="MS Mincho"/>
          <w:color w:val="000000"/>
          <w:sz w:val="22"/>
          <w:szCs w:val="22"/>
          <w:lang w:val="pl-PL" w:eastAsia="ja-JP"/>
        </w:rPr>
        <w:t>5</w:t>
      </w:r>
      <w:r w:rsidR="00E37B98" w:rsidRPr="004A59B1">
        <w:rPr>
          <w:rFonts w:eastAsia="MS Mincho"/>
          <w:color w:val="000000"/>
          <w:sz w:val="22"/>
          <w:szCs w:val="22"/>
          <w:lang w:val="pl-PL" w:eastAsia="ja-JP"/>
        </w:rPr>
        <w:t>)</w:t>
      </w:r>
      <w:r w:rsidRPr="004A59B1">
        <w:rPr>
          <w:rFonts w:eastAsia="MS Mincho"/>
          <w:color w:val="000000"/>
          <w:sz w:val="22"/>
          <w:szCs w:val="22"/>
          <w:lang w:val="pl-PL" w:eastAsia="ja-JP"/>
        </w:rPr>
        <w:t xml:space="preserve"> bolnikih, pri 3 do popolnega in pri 2 do delnega. Mediano trajanje zdravljenja v objavljeni literaturi se je gibalo od 4 tednov do več kot 20 mesecev. Translokacija </w:t>
      </w:r>
      <w:r w:rsidRPr="004A59B1">
        <w:rPr>
          <w:color w:val="000000"/>
          <w:sz w:val="22"/>
          <w:szCs w:val="22"/>
          <w:lang w:val="pl-PL" w:eastAsia="ja-JP"/>
        </w:rPr>
        <w:t>t(17:22)[(q22:q13)] oziroma njen genski produkt sta bila prisotna pri skoraj vseh bolnikih z odzivom na zdravljenje z zdravilom Glivec.</w:t>
      </w:r>
    </w:p>
    <w:p w14:paraId="52979C6E" w14:textId="77777777" w:rsidR="00444D75" w:rsidRPr="004A59B1" w:rsidRDefault="00444D75" w:rsidP="009C1193">
      <w:pPr>
        <w:pStyle w:val="Text"/>
        <w:widowControl w:val="0"/>
        <w:spacing w:before="0"/>
        <w:jc w:val="left"/>
        <w:rPr>
          <w:color w:val="000000"/>
          <w:sz w:val="22"/>
          <w:szCs w:val="22"/>
          <w:lang w:val="pl-PL" w:eastAsia="ja-JP"/>
        </w:rPr>
      </w:pPr>
    </w:p>
    <w:p w14:paraId="52979C6F" w14:textId="77777777" w:rsidR="00DE0BA7" w:rsidRPr="004A59B1" w:rsidRDefault="00DE0BA7" w:rsidP="009C1193">
      <w:pPr>
        <w:pStyle w:val="Text"/>
        <w:widowControl w:val="0"/>
        <w:spacing w:before="0"/>
        <w:jc w:val="left"/>
        <w:rPr>
          <w:color w:val="000000"/>
          <w:sz w:val="22"/>
          <w:szCs w:val="22"/>
          <w:lang w:val="it-IT" w:eastAsia="ja-JP"/>
        </w:rPr>
      </w:pPr>
      <w:r w:rsidRPr="004A59B1">
        <w:rPr>
          <w:color w:val="000000"/>
          <w:sz w:val="22"/>
          <w:szCs w:val="22"/>
          <w:lang w:val="pl-PL" w:eastAsia="ja-JP"/>
        </w:rPr>
        <w:t>Pri pediatričnih bolnikih z DFSP niso opravili nobene</w:t>
      </w:r>
      <w:r w:rsidR="001B3B3A" w:rsidRPr="004A59B1">
        <w:rPr>
          <w:color w:val="000000"/>
          <w:sz w:val="22"/>
          <w:szCs w:val="22"/>
          <w:lang w:val="pl-PL" w:eastAsia="ja-JP"/>
        </w:rPr>
        <w:t>ga</w:t>
      </w:r>
      <w:r w:rsidRPr="004A59B1">
        <w:rPr>
          <w:color w:val="000000"/>
          <w:sz w:val="22"/>
          <w:szCs w:val="22"/>
          <w:lang w:val="pl-PL" w:eastAsia="ja-JP"/>
        </w:rPr>
        <w:t xml:space="preserve"> kontrolirane</w:t>
      </w:r>
      <w:r w:rsidR="001B3B3A" w:rsidRPr="004A59B1">
        <w:rPr>
          <w:color w:val="000000"/>
          <w:sz w:val="22"/>
          <w:szCs w:val="22"/>
          <w:lang w:val="pl-PL" w:eastAsia="ja-JP"/>
        </w:rPr>
        <w:t>ga</w:t>
      </w:r>
      <w:r w:rsidRPr="004A59B1">
        <w:rPr>
          <w:color w:val="000000"/>
          <w:sz w:val="22"/>
          <w:szCs w:val="22"/>
          <w:lang w:val="pl-PL" w:eastAsia="ja-JP"/>
        </w:rPr>
        <w:t xml:space="preserve"> </w:t>
      </w:r>
      <w:r w:rsidR="001B3B3A" w:rsidRPr="004A59B1">
        <w:rPr>
          <w:color w:val="000000"/>
          <w:sz w:val="22"/>
          <w:szCs w:val="22"/>
          <w:lang w:val="pl-PL" w:eastAsia="ja-JP"/>
        </w:rPr>
        <w:t>preskušanja</w:t>
      </w:r>
      <w:r w:rsidRPr="004A59B1">
        <w:rPr>
          <w:color w:val="000000"/>
          <w:sz w:val="22"/>
          <w:szCs w:val="22"/>
          <w:lang w:val="pl-PL" w:eastAsia="ja-JP"/>
        </w:rPr>
        <w:t xml:space="preserve">. V 3 publikacijah so objavljeni podatki </w:t>
      </w:r>
      <w:r w:rsidR="00421499" w:rsidRPr="004A59B1">
        <w:rPr>
          <w:color w:val="000000"/>
          <w:sz w:val="22"/>
          <w:szCs w:val="22"/>
          <w:lang w:val="pl-PL" w:eastAsia="ja-JP"/>
        </w:rPr>
        <w:t>petih (</w:t>
      </w:r>
      <w:r w:rsidRPr="004A59B1">
        <w:rPr>
          <w:color w:val="000000"/>
          <w:sz w:val="22"/>
          <w:szCs w:val="22"/>
          <w:lang w:val="pl-PL" w:eastAsia="ja-JP"/>
        </w:rPr>
        <w:t>5</w:t>
      </w:r>
      <w:r w:rsidR="00421499" w:rsidRPr="004A59B1">
        <w:rPr>
          <w:color w:val="000000"/>
          <w:sz w:val="22"/>
          <w:szCs w:val="22"/>
          <w:lang w:val="pl-PL" w:eastAsia="ja-JP"/>
        </w:rPr>
        <w:t>)</w:t>
      </w:r>
      <w:r w:rsidRPr="004A59B1">
        <w:rPr>
          <w:color w:val="000000"/>
          <w:sz w:val="22"/>
          <w:szCs w:val="22"/>
          <w:lang w:val="pl-PL" w:eastAsia="ja-JP"/>
        </w:rPr>
        <w:t xml:space="preserve"> bolnikov z DFSP s preureditvijo gena za PDGFR. Ti bolniki so bili stari od </w:t>
      </w:r>
      <w:r w:rsidR="00A123AF" w:rsidRPr="004A59B1">
        <w:rPr>
          <w:color w:val="000000"/>
          <w:sz w:val="22"/>
          <w:szCs w:val="22"/>
          <w:lang w:val="pl-PL" w:eastAsia="ja-JP"/>
        </w:rPr>
        <w:t xml:space="preserve">starosti </w:t>
      </w:r>
      <w:r w:rsidRPr="004A59B1">
        <w:rPr>
          <w:color w:val="000000"/>
          <w:sz w:val="22"/>
          <w:szCs w:val="22"/>
          <w:lang w:val="pl-PL" w:eastAsia="ja-JP"/>
        </w:rPr>
        <w:t xml:space="preserve">novorojenčka do 14 let, imatinib pa so prejemali v </w:t>
      </w:r>
      <w:r w:rsidR="00421499" w:rsidRPr="004A59B1">
        <w:rPr>
          <w:color w:val="000000"/>
          <w:sz w:val="22"/>
          <w:szCs w:val="22"/>
          <w:lang w:val="pl-PL" w:eastAsia="ja-JP"/>
        </w:rPr>
        <w:t xml:space="preserve">odmerku 50 mg na dan oziroma v </w:t>
      </w:r>
      <w:r w:rsidRPr="004A59B1">
        <w:rPr>
          <w:color w:val="000000"/>
          <w:sz w:val="22"/>
          <w:szCs w:val="22"/>
          <w:lang w:val="pl-PL" w:eastAsia="ja-JP"/>
        </w:rPr>
        <w:t>odmerkih od 400</w:t>
      </w:r>
      <w:r w:rsidR="008A1B6E" w:rsidRPr="004A59B1">
        <w:rPr>
          <w:color w:val="000000"/>
          <w:sz w:val="22"/>
          <w:szCs w:val="22"/>
          <w:lang w:val="pl-PL" w:eastAsia="ja-JP"/>
        </w:rPr>
        <w:t> </w:t>
      </w:r>
      <w:r w:rsidR="009A6DC1" w:rsidRPr="004A59B1">
        <w:rPr>
          <w:color w:val="000000"/>
          <w:sz w:val="22"/>
          <w:szCs w:val="22"/>
          <w:lang w:val="pl-PL" w:eastAsia="ja-JP"/>
        </w:rPr>
        <w:t>mg/m</w:t>
      </w:r>
      <w:r w:rsidR="009A6DC1" w:rsidRPr="004A59B1">
        <w:rPr>
          <w:color w:val="000000"/>
          <w:sz w:val="22"/>
          <w:szCs w:val="22"/>
          <w:vertAlign w:val="superscript"/>
          <w:lang w:val="pl-PL" w:eastAsia="ja-JP"/>
        </w:rPr>
        <w:t>2</w:t>
      </w:r>
      <w:r w:rsidR="009A6DC1" w:rsidRPr="004A59B1">
        <w:rPr>
          <w:color w:val="000000"/>
          <w:sz w:val="22"/>
          <w:szCs w:val="22"/>
          <w:lang w:val="pl-PL" w:eastAsia="ja-JP"/>
        </w:rPr>
        <w:t xml:space="preserve"> na dan </w:t>
      </w:r>
      <w:r w:rsidRPr="004A59B1">
        <w:rPr>
          <w:color w:val="000000"/>
          <w:sz w:val="22"/>
          <w:szCs w:val="22"/>
          <w:lang w:val="pl-PL" w:eastAsia="ja-JP"/>
        </w:rPr>
        <w:t>do 520 mg/m</w:t>
      </w:r>
      <w:r w:rsidRPr="004A59B1">
        <w:rPr>
          <w:color w:val="000000"/>
          <w:sz w:val="22"/>
          <w:szCs w:val="22"/>
          <w:vertAlign w:val="superscript"/>
          <w:lang w:val="pl-PL" w:eastAsia="ja-JP"/>
        </w:rPr>
        <w:t>2</w:t>
      </w:r>
      <w:r w:rsidRPr="004A59B1">
        <w:rPr>
          <w:color w:val="000000"/>
          <w:sz w:val="22"/>
          <w:szCs w:val="22"/>
          <w:lang w:val="pl-PL" w:eastAsia="ja-JP"/>
        </w:rPr>
        <w:t xml:space="preserve"> na dan. </w:t>
      </w:r>
      <w:r w:rsidRPr="004A59B1">
        <w:rPr>
          <w:color w:val="000000"/>
          <w:sz w:val="22"/>
          <w:szCs w:val="22"/>
          <w:lang w:val="it-IT" w:eastAsia="ja-JP"/>
        </w:rPr>
        <w:t>Pri vseh bolnikih je prišlo do delnega in/ali popolnega odziva.</w:t>
      </w:r>
    </w:p>
    <w:p w14:paraId="52979C70" w14:textId="77777777" w:rsidR="00DE0BA7" w:rsidRPr="004A59B1" w:rsidRDefault="00DE0BA7" w:rsidP="009C1193">
      <w:pPr>
        <w:pStyle w:val="EndnoteText"/>
        <w:widowControl w:val="0"/>
        <w:tabs>
          <w:tab w:val="clear" w:pos="567"/>
        </w:tabs>
        <w:rPr>
          <w:color w:val="000000"/>
          <w:szCs w:val="22"/>
          <w:lang w:val="pl-PL"/>
        </w:rPr>
      </w:pPr>
    </w:p>
    <w:p w14:paraId="52979C71" w14:textId="77777777" w:rsidR="00444D75" w:rsidRPr="004A59B1" w:rsidRDefault="00444D75" w:rsidP="009C1193">
      <w:pPr>
        <w:keepNext/>
        <w:widowControl w:val="0"/>
        <w:tabs>
          <w:tab w:val="clear" w:pos="567"/>
        </w:tabs>
        <w:spacing w:line="240" w:lineRule="auto"/>
        <w:ind w:left="567" w:hanging="567"/>
        <w:rPr>
          <w:color w:val="000000"/>
          <w:szCs w:val="22"/>
          <w:lang w:val="pl-PL"/>
        </w:rPr>
      </w:pPr>
      <w:r w:rsidRPr="004A59B1">
        <w:rPr>
          <w:b/>
          <w:color w:val="000000"/>
          <w:szCs w:val="22"/>
          <w:lang w:val="pl-PL"/>
        </w:rPr>
        <w:t>5.2</w:t>
      </w:r>
      <w:r w:rsidRPr="004A59B1">
        <w:rPr>
          <w:b/>
          <w:color w:val="000000"/>
          <w:szCs w:val="22"/>
          <w:lang w:val="pl-PL"/>
        </w:rPr>
        <w:tab/>
        <w:t>Farmakokinetične lastnosti</w:t>
      </w:r>
    </w:p>
    <w:p w14:paraId="52979C72" w14:textId="77777777" w:rsidR="00444D75" w:rsidRPr="004A59B1" w:rsidRDefault="00444D75" w:rsidP="009C1193">
      <w:pPr>
        <w:pStyle w:val="EndnoteText"/>
        <w:keepNext/>
        <w:widowControl w:val="0"/>
        <w:tabs>
          <w:tab w:val="clear" w:pos="567"/>
        </w:tabs>
        <w:rPr>
          <w:color w:val="000000"/>
          <w:szCs w:val="22"/>
          <w:lang w:val="pl-PL"/>
        </w:rPr>
      </w:pPr>
    </w:p>
    <w:p w14:paraId="52979C73" w14:textId="77777777" w:rsidR="00444D75" w:rsidRPr="004A59B1" w:rsidRDefault="00444D75" w:rsidP="009C1193">
      <w:pPr>
        <w:pStyle w:val="EndnoteText"/>
        <w:keepNext/>
        <w:widowControl w:val="0"/>
        <w:tabs>
          <w:tab w:val="clear" w:pos="567"/>
        </w:tabs>
        <w:rPr>
          <w:color w:val="000000"/>
          <w:szCs w:val="22"/>
          <w:u w:val="single"/>
          <w:lang w:val="pl-PL"/>
        </w:rPr>
      </w:pPr>
      <w:r w:rsidRPr="004A59B1">
        <w:rPr>
          <w:color w:val="000000"/>
          <w:szCs w:val="22"/>
          <w:u w:val="single"/>
          <w:lang w:val="pl-PL"/>
        </w:rPr>
        <w:t xml:space="preserve">Farmakokinetika </w:t>
      </w:r>
      <w:r w:rsidR="00D81193" w:rsidRPr="004A59B1">
        <w:rPr>
          <w:color w:val="000000"/>
          <w:szCs w:val="22"/>
          <w:u w:val="single"/>
          <w:lang w:val="pl-PL"/>
        </w:rPr>
        <w:t>zdravila Glivec</w:t>
      </w:r>
    </w:p>
    <w:p w14:paraId="52979C74" w14:textId="77777777" w:rsidR="00444D75" w:rsidRPr="004A59B1" w:rsidRDefault="00444D75" w:rsidP="009C1193">
      <w:pPr>
        <w:pStyle w:val="EndnoteText"/>
        <w:widowControl w:val="0"/>
        <w:tabs>
          <w:tab w:val="clear" w:pos="567"/>
        </w:tabs>
        <w:rPr>
          <w:color w:val="000000"/>
          <w:szCs w:val="22"/>
          <w:lang w:val="pl-PL"/>
        </w:rPr>
      </w:pPr>
      <w:r w:rsidRPr="004A59B1">
        <w:rPr>
          <w:color w:val="000000"/>
          <w:szCs w:val="22"/>
          <w:lang w:val="sl-SI"/>
        </w:rPr>
        <w:t xml:space="preserve">Farmakokinetiko </w:t>
      </w:r>
      <w:r w:rsidR="00D81193" w:rsidRPr="004A59B1">
        <w:rPr>
          <w:color w:val="000000"/>
          <w:szCs w:val="22"/>
          <w:lang w:val="sl-SI"/>
        </w:rPr>
        <w:t>zdravila Glivec</w:t>
      </w:r>
      <w:r w:rsidRPr="004A59B1">
        <w:rPr>
          <w:color w:val="000000"/>
          <w:szCs w:val="22"/>
          <w:lang w:val="sl-SI"/>
        </w:rPr>
        <w:t xml:space="preserve"> so ovrednotili v območju odmerjanja od 25</w:t>
      </w:r>
      <w:r w:rsidR="008A1B6E" w:rsidRPr="004A59B1">
        <w:rPr>
          <w:color w:val="000000"/>
          <w:szCs w:val="22"/>
          <w:lang w:val="sl-SI"/>
        </w:rPr>
        <w:t> </w:t>
      </w:r>
      <w:r w:rsidR="009A6DC1" w:rsidRPr="004A59B1">
        <w:rPr>
          <w:color w:val="000000"/>
          <w:szCs w:val="22"/>
          <w:lang w:val="sl-SI"/>
        </w:rPr>
        <w:t>mg</w:t>
      </w:r>
      <w:r w:rsidRPr="004A59B1">
        <w:rPr>
          <w:color w:val="000000"/>
          <w:szCs w:val="22"/>
          <w:lang w:val="sl-SI"/>
        </w:rPr>
        <w:t xml:space="preserve"> do </w:t>
      </w:r>
      <w:r w:rsidRPr="004A59B1">
        <w:rPr>
          <w:color w:val="000000"/>
          <w:szCs w:val="22"/>
          <w:lang w:val="pl-PL"/>
        </w:rPr>
        <w:t xml:space="preserve">1.000 mg. </w:t>
      </w:r>
      <w:r w:rsidRPr="004A59B1">
        <w:rPr>
          <w:color w:val="000000"/>
          <w:szCs w:val="22"/>
          <w:lang w:val="sl-SI"/>
        </w:rPr>
        <w:t>Plazemski farmakokinetični profili so bili analizirani 1. dne, nato pa bodisi 7. bodisi 28. dne, ko so plazemske koncentracije že dosegle stanje dinamičnega ravnovesja</w:t>
      </w:r>
      <w:r w:rsidRPr="004A59B1">
        <w:rPr>
          <w:color w:val="000000"/>
          <w:szCs w:val="22"/>
          <w:lang w:val="pl-PL"/>
        </w:rPr>
        <w:t>.</w:t>
      </w:r>
    </w:p>
    <w:p w14:paraId="52979C75" w14:textId="77777777" w:rsidR="00444D75" w:rsidRPr="004A59B1" w:rsidRDefault="00444D75" w:rsidP="009C1193">
      <w:pPr>
        <w:pStyle w:val="EndnoteText"/>
        <w:widowControl w:val="0"/>
        <w:tabs>
          <w:tab w:val="clear" w:pos="567"/>
        </w:tabs>
        <w:rPr>
          <w:color w:val="000000"/>
          <w:szCs w:val="22"/>
          <w:lang w:val="pl-PL"/>
        </w:rPr>
      </w:pPr>
    </w:p>
    <w:p w14:paraId="52979C76" w14:textId="77777777" w:rsidR="00444D75" w:rsidRPr="004A59B1" w:rsidRDefault="00444D75" w:rsidP="009C1193">
      <w:pPr>
        <w:pStyle w:val="EndnoteText"/>
        <w:keepNext/>
        <w:widowControl w:val="0"/>
        <w:tabs>
          <w:tab w:val="clear" w:pos="567"/>
        </w:tabs>
        <w:rPr>
          <w:color w:val="000000"/>
          <w:szCs w:val="22"/>
          <w:lang w:val="pl-PL"/>
        </w:rPr>
      </w:pPr>
      <w:r w:rsidRPr="004A59B1">
        <w:rPr>
          <w:color w:val="000000"/>
          <w:szCs w:val="22"/>
          <w:u w:val="single"/>
          <w:lang w:val="pl-PL"/>
        </w:rPr>
        <w:t>Absorpcija</w:t>
      </w:r>
    </w:p>
    <w:p w14:paraId="52979C77" w14:textId="77777777" w:rsidR="00444D75" w:rsidRPr="004A59B1" w:rsidRDefault="00444D75" w:rsidP="009C1193">
      <w:pPr>
        <w:pStyle w:val="EndnoteText"/>
        <w:widowControl w:val="0"/>
        <w:tabs>
          <w:tab w:val="clear" w:pos="567"/>
        </w:tabs>
        <w:rPr>
          <w:color w:val="000000"/>
          <w:szCs w:val="22"/>
          <w:lang w:val="pl-PL"/>
        </w:rPr>
      </w:pPr>
      <w:r w:rsidRPr="004A59B1">
        <w:rPr>
          <w:color w:val="000000"/>
          <w:szCs w:val="22"/>
          <w:lang w:val="sl-SI"/>
        </w:rPr>
        <w:t xml:space="preserve">Povprečna absolutna biološka uporabnost za zdravilo v obliki kapsul je </w:t>
      </w:r>
      <w:r w:rsidRPr="004A59B1">
        <w:rPr>
          <w:color w:val="000000"/>
          <w:szCs w:val="22"/>
          <w:lang w:val="pl-PL"/>
        </w:rPr>
        <w:t xml:space="preserve">98 %. </w:t>
      </w:r>
      <w:r w:rsidRPr="004A59B1">
        <w:rPr>
          <w:color w:val="000000"/>
          <w:szCs w:val="22"/>
          <w:lang w:val="sl-SI"/>
        </w:rPr>
        <w:t>Po peroralnem odmerku so med posameznimi bolniki opazili veliko variabilnost plazemske AUC imatiniba.</w:t>
      </w:r>
      <w:r w:rsidRPr="004A59B1">
        <w:rPr>
          <w:color w:val="000000"/>
          <w:szCs w:val="22"/>
          <w:lang w:val="pl-PL"/>
        </w:rPr>
        <w:t xml:space="preserve"> </w:t>
      </w:r>
      <w:r w:rsidRPr="004A59B1">
        <w:rPr>
          <w:color w:val="000000"/>
          <w:szCs w:val="22"/>
          <w:lang w:val="sl-SI"/>
        </w:rPr>
        <w:t>Če so imanitib dajali z zelo mastnim obrokom, se je obseg njegove absorpcije minimalno zmanjšal</w:t>
      </w:r>
      <w:r w:rsidRPr="004A59B1">
        <w:rPr>
          <w:color w:val="000000"/>
          <w:szCs w:val="22"/>
          <w:lang w:val="pl-PL"/>
        </w:rPr>
        <w:t xml:space="preserve"> (</w:t>
      </w:r>
      <w:r w:rsidRPr="004A59B1">
        <w:rPr>
          <w:color w:val="000000"/>
          <w:szCs w:val="22"/>
          <w:lang w:val="sl-SI"/>
        </w:rPr>
        <w:t>C</w:t>
      </w:r>
      <w:r w:rsidRPr="004A59B1">
        <w:rPr>
          <w:color w:val="000000"/>
          <w:szCs w:val="22"/>
          <w:vertAlign w:val="subscript"/>
          <w:lang w:val="sl-SI"/>
        </w:rPr>
        <w:t>max</w:t>
      </w:r>
      <w:r w:rsidRPr="004A59B1">
        <w:rPr>
          <w:color w:val="000000"/>
          <w:szCs w:val="22"/>
          <w:lang w:val="sl-SI"/>
        </w:rPr>
        <w:t xml:space="preserve"> se je zmanjšala za 11 %, t</w:t>
      </w:r>
      <w:r w:rsidRPr="004A59B1">
        <w:rPr>
          <w:color w:val="000000"/>
          <w:szCs w:val="22"/>
          <w:vertAlign w:val="subscript"/>
          <w:lang w:val="sl-SI"/>
        </w:rPr>
        <w:t>max</w:t>
      </w:r>
      <w:r w:rsidRPr="004A59B1">
        <w:rPr>
          <w:color w:val="000000"/>
          <w:szCs w:val="22"/>
          <w:lang w:val="sl-SI"/>
        </w:rPr>
        <w:t xml:space="preserve"> pa se je podaljšal za 1,5 ure</w:t>
      </w:r>
      <w:r w:rsidRPr="004A59B1">
        <w:rPr>
          <w:color w:val="000000"/>
          <w:szCs w:val="22"/>
          <w:lang w:val="pl-PL"/>
        </w:rPr>
        <w:t xml:space="preserve">), </w:t>
      </w:r>
      <w:r w:rsidRPr="004A59B1">
        <w:rPr>
          <w:color w:val="000000"/>
          <w:szCs w:val="22"/>
          <w:lang w:val="sl-SI"/>
        </w:rPr>
        <w:t>AUC pa se je v primerjavi z razmerami na tešče malo zmanjšala (7,4 %)</w:t>
      </w:r>
      <w:r w:rsidRPr="004A59B1">
        <w:rPr>
          <w:color w:val="000000"/>
          <w:szCs w:val="22"/>
          <w:lang w:val="pl-PL"/>
        </w:rPr>
        <w:t xml:space="preserve">. </w:t>
      </w:r>
      <w:r w:rsidRPr="004A59B1">
        <w:rPr>
          <w:color w:val="000000"/>
          <w:szCs w:val="22"/>
          <w:lang w:val="sl-SI"/>
        </w:rPr>
        <w:t>Učinka predhodne operacije prebavil na absorpcijo zdravila niso raziskali</w:t>
      </w:r>
      <w:r w:rsidRPr="004A59B1">
        <w:rPr>
          <w:color w:val="000000"/>
          <w:szCs w:val="22"/>
          <w:lang w:val="pl-PL"/>
        </w:rPr>
        <w:t>.</w:t>
      </w:r>
    </w:p>
    <w:p w14:paraId="52979C78" w14:textId="77777777" w:rsidR="00444D75" w:rsidRPr="004A59B1" w:rsidRDefault="00444D75" w:rsidP="009C1193">
      <w:pPr>
        <w:pStyle w:val="EndnoteText"/>
        <w:widowControl w:val="0"/>
        <w:tabs>
          <w:tab w:val="clear" w:pos="567"/>
        </w:tabs>
        <w:rPr>
          <w:color w:val="000000"/>
          <w:szCs w:val="22"/>
          <w:lang w:val="pl-PL"/>
        </w:rPr>
      </w:pPr>
    </w:p>
    <w:p w14:paraId="52979C79" w14:textId="77777777" w:rsidR="00444D75" w:rsidRPr="004A59B1" w:rsidRDefault="00444D75" w:rsidP="009C1193">
      <w:pPr>
        <w:pStyle w:val="EndnoteText"/>
        <w:keepNext/>
        <w:widowControl w:val="0"/>
        <w:tabs>
          <w:tab w:val="clear" w:pos="567"/>
        </w:tabs>
        <w:rPr>
          <w:color w:val="000000"/>
          <w:szCs w:val="22"/>
          <w:lang w:val="pl-PL"/>
        </w:rPr>
      </w:pPr>
      <w:r w:rsidRPr="004A59B1">
        <w:rPr>
          <w:color w:val="000000"/>
          <w:szCs w:val="22"/>
          <w:u w:val="single"/>
          <w:lang w:val="pl-PL"/>
        </w:rPr>
        <w:t>Porazdelitev</w:t>
      </w:r>
    </w:p>
    <w:p w14:paraId="52979C7A" w14:textId="77777777" w:rsidR="00444D75" w:rsidRPr="004A59B1" w:rsidRDefault="00444D75" w:rsidP="009C1193">
      <w:pPr>
        <w:pStyle w:val="EndnoteText"/>
        <w:widowControl w:val="0"/>
        <w:tabs>
          <w:tab w:val="clear" w:pos="567"/>
        </w:tabs>
        <w:rPr>
          <w:color w:val="000000"/>
          <w:szCs w:val="22"/>
          <w:lang w:val="pl-PL"/>
        </w:rPr>
      </w:pPr>
      <w:r w:rsidRPr="004A59B1">
        <w:rPr>
          <w:color w:val="000000"/>
          <w:szCs w:val="22"/>
          <w:lang w:val="sl-SI"/>
        </w:rPr>
        <w:t xml:space="preserve">Pri klinično pomembnih koncentracijah imatiniba je bila vezava na plazemske beljakovine na podlagi poskusov </w:t>
      </w:r>
      <w:r w:rsidRPr="004A59B1">
        <w:rPr>
          <w:i/>
          <w:color w:val="000000"/>
          <w:szCs w:val="22"/>
          <w:lang w:val="sl-SI"/>
        </w:rPr>
        <w:t>in vitro</w:t>
      </w:r>
      <w:r w:rsidRPr="004A59B1">
        <w:rPr>
          <w:color w:val="000000"/>
          <w:szCs w:val="22"/>
          <w:lang w:val="sl-SI"/>
        </w:rPr>
        <w:t xml:space="preserve"> približno 95</w:t>
      </w:r>
      <w:r w:rsidRPr="004A59B1">
        <w:rPr>
          <w:color w:val="000000"/>
          <w:szCs w:val="22"/>
          <w:lang w:val="sl-SI"/>
        </w:rPr>
        <w:noBreakHyphen/>
        <w:t>odstotna, večina imatiniba se je vezala na albumine in kisli glikoprotein alfa, malo pa na lipoproteine</w:t>
      </w:r>
      <w:r w:rsidRPr="004A59B1">
        <w:rPr>
          <w:color w:val="000000"/>
          <w:szCs w:val="22"/>
          <w:lang w:val="pl-PL"/>
        </w:rPr>
        <w:t>.</w:t>
      </w:r>
    </w:p>
    <w:p w14:paraId="52979C7B" w14:textId="77777777" w:rsidR="00444D75" w:rsidRPr="004A59B1" w:rsidRDefault="00444D75" w:rsidP="009C1193">
      <w:pPr>
        <w:pStyle w:val="EndnoteText"/>
        <w:widowControl w:val="0"/>
        <w:tabs>
          <w:tab w:val="clear" w:pos="567"/>
        </w:tabs>
        <w:rPr>
          <w:color w:val="000000"/>
          <w:szCs w:val="22"/>
          <w:lang w:val="pl-PL"/>
        </w:rPr>
      </w:pPr>
    </w:p>
    <w:p w14:paraId="52979C7C" w14:textId="77777777" w:rsidR="00444D75" w:rsidRPr="004A59B1" w:rsidRDefault="00914F7D" w:rsidP="009C1193">
      <w:pPr>
        <w:pStyle w:val="EndnoteText"/>
        <w:keepNext/>
        <w:widowControl w:val="0"/>
        <w:tabs>
          <w:tab w:val="clear" w:pos="567"/>
        </w:tabs>
        <w:rPr>
          <w:color w:val="000000"/>
          <w:szCs w:val="22"/>
          <w:lang w:val="pl-PL"/>
        </w:rPr>
      </w:pPr>
      <w:r w:rsidRPr="004A59B1">
        <w:rPr>
          <w:color w:val="000000"/>
          <w:szCs w:val="22"/>
          <w:u w:val="single"/>
          <w:lang w:val="pl-PL"/>
        </w:rPr>
        <w:t>Biotransformacija</w:t>
      </w:r>
    </w:p>
    <w:p w14:paraId="52979C7D" w14:textId="77777777" w:rsidR="00444D75" w:rsidRPr="004A59B1" w:rsidRDefault="00444D75" w:rsidP="009C1193">
      <w:pPr>
        <w:pStyle w:val="EndnoteText"/>
        <w:widowControl w:val="0"/>
        <w:tabs>
          <w:tab w:val="clear" w:pos="567"/>
        </w:tabs>
        <w:rPr>
          <w:color w:val="000000"/>
          <w:szCs w:val="22"/>
          <w:lang w:val="pl-PL"/>
        </w:rPr>
      </w:pPr>
      <w:r w:rsidRPr="004A59B1">
        <w:rPr>
          <w:color w:val="000000"/>
          <w:szCs w:val="22"/>
          <w:lang w:val="sl-SI"/>
        </w:rPr>
        <w:t>Poglavitni po krvi krožeči presnovek pri ljudeh je N-demetilirani piperazinov derivat</w:t>
      </w:r>
      <w:r w:rsidRPr="004A59B1">
        <w:rPr>
          <w:color w:val="000000"/>
          <w:szCs w:val="22"/>
          <w:lang w:val="pl-PL"/>
        </w:rPr>
        <w:t xml:space="preserve">, </w:t>
      </w:r>
      <w:r w:rsidRPr="004A59B1">
        <w:rPr>
          <w:color w:val="000000"/>
          <w:szCs w:val="22"/>
          <w:lang w:val="sl-SI"/>
        </w:rPr>
        <w:t xml:space="preserve">ki kaže podobno potenco </w:t>
      </w:r>
      <w:r w:rsidRPr="004A59B1">
        <w:rPr>
          <w:i/>
          <w:color w:val="000000"/>
          <w:szCs w:val="22"/>
          <w:lang w:val="sl-SI"/>
        </w:rPr>
        <w:t>in vitro</w:t>
      </w:r>
      <w:r w:rsidRPr="004A59B1">
        <w:rPr>
          <w:color w:val="000000"/>
          <w:szCs w:val="22"/>
          <w:lang w:val="sl-SI"/>
        </w:rPr>
        <w:t xml:space="preserve"> kot sama učinkovina</w:t>
      </w:r>
      <w:r w:rsidRPr="004A59B1">
        <w:rPr>
          <w:color w:val="000000"/>
          <w:szCs w:val="22"/>
          <w:lang w:val="pl-PL"/>
        </w:rPr>
        <w:t xml:space="preserve">. </w:t>
      </w:r>
      <w:r w:rsidRPr="004A59B1">
        <w:rPr>
          <w:color w:val="000000"/>
          <w:szCs w:val="22"/>
          <w:lang w:val="sl-SI"/>
        </w:rPr>
        <w:t>Ugotovili so, da je plazemska AUC tega presnovka samo 16 % AUC imatiniba</w:t>
      </w:r>
      <w:r w:rsidRPr="004A59B1">
        <w:rPr>
          <w:color w:val="000000"/>
          <w:szCs w:val="22"/>
          <w:lang w:val="pl-PL"/>
        </w:rPr>
        <w:t>. Vezava N-demetiliranega presnovka na plazemske beljakovine je podobna kot pri izhodni spojini.</w:t>
      </w:r>
    </w:p>
    <w:p w14:paraId="52979C7E" w14:textId="77777777" w:rsidR="00444D75" w:rsidRPr="004A59B1" w:rsidRDefault="00444D75" w:rsidP="009C1193">
      <w:pPr>
        <w:pStyle w:val="EndnoteText"/>
        <w:widowControl w:val="0"/>
        <w:tabs>
          <w:tab w:val="clear" w:pos="567"/>
        </w:tabs>
        <w:rPr>
          <w:color w:val="000000"/>
          <w:szCs w:val="22"/>
          <w:lang w:val="pl-PL"/>
        </w:rPr>
      </w:pPr>
    </w:p>
    <w:p w14:paraId="52979C7F" w14:textId="77777777" w:rsidR="00444D75" w:rsidRPr="004A59B1" w:rsidRDefault="00444D75" w:rsidP="009C1193">
      <w:pPr>
        <w:pStyle w:val="TextChar"/>
        <w:widowControl w:val="0"/>
        <w:spacing w:before="0"/>
        <w:jc w:val="left"/>
        <w:rPr>
          <w:color w:val="000000"/>
          <w:sz w:val="22"/>
          <w:szCs w:val="22"/>
          <w:lang w:val="pl-PL"/>
        </w:rPr>
      </w:pPr>
      <w:r w:rsidRPr="004A59B1">
        <w:rPr>
          <w:color w:val="000000"/>
          <w:sz w:val="22"/>
          <w:szCs w:val="22"/>
          <w:lang w:val="sl-SI"/>
        </w:rPr>
        <w:t xml:space="preserve">Imatinib in N-demetilirani presnovek sta skupaj prispevala okrog 65 % radioaktivnosti v krvi </w:t>
      </w:r>
      <w:r w:rsidRPr="004A59B1">
        <w:rPr>
          <w:color w:val="000000"/>
          <w:sz w:val="22"/>
          <w:szCs w:val="22"/>
          <w:lang w:val="pl-PL"/>
        </w:rPr>
        <w:t>(AUC</w:t>
      </w:r>
      <w:r w:rsidRPr="004A59B1">
        <w:rPr>
          <w:color w:val="000000"/>
          <w:sz w:val="22"/>
          <w:szCs w:val="22"/>
          <w:vertAlign w:val="subscript"/>
          <w:lang w:val="pl-PL"/>
        </w:rPr>
        <w:t>(0</w:t>
      </w:r>
      <w:r w:rsidR="009C1193">
        <w:rPr>
          <w:color w:val="000000"/>
          <w:sz w:val="22"/>
          <w:szCs w:val="22"/>
          <w:vertAlign w:val="subscript"/>
          <w:lang w:val="pl-PL"/>
        </w:rPr>
        <w:noBreakHyphen/>
      </w:r>
      <w:r w:rsidRPr="004A59B1">
        <w:rPr>
          <w:color w:val="000000"/>
          <w:sz w:val="22"/>
          <w:szCs w:val="22"/>
          <w:vertAlign w:val="subscript"/>
          <w:lang w:val="pl-PL"/>
        </w:rPr>
        <w:t>48h)</w:t>
      </w:r>
      <w:r w:rsidRPr="004A59B1">
        <w:rPr>
          <w:color w:val="000000"/>
          <w:sz w:val="22"/>
          <w:szCs w:val="22"/>
          <w:lang w:val="pl-PL"/>
        </w:rPr>
        <w:t xml:space="preserve">). </w:t>
      </w:r>
      <w:r w:rsidRPr="004A59B1">
        <w:rPr>
          <w:color w:val="000000"/>
          <w:sz w:val="22"/>
          <w:szCs w:val="22"/>
          <w:lang w:val="sl-SI"/>
        </w:rPr>
        <w:t>Preostalo radioaktivnost v krvi je tvorilo več manj pomembnih presnovkov</w:t>
      </w:r>
      <w:r w:rsidRPr="004A59B1">
        <w:rPr>
          <w:color w:val="000000"/>
          <w:sz w:val="22"/>
          <w:szCs w:val="22"/>
          <w:lang w:val="pl-PL"/>
        </w:rPr>
        <w:t>.</w:t>
      </w:r>
    </w:p>
    <w:p w14:paraId="52979C80" w14:textId="77777777" w:rsidR="00444D75" w:rsidRPr="004A59B1" w:rsidRDefault="00444D75" w:rsidP="009C1193">
      <w:pPr>
        <w:pStyle w:val="TextChar"/>
        <w:widowControl w:val="0"/>
        <w:spacing w:before="0"/>
        <w:jc w:val="left"/>
        <w:rPr>
          <w:color w:val="000000"/>
          <w:sz w:val="22"/>
          <w:szCs w:val="22"/>
          <w:lang w:val="pl-PL"/>
        </w:rPr>
      </w:pPr>
    </w:p>
    <w:p w14:paraId="52979C81" w14:textId="77777777" w:rsidR="00444D75" w:rsidRPr="004A59B1" w:rsidRDefault="00444D75" w:rsidP="009C1193">
      <w:pPr>
        <w:pStyle w:val="TextChar"/>
        <w:widowControl w:val="0"/>
        <w:spacing w:before="0"/>
        <w:jc w:val="left"/>
        <w:rPr>
          <w:color w:val="000000"/>
          <w:sz w:val="22"/>
          <w:szCs w:val="22"/>
          <w:lang w:val="pl-PL"/>
        </w:rPr>
      </w:pPr>
      <w:r w:rsidRPr="004A59B1">
        <w:rPr>
          <w:color w:val="000000"/>
          <w:sz w:val="22"/>
          <w:szCs w:val="22"/>
          <w:lang w:val="sl-SI"/>
        </w:rPr>
        <w:t xml:space="preserve">Rezultati </w:t>
      </w:r>
      <w:r w:rsidRPr="004A59B1">
        <w:rPr>
          <w:i/>
          <w:color w:val="000000"/>
          <w:sz w:val="22"/>
          <w:szCs w:val="22"/>
          <w:lang w:val="sl-SI"/>
        </w:rPr>
        <w:t>in vitro</w:t>
      </w:r>
      <w:r w:rsidRPr="004A59B1">
        <w:rPr>
          <w:color w:val="000000"/>
          <w:sz w:val="22"/>
          <w:szCs w:val="22"/>
          <w:lang w:val="sl-SI"/>
        </w:rPr>
        <w:t xml:space="preserve"> so pokazali, da je pri človeku poglavitni encim P450, ki katalizira biotransformacijo imatiniba, CYP3A4</w:t>
      </w:r>
      <w:r w:rsidRPr="004A59B1">
        <w:rPr>
          <w:color w:val="000000"/>
          <w:sz w:val="22"/>
          <w:szCs w:val="22"/>
          <w:lang w:val="pl-PL"/>
        </w:rPr>
        <w:t xml:space="preserve">. </w:t>
      </w:r>
      <w:r w:rsidRPr="004A59B1">
        <w:rPr>
          <w:color w:val="000000"/>
          <w:sz w:val="22"/>
          <w:szCs w:val="22"/>
          <w:lang w:val="sl-SI"/>
        </w:rPr>
        <w:t>Od skupine možnih zdravil za sočasno uporabo (paracetamol, aciklovir, alopurinol, amfotericin, citarabin, eritromicin, flukonazol, hidroksisečnina, norfloksacin, penicilin V) sta samo eritromicin (IC</w:t>
      </w:r>
      <w:r w:rsidRPr="004A59B1">
        <w:rPr>
          <w:color w:val="000000"/>
          <w:sz w:val="22"/>
          <w:szCs w:val="22"/>
          <w:vertAlign w:val="subscript"/>
          <w:lang w:val="sl-SI"/>
        </w:rPr>
        <w:t>50</w:t>
      </w:r>
      <w:r w:rsidRPr="004A59B1">
        <w:rPr>
          <w:color w:val="000000"/>
          <w:sz w:val="22"/>
          <w:szCs w:val="22"/>
          <w:lang w:val="sl-SI"/>
        </w:rPr>
        <w:t xml:space="preserve"> 50 μM) in flukonazol (IC</w:t>
      </w:r>
      <w:r w:rsidRPr="004A59B1">
        <w:rPr>
          <w:color w:val="000000"/>
          <w:sz w:val="22"/>
          <w:szCs w:val="22"/>
          <w:vertAlign w:val="subscript"/>
          <w:lang w:val="sl-SI"/>
        </w:rPr>
        <w:t>50</w:t>
      </w:r>
      <w:r w:rsidRPr="004A59B1">
        <w:rPr>
          <w:color w:val="000000"/>
          <w:sz w:val="22"/>
          <w:szCs w:val="22"/>
          <w:lang w:val="sl-SI"/>
        </w:rPr>
        <w:t xml:space="preserve"> 118 μM) pokazala inhibicijo presnove imatiniba, </w:t>
      </w:r>
      <w:r w:rsidRPr="004A59B1">
        <w:rPr>
          <w:color w:val="000000"/>
          <w:sz w:val="22"/>
          <w:szCs w:val="22"/>
          <w:lang w:val="sl-SI"/>
        </w:rPr>
        <w:lastRenderedPageBreak/>
        <w:t>ki bi bila lahko klinično pomembna</w:t>
      </w:r>
      <w:r w:rsidRPr="004A59B1">
        <w:rPr>
          <w:color w:val="000000"/>
          <w:sz w:val="22"/>
          <w:szCs w:val="22"/>
          <w:lang w:val="pl-PL"/>
        </w:rPr>
        <w:t>.</w:t>
      </w:r>
    </w:p>
    <w:p w14:paraId="52979C82" w14:textId="77777777" w:rsidR="00444D75" w:rsidRPr="004A59B1" w:rsidRDefault="00444D75" w:rsidP="009C1193">
      <w:pPr>
        <w:pStyle w:val="TextChar"/>
        <w:widowControl w:val="0"/>
        <w:spacing w:before="0"/>
        <w:jc w:val="left"/>
        <w:rPr>
          <w:color w:val="000000"/>
          <w:sz w:val="22"/>
          <w:szCs w:val="22"/>
          <w:lang w:val="pl-PL"/>
        </w:rPr>
      </w:pPr>
    </w:p>
    <w:p w14:paraId="52979C83" w14:textId="77777777" w:rsidR="00444D75" w:rsidRPr="004A59B1" w:rsidRDefault="00444D75" w:rsidP="009C1193">
      <w:pPr>
        <w:pStyle w:val="TextChar"/>
        <w:widowControl w:val="0"/>
        <w:spacing w:before="0"/>
        <w:jc w:val="left"/>
        <w:rPr>
          <w:color w:val="000000"/>
          <w:sz w:val="22"/>
          <w:szCs w:val="22"/>
          <w:lang w:val="sl-SI"/>
        </w:rPr>
      </w:pPr>
      <w:r w:rsidRPr="004A59B1">
        <w:rPr>
          <w:i/>
          <w:color w:val="000000"/>
          <w:sz w:val="22"/>
          <w:szCs w:val="22"/>
          <w:lang w:val="sl-SI"/>
        </w:rPr>
        <w:t>In vitro</w:t>
      </w:r>
      <w:r w:rsidRPr="004A59B1">
        <w:rPr>
          <w:color w:val="000000"/>
          <w:sz w:val="22"/>
          <w:szCs w:val="22"/>
          <w:lang w:val="sl-SI"/>
        </w:rPr>
        <w:t xml:space="preserve"> so pokazali, da je imatinib kompetitiven inhibitor markerskih substratov za CYP2C9, CYP2D6 in CYP3A4/5</w:t>
      </w:r>
      <w:r w:rsidRPr="004A59B1">
        <w:rPr>
          <w:color w:val="000000"/>
          <w:sz w:val="22"/>
          <w:szCs w:val="22"/>
          <w:lang w:val="pl-PL"/>
        </w:rPr>
        <w:t xml:space="preserve">. </w:t>
      </w:r>
      <w:r w:rsidRPr="004A59B1">
        <w:rPr>
          <w:color w:val="000000"/>
          <w:sz w:val="22"/>
          <w:szCs w:val="22"/>
          <w:lang w:val="sl-SI"/>
        </w:rPr>
        <w:t>Vrednosti K</w:t>
      </w:r>
      <w:r w:rsidRPr="004A59B1">
        <w:rPr>
          <w:color w:val="000000"/>
          <w:sz w:val="22"/>
          <w:szCs w:val="22"/>
          <w:vertAlign w:val="subscript"/>
          <w:lang w:val="sl-SI"/>
        </w:rPr>
        <w:t>i</w:t>
      </w:r>
      <w:r w:rsidRPr="004A59B1">
        <w:rPr>
          <w:color w:val="000000"/>
          <w:sz w:val="22"/>
          <w:szCs w:val="22"/>
          <w:lang w:val="sl-SI"/>
        </w:rPr>
        <w:t xml:space="preserve"> v mikrosomih človeških jeter so bile 27, 7,5 oziroma 7,9 μmol/l. Največje koncentracije imatiniba v plazmi bolnikov so 2</w:t>
      </w:r>
      <w:r w:rsidRPr="004A59B1">
        <w:rPr>
          <w:color w:val="000000"/>
          <w:sz w:val="22"/>
          <w:szCs w:val="22"/>
          <w:lang w:val="pl-PL"/>
        </w:rPr>
        <w:t>–</w:t>
      </w:r>
      <w:r w:rsidRPr="004A59B1">
        <w:rPr>
          <w:color w:val="000000"/>
          <w:sz w:val="22"/>
          <w:szCs w:val="22"/>
          <w:lang w:val="sl-SI"/>
        </w:rPr>
        <w:t>4 μmol/l, zato je možna inhibicija sočasno uporabljanih zdravil s presnovo, ki poteka preko CYP2D6 in/ali CYP3A4/5</w:t>
      </w:r>
      <w:r w:rsidRPr="004A59B1">
        <w:rPr>
          <w:color w:val="000000"/>
          <w:sz w:val="22"/>
          <w:szCs w:val="22"/>
          <w:lang w:val="pl-PL"/>
        </w:rPr>
        <w:t xml:space="preserve">. </w:t>
      </w:r>
      <w:r w:rsidRPr="004A59B1">
        <w:rPr>
          <w:color w:val="000000"/>
          <w:sz w:val="22"/>
          <w:szCs w:val="22"/>
          <w:lang w:val="sl-SI"/>
        </w:rPr>
        <w:t>Imatinib ni oviral biotransformacije 5-fluorouracila, je pa zaviral presnovo paklitaksela zaradi kompetitivne inhibicije CYP2C8 (K</w:t>
      </w:r>
      <w:r w:rsidRPr="004A59B1">
        <w:rPr>
          <w:color w:val="000000"/>
          <w:sz w:val="22"/>
          <w:szCs w:val="22"/>
          <w:vertAlign w:val="subscript"/>
          <w:lang w:val="sl-SI"/>
        </w:rPr>
        <w:t>i</w:t>
      </w:r>
      <w:r w:rsidRPr="004A59B1">
        <w:rPr>
          <w:color w:val="000000"/>
          <w:sz w:val="22"/>
          <w:szCs w:val="22"/>
          <w:lang w:val="sl-SI"/>
        </w:rPr>
        <w:t xml:space="preserve"> = 34,7 μM). Ta vrednost K</w:t>
      </w:r>
      <w:r w:rsidRPr="004A59B1">
        <w:rPr>
          <w:color w:val="000000"/>
          <w:sz w:val="22"/>
          <w:szCs w:val="22"/>
          <w:vertAlign w:val="subscript"/>
          <w:lang w:val="sl-SI"/>
        </w:rPr>
        <w:t>i</w:t>
      </w:r>
      <w:r w:rsidRPr="004A59B1">
        <w:rPr>
          <w:color w:val="000000"/>
          <w:sz w:val="22"/>
          <w:szCs w:val="22"/>
          <w:lang w:val="sl-SI"/>
        </w:rPr>
        <w:t xml:space="preserve"> je mnogo večja kot pričakovane plazemske koncentracije imatiniba pri bolnikih, zato po sočasnem dajanju bodisi 5-fluorouracila ali paklitaksela in imatiniba ni pričakovati medsebojnega delovanja.</w:t>
      </w:r>
    </w:p>
    <w:p w14:paraId="52979C84" w14:textId="77777777" w:rsidR="00444D75" w:rsidRPr="004A59B1" w:rsidRDefault="00444D75" w:rsidP="009C1193">
      <w:pPr>
        <w:pStyle w:val="EndnoteText"/>
        <w:widowControl w:val="0"/>
        <w:tabs>
          <w:tab w:val="clear" w:pos="567"/>
        </w:tabs>
        <w:rPr>
          <w:color w:val="000000"/>
          <w:szCs w:val="22"/>
          <w:lang w:val="sl-SI"/>
        </w:rPr>
      </w:pPr>
    </w:p>
    <w:p w14:paraId="52979C85" w14:textId="77777777" w:rsidR="00444D75" w:rsidRPr="004A59B1" w:rsidRDefault="00444D75" w:rsidP="009C1193">
      <w:pPr>
        <w:pStyle w:val="EndnoteText"/>
        <w:keepNext/>
        <w:widowControl w:val="0"/>
        <w:tabs>
          <w:tab w:val="clear" w:pos="567"/>
        </w:tabs>
        <w:rPr>
          <w:color w:val="000000"/>
          <w:szCs w:val="22"/>
          <w:lang w:val="sl-SI"/>
        </w:rPr>
      </w:pPr>
      <w:r w:rsidRPr="004A59B1">
        <w:rPr>
          <w:color w:val="000000"/>
          <w:szCs w:val="22"/>
          <w:u w:val="single"/>
          <w:lang w:val="sl-SI"/>
        </w:rPr>
        <w:t>Izločanje</w:t>
      </w:r>
    </w:p>
    <w:p w14:paraId="52979C86" w14:textId="77777777" w:rsidR="00444D75" w:rsidRPr="004A59B1" w:rsidRDefault="00444D75" w:rsidP="009C1193">
      <w:pPr>
        <w:pStyle w:val="EndnoteText"/>
        <w:widowControl w:val="0"/>
        <w:tabs>
          <w:tab w:val="clear" w:pos="567"/>
        </w:tabs>
        <w:rPr>
          <w:color w:val="000000"/>
          <w:szCs w:val="22"/>
          <w:lang w:val="sl-SI"/>
        </w:rPr>
      </w:pPr>
      <w:r w:rsidRPr="004A59B1">
        <w:rPr>
          <w:color w:val="000000"/>
          <w:szCs w:val="22"/>
          <w:lang w:val="sl-SI"/>
        </w:rPr>
        <w:t xml:space="preserve">Na podlagi </w:t>
      </w:r>
      <w:r w:rsidR="000E68B5" w:rsidRPr="004A59B1">
        <w:rPr>
          <w:color w:val="000000"/>
          <w:szCs w:val="22"/>
          <w:lang w:val="sl-SI"/>
        </w:rPr>
        <w:t>izločen</w:t>
      </w:r>
      <w:r w:rsidR="00177020" w:rsidRPr="004A59B1">
        <w:rPr>
          <w:color w:val="000000"/>
          <w:szCs w:val="22"/>
          <w:lang w:val="sl-SI"/>
        </w:rPr>
        <w:t>ih</w:t>
      </w:r>
      <w:r w:rsidR="000E68B5" w:rsidRPr="004A59B1">
        <w:rPr>
          <w:color w:val="000000"/>
          <w:szCs w:val="22"/>
          <w:lang w:val="sl-SI"/>
        </w:rPr>
        <w:t xml:space="preserve"> </w:t>
      </w:r>
      <w:r w:rsidRPr="004A59B1">
        <w:rPr>
          <w:color w:val="000000"/>
          <w:szCs w:val="22"/>
          <w:lang w:val="sl-SI"/>
        </w:rPr>
        <w:t xml:space="preserve">spojin(e) po peroralnem odmerku imatiniba, označenega s </w:t>
      </w:r>
      <w:r w:rsidRPr="004A59B1">
        <w:rPr>
          <w:color w:val="000000"/>
          <w:szCs w:val="22"/>
          <w:vertAlign w:val="superscript"/>
          <w:lang w:val="sl-SI"/>
        </w:rPr>
        <w:t>14</w:t>
      </w:r>
      <w:r w:rsidRPr="004A59B1">
        <w:rPr>
          <w:color w:val="000000"/>
          <w:szCs w:val="22"/>
          <w:lang w:val="sl-SI"/>
        </w:rPr>
        <w:t>C, se je približno 81 % odmerka odstranilo iz telesa v 7 dneh z blatom (68 % odmerka) in urinom (13 % odmerka). Nespremenjeni imatinib je predstavljal 25 % odmerka (5 % v urinu, 20 % v blatu), preostanek pa so predstavljali presnovki.</w:t>
      </w:r>
    </w:p>
    <w:p w14:paraId="52979C87" w14:textId="77777777" w:rsidR="00444D75" w:rsidRPr="004A59B1" w:rsidRDefault="00444D75" w:rsidP="009C1193">
      <w:pPr>
        <w:pStyle w:val="EndnoteText"/>
        <w:widowControl w:val="0"/>
        <w:tabs>
          <w:tab w:val="clear" w:pos="567"/>
        </w:tabs>
        <w:rPr>
          <w:color w:val="000000"/>
          <w:szCs w:val="22"/>
          <w:lang w:val="sl-SI"/>
        </w:rPr>
      </w:pPr>
    </w:p>
    <w:p w14:paraId="52979C88" w14:textId="77777777" w:rsidR="00444D75" w:rsidRPr="004A59B1" w:rsidRDefault="00444D75" w:rsidP="009C1193">
      <w:pPr>
        <w:pStyle w:val="EndnoteText"/>
        <w:keepNext/>
        <w:widowControl w:val="0"/>
        <w:tabs>
          <w:tab w:val="clear" w:pos="567"/>
        </w:tabs>
        <w:rPr>
          <w:color w:val="000000"/>
          <w:szCs w:val="22"/>
          <w:lang w:val="sl-SI"/>
        </w:rPr>
      </w:pPr>
      <w:r w:rsidRPr="004A59B1">
        <w:rPr>
          <w:color w:val="000000"/>
          <w:szCs w:val="22"/>
          <w:u w:val="single"/>
          <w:lang w:val="sl-SI"/>
        </w:rPr>
        <w:t>Plazemska farmakokinetika</w:t>
      </w:r>
    </w:p>
    <w:p w14:paraId="52979C89" w14:textId="77777777" w:rsidR="00444D75" w:rsidRPr="004A59B1" w:rsidRDefault="00444D75" w:rsidP="009C1193">
      <w:pPr>
        <w:pStyle w:val="EndnoteText"/>
        <w:widowControl w:val="0"/>
        <w:tabs>
          <w:tab w:val="clear" w:pos="567"/>
        </w:tabs>
        <w:rPr>
          <w:color w:val="000000"/>
          <w:szCs w:val="22"/>
          <w:lang w:val="sl-SI"/>
        </w:rPr>
      </w:pPr>
      <w:r w:rsidRPr="004A59B1">
        <w:rPr>
          <w:color w:val="000000"/>
          <w:szCs w:val="22"/>
          <w:lang w:val="sl-SI"/>
        </w:rPr>
        <w:t>Po peroralnem dajanju zdravim prostovoljcem je bil t</w:t>
      </w:r>
      <w:r w:rsidRPr="004A59B1">
        <w:rPr>
          <w:color w:val="000000"/>
          <w:szCs w:val="22"/>
          <w:vertAlign w:val="subscript"/>
          <w:lang w:val="sl-SI"/>
        </w:rPr>
        <w:t>1/2</w:t>
      </w:r>
      <w:r w:rsidRPr="004A59B1">
        <w:rPr>
          <w:color w:val="000000"/>
          <w:szCs w:val="22"/>
          <w:lang w:val="sl-SI"/>
        </w:rPr>
        <w:t xml:space="preserve"> približno 18 ur, kar kaže na ustreznost enega odmerka na dan. Zvečevanje povprečne AUC z večanjem odmerka je bilo po peroralnem dajanju linearno in sorazmerno odmerku v območju 25–1.000 mg imatiniba. Pri ponovnem odmerjanju se kinetika imatiniba ni spreminjala, kopičenje pa je bilo pri enem odmerku na dan v stanju dinamičnega ravnovesja 1,5–2,5-kratno.</w:t>
      </w:r>
    </w:p>
    <w:p w14:paraId="52979C8A" w14:textId="77777777" w:rsidR="00444D75" w:rsidRPr="004A59B1" w:rsidRDefault="00444D75" w:rsidP="009C1193">
      <w:pPr>
        <w:pStyle w:val="EndnoteText"/>
        <w:widowControl w:val="0"/>
        <w:tabs>
          <w:tab w:val="clear" w:pos="567"/>
        </w:tabs>
        <w:rPr>
          <w:color w:val="000000"/>
          <w:szCs w:val="22"/>
          <w:lang w:val="sl-SI"/>
        </w:rPr>
      </w:pPr>
    </w:p>
    <w:p w14:paraId="52979C8B" w14:textId="77777777" w:rsidR="00444D75" w:rsidRPr="004A59B1" w:rsidRDefault="00444D75" w:rsidP="009C1193">
      <w:pPr>
        <w:pStyle w:val="EndnoteText"/>
        <w:keepNext/>
        <w:widowControl w:val="0"/>
        <w:tabs>
          <w:tab w:val="clear" w:pos="567"/>
        </w:tabs>
        <w:rPr>
          <w:color w:val="000000"/>
          <w:szCs w:val="22"/>
          <w:u w:val="single"/>
          <w:lang w:val="sl-SI"/>
        </w:rPr>
      </w:pPr>
      <w:r w:rsidRPr="004A59B1">
        <w:rPr>
          <w:color w:val="000000"/>
          <w:szCs w:val="22"/>
          <w:u w:val="single"/>
          <w:lang w:val="sl-SI"/>
        </w:rPr>
        <w:t>Farmakokinetika pri bolnikih z GIST</w:t>
      </w:r>
    </w:p>
    <w:p w14:paraId="52979C8C" w14:textId="77777777" w:rsidR="00444D75" w:rsidRPr="004A59B1" w:rsidRDefault="00444D75" w:rsidP="009C1193">
      <w:pPr>
        <w:pStyle w:val="TextChar"/>
        <w:widowControl w:val="0"/>
        <w:spacing w:before="0"/>
        <w:jc w:val="left"/>
        <w:rPr>
          <w:color w:val="000000"/>
          <w:sz w:val="22"/>
          <w:szCs w:val="22"/>
          <w:lang w:val="sl-SI"/>
        </w:rPr>
      </w:pPr>
      <w:r w:rsidRPr="004A59B1">
        <w:rPr>
          <w:color w:val="000000"/>
          <w:sz w:val="22"/>
          <w:szCs w:val="22"/>
          <w:lang w:val="sl-SI"/>
        </w:rPr>
        <w:t xml:space="preserve">Pri bolnikih z GIST je bila izpostavljenost v stanju dinamičnega ravnovesja 1,5-krat večja od tiste, ki je bila opazovana pri bolnikih s </w:t>
      </w:r>
      <w:r w:rsidR="00677326" w:rsidRPr="004A59B1">
        <w:rPr>
          <w:color w:val="000000"/>
          <w:sz w:val="22"/>
          <w:szCs w:val="22"/>
          <w:lang w:val="sl-SI"/>
        </w:rPr>
        <w:t>KML</w:t>
      </w:r>
      <w:r w:rsidRPr="004A59B1">
        <w:rPr>
          <w:color w:val="000000"/>
          <w:sz w:val="22"/>
          <w:szCs w:val="22"/>
          <w:lang w:val="sl-SI"/>
        </w:rPr>
        <w:t xml:space="preserve"> pri enakem odmerjanju (400 mg na dan</w:t>
      </w:r>
      <w:r w:rsidRPr="004A59B1">
        <w:rPr>
          <w:snapToGrid w:val="0"/>
          <w:color w:val="000000"/>
          <w:sz w:val="22"/>
          <w:szCs w:val="22"/>
          <w:lang w:val="sl-SI"/>
        </w:rPr>
        <w:t xml:space="preserve">). </w:t>
      </w:r>
      <w:r w:rsidRPr="004A59B1">
        <w:rPr>
          <w:color w:val="000000"/>
          <w:sz w:val="22"/>
          <w:szCs w:val="22"/>
          <w:lang w:val="sl-SI"/>
        </w:rPr>
        <w:t xml:space="preserve">Na podlagi preliminarne analize populacijske farmakokinetike pri bolnikih z GIST so za tri spremenljivke (albumin, WBC in bilirubin) ugotovili, da so statistično signifikantno povezane s farmakokinetiko imatiniba. Zmanjšane vrednosti albumina so povzročile zmanjšan očistek (CL/f); </w:t>
      </w:r>
      <w:r w:rsidR="00A55982" w:rsidRPr="004A59B1">
        <w:rPr>
          <w:color w:val="000000"/>
          <w:sz w:val="22"/>
          <w:szCs w:val="22"/>
          <w:lang w:val="sl-SI"/>
        </w:rPr>
        <w:t xml:space="preserve">večje </w:t>
      </w:r>
      <w:r w:rsidRPr="004A59B1">
        <w:rPr>
          <w:color w:val="000000"/>
          <w:sz w:val="22"/>
          <w:szCs w:val="22"/>
          <w:lang w:val="sl-SI"/>
        </w:rPr>
        <w:t>koncentracije WBC so povzročile zmanjšanje CL/f. Vendar te povezave niso dovolj izrazite, da bi bila potrebna prilagoditev odmerka. V tej skupini bolnikov bi lahko prisotnost metastaz v jetrih povzročila insuficienco jeter in zmanjšano presnovo.</w:t>
      </w:r>
    </w:p>
    <w:p w14:paraId="52979C8D" w14:textId="77777777" w:rsidR="00444D75" w:rsidRPr="004A59B1" w:rsidRDefault="00444D75" w:rsidP="009C1193">
      <w:pPr>
        <w:pStyle w:val="EndnoteText"/>
        <w:widowControl w:val="0"/>
        <w:tabs>
          <w:tab w:val="clear" w:pos="567"/>
        </w:tabs>
        <w:rPr>
          <w:color w:val="000000"/>
          <w:szCs w:val="22"/>
          <w:lang w:val="sl-SI"/>
        </w:rPr>
      </w:pPr>
    </w:p>
    <w:p w14:paraId="52979C8E" w14:textId="77777777" w:rsidR="00444D75" w:rsidRPr="004A59B1" w:rsidRDefault="00444D75" w:rsidP="009C1193">
      <w:pPr>
        <w:pStyle w:val="EndnoteText"/>
        <w:keepNext/>
        <w:widowControl w:val="0"/>
        <w:tabs>
          <w:tab w:val="clear" w:pos="567"/>
        </w:tabs>
        <w:rPr>
          <w:color w:val="000000"/>
          <w:szCs w:val="22"/>
          <w:lang w:val="sl-SI"/>
        </w:rPr>
      </w:pPr>
      <w:r w:rsidRPr="004A59B1">
        <w:rPr>
          <w:color w:val="000000"/>
          <w:szCs w:val="22"/>
          <w:u w:val="single"/>
          <w:lang w:val="sl-SI"/>
        </w:rPr>
        <w:t>Populacijska farmakokinetika</w:t>
      </w:r>
    </w:p>
    <w:p w14:paraId="52979C8F" w14:textId="77777777" w:rsidR="00444D75" w:rsidRPr="004A59B1" w:rsidRDefault="00444D75" w:rsidP="009C1193">
      <w:pPr>
        <w:pStyle w:val="EndnoteText"/>
        <w:widowControl w:val="0"/>
        <w:tabs>
          <w:tab w:val="clear" w:pos="567"/>
        </w:tabs>
        <w:rPr>
          <w:color w:val="000000"/>
          <w:szCs w:val="22"/>
          <w:lang w:val="sl-SI"/>
        </w:rPr>
      </w:pPr>
      <w:r w:rsidRPr="004A59B1">
        <w:rPr>
          <w:color w:val="000000"/>
          <w:szCs w:val="22"/>
          <w:lang w:val="sl-SI"/>
        </w:rPr>
        <w:t xml:space="preserve">Na podlagi analize populacijske farmakokinetike pri bolnikih s </w:t>
      </w:r>
      <w:r w:rsidR="00677326" w:rsidRPr="004A59B1">
        <w:rPr>
          <w:color w:val="000000"/>
          <w:szCs w:val="22"/>
          <w:lang w:val="sl-SI"/>
        </w:rPr>
        <w:t>KML</w:t>
      </w:r>
      <w:r w:rsidRPr="004A59B1">
        <w:rPr>
          <w:color w:val="000000"/>
          <w:szCs w:val="22"/>
          <w:lang w:val="sl-SI"/>
        </w:rPr>
        <w:t xml:space="preserve"> so ugotovili majhen učinek starosti na volumen porazdelitve (12</w:t>
      </w:r>
      <w:r w:rsidRPr="004A59B1">
        <w:rPr>
          <w:color w:val="000000"/>
          <w:szCs w:val="22"/>
          <w:lang w:val="sl-SI"/>
        </w:rPr>
        <w:noBreakHyphen/>
        <w:t>odstotno povečanje pri bolnikih, starejših od 65 let), vendar ta sprememba ni klinično pomembna. Vpliv telesne mase na očistek imatiniba je takšen, da je pri bolniku, ki tehta 50 kg, pričakovani povprečni očistek 8,5 l/h, pri bolniku, ki tehta 100 kg, pa se očistek poveča na 11,8 l/h. Te spremembe pa niso dovolj velike, da bi bilo potrebno prilagajanje odmerjanja telesni masi. Spol na kinetiko imatiniba ne vpliva.</w:t>
      </w:r>
    </w:p>
    <w:p w14:paraId="52979C90" w14:textId="77777777" w:rsidR="00444D75" w:rsidRPr="004A59B1" w:rsidRDefault="00444D75" w:rsidP="009C1193">
      <w:pPr>
        <w:pStyle w:val="EndnoteText"/>
        <w:widowControl w:val="0"/>
        <w:tabs>
          <w:tab w:val="clear" w:pos="567"/>
        </w:tabs>
        <w:rPr>
          <w:color w:val="000000"/>
          <w:szCs w:val="22"/>
          <w:lang w:val="sl-SI"/>
        </w:rPr>
      </w:pPr>
    </w:p>
    <w:p w14:paraId="52979C91" w14:textId="77777777" w:rsidR="00444D75" w:rsidRPr="004A59B1" w:rsidRDefault="00444D75" w:rsidP="009C1193">
      <w:pPr>
        <w:pStyle w:val="EndnoteText"/>
        <w:keepNext/>
        <w:widowControl w:val="0"/>
        <w:tabs>
          <w:tab w:val="clear" w:pos="567"/>
        </w:tabs>
        <w:rPr>
          <w:color w:val="000000"/>
          <w:szCs w:val="22"/>
          <w:u w:val="single"/>
          <w:lang w:val="sl-SI"/>
        </w:rPr>
      </w:pPr>
      <w:r w:rsidRPr="004A59B1">
        <w:rPr>
          <w:color w:val="000000"/>
          <w:szCs w:val="22"/>
          <w:u w:val="single"/>
          <w:lang w:val="sl-SI"/>
        </w:rPr>
        <w:t>Farmakokinetika pri otrocih</w:t>
      </w:r>
    </w:p>
    <w:p w14:paraId="52979C92" w14:textId="77777777" w:rsidR="00444D75" w:rsidRPr="004A59B1" w:rsidRDefault="00444D75" w:rsidP="009C1193">
      <w:pPr>
        <w:pStyle w:val="EndnoteText"/>
        <w:widowControl w:val="0"/>
        <w:rPr>
          <w:color w:val="000000"/>
          <w:szCs w:val="22"/>
          <w:lang w:val="sl-SI"/>
        </w:rPr>
      </w:pPr>
      <w:r w:rsidRPr="004A59B1">
        <w:rPr>
          <w:color w:val="000000"/>
          <w:szCs w:val="22"/>
          <w:lang w:val="sl-SI"/>
        </w:rPr>
        <w:t xml:space="preserve">Tako kot pri odraslih bolnikih, se je pri pediatričnih bolnikih v </w:t>
      </w:r>
      <w:r w:rsidR="00794E8C" w:rsidRPr="004A59B1">
        <w:rPr>
          <w:color w:val="000000"/>
          <w:szCs w:val="22"/>
          <w:lang w:val="sl-SI"/>
        </w:rPr>
        <w:t>študijah tako prve kot druge faze</w:t>
      </w:r>
      <w:r w:rsidRPr="004A59B1">
        <w:rPr>
          <w:color w:val="000000"/>
          <w:szCs w:val="22"/>
          <w:lang w:val="sl-SI"/>
        </w:rPr>
        <w:t xml:space="preserve"> imatinib po peroralni uporabi hitro absorbiral. Odmerek 260</w:t>
      </w:r>
      <w:r w:rsidR="008A1B6E" w:rsidRPr="004A59B1">
        <w:rPr>
          <w:color w:val="000000"/>
          <w:szCs w:val="22"/>
          <w:lang w:val="sl-SI"/>
        </w:rPr>
        <w:t> </w:t>
      </w:r>
      <w:r w:rsidR="00CF7C31" w:rsidRPr="004A59B1">
        <w:rPr>
          <w:color w:val="000000"/>
          <w:szCs w:val="22"/>
          <w:lang w:val="sl-SI"/>
        </w:rPr>
        <w:t>mg/m</w:t>
      </w:r>
      <w:r w:rsidR="00CF7C31" w:rsidRPr="004A59B1">
        <w:rPr>
          <w:color w:val="000000"/>
          <w:szCs w:val="22"/>
          <w:vertAlign w:val="superscript"/>
          <w:lang w:val="sl-SI"/>
        </w:rPr>
        <w:t>2</w:t>
      </w:r>
      <w:r w:rsidRPr="004A59B1">
        <w:rPr>
          <w:color w:val="000000"/>
          <w:szCs w:val="22"/>
          <w:lang w:val="sl-SI"/>
        </w:rPr>
        <w:t> oziroma 340 mg/m</w:t>
      </w:r>
      <w:r w:rsidRPr="004A59B1">
        <w:rPr>
          <w:color w:val="000000"/>
          <w:szCs w:val="22"/>
          <w:vertAlign w:val="superscript"/>
          <w:lang w:val="sl-SI"/>
        </w:rPr>
        <w:t>2</w:t>
      </w:r>
      <w:r w:rsidRPr="004A59B1">
        <w:rPr>
          <w:color w:val="000000"/>
          <w:szCs w:val="22"/>
          <w:lang w:val="sl-SI"/>
        </w:rPr>
        <w:t xml:space="preserve"> pri otrocih je dosegel enako izpostavljenost kot odmerek 400 mg oziroma 600 mg pri odraslih bolnikih. Primerjava AUC</w:t>
      </w:r>
      <w:r w:rsidRPr="004A59B1">
        <w:rPr>
          <w:color w:val="000000"/>
          <w:szCs w:val="22"/>
          <w:vertAlign w:val="subscript"/>
          <w:lang w:val="sl-SI"/>
        </w:rPr>
        <w:t>(0-24)</w:t>
      </w:r>
      <w:r w:rsidRPr="004A59B1">
        <w:rPr>
          <w:color w:val="000000"/>
          <w:szCs w:val="22"/>
          <w:lang w:val="sl-SI"/>
        </w:rPr>
        <w:t xml:space="preserve"> 8. dne in 1. dne ob odmerku 340 mg/m</w:t>
      </w:r>
      <w:r w:rsidRPr="004A59B1">
        <w:rPr>
          <w:color w:val="000000"/>
          <w:szCs w:val="22"/>
          <w:vertAlign w:val="superscript"/>
          <w:lang w:val="sl-SI"/>
        </w:rPr>
        <w:t xml:space="preserve">2 </w:t>
      </w:r>
      <w:r w:rsidRPr="004A59B1">
        <w:rPr>
          <w:color w:val="000000"/>
          <w:szCs w:val="22"/>
          <w:lang w:val="sl-SI"/>
        </w:rPr>
        <w:t>je pokazala 1,7-kratno kopičenje zdravila po ponavljajočem se odmerjanju enkrat na dan.</w:t>
      </w:r>
    </w:p>
    <w:p w14:paraId="52979C93" w14:textId="77777777" w:rsidR="00444D75" w:rsidRPr="004A59B1" w:rsidRDefault="00444D75" w:rsidP="009C1193">
      <w:pPr>
        <w:pStyle w:val="EndnoteText"/>
        <w:widowControl w:val="0"/>
        <w:tabs>
          <w:tab w:val="clear" w:pos="567"/>
        </w:tabs>
        <w:rPr>
          <w:color w:val="000000"/>
          <w:szCs w:val="22"/>
          <w:lang w:val="sl-SI"/>
        </w:rPr>
      </w:pPr>
    </w:p>
    <w:p w14:paraId="52979C94" w14:textId="77777777" w:rsidR="0021723F" w:rsidRPr="004A59B1" w:rsidRDefault="00CB0F0A" w:rsidP="009C1193">
      <w:pPr>
        <w:pStyle w:val="EndnoteText"/>
        <w:widowControl w:val="0"/>
        <w:rPr>
          <w:color w:val="000000"/>
          <w:szCs w:val="22"/>
          <w:lang w:val="sl-SI"/>
        </w:rPr>
      </w:pPr>
      <w:r w:rsidRPr="004A59B1">
        <w:rPr>
          <w:color w:val="000000"/>
          <w:szCs w:val="22"/>
          <w:lang w:val="sl-SI"/>
        </w:rPr>
        <w:t xml:space="preserve">Po rezultatih populacijske farmakokinetične analize združenih podatkov pediatričnih bolnikov s hematološkimi boleznimi </w:t>
      </w:r>
      <w:r w:rsidR="0021723F" w:rsidRPr="004A59B1">
        <w:rPr>
          <w:color w:val="000000"/>
          <w:szCs w:val="22"/>
          <w:lang w:val="sl-SI"/>
        </w:rPr>
        <w:t>(</w:t>
      </w:r>
      <w:r w:rsidRPr="004A59B1">
        <w:rPr>
          <w:color w:val="000000"/>
          <w:szCs w:val="22"/>
          <w:lang w:val="sl-SI"/>
        </w:rPr>
        <w:t>s K</w:t>
      </w:r>
      <w:r w:rsidR="0021723F" w:rsidRPr="004A59B1">
        <w:rPr>
          <w:color w:val="000000"/>
          <w:szCs w:val="22"/>
          <w:lang w:val="sl-SI"/>
        </w:rPr>
        <w:t xml:space="preserve">ML, </w:t>
      </w:r>
      <w:r w:rsidRPr="004A59B1">
        <w:rPr>
          <w:color w:val="000000"/>
          <w:szCs w:val="22"/>
          <w:lang w:val="sl-SI"/>
        </w:rPr>
        <w:t xml:space="preserve">s Ph+ALL ali s katero od drugih hematoloških bolezni, pri katerih se pri zdravljenju uporablja </w:t>
      </w:r>
      <w:r w:rsidR="0021723F" w:rsidRPr="004A59B1">
        <w:rPr>
          <w:color w:val="000000"/>
          <w:szCs w:val="22"/>
          <w:lang w:val="sl-SI"/>
        </w:rPr>
        <w:t>imatinib),</w:t>
      </w:r>
      <w:r w:rsidRPr="004A59B1">
        <w:rPr>
          <w:color w:val="000000"/>
          <w:szCs w:val="22"/>
          <w:lang w:val="sl-SI"/>
        </w:rPr>
        <w:t xml:space="preserve"> se očistek </w:t>
      </w:r>
      <w:r w:rsidR="0021723F" w:rsidRPr="004A59B1">
        <w:rPr>
          <w:color w:val="000000"/>
          <w:szCs w:val="22"/>
          <w:lang w:val="sl-SI"/>
        </w:rPr>
        <w:t>imatinib</w:t>
      </w:r>
      <w:r w:rsidRPr="004A59B1">
        <w:rPr>
          <w:color w:val="000000"/>
          <w:szCs w:val="22"/>
          <w:lang w:val="sl-SI"/>
        </w:rPr>
        <w:t xml:space="preserve">a </w:t>
      </w:r>
      <w:r w:rsidR="00B334E2" w:rsidRPr="004A59B1">
        <w:rPr>
          <w:color w:val="000000"/>
          <w:szCs w:val="22"/>
          <w:lang w:val="sl-SI"/>
        </w:rPr>
        <w:t>zvišuje z večanjem telesne površine. Po korekciji zaradi telesne površine drugi demografski dejavniki, kot so starost, telesna masa in indeks telesne mase</w:t>
      </w:r>
      <w:r w:rsidR="004F5038" w:rsidRPr="004A59B1">
        <w:rPr>
          <w:color w:val="000000"/>
          <w:szCs w:val="22"/>
          <w:lang w:val="sl-SI"/>
        </w:rPr>
        <w:t>,</w:t>
      </w:r>
      <w:r w:rsidR="00B334E2" w:rsidRPr="004A59B1">
        <w:rPr>
          <w:color w:val="000000"/>
          <w:szCs w:val="22"/>
          <w:lang w:val="sl-SI"/>
        </w:rPr>
        <w:t xml:space="preserve"> niso klinično pomembno vplivali na izpostavljenost imatinibu. Rezultati analize potrjujejo, da </w:t>
      </w:r>
      <w:r w:rsidR="004F5038" w:rsidRPr="004A59B1">
        <w:rPr>
          <w:color w:val="000000"/>
          <w:szCs w:val="22"/>
          <w:lang w:val="sl-SI"/>
        </w:rPr>
        <w:t xml:space="preserve">je </w:t>
      </w:r>
      <w:r w:rsidR="00B334E2" w:rsidRPr="004A59B1">
        <w:rPr>
          <w:color w:val="000000"/>
          <w:szCs w:val="22"/>
          <w:lang w:val="sl-SI"/>
        </w:rPr>
        <w:t xml:space="preserve">pri pediatričnih bolnikih, ki prejemajo </w:t>
      </w:r>
      <w:r w:rsidR="0021723F" w:rsidRPr="004A59B1">
        <w:rPr>
          <w:color w:val="000000"/>
          <w:szCs w:val="22"/>
          <w:lang w:val="sl-SI"/>
        </w:rPr>
        <w:t>260 mg/m</w:t>
      </w:r>
      <w:r w:rsidR="0021723F" w:rsidRPr="004A59B1">
        <w:rPr>
          <w:color w:val="000000"/>
          <w:szCs w:val="22"/>
          <w:vertAlign w:val="superscript"/>
          <w:lang w:val="sl-SI"/>
        </w:rPr>
        <w:t>2</w:t>
      </w:r>
      <w:r w:rsidR="0021723F" w:rsidRPr="004A59B1">
        <w:rPr>
          <w:color w:val="000000"/>
          <w:szCs w:val="22"/>
          <w:lang w:val="sl-SI"/>
        </w:rPr>
        <w:t xml:space="preserve"> </w:t>
      </w:r>
      <w:r w:rsidR="00B334E2" w:rsidRPr="004A59B1">
        <w:rPr>
          <w:color w:val="000000"/>
          <w:szCs w:val="22"/>
          <w:lang w:val="sl-SI"/>
        </w:rPr>
        <w:t>enkrat na dan</w:t>
      </w:r>
      <w:r w:rsidR="0021723F" w:rsidRPr="004A59B1">
        <w:rPr>
          <w:color w:val="000000"/>
          <w:szCs w:val="22"/>
          <w:lang w:val="sl-SI"/>
        </w:rPr>
        <w:t xml:space="preserve"> (</w:t>
      </w:r>
      <w:r w:rsidR="00B334E2" w:rsidRPr="004A59B1">
        <w:rPr>
          <w:color w:val="000000"/>
          <w:szCs w:val="22"/>
          <w:lang w:val="sl-SI"/>
        </w:rPr>
        <w:t xml:space="preserve">pri čemer odmerek ne presega </w:t>
      </w:r>
      <w:r w:rsidR="0021723F" w:rsidRPr="004A59B1">
        <w:rPr>
          <w:color w:val="000000"/>
          <w:szCs w:val="22"/>
          <w:lang w:val="sl-SI"/>
        </w:rPr>
        <w:t>400 </w:t>
      </w:r>
      <w:r w:rsidR="00B334E2" w:rsidRPr="004A59B1">
        <w:rPr>
          <w:color w:val="000000"/>
          <w:szCs w:val="22"/>
          <w:lang w:val="sl-SI"/>
        </w:rPr>
        <w:t>mg</w:t>
      </w:r>
      <w:r w:rsidR="004F5038" w:rsidRPr="004A59B1">
        <w:rPr>
          <w:color w:val="000000"/>
          <w:szCs w:val="22"/>
          <w:lang w:val="sl-SI"/>
        </w:rPr>
        <w:t xml:space="preserve"> </w:t>
      </w:r>
      <w:r w:rsidR="00F069A5" w:rsidRPr="004A59B1">
        <w:rPr>
          <w:color w:val="000000"/>
          <w:szCs w:val="22"/>
          <w:lang w:val="sl-SI"/>
        </w:rPr>
        <w:t>na dan</w:t>
      </w:r>
      <w:r w:rsidR="0021723F" w:rsidRPr="004A59B1">
        <w:rPr>
          <w:color w:val="000000"/>
          <w:szCs w:val="22"/>
          <w:lang w:val="sl-SI"/>
        </w:rPr>
        <w:t xml:space="preserve">) </w:t>
      </w:r>
      <w:r w:rsidR="00B334E2" w:rsidRPr="004A59B1">
        <w:rPr>
          <w:color w:val="000000"/>
          <w:szCs w:val="22"/>
          <w:lang w:val="sl-SI"/>
        </w:rPr>
        <w:t xml:space="preserve">ali </w:t>
      </w:r>
      <w:r w:rsidR="0021723F" w:rsidRPr="004A59B1">
        <w:rPr>
          <w:color w:val="000000"/>
          <w:szCs w:val="22"/>
          <w:lang w:val="sl-SI"/>
        </w:rPr>
        <w:t>340 mg/m</w:t>
      </w:r>
      <w:r w:rsidR="0021723F" w:rsidRPr="004A59B1">
        <w:rPr>
          <w:color w:val="000000"/>
          <w:szCs w:val="22"/>
          <w:vertAlign w:val="superscript"/>
          <w:lang w:val="sl-SI"/>
        </w:rPr>
        <w:t>2</w:t>
      </w:r>
      <w:r w:rsidR="0021723F" w:rsidRPr="004A59B1">
        <w:rPr>
          <w:color w:val="000000"/>
          <w:szCs w:val="22"/>
          <w:lang w:val="sl-SI"/>
        </w:rPr>
        <w:t xml:space="preserve"> </w:t>
      </w:r>
      <w:r w:rsidR="00B334E2" w:rsidRPr="004A59B1">
        <w:rPr>
          <w:color w:val="000000"/>
          <w:szCs w:val="22"/>
          <w:lang w:val="sl-SI"/>
        </w:rPr>
        <w:t>enkrat na dan</w:t>
      </w:r>
      <w:r w:rsidR="0021723F" w:rsidRPr="004A59B1">
        <w:rPr>
          <w:color w:val="000000"/>
          <w:szCs w:val="22"/>
          <w:lang w:val="sl-SI"/>
        </w:rPr>
        <w:t xml:space="preserve"> (</w:t>
      </w:r>
      <w:r w:rsidR="00B334E2" w:rsidRPr="004A59B1">
        <w:rPr>
          <w:color w:val="000000"/>
          <w:szCs w:val="22"/>
          <w:lang w:val="sl-SI"/>
        </w:rPr>
        <w:t xml:space="preserve">pri čemer odmerek ne presega </w:t>
      </w:r>
      <w:r w:rsidR="0021723F" w:rsidRPr="004A59B1">
        <w:rPr>
          <w:color w:val="000000"/>
          <w:szCs w:val="22"/>
          <w:lang w:val="sl-SI"/>
        </w:rPr>
        <w:t xml:space="preserve">600 mg </w:t>
      </w:r>
      <w:r w:rsidR="00F069A5" w:rsidRPr="004A59B1">
        <w:rPr>
          <w:color w:val="000000"/>
          <w:szCs w:val="22"/>
          <w:lang w:val="sl-SI"/>
        </w:rPr>
        <w:t>na dan</w:t>
      </w:r>
      <w:r w:rsidR="0021723F" w:rsidRPr="004A59B1">
        <w:rPr>
          <w:color w:val="000000"/>
          <w:szCs w:val="22"/>
          <w:lang w:val="sl-SI"/>
        </w:rPr>
        <w:t xml:space="preserve">) </w:t>
      </w:r>
      <w:r w:rsidR="004F5038" w:rsidRPr="004A59B1">
        <w:rPr>
          <w:color w:val="000000"/>
          <w:szCs w:val="22"/>
          <w:lang w:val="sl-SI"/>
        </w:rPr>
        <w:t xml:space="preserve">izpostavljenost imatinibu podobna kot pri odraslih bolnikih, ki prejemajo imatinib v odmerkih </w:t>
      </w:r>
      <w:r w:rsidR="0021723F" w:rsidRPr="004A59B1">
        <w:rPr>
          <w:color w:val="000000"/>
          <w:szCs w:val="22"/>
          <w:lang w:val="sl-SI"/>
        </w:rPr>
        <w:lastRenderedPageBreak/>
        <w:t xml:space="preserve">400 mg </w:t>
      </w:r>
      <w:r w:rsidR="004F5038" w:rsidRPr="004A59B1">
        <w:rPr>
          <w:color w:val="000000"/>
          <w:szCs w:val="22"/>
          <w:lang w:val="sl-SI"/>
        </w:rPr>
        <w:t xml:space="preserve">oziroma </w:t>
      </w:r>
      <w:r w:rsidR="0021723F" w:rsidRPr="004A59B1">
        <w:rPr>
          <w:color w:val="000000"/>
          <w:szCs w:val="22"/>
          <w:lang w:val="sl-SI"/>
        </w:rPr>
        <w:t xml:space="preserve">600 mg </w:t>
      </w:r>
      <w:r w:rsidR="004F5038" w:rsidRPr="004A59B1">
        <w:rPr>
          <w:color w:val="000000"/>
          <w:szCs w:val="22"/>
          <w:lang w:val="sl-SI"/>
        </w:rPr>
        <w:t>enkrat na dan.</w:t>
      </w:r>
    </w:p>
    <w:p w14:paraId="52979C95" w14:textId="77777777" w:rsidR="0021723F" w:rsidRPr="004A59B1" w:rsidRDefault="0021723F" w:rsidP="009C1193">
      <w:pPr>
        <w:pStyle w:val="EndnoteText"/>
        <w:widowControl w:val="0"/>
        <w:tabs>
          <w:tab w:val="clear" w:pos="567"/>
        </w:tabs>
        <w:rPr>
          <w:color w:val="000000"/>
          <w:szCs w:val="22"/>
          <w:lang w:val="sl-SI"/>
        </w:rPr>
      </w:pPr>
    </w:p>
    <w:p w14:paraId="52979C96" w14:textId="77777777" w:rsidR="00444D75" w:rsidRPr="004A59B1" w:rsidRDefault="00444D75" w:rsidP="009C1193">
      <w:pPr>
        <w:pStyle w:val="EndnoteText"/>
        <w:keepNext/>
        <w:widowControl w:val="0"/>
        <w:tabs>
          <w:tab w:val="clear" w:pos="567"/>
        </w:tabs>
        <w:rPr>
          <w:color w:val="000000"/>
          <w:szCs w:val="22"/>
          <w:lang w:val="sl-SI"/>
        </w:rPr>
      </w:pPr>
      <w:r w:rsidRPr="004A59B1">
        <w:rPr>
          <w:color w:val="000000"/>
          <w:szCs w:val="22"/>
          <w:u w:val="single"/>
          <w:lang w:val="sl-SI"/>
        </w:rPr>
        <w:t>Moteno delovanje organov</w:t>
      </w:r>
    </w:p>
    <w:p w14:paraId="52979C97" w14:textId="77777777" w:rsidR="001C3B8F" w:rsidRPr="004A59B1" w:rsidRDefault="00444D75" w:rsidP="009C1193">
      <w:pPr>
        <w:pStyle w:val="EndnoteText"/>
        <w:widowControl w:val="0"/>
        <w:tabs>
          <w:tab w:val="clear" w:pos="567"/>
        </w:tabs>
        <w:rPr>
          <w:color w:val="000000"/>
          <w:lang w:val="sl-SI"/>
        </w:rPr>
      </w:pPr>
      <w:r w:rsidRPr="004A59B1">
        <w:rPr>
          <w:color w:val="000000"/>
          <w:szCs w:val="22"/>
          <w:lang w:val="sl-SI"/>
        </w:rPr>
        <w:t xml:space="preserve">Imatinib in njegovi presnovki se skozi ledvice ne izločajo v pomembni meri. </w:t>
      </w:r>
      <w:r w:rsidR="001C3B8F" w:rsidRPr="004A59B1">
        <w:rPr>
          <w:color w:val="000000"/>
          <w:lang w:val="sl-SI"/>
        </w:rPr>
        <w:t>Kaže, da je pri bolnikih z blago in zmerno okvarjenim delovanjem ledvic izpostavljenost imatinibu v plazmi višja kot pri bolnikih z normalnim delovanjem ledvic. Gre za približno 1,5 do 2</w:t>
      </w:r>
      <w:r w:rsidR="0074624B" w:rsidRPr="004A59B1">
        <w:rPr>
          <w:color w:val="000000"/>
          <w:lang w:val="sl-SI"/>
        </w:rPr>
        <w:noBreakHyphen/>
      </w:r>
      <w:r w:rsidR="001C3B8F" w:rsidRPr="004A59B1">
        <w:rPr>
          <w:color w:val="000000"/>
          <w:lang w:val="sl-SI"/>
        </w:rPr>
        <w:t>kratno zvišanje, ki ustreza 1,5</w:t>
      </w:r>
      <w:r w:rsidR="0074624B" w:rsidRPr="004A59B1">
        <w:rPr>
          <w:color w:val="000000"/>
          <w:lang w:val="sl-SI"/>
        </w:rPr>
        <w:noBreakHyphen/>
      </w:r>
      <w:r w:rsidR="001C3B8F" w:rsidRPr="004A59B1">
        <w:rPr>
          <w:color w:val="000000"/>
          <w:lang w:val="sl-SI"/>
        </w:rPr>
        <w:t xml:space="preserve">kratnemu zvišanju alfa kislega proteina v plazmi, na katerega se imatinib močno veže. Očistek </w:t>
      </w:r>
      <w:r w:rsidR="0023771F" w:rsidRPr="004A59B1">
        <w:rPr>
          <w:color w:val="000000"/>
          <w:lang w:val="sl-SI"/>
        </w:rPr>
        <w:t>nevezane</w:t>
      </w:r>
      <w:r w:rsidR="001C3B8F" w:rsidRPr="004A59B1">
        <w:rPr>
          <w:color w:val="000000"/>
          <w:lang w:val="sl-SI"/>
        </w:rPr>
        <w:t xml:space="preserve"> učinkovine je pri imatinibu verjetno podoben pri bolnikih z okvaro ledvic in pri tistih z normalnim delovanjem ledvic, saj predstavlja izločanje skozi ledvice manj pomemben način izločanja za imatinib (glejte poglavji 4.2 in 4.4).</w:t>
      </w:r>
    </w:p>
    <w:p w14:paraId="52979C98" w14:textId="77777777" w:rsidR="001C3B8F" w:rsidRPr="004A59B1" w:rsidRDefault="001C3B8F" w:rsidP="009C1193">
      <w:pPr>
        <w:pStyle w:val="EndnoteText"/>
        <w:widowControl w:val="0"/>
        <w:tabs>
          <w:tab w:val="clear" w:pos="567"/>
        </w:tabs>
        <w:rPr>
          <w:color w:val="000000"/>
          <w:lang w:val="sl-SI"/>
        </w:rPr>
      </w:pPr>
    </w:p>
    <w:p w14:paraId="52979C99" w14:textId="77777777" w:rsidR="00444D75" w:rsidRPr="004A59B1" w:rsidRDefault="00444D75" w:rsidP="009C1193">
      <w:pPr>
        <w:pStyle w:val="EndnoteText"/>
        <w:widowControl w:val="0"/>
        <w:tabs>
          <w:tab w:val="clear" w:pos="567"/>
        </w:tabs>
        <w:rPr>
          <w:color w:val="000000"/>
          <w:szCs w:val="22"/>
          <w:lang w:val="sl-SI"/>
        </w:rPr>
      </w:pPr>
      <w:r w:rsidRPr="004A59B1">
        <w:rPr>
          <w:color w:val="000000"/>
          <w:szCs w:val="22"/>
          <w:lang w:val="sl-SI"/>
        </w:rPr>
        <w:t>Čeprav so rezultati farmakokinetične analize pokazali, da so razlike med posamezniki precejšnje, se povprečna izpostavljenost imatinibu pri bolnikih z različnimi stopnjami disfunkcije jeter v primerjavi z bolniki z normalno funkcijo jeter ni povečala (glejte poglavja 4.2, 4.4 in 4.8).</w:t>
      </w:r>
    </w:p>
    <w:p w14:paraId="52979C9A" w14:textId="77777777" w:rsidR="00444D75" w:rsidRPr="004A59B1" w:rsidRDefault="00444D75" w:rsidP="009C1193">
      <w:pPr>
        <w:pStyle w:val="EndnoteText"/>
        <w:widowControl w:val="0"/>
        <w:tabs>
          <w:tab w:val="clear" w:pos="567"/>
        </w:tabs>
        <w:rPr>
          <w:color w:val="000000"/>
          <w:szCs w:val="22"/>
          <w:lang w:val="sl-SI"/>
        </w:rPr>
      </w:pPr>
    </w:p>
    <w:p w14:paraId="52979C9B" w14:textId="77777777" w:rsidR="00444D75" w:rsidRPr="004A59B1" w:rsidRDefault="00444D75" w:rsidP="009C1193">
      <w:pPr>
        <w:keepNext/>
        <w:widowControl w:val="0"/>
        <w:tabs>
          <w:tab w:val="clear" w:pos="567"/>
        </w:tabs>
        <w:spacing w:line="240" w:lineRule="auto"/>
        <w:ind w:left="567" w:hanging="567"/>
        <w:rPr>
          <w:color w:val="000000"/>
          <w:szCs w:val="22"/>
          <w:lang w:val="sl-SI"/>
        </w:rPr>
      </w:pPr>
      <w:r w:rsidRPr="004A59B1">
        <w:rPr>
          <w:b/>
          <w:color w:val="000000"/>
          <w:szCs w:val="22"/>
          <w:lang w:val="sl-SI"/>
        </w:rPr>
        <w:t>5.3</w:t>
      </w:r>
      <w:r w:rsidRPr="004A59B1">
        <w:rPr>
          <w:b/>
          <w:color w:val="000000"/>
          <w:szCs w:val="22"/>
          <w:lang w:val="sl-SI"/>
        </w:rPr>
        <w:tab/>
        <w:t>Predklinični podatki o varnosti</w:t>
      </w:r>
    </w:p>
    <w:p w14:paraId="52979C9C" w14:textId="77777777" w:rsidR="00444D75" w:rsidRPr="004A59B1" w:rsidRDefault="00444D75" w:rsidP="009C1193">
      <w:pPr>
        <w:pStyle w:val="EndnoteText"/>
        <w:keepNext/>
        <w:widowControl w:val="0"/>
        <w:tabs>
          <w:tab w:val="clear" w:pos="567"/>
        </w:tabs>
        <w:rPr>
          <w:color w:val="000000"/>
          <w:szCs w:val="22"/>
          <w:lang w:val="sl-SI"/>
        </w:rPr>
      </w:pPr>
    </w:p>
    <w:p w14:paraId="52979C9D" w14:textId="77777777" w:rsidR="00444D75" w:rsidRPr="004A59B1" w:rsidRDefault="00444D75" w:rsidP="009C1193">
      <w:pPr>
        <w:widowControl w:val="0"/>
        <w:tabs>
          <w:tab w:val="clear" w:pos="567"/>
        </w:tabs>
        <w:spacing w:line="240" w:lineRule="auto"/>
        <w:rPr>
          <w:color w:val="000000"/>
          <w:szCs w:val="22"/>
          <w:lang w:val="sl-SI"/>
        </w:rPr>
      </w:pPr>
      <w:r w:rsidRPr="004A59B1">
        <w:rPr>
          <w:color w:val="000000"/>
          <w:szCs w:val="22"/>
          <w:lang w:val="sl-SI"/>
        </w:rPr>
        <w:t>Predklinični varnostni profil imatiniba je bil ocenjen pri podganah, psih, opicah in kuncih.</w:t>
      </w:r>
    </w:p>
    <w:p w14:paraId="52979C9E" w14:textId="77777777" w:rsidR="00444D75" w:rsidRPr="004A59B1" w:rsidRDefault="00444D75" w:rsidP="009C1193">
      <w:pPr>
        <w:widowControl w:val="0"/>
        <w:tabs>
          <w:tab w:val="clear" w:pos="567"/>
        </w:tabs>
        <w:spacing w:line="240" w:lineRule="auto"/>
        <w:rPr>
          <w:color w:val="000000"/>
          <w:szCs w:val="22"/>
          <w:lang w:val="sl-SI"/>
        </w:rPr>
      </w:pPr>
    </w:p>
    <w:p w14:paraId="52979C9F" w14:textId="77777777" w:rsidR="00444D75" w:rsidRPr="004A59B1" w:rsidRDefault="00444D75" w:rsidP="009C1193">
      <w:pPr>
        <w:pStyle w:val="TextChar"/>
        <w:widowControl w:val="0"/>
        <w:spacing w:before="0"/>
        <w:jc w:val="left"/>
        <w:outlineLvl w:val="0"/>
        <w:rPr>
          <w:color w:val="000000"/>
          <w:sz w:val="22"/>
          <w:szCs w:val="22"/>
          <w:lang w:val="sl-SI"/>
        </w:rPr>
      </w:pPr>
      <w:r w:rsidRPr="004A59B1">
        <w:rPr>
          <w:color w:val="000000"/>
          <w:sz w:val="22"/>
          <w:szCs w:val="22"/>
          <w:lang w:val="sl-SI"/>
        </w:rPr>
        <w:t>Študije toksičnosti ponavljajočih se odmerkov so pokazale blage do zmerne hematološke spremembe pri podganah, psih in opicah. Pri podganah in psih so jih spremljale spremembe v kostnem mozgu.</w:t>
      </w:r>
    </w:p>
    <w:p w14:paraId="52979CA0" w14:textId="77777777" w:rsidR="00444D75" w:rsidRPr="004A59B1" w:rsidRDefault="00444D75" w:rsidP="009C1193">
      <w:pPr>
        <w:pStyle w:val="TextChar"/>
        <w:widowControl w:val="0"/>
        <w:spacing w:before="0"/>
        <w:jc w:val="left"/>
        <w:outlineLvl w:val="0"/>
        <w:rPr>
          <w:color w:val="000000"/>
          <w:sz w:val="22"/>
          <w:szCs w:val="22"/>
          <w:lang w:val="sl-SI"/>
        </w:rPr>
      </w:pPr>
    </w:p>
    <w:p w14:paraId="52979CA1" w14:textId="77777777" w:rsidR="00444D75" w:rsidRPr="004A59B1" w:rsidRDefault="00444D75" w:rsidP="009C1193">
      <w:pPr>
        <w:pStyle w:val="TextChar"/>
        <w:widowControl w:val="0"/>
        <w:spacing w:before="0"/>
        <w:jc w:val="left"/>
        <w:outlineLvl w:val="0"/>
        <w:rPr>
          <w:color w:val="000000"/>
          <w:sz w:val="22"/>
          <w:szCs w:val="22"/>
          <w:lang w:val="it-IT"/>
        </w:rPr>
      </w:pPr>
      <w:r w:rsidRPr="004A59B1">
        <w:rPr>
          <w:color w:val="000000"/>
          <w:sz w:val="22"/>
          <w:szCs w:val="22"/>
          <w:lang w:val="sl-SI"/>
        </w:rPr>
        <w:t>Pri podganah in psih so bila tarčni organ jetra</w:t>
      </w:r>
      <w:r w:rsidRPr="004A59B1">
        <w:rPr>
          <w:color w:val="000000"/>
          <w:sz w:val="22"/>
          <w:szCs w:val="22"/>
          <w:lang w:val="it-IT"/>
        </w:rPr>
        <w:t xml:space="preserve">. </w:t>
      </w:r>
      <w:r w:rsidRPr="004A59B1">
        <w:rPr>
          <w:color w:val="000000"/>
          <w:sz w:val="22"/>
          <w:szCs w:val="22"/>
          <w:lang w:val="sl-SI"/>
        </w:rPr>
        <w:t xml:space="preserve">Pri obeh živalskih vrstah so opazili blago do zmerno zvišanje </w:t>
      </w:r>
      <w:r w:rsidR="00DE7EB6" w:rsidRPr="004A59B1">
        <w:rPr>
          <w:color w:val="000000"/>
          <w:sz w:val="22"/>
          <w:szCs w:val="22"/>
          <w:lang w:val="sl-SI"/>
        </w:rPr>
        <w:t>aminotransferaz</w:t>
      </w:r>
      <w:r w:rsidRPr="004A59B1">
        <w:rPr>
          <w:color w:val="000000"/>
          <w:sz w:val="22"/>
          <w:szCs w:val="22"/>
          <w:lang w:val="sl-SI"/>
        </w:rPr>
        <w:t xml:space="preserve"> in rahlo </w:t>
      </w:r>
      <w:r w:rsidR="00A55982" w:rsidRPr="004A59B1">
        <w:rPr>
          <w:color w:val="000000"/>
          <w:sz w:val="22"/>
          <w:szCs w:val="22"/>
          <w:lang w:val="sl-SI"/>
        </w:rPr>
        <w:t xml:space="preserve">zmanjšanje </w:t>
      </w:r>
      <w:r w:rsidRPr="004A59B1">
        <w:rPr>
          <w:color w:val="000000"/>
          <w:sz w:val="22"/>
          <w:szCs w:val="22"/>
          <w:lang w:val="sl-SI"/>
        </w:rPr>
        <w:t>koncentracij holesterola, trigliceridov, celotnih beljakovin in albuminov</w:t>
      </w:r>
      <w:r w:rsidRPr="004A59B1">
        <w:rPr>
          <w:color w:val="000000"/>
          <w:sz w:val="22"/>
          <w:szCs w:val="22"/>
          <w:lang w:val="it-IT"/>
        </w:rPr>
        <w:t xml:space="preserve">. </w:t>
      </w:r>
      <w:r w:rsidRPr="004A59B1">
        <w:rPr>
          <w:color w:val="000000"/>
          <w:sz w:val="22"/>
          <w:szCs w:val="22"/>
          <w:lang w:val="sl-SI"/>
        </w:rPr>
        <w:t>V podganjih jetrih niso opazili histopatoloških sprememb</w:t>
      </w:r>
      <w:r w:rsidRPr="004A59B1">
        <w:rPr>
          <w:color w:val="000000"/>
          <w:sz w:val="22"/>
          <w:szCs w:val="22"/>
          <w:lang w:val="it-IT"/>
        </w:rPr>
        <w:t xml:space="preserve">. </w:t>
      </w:r>
      <w:r w:rsidRPr="004A59B1">
        <w:rPr>
          <w:color w:val="000000"/>
          <w:sz w:val="22"/>
          <w:szCs w:val="22"/>
          <w:lang w:val="sl-SI"/>
        </w:rPr>
        <w:t>Pri psih, ki so zdravilo dobivali po 2 tedna, so opazili hudo toksičnost za jetra z zvišanimi jetrnimi encimi, hepatocelularno nekrozo, nekrozo žolčevodov in hiperplazijo žolčevodov</w:t>
      </w:r>
      <w:r w:rsidRPr="004A59B1">
        <w:rPr>
          <w:color w:val="000000"/>
          <w:sz w:val="22"/>
          <w:szCs w:val="22"/>
          <w:lang w:val="it-IT"/>
        </w:rPr>
        <w:t>.</w:t>
      </w:r>
    </w:p>
    <w:p w14:paraId="52979CA2" w14:textId="77777777" w:rsidR="00444D75" w:rsidRPr="004A59B1" w:rsidRDefault="00444D75" w:rsidP="009C1193">
      <w:pPr>
        <w:pStyle w:val="TextChar"/>
        <w:widowControl w:val="0"/>
        <w:spacing w:before="0"/>
        <w:outlineLvl w:val="0"/>
        <w:rPr>
          <w:color w:val="000000"/>
          <w:sz w:val="22"/>
          <w:szCs w:val="22"/>
          <w:lang w:val="it-IT"/>
        </w:rPr>
      </w:pPr>
    </w:p>
    <w:p w14:paraId="52979CA3" w14:textId="77777777" w:rsidR="00444D75" w:rsidRPr="004A59B1" w:rsidRDefault="00444D75" w:rsidP="009C1193">
      <w:pPr>
        <w:pStyle w:val="TextChar"/>
        <w:widowControl w:val="0"/>
        <w:spacing w:before="0"/>
        <w:jc w:val="left"/>
        <w:outlineLvl w:val="0"/>
        <w:rPr>
          <w:color w:val="000000"/>
          <w:sz w:val="22"/>
          <w:szCs w:val="22"/>
          <w:lang w:val="it-IT"/>
        </w:rPr>
      </w:pPr>
      <w:r w:rsidRPr="004A59B1">
        <w:rPr>
          <w:color w:val="000000"/>
          <w:sz w:val="22"/>
          <w:szCs w:val="22"/>
          <w:lang w:val="sl-SI"/>
        </w:rPr>
        <w:t xml:space="preserve">Pri opicah, ki so dobivale zdravilo po </w:t>
      </w:r>
      <w:r w:rsidRPr="004A59B1">
        <w:rPr>
          <w:color w:val="000000"/>
          <w:sz w:val="22"/>
          <w:szCs w:val="22"/>
          <w:lang w:val="it-IT"/>
        </w:rPr>
        <w:t>2 tedna, so opazili</w:t>
      </w:r>
      <w:r w:rsidRPr="004A59B1">
        <w:rPr>
          <w:color w:val="000000"/>
          <w:sz w:val="22"/>
          <w:szCs w:val="22"/>
          <w:lang w:val="sl-SI"/>
        </w:rPr>
        <w:t xml:space="preserve"> toksičnost za ledvice z žariščno mineralizacijo in razširitvijo ledvičnih tubulov in tubulno nefrozo</w:t>
      </w:r>
      <w:r w:rsidRPr="004A59B1">
        <w:rPr>
          <w:color w:val="000000"/>
          <w:sz w:val="22"/>
          <w:szCs w:val="22"/>
          <w:lang w:val="it-IT"/>
        </w:rPr>
        <w:t xml:space="preserve">. </w:t>
      </w:r>
      <w:r w:rsidRPr="004A59B1">
        <w:rPr>
          <w:color w:val="000000"/>
          <w:sz w:val="22"/>
          <w:szCs w:val="22"/>
          <w:lang w:val="sl-SI"/>
        </w:rPr>
        <w:t>Pri mnogih od teh živali sta se zvišala dušik sečnine v krvi (BUN</w:t>
      </w:r>
      <w:r w:rsidR="008A1B6E" w:rsidRPr="004A59B1">
        <w:rPr>
          <w:color w:val="000000"/>
          <w:sz w:val="22"/>
          <w:szCs w:val="22"/>
          <w:lang w:val="sl-SI"/>
        </w:rPr>
        <w:t xml:space="preserve"> - </w:t>
      </w:r>
      <w:r w:rsidR="008A1B6E" w:rsidRPr="00304E94">
        <w:rPr>
          <w:i/>
          <w:color w:val="000000"/>
          <w:sz w:val="22"/>
          <w:szCs w:val="22"/>
          <w:lang w:val="it-IT"/>
        </w:rPr>
        <w:t>blood urea nitrogen</w:t>
      </w:r>
      <w:r w:rsidRPr="004A59B1">
        <w:rPr>
          <w:color w:val="000000"/>
          <w:sz w:val="22"/>
          <w:szCs w:val="22"/>
          <w:lang w:val="sl-SI"/>
        </w:rPr>
        <w:t>) in kreatinin</w:t>
      </w:r>
      <w:r w:rsidRPr="004A59B1">
        <w:rPr>
          <w:color w:val="000000"/>
          <w:sz w:val="22"/>
          <w:szCs w:val="22"/>
          <w:lang w:val="it-IT"/>
        </w:rPr>
        <w:t xml:space="preserve">. </w:t>
      </w:r>
      <w:r w:rsidRPr="004A59B1">
        <w:rPr>
          <w:color w:val="000000"/>
          <w:sz w:val="22"/>
          <w:szCs w:val="22"/>
          <w:lang w:val="sl-SI"/>
        </w:rPr>
        <w:t>Pri podganah so v 13-tedenski študiji pri odmerkih ≥ 6 mg/kg našli hiperplazijo prehodnega epitela v ledvični papili in v sečnem mehurju, brez sprememb serumskih ali urinskih parametrov</w:t>
      </w:r>
      <w:r w:rsidRPr="004A59B1">
        <w:rPr>
          <w:color w:val="000000"/>
          <w:sz w:val="22"/>
          <w:szCs w:val="22"/>
          <w:lang w:val="it-IT"/>
        </w:rPr>
        <w:t xml:space="preserve">. </w:t>
      </w:r>
      <w:r w:rsidRPr="004A59B1">
        <w:rPr>
          <w:color w:val="000000"/>
          <w:sz w:val="22"/>
          <w:szCs w:val="22"/>
          <w:lang w:val="sl-SI"/>
        </w:rPr>
        <w:t>Pri kroničnem dajanju imatiniba se je povečala pogostnost oportunističnih okužb</w:t>
      </w:r>
      <w:r w:rsidRPr="004A59B1">
        <w:rPr>
          <w:color w:val="000000"/>
          <w:sz w:val="22"/>
          <w:szCs w:val="22"/>
          <w:lang w:val="it-IT"/>
        </w:rPr>
        <w:t>.</w:t>
      </w:r>
    </w:p>
    <w:p w14:paraId="52979CA4" w14:textId="77777777" w:rsidR="00444D75" w:rsidRPr="004A59B1" w:rsidRDefault="00444D75" w:rsidP="009C1193">
      <w:pPr>
        <w:pStyle w:val="TextChar"/>
        <w:widowControl w:val="0"/>
        <w:spacing w:before="0"/>
        <w:jc w:val="left"/>
        <w:outlineLvl w:val="0"/>
        <w:rPr>
          <w:color w:val="000000"/>
          <w:sz w:val="22"/>
          <w:szCs w:val="22"/>
          <w:lang w:val="it-IT"/>
        </w:rPr>
      </w:pPr>
    </w:p>
    <w:p w14:paraId="52979CA5" w14:textId="77777777" w:rsidR="00444D75" w:rsidRPr="004A59B1" w:rsidRDefault="00444D75" w:rsidP="009C1193">
      <w:pPr>
        <w:pStyle w:val="TextChar"/>
        <w:widowControl w:val="0"/>
        <w:spacing w:before="0"/>
        <w:jc w:val="left"/>
        <w:outlineLvl w:val="0"/>
        <w:rPr>
          <w:color w:val="000000"/>
          <w:sz w:val="22"/>
          <w:szCs w:val="22"/>
          <w:lang w:val="it-IT"/>
        </w:rPr>
      </w:pPr>
      <w:r w:rsidRPr="004A59B1">
        <w:rPr>
          <w:color w:val="000000"/>
          <w:sz w:val="22"/>
          <w:szCs w:val="22"/>
          <w:lang w:val="sl-SI"/>
        </w:rPr>
        <w:t>V 39-tedenski študiji na opicah pri najmanjšem odmerku 15 mg/kg, kar je približno ena tretjina največjega odmerka za človeka (ki je 800 mg, izračunan na podlagi telesne površine), niso našli odmerk</w:t>
      </w:r>
      <w:r w:rsidR="00CF7C31" w:rsidRPr="004A59B1">
        <w:rPr>
          <w:color w:val="000000"/>
          <w:sz w:val="22"/>
          <w:szCs w:val="22"/>
          <w:lang w:val="sl-SI"/>
        </w:rPr>
        <w:t>a</w:t>
      </w:r>
      <w:r w:rsidRPr="004A59B1">
        <w:rPr>
          <w:color w:val="000000"/>
          <w:sz w:val="22"/>
          <w:szCs w:val="22"/>
          <w:lang w:val="it-IT"/>
        </w:rPr>
        <w:t xml:space="preserve"> brez opaženih neželenih učinkov</w:t>
      </w:r>
      <w:r w:rsidR="00CF7C31" w:rsidRPr="004A59B1">
        <w:rPr>
          <w:color w:val="000000"/>
          <w:sz w:val="22"/>
          <w:szCs w:val="22"/>
          <w:lang w:val="it-IT"/>
        </w:rPr>
        <w:t xml:space="preserve"> (NOAEL </w:t>
      </w:r>
      <w:r w:rsidR="00CF7C31" w:rsidRPr="004A59B1">
        <w:rPr>
          <w:i/>
          <w:color w:val="000000"/>
          <w:sz w:val="22"/>
          <w:lang w:val="it-IT"/>
        </w:rPr>
        <w:t>- no observed adverse effect level</w:t>
      </w:r>
      <w:r w:rsidRPr="004A59B1">
        <w:rPr>
          <w:color w:val="000000"/>
          <w:sz w:val="22"/>
          <w:szCs w:val="22"/>
          <w:lang w:val="it-IT"/>
        </w:rPr>
        <w:t xml:space="preserve">). </w:t>
      </w:r>
      <w:r w:rsidRPr="004A59B1">
        <w:rPr>
          <w:color w:val="000000"/>
          <w:sz w:val="22"/>
          <w:szCs w:val="22"/>
          <w:lang w:val="sl-SI"/>
        </w:rPr>
        <w:t>Dajanje zdravila je povzročilo poslabšanje normalno obvladanih malarijskih okužb pri teh živalih</w:t>
      </w:r>
      <w:r w:rsidRPr="004A59B1">
        <w:rPr>
          <w:color w:val="000000"/>
          <w:sz w:val="22"/>
          <w:szCs w:val="22"/>
          <w:lang w:val="it-IT"/>
        </w:rPr>
        <w:t>.</w:t>
      </w:r>
    </w:p>
    <w:p w14:paraId="52979CA6" w14:textId="77777777" w:rsidR="00444D75" w:rsidRPr="004A59B1" w:rsidRDefault="00444D75" w:rsidP="009C1193">
      <w:pPr>
        <w:pStyle w:val="TextChar"/>
        <w:widowControl w:val="0"/>
        <w:tabs>
          <w:tab w:val="left" w:pos="2500"/>
        </w:tabs>
        <w:spacing w:before="0"/>
        <w:jc w:val="left"/>
        <w:outlineLvl w:val="0"/>
        <w:rPr>
          <w:color w:val="000000"/>
          <w:sz w:val="22"/>
          <w:szCs w:val="22"/>
          <w:lang w:val="it-IT"/>
        </w:rPr>
      </w:pPr>
    </w:p>
    <w:p w14:paraId="52979CA7" w14:textId="77777777" w:rsidR="00444D75" w:rsidRPr="004A59B1" w:rsidRDefault="00444D75" w:rsidP="009C1193">
      <w:pPr>
        <w:pStyle w:val="TextChar"/>
        <w:widowControl w:val="0"/>
        <w:spacing w:before="0"/>
        <w:jc w:val="left"/>
        <w:outlineLvl w:val="0"/>
        <w:rPr>
          <w:color w:val="000000"/>
          <w:sz w:val="22"/>
          <w:szCs w:val="22"/>
          <w:lang w:val="sl-SI"/>
        </w:rPr>
      </w:pPr>
      <w:r w:rsidRPr="004A59B1">
        <w:rPr>
          <w:color w:val="000000"/>
          <w:sz w:val="22"/>
          <w:szCs w:val="22"/>
          <w:lang w:val="sl-SI"/>
        </w:rPr>
        <w:t xml:space="preserve">Imatinib se ni izkazal za genotoksičnega pri </w:t>
      </w:r>
      <w:r w:rsidRPr="004A59B1">
        <w:rPr>
          <w:i/>
          <w:color w:val="000000"/>
          <w:sz w:val="22"/>
          <w:szCs w:val="22"/>
          <w:lang w:val="sl-SI"/>
        </w:rPr>
        <w:t>in vitro</w:t>
      </w:r>
      <w:r w:rsidRPr="004A59B1">
        <w:rPr>
          <w:color w:val="000000"/>
          <w:sz w:val="22"/>
          <w:szCs w:val="22"/>
          <w:lang w:val="sl-SI"/>
        </w:rPr>
        <w:t xml:space="preserve"> testiranju na bakterijskih celicah (Amesov test), </w:t>
      </w:r>
      <w:r w:rsidRPr="004A59B1">
        <w:rPr>
          <w:i/>
          <w:color w:val="000000"/>
          <w:sz w:val="22"/>
          <w:szCs w:val="22"/>
          <w:lang w:val="sl-SI"/>
        </w:rPr>
        <w:t>in vitro</w:t>
      </w:r>
      <w:r w:rsidRPr="004A59B1">
        <w:rPr>
          <w:color w:val="000000"/>
          <w:sz w:val="22"/>
          <w:szCs w:val="22"/>
          <w:lang w:val="sl-SI"/>
        </w:rPr>
        <w:t xml:space="preserve"> testiranju na sesalskih celicah (mišji limfom) in </w:t>
      </w:r>
      <w:r w:rsidRPr="004A59B1">
        <w:rPr>
          <w:i/>
          <w:color w:val="000000"/>
          <w:sz w:val="22"/>
          <w:szCs w:val="22"/>
          <w:lang w:val="sl-SI"/>
        </w:rPr>
        <w:t>in vivo</w:t>
      </w:r>
      <w:r w:rsidRPr="004A59B1">
        <w:rPr>
          <w:color w:val="000000"/>
          <w:sz w:val="22"/>
          <w:szCs w:val="22"/>
          <w:lang w:val="sl-SI"/>
        </w:rPr>
        <w:t xml:space="preserve"> podganjem mikronukleusnem testu</w:t>
      </w:r>
      <w:r w:rsidRPr="004A59B1">
        <w:rPr>
          <w:color w:val="000000"/>
          <w:sz w:val="22"/>
          <w:szCs w:val="22"/>
          <w:lang w:val="it-IT"/>
        </w:rPr>
        <w:t xml:space="preserve">. </w:t>
      </w:r>
      <w:r w:rsidRPr="004A59B1">
        <w:rPr>
          <w:color w:val="000000"/>
          <w:sz w:val="22"/>
          <w:szCs w:val="22"/>
          <w:lang w:val="sl-SI"/>
        </w:rPr>
        <w:t xml:space="preserve">Pozitivne genotoksične učinke so dobili za imatinib pri </w:t>
      </w:r>
      <w:r w:rsidRPr="004A59B1">
        <w:rPr>
          <w:i/>
          <w:color w:val="000000"/>
          <w:sz w:val="22"/>
          <w:szCs w:val="22"/>
          <w:lang w:val="sl-SI"/>
        </w:rPr>
        <w:t>in vitro</w:t>
      </w:r>
      <w:r w:rsidRPr="004A59B1">
        <w:rPr>
          <w:color w:val="000000"/>
          <w:sz w:val="22"/>
          <w:szCs w:val="22"/>
          <w:lang w:val="sl-SI"/>
        </w:rPr>
        <w:t xml:space="preserve"> testiranju na sesalskih celicah (jajčnik kitajskega hrčka) za klastogenost (kromosomska aberacija) v prisotnosti presnovne aktivacije</w:t>
      </w:r>
      <w:r w:rsidRPr="004A59B1">
        <w:rPr>
          <w:color w:val="000000"/>
          <w:sz w:val="22"/>
          <w:szCs w:val="22"/>
          <w:lang w:val="it-IT"/>
        </w:rPr>
        <w:t xml:space="preserve">. </w:t>
      </w:r>
      <w:r w:rsidRPr="004A59B1">
        <w:rPr>
          <w:color w:val="000000"/>
          <w:sz w:val="22"/>
          <w:szCs w:val="22"/>
          <w:lang w:val="sl-SI"/>
        </w:rPr>
        <w:t>Dva od vmesnih produktov postopka izdelave, ki sta prisotna tudi v končnem izdelku, sta pozitivna za mutagenezo v Amesovem testu. Eden od teh vmesnih produktov je bil pozitiven tudi v testu mišjega limfoma.</w:t>
      </w:r>
    </w:p>
    <w:p w14:paraId="52979CA8" w14:textId="77777777" w:rsidR="00444D75" w:rsidRPr="004A59B1" w:rsidRDefault="00444D75" w:rsidP="009C1193">
      <w:pPr>
        <w:pStyle w:val="TextChar"/>
        <w:widowControl w:val="0"/>
        <w:spacing w:before="0"/>
        <w:jc w:val="left"/>
        <w:outlineLvl w:val="0"/>
        <w:rPr>
          <w:color w:val="000000"/>
          <w:sz w:val="22"/>
          <w:szCs w:val="22"/>
          <w:lang w:val="sl-SI"/>
        </w:rPr>
      </w:pPr>
    </w:p>
    <w:p w14:paraId="52979CA9" w14:textId="77777777" w:rsidR="00444D75" w:rsidRPr="004A59B1" w:rsidRDefault="00444D75" w:rsidP="009C1193">
      <w:pPr>
        <w:pStyle w:val="TextChar"/>
        <w:widowControl w:val="0"/>
        <w:spacing w:before="0"/>
        <w:jc w:val="left"/>
        <w:rPr>
          <w:color w:val="000000"/>
          <w:sz w:val="22"/>
          <w:szCs w:val="22"/>
          <w:lang w:val="sl-SI"/>
        </w:rPr>
      </w:pPr>
      <w:r w:rsidRPr="004A59B1">
        <w:rPr>
          <w:color w:val="000000"/>
          <w:sz w:val="22"/>
          <w:szCs w:val="22"/>
          <w:lang w:val="sl-SI"/>
        </w:rPr>
        <w:t xml:space="preserve">V študiji plodnosti na podganjih samcih, ki so dobivali zdravilo 70 dni pred parjenjem, se je pri odmerku 60 mg/kg, ki je približno enakovreden največjemu kliničnemu odmerku 800 mg/dan, izračunanemu na podlagi telesne površine, zmanjšala masa mod in obmodkov in odstotek gibljivih semenčic. Pri odmerkih ≤ 20 mg/kg tega niso opazili. Pri psu so pri peroralnih odmerkih ≥ 30 mg/kg opazili tudi rahlo do zmerno zmanjšanje spermatogeneze. Ko so podganje samice dobivale zdravilo 14 dni pred parjenjem in nato ves čas do 6. dne brejosti, ni bilo nikakršnega učinka na parjenje ali na število brejih samic. Pri odmerku 60 mg/kg je prišlo pri samicah do znatne izgube plodov po vgnezditvi in do zmanjšanja števila </w:t>
      </w:r>
      <w:r w:rsidR="00B66599" w:rsidRPr="004A59B1">
        <w:rPr>
          <w:color w:val="000000"/>
          <w:sz w:val="22"/>
          <w:szCs w:val="22"/>
          <w:lang w:val="sl-SI"/>
        </w:rPr>
        <w:t xml:space="preserve">živih </w:t>
      </w:r>
      <w:r w:rsidRPr="004A59B1">
        <w:rPr>
          <w:color w:val="000000"/>
          <w:sz w:val="22"/>
          <w:szCs w:val="22"/>
          <w:lang w:val="sl-SI"/>
        </w:rPr>
        <w:t>plodov. Tega pri odmerkih ≤ 20 mg/kg niso opazili.</w:t>
      </w:r>
    </w:p>
    <w:p w14:paraId="52979CAA" w14:textId="77777777" w:rsidR="00444D75" w:rsidRPr="004A59B1" w:rsidRDefault="00444D75" w:rsidP="009C1193">
      <w:pPr>
        <w:pStyle w:val="TextChar"/>
        <w:widowControl w:val="0"/>
        <w:spacing w:before="0"/>
        <w:jc w:val="left"/>
        <w:rPr>
          <w:color w:val="000000"/>
          <w:sz w:val="22"/>
          <w:szCs w:val="22"/>
          <w:lang w:val="sl-SI"/>
        </w:rPr>
      </w:pPr>
    </w:p>
    <w:p w14:paraId="52979CAB" w14:textId="77777777" w:rsidR="00444D75" w:rsidRPr="004A59B1" w:rsidRDefault="00444D75" w:rsidP="009C1193">
      <w:pPr>
        <w:pStyle w:val="TextChar"/>
        <w:widowControl w:val="0"/>
        <w:spacing w:before="0"/>
        <w:jc w:val="left"/>
        <w:rPr>
          <w:color w:val="000000"/>
          <w:sz w:val="22"/>
          <w:szCs w:val="22"/>
          <w:lang w:val="sl-SI"/>
        </w:rPr>
      </w:pPr>
      <w:r w:rsidRPr="004A59B1">
        <w:rPr>
          <w:color w:val="000000"/>
          <w:sz w:val="22"/>
          <w:szCs w:val="22"/>
          <w:lang w:val="sl-SI"/>
        </w:rPr>
        <w:lastRenderedPageBreak/>
        <w:t>V peroralni študiji predporodnega in poporodnega razvoja pri podganah so pri skupini s 45 mg/kg/dan 14. ali 15. dne brejosti opazili rdeč izcedek iz nožnice. Pri enakem odmerku se je povečalo število mrtvorojenih mladičev in tistih, ki so poginili med dnevoma 0 in 4 po skotitvi. Pri potomcih F</w:t>
      </w:r>
      <w:r w:rsidRPr="004A59B1">
        <w:rPr>
          <w:color w:val="000000"/>
          <w:sz w:val="22"/>
          <w:szCs w:val="22"/>
          <w:vertAlign w:val="subscript"/>
          <w:lang w:val="sl-SI"/>
        </w:rPr>
        <w:t>1</w:t>
      </w:r>
      <w:r w:rsidRPr="004A59B1">
        <w:rPr>
          <w:color w:val="000000"/>
          <w:sz w:val="22"/>
          <w:szCs w:val="22"/>
          <w:lang w:val="sl-SI"/>
        </w:rPr>
        <w:t xml:space="preserve"> se je pri enakem odmerku povprečna telesna masa zmanjšala od skotitve do terminalnega žrtvovanja, število mladičev, ki so dosegli kriterij za ločitev prepucija, pa se je rahlo zmanjšalo. Plodnost F</w:t>
      </w:r>
      <w:r w:rsidRPr="004A59B1">
        <w:rPr>
          <w:color w:val="000000"/>
          <w:sz w:val="22"/>
          <w:szCs w:val="22"/>
          <w:vertAlign w:val="subscript"/>
          <w:lang w:val="sl-SI"/>
        </w:rPr>
        <w:t>1</w:t>
      </w:r>
      <w:r w:rsidRPr="004A59B1">
        <w:rPr>
          <w:color w:val="000000"/>
          <w:sz w:val="22"/>
          <w:szCs w:val="22"/>
          <w:lang w:val="sl-SI"/>
        </w:rPr>
        <w:t xml:space="preserve"> ni bila prizadeta, pač pa se je pri odmerku 45 mg/kg/dan povečalo število resorpcij in zmanjšalo število za življenje sposobnih plodov. Odmerek brez opaženega učinka (NOEL</w:t>
      </w:r>
      <w:r w:rsidR="006E19F5" w:rsidRPr="004A59B1">
        <w:rPr>
          <w:color w:val="000000"/>
          <w:sz w:val="22"/>
          <w:szCs w:val="22"/>
          <w:lang w:val="sl-SI"/>
        </w:rPr>
        <w:t xml:space="preserve"> </w:t>
      </w:r>
      <w:r w:rsidR="00E308B2" w:rsidRPr="004A59B1">
        <w:rPr>
          <w:i/>
          <w:color w:val="000000"/>
          <w:sz w:val="22"/>
          <w:lang w:val="sl-SI"/>
        </w:rPr>
        <w:t>- no observed effect level</w:t>
      </w:r>
      <w:r w:rsidRPr="004A59B1">
        <w:rPr>
          <w:color w:val="000000"/>
          <w:sz w:val="22"/>
          <w:szCs w:val="22"/>
          <w:lang w:val="sl-SI"/>
        </w:rPr>
        <w:t>) tako na samice-matere kot na generacijo F</w:t>
      </w:r>
      <w:r w:rsidRPr="004A59B1">
        <w:rPr>
          <w:color w:val="000000"/>
          <w:sz w:val="22"/>
          <w:szCs w:val="22"/>
          <w:vertAlign w:val="subscript"/>
          <w:lang w:val="sl-SI"/>
        </w:rPr>
        <w:t>1</w:t>
      </w:r>
      <w:r w:rsidRPr="004A59B1">
        <w:rPr>
          <w:color w:val="000000"/>
          <w:sz w:val="22"/>
          <w:szCs w:val="22"/>
          <w:lang w:val="sl-SI"/>
        </w:rPr>
        <w:t xml:space="preserve"> je bil 15 mg/kg/dan (ena četrtina največjega odmerka za človeka, ki je 800 mg).</w:t>
      </w:r>
    </w:p>
    <w:p w14:paraId="52979CAC" w14:textId="77777777" w:rsidR="00444D75" w:rsidRPr="004A59B1" w:rsidRDefault="00444D75" w:rsidP="009C1193">
      <w:pPr>
        <w:pStyle w:val="TextChar"/>
        <w:widowControl w:val="0"/>
        <w:spacing w:before="0"/>
        <w:jc w:val="left"/>
        <w:rPr>
          <w:color w:val="000000"/>
          <w:sz w:val="22"/>
          <w:szCs w:val="22"/>
          <w:lang w:val="sl-SI"/>
        </w:rPr>
      </w:pPr>
    </w:p>
    <w:p w14:paraId="52979CAD" w14:textId="77777777" w:rsidR="00444D75" w:rsidRPr="004A59B1" w:rsidRDefault="00444D75" w:rsidP="009C1193">
      <w:pPr>
        <w:pStyle w:val="TextChar"/>
        <w:widowControl w:val="0"/>
        <w:spacing w:before="0"/>
        <w:jc w:val="left"/>
        <w:rPr>
          <w:color w:val="000000"/>
          <w:sz w:val="22"/>
          <w:szCs w:val="22"/>
          <w:lang w:val="sl-SI"/>
        </w:rPr>
      </w:pPr>
      <w:r w:rsidRPr="004A59B1">
        <w:rPr>
          <w:color w:val="000000"/>
          <w:sz w:val="22"/>
          <w:szCs w:val="22"/>
          <w:lang w:val="sl-SI"/>
        </w:rPr>
        <w:t>Imatinib je bil teratogen pri podganah, če so ga dobivale med organogenezo v odmerkih ≥ 100 mg/kg, kar je približno enako največjemu kliničnemu odmerku 800 mg/dan, izračunanemu na podlagi telesne površine. Teratogeni učinki so obsegali eksencefalijo ali encefalokelo, odsotnost ali zmanjšanje frontalnih kosti ter odsotnost parietalnih kosti. Teh učinkov pri odmerkih ≤ 30 mg/kg niso opazili.</w:t>
      </w:r>
    </w:p>
    <w:p w14:paraId="52979CAE" w14:textId="77777777" w:rsidR="00444D75" w:rsidRPr="004A59B1" w:rsidRDefault="00444D75" w:rsidP="009C1193">
      <w:pPr>
        <w:pStyle w:val="TextChar"/>
        <w:widowControl w:val="0"/>
        <w:spacing w:before="0"/>
        <w:jc w:val="left"/>
        <w:rPr>
          <w:color w:val="000000"/>
          <w:sz w:val="22"/>
          <w:szCs w:val="22"/>
          <w:lang w:val="sl-SI"/>
        </w:rPr>
      </w:pPr>
    </w:p>
    <w:p w14:paraId="52979CAF" w14:textId="77777777" w:rsidR="000E15F5" w:rsidRPr="004A59B1" w:rsidRDefault="00C779EE" w:rsidP="009C1193">
      <w:pPr>
        <w:pStyle w:val="Text"/>
        <w:widowControl w:val="0"/>
        <w:spacing w:before="0"/>
        <w:jc w:val="left"/>
        <w:rPr>
          <w:color w:val="000000"/>
          <w:sz w:val="22"/>
          <w:szCs w:val="22"/>
          <w:lang w:val="sl-SI"/>
        </w:rPr>
      </w:pPr>
      <w:r w:rsidRPr="004A59B1">
        <w:rPr>
          <w:color w:val="000000"/>
          <w:sz w:val="22"/>
          <w:szCs w:val="22"/>
          <w:lang w:val="sl-SI"/>
        </w:rPr>
        <w:t>V študiji toksičn</w:t>
      </w:r>
      <w:r w:rsidR="006E1C76" w:rsidRPr="004A59B1">
        <w:rPr>
          <w:color w:val="000000"/>
          <w:sz w:val="22"/>
          <w:szCs w:val="22"/>
          <w:lang w:val="sl-SI"/>
        </w:rPr>
        <w:t xml:space="preserve">ih učinkov </w:t>
      </w:r>
      <w:r w:rsidRPr="004A59B1">
        <w:rPr>
          <w:color w:val="000000"/>
          <w:sz w:val="22"/>
          <w:szCs w:val="22"/>
          <w:lang w:val="sl-SI"/>
        </w:rPr>
        <w:t>na razvoj mladih podgan (od 10. do 70.</w:t>
      </w:r>
      <w:r w:rsidR="005441B3" w:rsidRPr="004A59B1">
        <w:rPr>
          <w:color w:val="000000"/>
          <w:sz w:val="22"/>
          <w:szCs w:val="22"/>
          <w:lang w:val="sl-SI"/>
        </w:rPr>
        <w:t> </w:t>
      </w:r>
      <w:r w:rsidRPr="004A59B1">
        <w:rPr>
          <w:color w:val="000000"/>
          <w:sz w:val="22"/>
          <w:szCs w:val="22"/>
          <w:lang w:val="sl-SI"/>
        </w:rPr>
        <w:t xml:space="preserve">dne po rojstvu) niso odkrili novih tarčnih organov v primerjavi z znanimi tarčnimi organi pri odraslih podganah. </w:t>
      </w:r>
      <w:r w:rsidR="006E1C76" w:rsidRPr="004A59B1">
        <w:rPr>
          <w:color w:val="000000"/>
          <w:sz w:val="22"/>
          <w:szCs w:val="22"/>
          <w:lang w:val="sl-SI"/>
        </w:rPr>
        <w:t xml:space="preserve">V študiji toksičnih učinkov na razvoj mladičev so opažali vpliv na rast ter zakasnjeno odpiranje nožnice in ločevanje prepucija pri </w:t>
      </w:r>
      <w:r w:rsidR="006E0D17" w:rsidRPr="004A59B1">
        <w:rPr>
          <w:color w:val="000000"/>
          <w:sz w:val="22"/>
          <w:szCs w:val="22"/>
          <w:lang w:val="sl-SI"/>
        </w:rPr>
        <w:t xml:space="preserve">izpostavljenosti, ki ustreza </w:t>
      </w:r>
      <w:r w:rsidR="00A523AD" w:rsidRPr="004A59B1">
        <w:rPr>
          <w:color w:val="000000"/>
          <w:sz w:val="22"/>
          <w:szCs w:val="22"/>
          <w:lang w:val="sl-SI"/>
        </w:rPr>
        <w:t xml:space="preserve">približno </w:t>
      </w:r>
      <w:r w:rsidR="000E15F5" w:rsidRPr="004A59B1">
        <w:rPr>
          <w:color w:val="000000"/>
          <w:sz w:val="22"/>
          <w:szCs w:val="22"/>
          <w:lang w:val="sl-SI"/>
        </w:rPr>
        <w:t>0</w:t>
      </w:r>
      <w:r w:rsidR="00A523AD" w:rsidRPr="004A59B1">
        <w:rPr>
          <w:color w:val="000000"/>
          <w:sz w:val="22"/>
          <w:szCs w:val="22"/>
          <w:lang w:val="sl-SI"/>
        </w:rPr>
        <w:t>,</w:t>
      </w:r>
      <w:r w:rsidR="000E15F5" w:rsidRPr="004A59B1">
        <w:rPr>
          <w:color w:val="000000"/>
          <w:sz w:val="22"/>
          <w:szCs w:val="22"/>
          <w:lang w:val="sl-SI"/>
        </w:rPr>
        <w:t xml:space="preserve">3 </w:t>
      </w:r>
      <w:r w:rsidR="00A523AD" w:rsidRPr="004A59B1">
        <w:rPr>
          <w:color w:val="000000"/>
          <w:sz w:val="22"/>
          <w:szCs w:val="22"/>
          <w:lang w:val="sl-SI"/>
        </w:rPr>
        <w:t>d</w:t>
      </w:r>
      <w:r w:rsidR="000E15F5" w:rsidRPr="004A59B1">
        <w:rPr>
          <w:color w:val="000000"/>
          <w:sz w:val="22"/>
          <w:szCs w:val="22"/>
          <w:lang w:val="sl-SI"/>
        </w:rPr>
        <w:t>o 2</w:t>
      </w:r>
      <w:r w:rsidR="00A523AD" w:rsidRPr="004A59B1">
        <w:rPr>
          <w:color w:val="000000"/>
          <w:sz w:val="22"/>
          <w:szCs w:val="22"/>
          <w:lang w:val="sl-SI"/>
        </w:rPr>
        <w:t>-kratniku</w:t>
      </w:r>
      <w:r w:rsidR="005A2CCC" w:rsidRPr="004A59B1">
        <w:rPr>
          <w:color w:val="000000"/>
          <w:sz w:val="22"/>
          <w:szCs w:val="22"/>
          <w:lang w:val="sl-SI"/>
        </w:rPr>
        <w:t xml:space="preserve"> izpostavljenosti, do kakršne </w:t>
      </w:r>
      <w:r w:rsidR="00D177FF" w:rsidRPr="004A59B1">
        <w:rPr>
          <w:color w:val="000000"/>
          <w:sz w:val="22"/>
          <w:szCs w:val="22"/>
          <w:lang w:val="sl-SI"/>
        </w:rPr>
        <w:t xml:space="preserve">v povprečju </w:t>
      </w:r>
      <w:r w:rsidR="005A2CCC" w:rsidRPr="004A59B1">
        <w:rPr>
          <w:color w:val="000000"/>
          <w:sz w:val="22"/>
          <w:szCs w:val="22"/>
          <w:lang w:val="sl-SI"/>
        </w:rPr>
        <w:t xml:space="preserve">pride </w:t>
      </w:r>
      <w:r w:rsidR="00A523AD" w:rsidRPr="004A59B1">
        <w:rPr>
          <w:color w:val="000000"/>
          <w:sz w:val="22"/>
          <w:szCs w:val="22"/>
          <w:lang w:val="sl-SI"/>
        </w:rPr>
        <w:t xml:space="preserve">pri otrocih, ki prejemajo </w:t>
      </w:r>
      <w:r w:rsidR="00A55982" w:rsidRPr="004A59B1">
        <w:rPr>
          <w:color w:val="000000"/>
          <w:sz w:val="22"/>
          <w:szCs w:val="22"/>
          <w:lang w:val="sl-SI"/>
        </w:rPr>
        <w:t xml:space="preserve">največji </w:t>
      </w:r>
      <w:r w:rsidR="00A523AD" w:rsidRPr="004A59B1">
        <w:rPr>
          <w:color w:val="000000"/>
          <w:sz w:val="22"/>
          <w:szCs w:val="22"/>
          <w:lang w:val="sl-SI"/>
        </w:rPr>
        <w:t xml:space="preserve">priporočeni odmerek </w:t>
      </w:r>
      <w:r w:rsidR="000E15F5" w:rsidRPr="004A59B1">
        <w:rPr>
          <w:color w:val="000000"/>
          <w:sz w:val="22"/>
          <w:szCs w:val="22"/>
          <w:lang w:val="sl-SI"/>
        </w:rPr>
        <w:t>340 mg/m</w:t>
      </w:r>
      <w:r w:rsidR="000E15F5" w:rsidRPr="004A59B1">
        <w:rPr>
          <w:color w:val="000000"/>
          <w:sz w:val="22"/>
          <w:szCs w:val="22"/>
          <w:vertAlign w:val="superscript"/>
          <w:lang w:val="sl-SI"/>
        </w:rPr>
        <w:t>2</w:t>
      </w:r>
      <w:r w:rsidR="000E15F5" w:rsidRPr="004A59B1">
        <w:rPr>
          <w:color w:val="000000"/>
          <w:sz w:val="22"/>
          <w:szCs w:val="22"/>
          <w:lang w:val="sl-SI"/>
        </w:rPr>
        <w:t xml:space="preserve">. </w:t>
      </w:r>
      <w:r w:rsidR="00A523AD" w:rsidRPr="004A59B1">
        <w:rPr>
          <w:color w:val="000000"/>
          <w:sz w:val="22"/>
          <w:szCs w:val="22"/>
          <w:lang w:val="sl-SI"/>
        </w:rPr>
        <w:t>Pri mladih živalih (okrog obdobja odstavljanja) so opaž</w:t>
      </w:r>
      <w:r w:rsidR="001924A9" w:rsidRPr="004A59B1">
        <w:rPr>
          <w:color w:val="000000"/>
          <w:sz w:val="22"/>
          <w:szCs w:val="22"/>
          <w:lang w:val="sl-SI"/>
        </w:rPr>
        <w:t>a</w:t>
      </w:r>
      <w:r w:rsidR="00A523AD" w:rsidRPr="004A59B1">
        <w:rPr>
          <w:color w:val="000000"/>
          <w:sz w:val="22"/>
          <w:szCs w:val="22"/>
          <w:lang w:val="sl-SI"/>
        </w:rPr>
        <w:t xml:space="preserve">li tudi </w:t>
      </w:r>
      <w:r w:rsidR="005A2CCC" w:rsidRPr="004A59B1">
        <w:rPr>
          <w:color w:val="000000"/>
          <w:sz w:val="22"/>
          <w:szCs w:val="22"/>
          <w:lang w:val="sl-SI"/>
        </w:rPr>
        <w:t xml:space="preserve">povečano </w:t>
      </w:r>
      <w:r w:rsidR="00D177FF" w:rsidRPr="004A59B1">
        <w:rPr>
          <w:color w:val="000000"/>
          <w:sz w:val="22"/>
          <w:szCs w:val="22"/>
          <w:lang w:val="sl-SI"/>
        </w:rPr>
        <w:t xml:space="preserve">smrtnost pri približno 2-kratniku izpostavljenosti, do kakršne v povprečju pride pri otrocih, ki prejemajo </w:t>
      </w:r>
      <w:r w:rsidR="00A55982" w:rsidRPr="004A59B1">
        <w:rPr>
          <w:color w:val="000000"/>
          <w:sz w:val="22"/>
          <w:szCs w:val="22"/>
          <w:lang w:val="sl-SI"/>
        </w:rPr>
        <w:t xml:space="preserve">največji </w:t>
      </w:r>
      <w:r w:rsidR="00D177FF" w:rsidRPr="004A59B1">
        <w:rPr>
          <w:color w:val="000000"/>
          <w:sz w:val="22"/>
          <w:szCs w:val="22"/>
          <w:lang w:val="sl-SI"/>
        </w:rPr>
        <w:t>priporočeni odmerek 340 mg/m</w:t>
      </w:r>
      <w:r w:rsidR="00D177FF" w:rsidRPr="004A59B1">
        <w:rPr>
          <w:color w:val="000000"/>
          <w:sz w:val="22"/>
          <w:szCs w:val="22"/>
          <w:vertAlign w:val="superscript"/>
          <w:lang w:val="sl-SI"/>
        </w:rPr>
        <w:t>2</w:t>
      </w:r>
      <w:r w:rsidR="00D177FF" w:rsidRPr="004A59B1">
        <w:rPr>
          <w:color w:val="000000"/>
          <w:sz w:val="22"/>
          <w:szCs w:val="22"/>
          <w:lang w:val="sl-SI"/>
        </w:rPr>
        <w:t>.</w:t>
      </w:r>
    </w:p>
    <w:p w14:paraId="52979CB0" w14:textId="77777777" w:rsidR="000E15F5" w:rsidRPr="004A59B1" w:rsidRDefault="000E15F5" w:rsidP="009C1193">
      <w:pPr>
        <w:widowControl w:val="0"/>
        <w:rPr>
          <w:bCs/>
          <w:color w:val="000000"/>
          <w:szCs w:val="22"/>
          <w:lang w:val="sl-SI"/>
        </w:rPr>
      </w:pPr>
    </w:p>
    <w:p w14:paraId="52979CB1" w14:textId="77777777" w:rsidR="00444D75" w:rsidRPr="004A59B1" w:rsidRDefault="00444D75" w:rsidP="009C1193">
      <w:pPr>
        <w:widowControl w:val="0"/>
        <w:rPr>
          <w:bCs/>
          <w:color w:val="000000"/>
          <w:szCs w:val="22"/>
          <w:lang w:val="sl-SI"/>
        </w:rPr>
      </w:pPr>
      <w:r w:rsidRPr="004A59B1">
        <w:rPr>
          <w:bCs/>
          <w:color w:val="000000"/>
          <w:szCs w:val="22"/>
          <w:lang w:val="sl-SI"/>
        </w:rPr>
        <w:t>V 2-letni študiji karcinogenosti pri podganah je odmerjanje imanitiba 15</w:t>
      </w:r>
      <w:r w:rsidR="00E308B2" w:rsidRPr="004A59B1">
        <w:rPr>
          <w:bCs/>
          <w:color w:val="000000"/>
          <w:szCs w:val="22"/>
          <w:lang w:val="sl-SI"/>
        </w:rPr>
        <w:t> mg/kg/dan</w:t>
      </w:r>
      <w:r w:rsidRPr="004A59B1">
        <w:rPr>
          <w:bCs/>
          <w:color w:val="000000"/>
          <w:szCs w:val="22"/>
          <w:lang w:val="sl-SI"/>
        </w:rPr>
        <w:t>, 30</w:t>
      </w:r>
      <w:r w:rsidR="00E308B2" w:rsidRPr="004A59B1">
        <w:rPr>
          <w:bCs/>
          <w:color w:val="000000"/>
          <w:szCs w:val="22"/>
          <w:lang w:val="sl-SI"/>
        </w:rPr>
        <w:t> mg/kg/dan</w:t>
      </w:r>
      <w:r w:rsidRPr="004A59B1">
        <w:rPr>
          <w:bCs/>
          <w:color w:val="000000"/>
          <w:szCs w:val="22"/>
          <w:lang w:val="sl-SI"/>
        </w:rPr>
        <w:t xml:space="preserve"> in 60 mg/kg/dan povzročilo statistično značilno skrajšanje življenjske dobe samcev pri 60 mg/kg/dan in samic pri </w:t>
      </w:r>
      <w:r w:rsidRPr="004A59B1">
        <w:rPr>
          <w:color w:val="000000"/>
          <w:szCs w:val="22"/>
          <w:lang w:val="sl-SI"/>
        </w:rPr>
        <w:t>≥ </w:t>
      </w:r>
      <w:r w:rsidRPr="004A59B1">
        <w:rPr>
          <w:bCs/>
          <w:color w:val="000000"/>
          <w:szCs w:val="22"/>
          <w:lang w:val="sl-SI"/>
        </w:rPr>
        <w:t>30 mg/kg/dan. Histopatološki pregled poginulih je pokazal, da so glavni vzroki smrti oziroma razlogi za žrtvovanje kardiomiopatija (pri obeh spolih), kronična progresivna nefropatija (pri samicah) in papilom žlez prepucija. Tarčni organi za neoplastične spremembe so bili: ledvice, sečni mehur, sečnica, žleze prepucija in klitorisa, tanko črevo, obščitnične žleze, nadledvične žleze in ne-žlezni del želodca.</w:t>
      </w:r>
    </w:p>
    <w:p w14:paraId="52979CB2" w14:textId="77777777" w:rsidR="00444D75" w:rsidRPr="004A59B1" w:rsidRDefault="00444D75" w:rsidP="009C1193">
      <w:pPr>
        <w:widowControl w:val="0"/>
        <w:rPr>
          <w:color w:val="000000"/>
          <w:szCs w:val="22"/>
          <w:lang w:val="sl-SI"/>
        </w:rPr>
      </w:pPr>
    </w:p>
    <w:p w14:paraId="52979CB3" w14:textId="77777777" w:rsidR="00444D75" w:rsidRPr="004A59B1" w:rsidRDefault="00444D75" w:rsidP="009C1193">
      <w:pPr>
        <w:widowControl w:val="0"/>
        <w:rPr>
          <w:color w:val="000000"/>
          <w:szCs w:val="22"/>
          <w:lang w:val="sl-SI"/>
        </w:rPr>
      </w:pPr>
      <w:r w:rsidRPr="004A59B1">
        <w:rPr>
          <w:bCs/>
          <w:color w:val="000000"/>
          <w:szCs w:val="22"/>
          <w:lang w:val="sl-SI"/>
        </w:rPr>
        <w:t>Papilome/karcinome prepucijske/klitorisne žleze so opazili pri odmerkih od 30 mg/kg/dan naprej, kar predstavlja približno 0,5-kratnik oziroma 0,3-kratnik dnevne izpostavljenosti človeka (na podlagi AUC) pri odmerku 400 mg/dan oziroma 800 mg/dan, in 0,4-kratnik dnevne izpostavljenosti otrok (na podlagi AUC) pri 340 mg/m</w:t>
      </w:r>
      <w:r w:rsidRPr="004A59B1">
        <w:rPr>
          <w:bCs/>
          <w:color w:val="000000"/>
          <w:szCs w:val="22"/>
          <w:vertAlign w:val="superscript"/>
          <w:lang w:val="sl-SI"/>
        </w:rPr>
        <w:t>2</w:t>
      </w:r>
      <w:r w:rsidRPr="004A59B1">
        <w:rPr>
          <w:bCs/>
          <w:color w:val="000000"/>
          <w:szCs w:val="22"/>
          <w:lang w:val="sl-SI"/>
        </w:rPr>
        <w:t xml:space="preserve">/dan. </w:t>
      </w:r>
      <w:r w:rsidRPr="004A59B1">
        <w:rPr>
          <w:color w:val="000000"/>
          <w:szCs w:val="22"/>
          <w:lang w:val="sl-SI"/>
        </w:rPr>
        <w:t xml:space="preserve">Odmerek brez opaženega učinka (NOEL) je bil 15 mg/kg/dan. </w:t>
      </w:r>
      <w:r w:rsidRPr="004A59B1">
        <w:rPr>
          <w:bCs/>
          <w:color w:val="000000"/>
          <w:szCs w:val="22"/>
          <w:lang w:val="sl-SI"/>
        </w:rPr>
        <w:t>Adenome/karcinome ledvic, papilome sečnega mehurja in sečnice, adenokarcinome tankega črevesa, adenome obščitničnih žlez, benigne in maligne medularne tumorje nadlevičnih žlez in papilome/karcinome ne-žleznega dela želodca so opazili pri odmerku 60 mg/kg/dan, kar predstavlja približno 1,</w:t>
      </w:r>
      <w:r w:rsidR="00E06F06" w:rsidRPr="004A59B1">
        <w:rPr>
          <w:bCs/>
          <w:color w:val="000000"/>
          <w:szCs w:val="22"/>
          <w:lang w:val="sl-SI"/>
        </w:rPr>
        <w:t>7</w:t>
      </w:r>
      <w:r w:rsidRPr="004A59B1">
        <w:rPr>
          <w:bCs/>
          <w:color w:val="000000"/>
          <w:szCs w:val="22"/>
          <w:lang w:val="sl-SI"/>
        </w:rPr>
        <w:t xml:space="preserve"> do </w:t>
      </w:r>
      <w:r w:rsidR="00E06F06" w:rsidRPr="004A59B1">
        <w:rPr>
          <w:bCs/>
          <w:color w:val="000000"/>
          <w:szCs w:val="22"/>
          <w:lang w:val="sl-SI"/>
        </w:rPr>
        <w:t>1</w:t>
      </w:r>
      <w:r w:rsidRPr="004A59B1">
        <w:rPr>
          <w:bCs/>
          <w:color w:val="000000"/>
          <w:szCs w:val="22"/>
          <w:lang w:val="sl-SI"/>
        </w:rPr>
        <w:t>-kratnik dnevne izpostavljenosti človeka (na podlagi AUC) pri odmerku 400 mg/dan oziroma 800 mg/dan in 1,2-kratnik dnevne izpostavljenosti otrok (na podlagi AUC) pri 340 mg/m</w:t>
      </w:r>
      <w:r w:rsidRPr="004A59B1">
        <w:rPr>
          <w:bCs/>
          <w:color w:val="000000"/>
          <w:szCs w:val="22"/>
          <w:vertAlign w:val="superscript"/>
          <w:lang w:val="sl-SI"/>
        </w:rPr>
        <w:t>2</w:t>
      </w:r>
      <w:r w:rsidRPr="004A59B1">
        <w:rPr>
          <w:bCs/>
          <w:color w:val="000000"/>
          <w:szCs w:val="22"/>
          <w:lang w:val="sl-SI"/>
        </w:rPr>
        <w:t>/dan. Odmerek brez opaženega učinka (NOEL) je bil 30 mg/kg/dan.</w:t>
      </w:r>
    </w:p>
    <w:p w14:paraId="52979CB4" w14:textId="77777777" w:rsidR="00444D75" w:rsidRPr="004A59B1" w:rsidRDefault="00444D75" w:rsidP="009C1193">
      <w:pPr>
        <w:widowControl w:val="0"/>
        <w:rPr>
          <w:color w:val="000000"/>
          <w:szCs w:val="22"/>
          <w:lang w:val="sl-SI"/>
        </w:rPr>
      </w:pPr>
    </w:p>
    <w:p w14:paraId="52979CB5" w14:textId="77777777" w:rsidR="00444D75" w:rsidRPr="004A59B1" w:rsidRDefault="00444D75" w:rsidP="009C1193">
      <w:pPr>
        <w:widowControl w:val="0"/>
        <w:rPr>
          <w:color w:val="000000"/>
          <w:szCs w:val="22"/>
          <w:lang w:val="sl-SI"/>
        </w:rPr>
      </w:pPr>
      <w:r w:rsidRPr="004A59B1">
        <w:rPr>
          <w:color w:val="000000"/>
          <w:szCs w:val="22"/>
          <w:lang w:val="sl-SI"/>
        </w:rPr>
        <w:t>Mehanizem in pomen teh ugotovitev iz študij karcinogenosti pri podganah za ljudi doslej še nista pojasnjena.</w:t>
      </w:r>
    </w:p>
    <w:p w14:paraId="52979CB6" w14:textId="77777777" w:rsidR="00444D75" w:rsidRPr="004A59B1" w:rsidRDefault="00444D75" w:rsidP="009C1193">
      <w:pPr>
        <w:widowControl w:val="0"/>
        <w:rPr>
          <w:color w:val="000000"/>
          <w:szCs w:val="22"/>
          <w:lang w:val="sl-SI"/>
        </w:rPr>
      </w:pPr>
    </w:p>
    <w:p w14:paraId="52979CB7" w14:textId="77777777" w:rsidR="00444D75" w:rsidRPr="004A59B1" w:rsidRDefault="00444D75" w:rsidP="009C1193">
      <w:pPr>
        <w:widowControl w:val="0"/>
        <w:rPr>
          <w:color w:val="000000"/>
          <w:szCs w:val="22"/>
          <w:lang w:val="sl-SI"/>
        </w:rPr>
      </w:pPr>
      <w:r w:rsidRPr="004A59B1">
        <w:rPr>
          <w:color w:val="000000"/>
          <w:szCs w:val="22"/>
          <w:lang w:val="sl-SI"/>
        </w:rPr>
        <w:t>Ne-neoplastične lezije organov, ki jih v prejšnjih predkliničnih študijah niso opazili, obsegajo srčnožilni sistem, pankreas, endokrine organe in zobe. Najbolj pomembne spremembe vključujejo hipertrofijo in dilatacijo srca, ki povzročata znake srčnega popuščanja pri nekaterih živalih.</w:t>
      </w:r>
    </w:p>
    <w:p w14:paraId="52979CB8" w14:textId="77777777" w:rsidR="00444D75" w:rsidRPr="004A59B1" w:rsidRDefault="00444D75" w:rsidP="009C1193">
      <w:pPr>
        <w:pStyle w:val="EndnoteText"/>
        <w:widowControl w:val="0"/>
        <w:tabs>
          <w:tab w:val="clear" w:pos="567"/>
        </w:tabs>
        <w:rPr>
          <w:color w:val="000000"/>
          <w:szCs w:val="22"/>
          <w:lang w:val="sl-SI"/>
        </w:rPr>
      </w:pPr>
    </w:p>
    <w:p w14:paraId="52979CB9" w14:textId="77777777" w:rsidR="00444D75" w:rsidRPr="004A59B1" w:rsidRDefault="00E37B98" w:rsidP="009C1193">
      <w:pPr>
        <w:pStyle w:val="EndnoteText"/>
        <w:widowControl w:val="0"/>
        <w:tabs>
          <w:tab w:val="clear" w:pos="567"/>
        </w:tabs>
        <w:rPr>
          <w:color w:val="000000"/>
          <w:szCs w:val="22"/>
          <w:lang w:val="sl-SI"/>
        </w:rPr>
      </w:pPr>
      <w:r w:rsidRPr="004A59B1">
        <w:rPr>
          <w:color w:val="000000"/>
          <w:szCs w:val="22"/>
          <w:lang w:val="sl-SI"/>
        </w:rPr>
        <w:t>Zdravilna učinkovina imatinib predstavlja tveganje za okolje, in sicer za organizme v usedlinah.</w:t>
      </w:r>
    </w:p>
    <w:p w14:paraId="52979CBA" w14:textId="77777777" w:rsidR="00E37B98" w:rsidRPr="004A59B1" w:rsidRDefault="00E37B98" w:rsidP="009C1193">
      <w:pPr>
        <w:pStyle w:val="EndnoteText"/>
        <w:widowControl w:val="0"/>
        <w:tabs>
          <w:tab w:val="clear" w:pos="567"/>
        </w:tabs>
        <w:rPr>
          <w:color w:val="000000"/>
          <w:szCs w:val="22"/>
          <w:lang w:val="sl-SI"/>
        </w:rPr>
      </w:pPr>
    </w:p>
    <w:p w14:paraId="52979CBB" w14:textId="77777777" w:rsidR="00E37B98" w:rsidRPr="004A59B1" w:rsidRDefault="00E37B98" w:rsidP="009C1193">
      <w:pPr>
        <w:pStyle w:val="EndnoteText"/>
        <w:widowControl w:val="0"/>
        <w:tabs>
          <w:tab w:val="clear" w:pos="567"/>
        </w:tabs>
        <w:rPr>
          <w:color w:val="000000"/>
          <w:szCs w:val="22"/>
          <w:lang w:val="sl-SI"/>
        </w:rPr>
      </w:pPr>
    </w:p>
    <w:p w14:paraId="52979CBC" w14:textId="77777777" w:rsidR="00444D75" w:rsidRPr="004A59B1" w:rsidRDefault="00444D75" w:rsidP="009C1193">
      <w:pPr>
        <w:keepNext/>
        <w:widowControl w:val="0"/>
        <w:tabs>
          <w:tab w:val="clear" w:pos="567"/>
        </w:tabs>
        <w:spacing w:line="240" w:lineRule="auto"/>
        <w:ind w:left="567" w:hanging="567"/>
        <w:rPr>
          <w:b/>
          <w:color w:val="000000"/>
          <w:szCs w:val="22"/>
          <w:lang w:val="sl-SI"/>
        </w:rPr>
      </w:pPr>
      <w:r w:rsidRPr="004A59B1">
        <w:rPr>
          <w:b/>
          <w:color w:val="000000"/>
          <w:szCs w:val="22"/>
          <w:lang w:val="sl-SI"/>
        </w:rPr>
        <w:lastRenderedPageBreak/>
        <w:t>6.</w:t>
      </w:r>
      <w:r w:rsidRPr="004A59B1">
        <w:rPr>
          <w:b/>
          <w:color w:val="000000"/>
          <w:szCs w:val="22"/>
          <w:lang w:val="sl-SI"/>
        </w:rPr>
        <w:tab/>
        <w:t>FARMACEVTSKI PODATKI</w:t>
      </w:r>
    </w:p>
    <w:p w14:paraId="52979CBD" w14:textId="77777777" w:rsidR="00444D75" w:rsidRPr="004A59B1" w:rsidRDefault="00444D75" w:rsidP="009C1193">
      <w:pPr>
        <w:pStyle w:val="EndnoteText"/>
        <w:keepNext/>
        <w:widowControl w:val="0"/>
        <w:tabs>
          <w:tab w:val="clear" w:pos="567"/>
        </w:tabs>
        <w:rPr>
          <w:color w:val="000000"/>
          <w:szCs w:val="22"/>
          <w:lang w:val="sl-SI"/>
        </w:rPr>
      </w:pPr>
    </w:p>
    <w:p w14:paraId="52979CBE" w14:textId="77777777" w:rsidR="00444D75" w:rsidRPr="004A59B1" w:rsidRDefault="00444D75" w:rsidP="009C1193">
      <w:pPr>
        <w:keepNext/>
        <w:widowControl w:val="0"/>
        <w:tabs>
          <w:tab w:val="clear" w:pos="567"/>
        </w:tabs>
        <w:spacing w:line="240" w:lineRule="auto"/>
        <w:ind w:left="567" w:hanging="567"/>
        <w:rPr>
          <w:color w:val="000000"/>
          <w:szCs w:val="22"/>
          <w:lang w:val="sl-SI"/>
        </w:rPr>
      </w:pPr>
      <w:r w:rsidRPr="004A59B1">
        <w:rPr>
          <w:b/>
          <w:color w:val="000000"/>
          <w:szCs w:val="22"/>
          <w:lang w:val="sl-SI"/>
        </w:rPr>
        <w:t>6.1</w:t>
      </w:r>
      <w:r w:rsidRPr="004A59B1">
        <w:rPr>
          <w:b/>
          <w:color w:val="000000"/>
          <w:szCs w:val="22"/>
          <w:lang w:val="sl-SI"/>
        </w:rPr>
        <w:tab/>
        <w:t>Seznam pomožnih snovi</w:t>
      </w:r>
    </w:p>
    <w:p w14:paraId="52979CBF" w14:textId="77777777" w:rsidR="00444D75" w:rsidRPr="004A59B1" w:rsidRDefault="00444D75" w:rsidP="009C1193">
      <w:pPr>
        <w:keepNext/>
        <w:widowControl w:val="0"/>
        <w:tabs>
          <w:tab w:val="clear" w:pos="567"/>
        </w:tabs>
        <w:spacing w:line="240" w:lineRule="auto"/>
        <w:ind w:left="567" w:hanging="567"/>
        <w:rPr>
          <w:color w:val="000000"/>
          <w:szCs w:val="22"/>
          <w:lang w:val="sl-SI"/>
        </w:rPr>
      </w:pPr>
    </w:p>
    <w:p w14:paraId="52979CCF" w14:textId="77777777" w:rsidR="006151BC" w:rsidRPr="004A59B1" w:rsidRDefault="006151BC" w:rsidP="009C1193">
      <w:pPr>
        <w:keepNext/>
        <w:widowControl w:val="0"/>
        <w:tabs>
          <w:tab w:val="clear" w:pos="567"/>
          <w:tab w:val="left" w:pos="1701"/>
        </w:tabs>
        <w:spacing w:line="240" w:lineRule="auto"/>
        <w:rPr>
          <w:color w:val="000000"/>
          <w:szCs w:val="22"/>
          <w:lang w:val="sl-SI"/>
        </w:rPr>
      </w:pPr>
      <w:r w:rsidRPr="004A59B1">
        <w:rPr>
          <w:color w:val="000000"/>
          <w:szCs w:val="22"/>
          <w:lang w:val="sl-SI"/>
        </w:rPr>
        <w:t>Vsebina kapsule:</w:t>
      </w:r>
      <w:r w:rsidRPr="004A59B1">
        <w:rPr>
          <w:color w:val="000000"/>
          <w:szCs w:val="22"/>
          <w:lang w:val="sl-SI"/>
        </w:rPr>
        <w:tab/>
        <w:t>mikrokristalna celuloza</w:t>
      </w:r>
    </w:p>
    <w:p w14:paraId="52979CD0" w14:textId="77777777" w:rsidR="006151BC" w:rsidRPr="004A59B1" w:rsidRDefault="006151BC" w:rsidP="009C1193">
      <w:pPr>
        <w:keepNext/>
        <w:widowControl w:val="0"/>
        <w:tabs>
          <w:tab w:val="clear" w:pos="567"/>
        </w:tabs>
        <w:spacing w:line="240" w:lineRule="auto"/>
        <w:ind w:left="1134" w:firstLine="567"/>
        <w:rPr>
          <w:color w:val="000000"/>
          <w:szCs w:val="22"/>
          <w:lang w:val="sl-SI"/>
        </w:rPr>
      </w:pPr>
      <w:r w:rsidRPr="004A59B1">
        <w:rPr>
          <w:color w:val="000000"/>
          <w:szCs w:val="22"/>
          <w:lang w:val="sl-SI"/>
        </w:rPr>
        <w:t>krospovidon</w:t>
      </w:r>
    </w:p>
    <w:p w14:paraId="52979CD1" w14:textId="77777777" w:rsidR="006151BC" w:rsidRPr="004A59B1" w:rsidRDefault="006151BC" w:rsidP="009C1193">
      <w:pPr>
        <w:keepNext/>
        <w:widowControl w:val="0"/>
        <w:tabs>
          <w:tab w:val="clear" w:pos="567"/>
        </w:tabs>
        <w:spacing w:line="240" w:lineRule="auto"/>
        <w:ind w:left="1134" w:firstLine="567"/>
        <w:rPr>
          <w:color w:val="000000"/>
          <w:szCs w:val="22"/>
          <w:lang w:val="sl-SI"/>
        </w:rPr>
      </w:pPr>
      <w:r w:rsidRPr="004A59B1">
        <w:rPr>
          <w:color w:val="000000"/>
          <w:szCs w:val="22"/>
          <w:lang w:val="sl-SI"/>
        </w:rPr>
        <w:t>magnezijev stearat</w:t>
      </w:r>
    </w:p>
    <w:p w14:paraId="52979CD2" w14:textId="77777777" w:rsidR="006151BC" w:rsidRPr="004A59B1" w:rsidRDefault="006151BC" w:rsidP="009C1193">
      <w:pPr>
        <w:widowControl w:val="0"/>
        <w:tabs>
          <w:tab w:val="clear" w:pos="567"/>
        </w:tabs>
        <w:spacing w:line="240" w:lineRule="auto"/>
        <w:ind w:left="1701"/>
        <w:rPr>
          <w:color w:val="000000"/>
          <w:szCs w:val="22"/>
          <w:lang w:val="sl-SI"/>
        </w:rPr>
      </w:pPr>
      <w:r w:rsidRPr="004A59B1">
        <w:rPr>
          <w:color w:val="000000"/>
          <w:szCs w:val="22"/>
          <w:lang w:val="sl-SI"/>
        </w:rPr>
        <w:t>brezvodni koloidni silicijev dioksid</w:t>
      </w:r>
    </w:p>
    <w:p w14:paraId="52979CD3" w14:textId="77777777" w:rsidR="006151BC" w:rsidRPr="004A59B1" w:rsidRDefault="006151BC" w:rsidP="009C1193">
      <w:pPr>
        <w:widowControl w:val="0"/>
        <w:tabs>
          <w:tab w:val="clear" w:pos="567"/>
        </w:tabs>
        <w:spacing w:line="240" w:lineRule="auto"/>
        <w:rPr>
          <w:color w:val="000000"/>
          <w:szCs w:val="22"/>
          <w:lang w:val="sl-SI"/>
        </w:rPr>
      </w:pPr>
    </w:p>
    <w:p w14:paraId="52979CD4" w14:textId="77777777" w:rsidR="006151BC" w:rsidRPr="004A59B1" w:rsidRDefault="006151BC" w:rsidP="009C1193">
      <w:pPr>
        <w:keepNext/>
        <w:widowControl w:val="0"/>
        <w:tabs>
          <w:tab w:val="clear" w:pos="567"/>
          <w:tab w:val="left" w:pos="1701"/>
        </w:tabs>
        <w:spacing w:line="240" w:lineRule="auto"/>
        <w:rPr>
          <w:color w:val="000000"/>
          <w:szCs w:val="22"/>
          <w:lang w:val="sl-SI"/>
        </w:rPr>
      </w:pPr>
      <w:r w:rsidRPr="004A59B1">
        <w:rPr>
          <w:color w:val="000000"/>
          <w:szCs w:val="22"/>
          <w:lang w:val="sl-SI"/>
        </w:rPr>
        <w:t>Ovojnica kapsule:</w:t>
      </w:r>
      <w:r w:rsidRPr="004A59B1">
        <w:rPr>
          <w:color w:val="000000"/>
          <w:szCs w:val="22"/>
          <w:lang w:val="sl-SI"/>
        </w:rPr>
        <w:tab/>
        <w:t>želatina</w:t>
      </w:r>
    </w:p>
    <w:p w14:paraId="52979CD5" w14:textId="77777777" w:rsidR="006151BC" w:rsidRPr="004A59B1" w:rsidRDefault="006151BC" w:rsidP="009C1193">
      <w:pPr>
        <w:keepNext/>
        <w:widowControl w:val="0"/>
        <w:tabs>
          <w:tab w:val="clear" w:pos="567"/>
          <w:tab w:val="left" w:pos="1701"/>
        </w:tabs>
        <w:spacing w:line="240" w:lineRule="auto"/>
        <w:ind w:left="1701"/>
        <w:rPr>
          <w:color w:val="000000"/>
          <w:szCs w:val="22"/>
          <w:lang w:val="sl-SI"/>
        </w:rPr>
      </w:pPr>
      <w:r w:rsidRPr="004A59B1">
        <w:rPr>
          <w:color w:val="000000"/>
          <w:szCs w:val="22"/>
          <w:lang w:val="sl-SI"/>
        </w:rPr>
        <w:t>rdeči železov oksid (E172)</w:t>
      </w:r>
    </w:p>
    <w:p w14:paraId="52979CD6" w14:textId="77777777" w:rsidR="006151BC" w:rsidRPr="004A59B1" w:rsidRDefault="006151BC" w:rsidP="009C1193">
      <w:pPr>
        <w:keepNext/>
        <w:widowControl w:val="0"/>
        <w:tabs>
          <w:tab w:val="clear" w:pos="567"/>
        </w:tabs>
        <w:spacing w:line="240" w:lineRule="auto"/>
        <w:ind w:left="1134" w:firstLine="567"/>
        <w:rPr>
          <w:color w:val="000000"/>
          <w:szCs w:val="22"/>
          <w:lang w:val="sl-SI"/>
        </w:rPr>
      </w:pPr>
      <w:r w:rsidRPr="004A59B1">
        <w:rPr>
          <w:color w:val="000000"/>
          <w:szCs w:val="22"/>
          <w:lang w:val="sl-SI"/>
        </w:rPr>
        <w:t>rumeni železov oksid (E172)</w:t>
      </w:r>
    </w:p>
    <w:p w14:paraId="52979CD7" w14:textId="77777777" w:rsidR="006151BC" w:rsidRPr="004A59B1" w:rsidRDefault="006151BC" w:rsidP="009C1193">
      <w:pPr>
        <w:widowControl w:val="0"/>
        <w:tabs>
          <w:tab w:val="clear" w:pos="567"/>
        </w:tabs>
        <w:spacing w:line="240" w:lineRule="auto"/>
        <w:ind w:left="1134" w:firstLine="567"/>
        <w:rPr>
          <w:color w:val="000000"/>
          <w:szCs w:val="22"/>
          <w:lang w:val="sl-SI"/>
        </w:rPr>
      </w:pPr>
      <w:r w:rsidRPr="004A59B1">
        <w:rPr>
          <w:color w:val="000000"/>
          <w:szCs w:val="22"/>
          <w:lang w:val="sl-SI"/>
        </w:rPr>
        <w:t>titanov dioksid (E171)</w:t>
      </w:r>
    </w:p>
    <w:p w14:paraId="52979CD8" w14:textId="77777777" w:rsidR="006151BC" w:rsidRPr="004A59B1" w:rsidRDefault="006151BC" w:rsidP="009C1193">
      <w:pPr>
        <w:widowControl w:val="0"/>
        <w:tabs>
          <w:tab w:val="clear" w:pos="567"/>
        </w:tabs>
        <w:spacing w:line="240" w:lineRule="auto"/>
        <w:rPr>
          <w:color w:val="000000"/>
          <w:szCs w:val="22"/>
          <w:lang w:val="sl-SI"/>
        </w:rPr>
      </w:pPr>
    </w:p>
    <w:p w14:paraId="52979CD9" w14:textId="77777777" w:rsidR="006151BC" w:rsidRPr="004A59B1" w:rsidRDefault="006151BC" w:rsidP="009C1193">
      <w:pPr>
        <w:keepNext/>
        <w:widowControl w:val="0"/>
        <w:tabs>
          <w:tab w:val="clear" w:pos="567"/>
          <w:tab w:val="left" w:pos="1701"/>
        </w:tabs>
        <w:spacing w:line="240" w:lineRule="auto"/>
        <w:rPr>
          <w:color w:val="000000"/>
          <w:szCs w:val="22"/>
          <w:lang w:val="sl-SI"/>
        </w:rPr>
      </w:pPr>
      <w:r w:rsidRPr="004A59B1">
        <w:rPr>
          <w:color w:val="000000"/>
          <w:szCs w:val="22"/>
          <w:lang w:val="sl-SI"/>
        </w:rPr>
        <w:t>Tiskarska barva:</w:t>
      </w:r>
      <w:r w:rsidRPr="004A59B1">
        <w:rPr>
          <w:color w:val="000000"/>
          <w:szCs w:val="22"/>
          <w:lang w:val="sl-SI"/>
        </w:rPr>
        <w:tab/>
        <w:t>rdeči železov oksid (E172)</w:t>
      </w:r>
    </w:p>
    <w:p w14:paraId="52979CDA" w14:textId="77777777" w:rsidR="006151BC" w:rsidRPr="00B24401" w:rsidRDefault="006151BC" w:rsidP="009C1193">
      <w:pPr>
        <w:widowControl w:val="0"/>
        <w:tabs>
          <w:tab w:val="clear" w:pos="567"/>
        </w:tabs>
        <w:spacing w:line="240" w:lineRule="auto"/>
        <w:ind w:left="1701"/>
        <w:rPr>
          <w:color w:val="000000"/>
          <w:szCs w:val="22"/>
          <w:u w:val="single"/>
          <w:lang w:val="sl-SI"/>
        </w:rPr>
      </w:pPr>
      <w:r w:rsidRPr="004A59B1">
        <w:rPr>
          <w:color w:val="000000"/>
          <w:szCs w:val="22"/>
          <w:lang w:val="sl-SI"/>
        </w:rPr>
        <w:t>šelak</w:t>
      </w:r>
    </w:p>
    <w:p w14:paraId="52979CDB" w14:textId="77777777" w:rsidR="00444D75" w:rsidRPr="004A59B1" w:rsidRDefault="00444D75" w:rsidP="009C1193">
      <w:pPr>
        <w:widowControl w:val="0"/>
        <w:tabs>
          <w:tab w:val="clear" w:pos="567"/>
        </w:tabs>
        <w:spacing w:line="240" w:lineRule="auto"/>
        <w:rPr>
          <w:color w:val="000000"/>
          <w:szCs w:val="22"/>
          <w:lang w:val="sl-SI"/>
        </w:rPr>
      </w:pPr>
    </w:p>
    <w:p w14:paraId="52979CDC" w14:textId="77777777" w:rsidR="00444D75" w:rsidRPr="004A59B1" w:rsidRDefault="00444D75" w:rsidP="009C1193">
      <w:pPr>
        <w:keepNext/>
        <w:widowControl w:val="0"/>
        <w:tabs>
          <w:tab w:val="clear" w:pos="567"/>
        </w:tabs>
        <w:spacing w:line="240" w:lineRule="auto"/>
        <w:ind w:left="567" w:hanging="567"/>
        <w:rPr>
          <w:color w:val="000000"/>
          <w:szCs w:val="22"/>
          <w:lang w:val="sl-SI"/>
        </w:rPr>
      </w:pPr>
      <w:r w:rsidRPr="004A59B1">
        <w:rPr>
          <w:b/>
          <w:color w:val="000000"/>
          <w:szCs w:val="22"/>
          <w:lang w:val="sl-SI"/>
        </w:rPr>
        <w:t>6.2</w:t>
      </w:r>
      <w:r w:rsidRPr="004A59B1">
        <w:rPr>
          <w:b/>
          <w:color w:val="000000"/>
          <w:szCs w:val="22"/>
          <w:lang w:val="sl-SI"/>
        </w:rPr>
        <w:tab/>
        <w:t>Inkompatibilnosti</w:t>
      </w:r>
    </w:p>
    <w:p w14:paraId="52979CDD" w14:textId="77777777" w:rsidR="00444D75" w:rsidRPr="004A59B1" w:rsidRDefault="00444D75" w:rsidP="009C1193">
      <w:pPr>
        <w:keepNext/>
        <w:widowControl w:val="0"/>
        <w:tabs>
          <w:tab w:val="clear" w:pos="567"/>
        </w:tabs>
        <w:spacing w:line="240" w:lineRule="auto"/>
        <w:rPr>
          <w:color w:val="000000"/>
          <w:szCs w:val="22"/>
          <w:lang w:val="sl-SI"/>
        </w:rPr>
      </w:pPr>
    </w:p>
    <w:p w14:paraId="52979CDE" w14:textId="77777777" w:rsidR="00444D75" w:rsidRPr="004A59B1" w:rsidRDefault="00444D75" w:rsidP="009C1193">
      <w:pPr>
        <w:widowControl w:val="0"/>
        <w:tabs>
          <w:tab w:val="clear" w:pos="567"/>
        </w:tabs>
        <w:spacing w:line="240" w:lineRule="auto"/>
        <w:rPr>
          <w:color w:val="000000"/>
          <w:szCs w:val="22"/>
          <w:lang w:val="sl-SI"/>
        </w:rPr>
      </w:pPr>
      <w:r w:rsidRPr="004A59B1">
        <w:rPr>
          <w:color w:val="000000"/>
          <w:szCs w:val="22"/>
          <w:lang w:val="sl-SI"/>
        </w:rPr>
        <w:t>Navedba smiselno ni potrebna.</w:t>
      </w:r>
    </w:p>
    <w:p w14:paraId="52979CDF" w14:textId="77777777" w:rsidR="00444D75" w:rsidRPr="004A59B1" w:rsidRDefault="00444D75" w:rsidP="009C1193">
      <w:pPr>
        <w:pStyle w:val="EndnoteText"/>
        <w:widowControl w:val="0"/>
        <w:tabs>
          <w:tab w:val="clear" w:pos="567"/>
        </w:tabs>
        <w:rPr>
          <w:color w:val="000000"/>
          <w:szCs w:val="22"/>
          <w:lang w:val="sl-SI"/>
        </w:rPr>
      </w:pPr>
    </w:p>
    <w:p w14:paraId="52979CE0" w14:textId="77777777" w:rsidR="00444D75" w:rsidRPr="004A59B1" w:rsidRDefault="00444D75" w:rsidP="009C1193">
      <w:pPr>
        <w:keepNext/>
        <w:widowControl w:val="0"/>
        <w:tabs>
          <w:tab w:val="clear" w:pos="567"/>
        </w:tabs>
        <w:spacing w:line="240" w:lineRule="auto"/>
        <w:ind w:left="567" w:hanging="567"/>
        <w:rPr>
          <w:color w:val="000000"/>
          <w:szCs w:val="22"/>
          <w:lang w:val="sl-SI"/>
        </w:rPr>
      </w:pPr>
      <w:r w:rsidRPr="004A59B1">
        <w:rPr>
          <w:b/>
          <w:color w:val="000000"/>
          <w:szCs w:val="22"/>
          <w:lang w:val="sl-SI"/>
        </w:rPr>
        <w:t>6.3</w:t>
      </w:r>
      <w:r w:rsidRPr="004A59B1">
        <w:rPr>
          <w:b/>
          <w:color w:val="000000"/>
          <w:szCs w:val="22"/>
          <w:lang w:val="sl-SI"/>
        </w:rPr>
        <w:tab/>
        <w:t>Rok uporabnosti</w:t>
      </w:r>
    </w:p>
    <w:p w14:paraId="52979CE1" w14:textId="77777777" w:rsidR="00444D75" w:rsidRPr="004A59B1" w:rsidRDefault="00444D75" w:rsidP="009C1193">
      <w:pPr>
        <w:keepNext/>
        <w:widowControl w:val="0"/>
        <w:tabs>
          <w:tab w:val="clear" w:pos="567"/>
        </w:tabs>
        <w:spacing w:line="240" w:lineRule="auto"/>
        <w:rPr>
          <w:color w:val="000000"/>
          <w:szCs w:val="22"/>
          <w:lang w:val="sl-SI"/>
        </w:rPr>
      </w:pPr>
    </w:p>
    <w:p w14:paraId="52979CE2" w14:textId="77777777" w:rsidR="00444D75" w:rsidRPr="004A59B1" w:rsidRDefault="00444D75" w:rsidP="009C1193">
      <w:pPr>
        <w:pStyle w:val="EndnoteText"/>
        <w:widowControl w:val="0"/>
        <w:tabs>
          <w:tab w:val="clear" w:pos="567"/>
        </w:tabs>
        <w:rPr>
          <w:color w:val="000000"/>
          <w:szCs w:val="22"/>
          <w:lang w:val="sl-SI"/>
        </w:rPr>
      </w:pPr>
      <w:r w:rsidRPr="004A59B1">
        <w:rPr>
          <w:color w:val="000000"/>
          <w:szCs w:val="22"/>
          <w:lang w:val="sl-SI"/>
        </w:rPr>
        <w:t>2 leti</w:t>
      </w:r>
    </w:p>
    <w:p w14:paraId="52979CE3" w14:textId="77777777" w:rsidR="00444D75" w:rsidRPr="004A59B1" w:rsidRDefault="00444D75" w:rsidP="009C1193">
      <w:pPr>
        <w:pStyle w:val="EndnoteText"/>
        <w:widowControl w:val="0"/>
        <w:tabs>
          <w:tab w:val="clear" w:pos="567"/>
        </w:tabs>
        <w:rPr>
          <w:color w:val="000000"/>
          <w:szCs w:val="22"/>
          <w:lang w:val="sl-SI"/>
        </w:rPr>
      </w:pPr>
    </w:p>
    <w:p w14:paraId="52979CE4" w14:textId="77777777" w:rsidR="00444D75" w:rsidRPr="004A59B1" w:rsidRDefault="00444D75" w:rsidP="009C1193">
      <w:pPr>
        <w:keepNext/>
        <w:widowControl w:val="0"/>
        <w:tabs>
          <w:tab w:val="clear" w:pos="567"/>
        </w:tabs>
        <w:spacing w:line="240" w:lineRule="auto"/>
        <w:ind w:left="567" w:hanging="567"/>
        <w:rPr>
          <w:color w:val="000000"/>
          <w:szCs w:val="22"/>
          <w:lang w:val="sl-SI"/>
        </w:rPr>
      </w:pPr>
      <w:r w:rsidRPr="004A59B1">
        <w:rPr>
          <w:b/>
          <w:color w:val="000000"/>
          <w:szCs w:val="22"/>
          <w:lang w:val="sl-SI"/>
        </w:rPr>
        <w:t>6.4</w:t>
      </w:r>
      <w:r w:rsidRPr="004A59B1">
        <w:rPr>
          <w:b/>
          <w:color w:val="000000"/>
          <w:szCs w:val="22"/>
          <w:lang w:val="sl-SI"/>
        </w:rPr>
        <w:tab/>
        <w:t>Posebna navodila za shranjevanje</w:t>
      </w:r>
    </w:p>
    <w:p w14:paraId="52979CE5" w14:textId="77777777" w:rsidR="00444D75" w:rsidRPr="004A59B1" w:rsidRDefault="00444D75" w:rsidP="009C1193">
      <w:pPr>
        <w:keepNext/>
        <w:widowControl w:val="0"/>
        <w:tabs>
          <w:tab w:val="clear" w:pos="567"/>
        </w:tabs>
        <w:spacing w:line="240" w:lineRule="auto"/>
        <w:rPr>
          <w:color w:val="000000"/>
          <w:szCs w:val="22"/>
          <w:lang w:val="sl-SI"/>
        </w:rPr>
      </w:pPr>
    </w:p>
    <w:p w14:paraId="52979CE6" w14:textId="77777777" w:rsidR="00444D75" w:rsidRPr="004A59B1" w:rsidRDefault="00444D75" w:rsidP="009C1193">
      <w:pPr>
        <w:widowControl w:val="0"/>
        <w:tabs>
          <w:tab w:val="clear" w:pos="567"/>
        </w:tabs>
        <w:spacing w:line="240" w:lineRule="auto"/>
        <w:rPr>
          <w:color w:val="000000"/>
          <w:szCs w:val="22"/>
          <w:lang w:val="sl-SI"/>
        </w:rPr>
      </w:pPr>
      <w:r w:rsidRPr="004A59B1">
        <w:rPr>
          <w:color w:val="000000"/>
          <w:szCs w:val="22"/>
          <w:lang w:val="sl-SI"/>
        </w:rPr>
        <w:t>Shranjujte pri temperaturi do 30 </w:t>
      </w:r>
      <w:r w:rsidRPr="004A59B1">
        <w:rPr>
          <w:color w:val="000000"/>
          <w:szCs w:val="22"/>
        </w:rPr>
        <w:sym w:font="Symbol" w:char="F0B0"/>
      </w:r>
      <w:r w:rsidRPr="004A59B1">
        <w:rPr>
          <w:color w:val="000000"/>
          <w:szCs w:val="22"/>
          <w:lang w:val="sl-SI"/>
        </w:rPr>
        <w:t>C.</w:t>
      </w:r>
    </w:p>
    <w:p w14:paraId="52979CE7" w14:textId="77777777" w:rsidR="00444D75" w:rsidRPr="004A59B1" w:rsidRDefault="00444D75" w:rsidP="009C1193">
      <w:pPr>
        <w:widowControl w:val="0"/>
        <w:tabs>
          <w:tab w:val="clear" w:pos="567"/>
        </w:tabs>
        <w:spacing w:line="240" w:lineRule="auto"/>
        <w:rPr>
          <w:color w:val="000000"/>
          <w:szCs w:val="22"/>
          <w:lang w:val="sl-SI"/>
        </w:rPr>
      </w:pPr>
    </w:p>
    <w:p w14:paraId="52979CE8" w14:textId="77777777" w:rsidR="00444D75" w:rsidRPr="004A59B1" w:rsidRDefault="00444D75" w:rsidP="009C1193">
      <w:pPr>
        <w:widowControl w:val="0"/>
        <w:tabs>
          <w:tab w:val="clear" w:pos="567"/>
        </w:tabs>
        <w:spacing w:line="240" w:lineRule="auto"/>
        <w:rPr>
          <w:color w:val="000000"/>
          <w:szCs w:val="22"/>
          <w:lang w:val="sl-SI"/>
        </w:rPr>
      </w:pPr>
      <w:r w:rsidRPr="004A59B1">
        <w:rPr>
          <w:color w:val="000000"/>
          <w:szCs w:val="22"/>
          <w:lang w:val="sl-SI"/>
        </w:rPr>
        <w:t>Shranjujte v originalni ovojnini</w:t>
      </w:r>
      <w:r w:rsidR="00092DD7" w:rsidRPr="004A59B1">
        <w:rPr>
          <w:color w:val="000000"/>
          <w:szCs w:val="22"/>
          <w:lang w:val="sl-SI"/>
        </w:rPr>
        <w:t xml:space="preserve"> </w:t>
      </w:r>
      <w:r w:rsidR="00092DD7" w:rsidRPr="004A59B1">
        <w:rPr>
          <w:noProof/>
          <w:color w:val="000000"/>
          <w:szCs w:val="22"/>
          <w:lang w:val="sl-SI"/>
        </w:rPr>
        <w:t>za zagotovitev zaščite pred vlago</w:t>
      </w:r>
      <w:r w:rsidRPr="004A59B1">
        <w:rPr>
          <w:color w:val="000000"/>
          <w:szCs w:val="22"/>
          <w:lang w:val="sl-SI"/>
        </w:rPr>
        <w:t>.</w:t>
      </w:r>
    </w:p>
    <w:p w14:paraId="52979CE9" w14:textId="77777777" w:rsidR="00444D75" w:rsidRPr="004A59B1" w:rsidRDefault="00444D75" w:rsidP="009C1193">
      <w:pPr>
        <w:widowControl w:val="0"/>
        <w:tabs>
          <w:tab w:val="clear" w:pos="567"/>
        </w:tabs>
        <w:spacing w:line="240" w:lineRule="auto"/>
        <w:rPr>
          <w:color w:val="000000"/>
          <w:szCs w:val="22"/>
          <w:lang w:val="sl-SI"/>
        </w:rPr>
      </w:pPr>
    </w:p>
    <w:p w14:paraId="52979CEA" w14:textId="77777777" w:rsidR="00444D75" w:rsidRPr="004A59B1" w:rsidRDefault="00444D75" w:rsidP="009C1193">
      <w:pPr>
        <w:keepNext/>
        <w:widowControl w:val="0"/>
        <w:tabs>
          <w:tab w:val="clear" w:pos="567"/>
        </w:tabs>
        <w:spacing w:line="240" w:lineRule="auto"/>
        <w:ind w:left="567" w:hanging="567"/>
        <w:rPr>
          <w:color w:val="000000"/>
          <w:szCs w:val="22"/>
          <w:lang w:val="sl-SI"/>
        </w:rPr>
      </w:pPr>
      <w:r w:rsidRPr="004A59B1">
        <w:rPr>
          <w:b/>
          <w:color w:val="000000"/>
          <w:szCs w:val="22"/>
          <w:lang w:val="sl-SI"/>
        </w:rPr>
        <w:t>6.5</w:t>
      </w:r>
      <w:r w:rsidRPr="004A59B1">
        <w:rPr>
          <w:b/>
          <w:color w:val="000000"/>
          <w:szCs w:val="22"/>
          <w:lang w:val="sl-SI"/>
        </w:rPr>
        <w:tab/>
        <w:t>Vrsta ovojnine in vsebina</w:t>
      </w:r>
    </w:p>
    <w:p w14:paraId="52979CEB" w14:textId="77777777" w:rsidR="00444D75" w:rsidRPr="004A59B1" w:rsidRDefault="00444D75" w:rsidP="009C1193">
      <w:pPr>
        <w:pStyle w:val="EndnoteText"/>
        <w:keepNext/>
        <w:widowControl w:val="0"/>
        <w:tabs>
          <w:tab w:val="clear" w:pos="567"/>
        </w:tabs>
        <w:rPr>
          <w:color w:val="000000"/>
          <w:szCs w:val="22"/>
          <w:lang w:val="sl-SI"/>
        </w:rPr>
      </w:pPr>
    </w:p>
    <w:p w14:paraId="52979CEC" w14:textId="77777777" w:rsidR="00444D75" w:rsidRPr="004A59B1" w:rsidRDefault="00444D75" w:rsidP="009C1193">
      <w:pPr>
        <w:pStyle w:val="EndnoteText"/>
        <w:widowControl w:val="0"/>
        <w:tabs>
          <w:tab w:val="clear" w:pos="567"/>
        </w:tabs>
        <w:rPr>
          <w:color w:val="000000"/>
          <w:szCs w:val="22"/>
          <w:lang w:val="sl-SI"/>
        </w:rPr>
      </w:pPr>
      <w:r w:rsidRPr="004A59B1">
        <w:rPr>
          <w:color w:val="000000"/>
          <w:szCs w:val="22"/>
          <w:lang w:val="sl-SI"/>
        </w:rPr>
        <w:t>Pretisni omoti iz PVC/aluminija.</w:t>
      </w:r>
    </w:p>
    <w:p w14:paraId="52979CED" w14:textId="77777777" w:rsidR="00444D75" w:rsidRPr="004A59B1" w:rsidRDefault="00444D75" w:rsidP="009C1193">
      <w:pPr>
        <w:widowControl w:val="0"/>
        <w:tabs>
          <w:tab w:val="clear" w:pos="567"/>
        </w:tabs>
        <w:spacing w:line="240" w:lineRule="auto"/>
        <w:ind w:left="567" w:hanging="567"/>
        <w:rPr>
          <w:color w:val="000000"/>
          <w:szCs w:val="22"/>
          <w:lang w:val="sl-SI"/>
        </w:rPr>
      </w:pPr>
    </w:p>
    <w:p w14:paraId="52979CF2" w14:textId="77777777" w:rsidR="00DB4501" w:rsidRDefault="00DB4501" w:rsidP="009C1193">
      <w:pPr>
        <w:pStyle w:val="EndnoteText"/>
        <w:keepNext/>
        <w:widowControl w:val="0"/>
        <w:tabs>
          <w:tab w:val="clear" w:pos="567"/>
        </w:tabs>
        <w:rPr>
          <w:color w:val="000000"/>
          <w:szCs w:val="22"/>
          <w:lang w:val="sl-SI"/>
        </w:rPr>
      </w:pPr>
      <w:r w:rsidRPr="004A59B1">
        <w:rPr>
          <w:color w:val="000000"/>
          <w:szCs w:val="22"/>
          <w:lang w:val="sl-SI"/>
        </w:rPr>
        <w:t>Škatle, ki vsebujejo po 24, 48, 96, 120 in 180 kapsul.</w:t>
      </w:r>
    </w:p>
    <w:p w14:paraId="52979CF3" w14:textId="77777777" w:rsidR="00DB4501" w:rsidRDefault="00DB4501" w:rsidP="009C1193">
      <w:pPr>
        <w:pStyle w:val="EndnoteText"/>
        <w:widowControl w:val="0"/>
        <w:tabs>
          <w:tab w:val="clear" w:pos="567"/>
        </w:tabs>
        <w:rPr>
          <w:color w:val="000000"/>
          <w:szCs w:val="22"/>
          <w:lang w:val="sl-SI"/>
        </w:rPr>
      </w:pPr>
      <w:r w:rsidRPr="004A59B1">
        <w:rPr>
          <w:color w:val="000000"/>
          <w:szCs w:val="22"/>
          <w:lang w:val="sl-SI"/>
        </w:rPr>
        <w:t xml:space="preserve">Na trgu </w:t>
      </w:r>
      <w:r>
        <w:rPr>
          <w:color w:val="000000"/>
          <w:szCs w:val="22"/>
          <w:lang w:val="sl-SI"/>
        </w:rPr>
        <w:t xml:space="preserve">morda </w:t>
      </w:r>
      <w:r w:rsidRPr="004A59B1">
        <w:rPr>
          <w:color w:val="000000"/>
          <w:szCs w:val="22"/>
          <w:lang w:val="sl-SI"/>
        </w:rPr>
        <w:t>ni vseh navedenih pakiranj.</w:t>
      </w:r>
    </w:p>
    <w:p w14:paraId="52979CF4" w14:textId="77777777" w:rsidR="00DB4501" w:rsidRPr="004A59B1" w:rsidRDefault="00DB4501" w:rsidP="009C1193">
      <w:pPr>
        <w:pStyle w:val="EndnoteText"/>
        <w:widowControl w:val="0"/>
        <w:tabs>
          <w:tab w:val="clear" w:pos="567"/>
        </w:tabs>
        <w:rPr>
          <w:color w:val="000000"/>
          <w:szCs w:val="22"/>
          <w:lang w:val="sl-SI"/>
        </w:rPr>
      </w:pPr>
    </w:p>
    <w:p w14:paraId="52979CF5" w14:textId="77777777" w:rsidR="00444D75" w:rsidRPr="004A59B1" w:rsidRDefault="00444D75" w:rsidP="009C1193">
      <w:pPr>
        <w:keepNext/>
        <w:widowControl w:val="0"/>
        <w:tabs>
          <w:tab w:val="clear" w:pos="567"/>
        </w:tabs>
        <w:spacing w:line="240" w:lineRule="auto"/>
        <w:ind w:left="567" w:hanging="567"/>
        <w:rPr>
          <w:color w:val="000000"/>
          <w:szCs w:val="22"/>
          <w:lang w:val="sl-SI"/>
        </w:rPr>
      </w:pPr>
      <w:r w:rsidRPr="004A59B1">
        <w:rPr>
          <w:b/>
          <w:color w:val="000000"/>
          <w:szCs w:val="22"/>
          <w:lang w:val="sl-SI"/>
        </w:rPr>
        <w:t>6.6</w:t>
      </w:r>
      <w:r w:rsidRPr="004A59B1">
        <w:rPr>
          <w:b/>
          <w:color w:val="000000"/>
          <w:szCs w:val="22"/>
          <w:lang w:val="sl-SI"/>
        </w:rPr>
        <w:tab/>
      </w:r>
      <w:r w:rsidR="007D3E33" w:rsidRPr="004A59B1">
        <w:rPr>
          <w:b/>
          <w:color w:val="000000"/>
          <w:szCs w:val="22"/>
          <w:lang w:val="sl-SI"/>
        </w:rPr>
        <w:t>Posebni varnostni ukrepi za odstranjevanje</w:t>
      </w:r>
    </w:p>
    <w:p w14:paraId="52979CF6" w14:textId="77777777" w:rsidR="00444D75" w:rsidRPr="004A59B1" w:rsidRDefault="00444D75" w:rsidP="009C1193">
      <w:pPr>
        <w:pStyle w:val="EndnoteText"/>
        <w:keepNext/>
        <w:widowControl w:val="0"/>
        <w:tabs>
          <w:tab w:val="clear" w:pos="567"/>
        </w:tabs>
        <w:rPr>
          <w:color w:val="000000"/>
          <w:szCs w:val="22"/>
          <w:lang w:val="sl-SI"/>
        </w:rPr>
      </w:pPr>
    </w:p>
    <w:p w14:paraId="52979CF7" w14:textId="77777777" w:rsidR="00444D75" w:rsidRPr="004A59B1" w:rsidRDefault="00B44344" w:rsidP="009C1193">
      <w:pPr>
        <w:pStyle w:val="EndnoteText"/>
        <w:widowControl w:val="0"/>
        <w:tabs>
          <w:tab w:val="clear" w:pos="567"/>
        </w:tabs>
        <w:rPr>
          <w:color w:val="000000"/>
          <w:szCs w:val="22"/>
          <w:lang w:val="sl-SI"/>
        </w:rPr>
      </w:pPr>
      <w:r w:rsidRPr="004A59B1">
        <w:rPr>
          <w:noProof/>
          <w:szCs w:val="24"/>
          <w:lang w:val="sl-SI"/>
        </w:rPr>
        <w:t>Neuporabljeno zdravilo ali odpadni material zavrzite v skladu z lokalnimi predpisi.</w:t>
      </w:r>
    </w:p>
    <w:p w14:paraId="52979CF8" w14:textId="77777777" w:rsidR="00444D75" w:rsidRPr="004A59B1" w:rsidRDefault="00444D75" w:rsidP="009C1193">
      <w:pPr>
        <w:pStyle w:val="EndnoteText"/>
        <w:widowControl w:val="0"/>
        <w:tabs>
          <w:tab w:val="clear" w:pos="567"/>
        </w:tabs>
        <w:rPr>
          <w:color w:val="000000"/>
          <w:szCs w:val="22"/>
          <w:lang w:val="sl-SI"/>
        </w:rPr>
      </w:pPr>
    </w:p>
    <w:p w14:paraId="52979CF9" w14:textId="77777777" w:rsidR="006C587B" w:rsidRPr="004A59B1" w:rsidRDefault="006C587B" w:rsidP="009C1193">
      <w:pPr>
        <w:pStyle w:val="EndnoteText"/>
        <w:widowControl w:val="0"/>
        <w:tabs>
          <w:tab w:val="clear" w:pos="567"/>
        </w:tabs>
        <w:rPr>
          <w:color w:val="000000"/>
          <w:szCs w:val="22"/>
          <w:lang w:val="sl-SI"/>
        </w:rPr>
      </w:pPr>
    </w:p>
    <w:p w14:paraId="52979CFA" w14:textId="77777777" w:rsidR="00444D75" w:rsidRPr="004A59B1" w:rsidRDefault="00444D75" w:rsidP="009C1193">
      <w:pPr>
        <w:keepNext/>
        <w:widowControl w:val="0"/>
        <w:tabs>
          <w:tab w:val="clear" w:pos="567"/>
        </w:tabs>
        <w:spacing w:line="240" w:lineRule="auto"/>
        <w:ind w:left="567" w:hanging="567"/>
        <w:rPr>
          <w:color w:val="000000"/>
          <w:szCs w:val="22"/>
          <w:lang w:val="sl-SI"/>
        </w:rPr>
      </w:pPr>
      <w:r w:rsidRPr="004A59B1">
        <w:rPr>
          <w:b/>
          <w:color w:val="000000"/>
          <w:szCs w:val="22"/>
          <w:lang w:val="sl-SI"/>
        </w:rPr>
        <w:t>7.</w:t>
      </w:r>
      <w:r w:rsidRPr="004A59B1">
        <w:rPr>
          <w:b/>
          <w:color w:val="000000"/>
          <w:szCs w:val="22"/>
          <w:lang w:val="sl-SI"/>
        </w:rPr>
        <w:tab/>
        <w:t>IMETNIK DOVOLJENJA ZA PROMET</w:t>
      </w:r>
      <w:r w:rsidR="00914F7D" w:rsidRPr="004A59B1">
        <w:rPr>
          <w:b/>
          <w:color w:val="000000"/>
          <w:szCs w:val="22"/>
          <w:lang w:val="sl-SI"/>
        </w:rPr>
        <w:t xml:space="preserve"> Z ZDRAVILOM</w:t>
      </w:r>
    </w:p>
    <w:p w14:paraId="52979CFB" w14:textId="77777777" w:rsidR="00444D75" w:rsidRPr="004A59B1" w:rsidRDefault="00444D75" w:rsidP="009C1193">
      <w:pPr>
        <w:pStyle w:val="EndnoteText"/>
        <w:keepNext/>
        <w:widowControl w:val="0"/>
        <w:tabs>
          <w:tab w:val="clear" w:pos="567"/>
        </w:tabs>
        <w:rPr>
          <w:color w:val="000000"/>
          <w:szCs w:val="22"/>
          <w:lang w:val="sl-SI"/>
        </w:rPr>
      </w:pPr>
    </w:p>
    <w:p w14:paraId="52979CFC" w14:textId="77777777" w:rsidR="00444D75" w:rsidRPr="004A59B1" w:rsidRDefault="00444D75" w:rsidP="009C1193">
      <w:pPr>
        <w:keepNext/>
        <w:widowControl w:val="0"/>
        <w:tabs>
          <w:tab w:val="clear" w:pos="567"/>
        </w:tabs>
        <w:spacing w:line="240" w:lineRule="auto"/>
        <w:rPr>
          <w:color w:val="000000"/>
          <w:szCs w:val="22"/>
          <w:lang w:val="sl-SI"/>
        </w:rPr>
      </w:pPr>
      <w:r w:rsidRPr="004A59B1">
        <w:rPr>
          <w:color w:val="000000"/>
          <w:szCs w:val="22"/>
          <w:lang w:val="sl-SI"/>
        </w:rPr>
        <w:t>Novartis Europharm Limited</w:t>
      </w:r>
    </w:p>
    <w:p w14:paraId="52979CFD" w14:textId="77777777" w:rsidR="001A1DF7" w:rsidRPr="00EB33FE" w:rsidRDefault="001A1DF7" w:rsidP="009C1193">
      <w:pPr>
        <w:keepNext/>
        <w:widowControl w:val="0"/>
        <w:spacing w:line="240" w:lineRule="auto"/>
        <w:rPr>
          <w:color w:val="000000"/>
        </w:rPr>
      </w:pPr>
      <w:r w:rsidRPr="00EB33FE">
        <w:rPr>
          <w:color w:val="000000"/>
        </w:rPr>
        <w:t>Vista Building</w:t>
      </w:r>
    </w:p>
    <w:p w14:paraId="52979CFE" w14:textId="77777777" w:rsidR="001A1DF7" w:rsidRPr="00EB33FE" w:rsidRDefault="001A1DF7" w:rsidP="009C1193">
      <w:pPr>
        <w:keepNext/>
        <w:widowControl w:val="0"/>
        <w:spacing w:line="240" w:lineRule="auto"/>
        <w:rPr>
          <w:color w:val="000000"/>
        </w:rPr>
      </w:pPr>
      <w:r w:rsidRPr="00EB33FE">
        <w:rPr>
          <w:color w:val="000000"/>
        </w:rPr>
        <w:t>Elm Park, Merrion Road</w:t>
      </w:r>
    </w:p>
    <w:p w14:paraId="52979CFF" w14:textId="77777777" w:rsidR="001A1DF7" w:rsidRPr="00EB33FE" w:rsidRDefault="001A1DF7" w:rsidP="009C1193">
      <w:pPr>
        <w:keepNext/>
        <w:widowControl w:val="0"/>
        <w:spacing w:line="240" w:lineRule="auto"/>
        <w:rPr>
          <w:color w:val="000000"/>
        </w:rPr>
      </w:pPr>
      <w:r w:rsidRPr="00EB33FE">
        <w:rPr>
          <w:color w:val="000000"/>
        </w:rPr>
        <w:t>Dublin 4</w:t>
      </w:r>
    </w:p>
    <w:p w14:paraId="52979D00" w14:textId="77777777" w:rsidR="001A1DF7" w:rsidRDefault="001A1DF7" w:rsidP="009C1193">
      <w:pPr>
        <w:widowControl w:val="0"/>
        <w:spacing w:line="240" w:lineRule="auto"/>
        <w:rPr>
          <w:color w:val="000000"/>
        </w:rPr>
      </w:pPr>
      <w:r w:rsidRPr="00EB33FE">
        <w:rPr>
          <w:color w:val="000000"/>
        </w:rPr>
        <w:t>Irska</w:t>
      </w:r>
    </w:p>
    <w:p w14:paraId="52979D01" w14:textId="77777777" w:rsidR="00444D75" w:rsidRPr="004A59B1" w:rsidRDefault="00444D75" w:rsidP="009C1193">
      <w:pPr>
        <w:widowControl w:val="0"/>
        <w:tabs>
          <w:tab w:val="clear" w:pos="567"/>
        </w:tabs>
        <w:spacing w:line="240" w:lineRule="auto"/>
        <w:rPr>
          <w:color w:val="000000"/>
          <w:szCs w:val="22"/>
          <w:lang w:val="sl-SI"/>
        </w:rPr>
      </w:pPr>
    </w:p>
    <w:p w14:paraId="52979D02" w14:textId="77777777" w:rsidR="00444D75" w:rsidRPr="004A59B1" w:rsidRDefault="00444D75" w:rsidP="009C1193">
      <w:pPr>
        <w:pStyle w:val="EndnoteText"/>
        <w:widowControl w:val="0"/>
        <w:tabs>
          <w:tab w:val="clear" w:pos="567"/>
        </w:tabs>
        <w:rPr>
          <w:color w:val="000000"/>
          <w:szCs w:val="22"/>
          <w:lang w:val="sl-SI"/>
        </w:rPr>
      </w:pPr>
    </w:p>
    <w:p w14:paraId="52979D03" w14:textId="77777777" w:rsidR="00444D75" w:rsidRPr="004A59B1" w:rsidRDefault="00444D75" w:rsidP="009C1193">
      <w:pPr>
        <w:pStyle w:val="BodyTextIndent"/>
        <w:keepNext/>
        <w:keepLines/>
        <w:widowControl w:val="0"/>
        <w:rPr>
          <w:color w:val="000000"/>
          <w:szCs w:val="22"/>
          <w:lang w:val="sl-SI"/>
        </w:rPr>
      </w:pPr>
      <w:r w:rsidRPr="004A59B1">
        <w:rPr>
          <w:color w:val="000000"/>
          <w:szCs w:val="22"/>
          <w:lang w:val="sl-SI"/>
        </w:rPr>
        <w:t>8.</w:t>
      </w:r>
      <w:r w:rsidRPr="004A59B1">
        <w:rPr>
          <w:color w:val="000000"/>
          <w:szCs w:val="22"/>
          <w:lang w:val="sl-SI"/>
        </w:rPr>
        <w:tab/>
        <w:t>ŠTEVILKA (ŠTEVILKE) DOVOLJENJA (DOVOLJENJ) ZA PROMET</w:t>
      </w:r>
      <w:r w:rsidR="00914F7D" w:rsidRPr="004A59B1">
        <w:rPr>
          <w:color w:val="000000"/>
          <w:szCs w:val="22"/>
          <w:lang w:val="sl-SI"/>
        </w:rPr>
        <w:t xml:space="preserve"> Z ZDRAVILOM</w:t>
      </w:r>
    </w:p>
    <w:p w14:paraId="52979D04" w14:textId="77777777" w:rsidR="00444D75" w:rsidRPr="004A59B1" w:rsidRDefault="00444D75" w:rsidP="009C1193">
      <w:pPr>
        <w:pStyle w:val="EndnoteText"/>
        <w:keepNext/>
        <w:widowControl w:val="0"/>
        <w:tabs>
          <w:tab w:val="clear" w:pos="567"/>
        </w:tabs>
        <w:rPr>
          <w:color w:val="000000"/>
          <w:szCs w:val="22"/>
          <w:lang w:val="sl-SI"/>
        </w:rPr>
      </w:pPr>
    </w:p>
    <w:p w14:paraId="52979D09" w14:textId="77777777" w:rsidR="004252D5" w:rsidRPr="002E00F3" w:rsidRDefault="004252D5" w:rsidP="009C1193">
      <w:pPr>
        <w:pStyle w:val="EndnoteText"/>
        <w:widowControl w:val="0"/>
        <w:tabs>
          <w:tab w:val="clear" w:pos="567"/>
        </w:tabs>
        <w:rPr>
          <w:color w:val="000000"/>
          <w:szCs w:val="22"/>
          <w:lang w:val="sv-SE"/>
        </w:rPr>
      </w:pPr>
      <w:r w:rsidRPr="002E00F3">
        <w:rPr>
          <w:color w:val="000000"/>
          <w:szCs w:val="22"/>
          <w:lang w:val="sv-SE"/>
        </w:rPr>
        <w:t>EU/1/01/198/002-006</w:t>
      </w:r>
    </w:p>
    <w:p w14:paraId="52979D0A" w14:textId="77777777" w:rsidR="004252D5" w:rsidRPr="00B24401" w:rsidRDefault="004252D5" w:rsidP="009C1193">
      <w:pPr>
        <w:pStyle w:val="EndnoteText"/>
        <w:widowControl w:val="0"/>
        <w:tabs>
          <w:tab w:val="clear" w:pos="567"/>
        </w:tabs>
        <w:rPr>
          <w:color w:val="000000"/>
          <w:szCs w:val="22"/>
          <w:u w:val="single"/>
          <w:lang w:val="sl-SI"/>
        </w:rPr>
      </w:pPr>
    </w:p>
    <w:p w14:paraId="52979D0B" w14:textId="77777777" w:rsidR="00444D75" w:rsidRPr="004A59B1" w:rsidRDefault="00444D75" w:rsidP="009C1193">
      <w:pPr>
        <w:pStyle w:val="EndnoteText"/>
        <w:widowControl w:val="0"/>
        <w:tabs>
          <w:tab w:val="clear" w:pos="567"/>
        </w:tabs>
        <w:rPr>
          <w:color w:val="000000"/>
          <w:szCs w:val="22"/>
          <w:lang w:val="sl-SI"/>
        </w:rPr>
      </w:pPr>
    </w:p>
    <w:p w14:paraId="52979D0C" w14:textId="77777777" w:rsidR="00444D75" w:rsidRPr="004A59B1" w:rsidRDefault="00444D75" w:rsidP="009C1193">
      <w:pPr>
        <w:keepNext/>
        <w:keepLines/>
        <w:widowControl w:val="0"/>
        <w:tabs>
          <w:tab w:val="clear" w:pos="567"/>
        </w:tabs>
        <w:spacing w:line="240" w:lineRule="auto"/>
        <w:ind w:left="567" w:hanging="567"/>
        <w:rPr>
          <w:color w:val="000000"/>
          <w:szCs w:val="22"/>
          <w:lang w:val="sl-SI"/>
        </w:rPr>
      </w:pPr>
      <w:r w:rsidRPr="004A59B1">
        <w:rPr>
          <w:b/>
          <w:color w:val="000000"/>
          <w:szCs w:val="22"/>
          <w:lang w:val="sl-SI"/>
        </w:rPr>
        <w:t>9.</w:t>
      </w:r>
      <w:r w:rsidRPr="004A59B1">
        <w:rPr>
          <w:b/>
          <w:color w:val="000000"/>
          <w:szCs w:val="22"/>
          <w:lang w:val="sl-SI"/>
        </w:rPr>
        <w:tab/>
        <w:t>DATUM PRIDOBITVE/PODALJŠANJA DOVOLJENJA ZA PROMET</w:t>
      </w:r>
      <w:r w:rsidR="00914F7D" w:rsidRPr="004A59B1">
        <w:rPr>
          <w:b/>
          <w:color w:val="000000"/>
          <w:szCs w:val="22"/>
          <w:lang w:val="sl-SI"/>
        </w:rPr>
        <w:t xml:space="preserve"> Z ZDRAVILOM</w:t>
      </w:r>
    </w:p>
    <w:p w14:paraId="52979D0D" w14:textId="77777777" w:rsidR="00444D75" w:rsidRPr="004A59B1" w:rsidRDefault="00444D75" w:rsidP="009C1193">
      <w:pPr>
        <w:keepNext/>
        <w:widowControl w:val="0"/>
        <w:spacing w:line="240" w:lineRule="auto"/>
        <w:rPr>
          <w:color w:val="000000"/>
          <w:szCs w:val="22"/>
          <w:lang w:val="sl-SI"/>
        </w:rPr>
      </w:pPr>
    </w:p>
    <w:p w14:paraId="52979D0E" w14:textId="77777777" w:rsidR="00444D75" w:rsidRPr="004A59B1" w:rsidRDefault="0038663F" w:rsidP="009C1193">
      <w:pPr>
        <w:keepNext/>
        <w:widowControl w:val="0"/>
        <w:spacing w:line="240" w:lineRule="auto"/>
        <w:rPr>
          <w:color w:val="000000"/>
          <w:szCs w:val="22"/>
          <w:lang w:val="sl-SI"/>
        </w:rPr>
      </w:pPr>
      <w:r w:rsidRPr="004A59B1">
        <w:rPr>
          <w:color w:val="000000"/>
          <w:szCs w:val="22"/>
          <w:lang w:val="sl-SI"/>
        </w:rPr>
        <w:t>Datum pr</w:t>
      </w:r>
      <w:r w:rsidR="00914F7D" w:rsidRPr="004A59B1">
        <w:rPr>
          <w:color w:val="000000"/>
          <w:szCs w:val="22"/>
          <w:lang w:val="sl-SI"/>
        </w:rPr>
        <w:t>ve</w:t>
      </w:r>
      <w:r w:rsidR="00FF3DEC" w:rsidRPr="004A59B1">
        <w:rPr>
          <w:color w:val="000000"/>
          <w:szCs w:val="22"/>
          <w:lang w:val="sl-SI"/>
        </w:rPr>
        <w:t xml:space="preserve"> odobritve</w:t>
      </w:r>
      <w:r w:rsidRPr="004A59B1">
        <w:rPr>
          <w:color w:val="000000"/>
          <w:szCs w:val="22"/>
          <w:lang w:val="sl-SI"/>
        </w:rPr>
        <w:t xml:space="preserve">: </w:t>
      </w:r>
      <w:r w:rsidR="00444D75" w:rsidRPr="004A59B1">
        <w:rPr>
          <w:color w:val="000000"/>
          <w:szCs w:val="22"/>
          <w:lang w:val="sl-SI"/>
        </w:rPr>
        <w:t>7.</w:t>
      </w:r>
      <w:r w:rsidR="00FF3DEC" w:rsidRPr="004A59B1" w:rsidDel="00FF3DEC">
        <w:rPr>
          <w:color w:val="000000"/>
          <w:szCs w:val="22"/>
          <w:lang w:val="sl-SI"/>
        </w:rPr>
        <w:t xml:space="preserve"> </w:t>
      </w:r>
      <w:r w:rsidR="00FF3DEC" w:rsidRPr="004A59B1">
        <w:rPr>
          <w:color w:val="000000"/>
          <w:szCs w:val="22"/>
          <w:lang w:val="sl-SI"/>
        </w:rPr>
        <w:t xml:space="preserve">november </w:t>
      </w:r>
      <w:r w:rsidR="00444D75" w:rsidRPr="004A59B1">
        <w:rPr>
          <w:color w:val="000000"/>
          <w:szCs w:val="22"/>
          <w:lang w:val="sl-SI"/>
        </w:rPr>
        <w:t>2001</w:t>
      </w:r>
    </w:p>
    <w:p w14:paraId="52979D0F" w14:textId="77777777" w:rsidR="004C1E8A" w:rsidRPr="004A59B1" w:rsidRDefault="004C1E8A" w:rsidP="009C1193">
      <w:pPr>
        <w:widowControl w:val="0"/>
        <w:spacing w:line="240" w:lineRule="auto"/>
        <w:rPr>
          <w:color w:val="000000"/>
          <w:szCs w:val="22"/>
          <w:lang w:val="sl-SI"/>
        </w:rPr>
      </w:pPr>
      <w:r w:rsidRPr="004A59B1">
        <w:rPr>
          <w:color w:val="000000"/>
          <w:szCs w:val="22"/>
          <w:lang w:val="sl-SI"/>
        </w:rPr>
        <w:t xml:space="preserve">Datum </w:t>
      </w:r>
      <w:r w:rsidR="00FF3DEC" w:rsidRPr="004A59B1">
        <w:rPr>
          <w:color w:val="000000"/>
          <w:szCs w:val="22"/>
          <w:lang w:val="sl-SI"/>
        </w:rPr>
        <w:t xml:space="preserve">zadnjega </w:t>
      </w:r>
      <w:r w:rsidRPr="004A59B1">
        <w:rPr>
          <w:color w:val="000000"/>
          <w:szCs w:val="22"/>
          <w:lang w:val="sl-SI"/>
        </w:rPr>
        <w:t>podaljšanja:</w:t>
      </w:r>
      <w:r w:rsidR="001C3B8F" w:rsidRPr="004A59B1">
        <w:rPr>
          <w:color w:val="000000"/>
          <w:szCs w:val="22"/>
          <w:lang w:val="sl-SI"/>
        </w:rPr>
        <w:t xml:space="preserve"> 7</w:t>
      </w:r>
      <w:r w:rsidR="000C3973" w:rsidRPr="004A59B1">
        <w:rPr>
          <w:color w:val="000000"/>
          <w:szCs w:val="22"/>
          <w:lang w:val="sl-SI"/>
        </w:rPr>
        <w:t>.</w:t>
      </w:r>
      <w:r w:rsidR="00B302F0" w:rsidRPr="004A59B1">
        <w:rPr>
          <w:color w:val="000000"/>
          <w:szCs w:val="22"/>
          <w:lang w:val="sl-SI"/>
        </w:rPr>
        <w:t xml:space="preserve"> </w:t>
      </w:r>
      <w:r w:rsidR="00FF3DEC" w:rsidRPr="004A59B1">
        <w:rPr>
          <w:color w:val="000000"/>
          <w:szCs w:val="22"/>
          <w:lang w:val="sl-SI"/>
        </w:rPr>
        <w:t xml:space="preserve">november </w:t>
      </w:r>
      <w:r w:rsidR="001C3B8F" w:rsidRPr="004A59B1">
        <w:rPr>
          <w:color w:val="000000"/>
          <w:szCs w:val="22"/>
          <w:lang w:val="sl-SI"/>
        </w:rPr>
        <w:t>2006</w:t>
      </w:r>
    </w:p>
    <w:p w14:paraId="52979D10" w14:textId="77777777" w:rsidR="00444D75" w:rsidRPr="004A59B1" w:rsidRDefault="00444D75" w:rsidP="009C1193">
      <w:pPr>
        <w:widowControl w:val="0"/>
        <w:tabs>
          <w:tab w:val="clear" w:pos="567"/>
        </w:tabs>
        <w:spacing w:line="240" w:lineRule="auto"/>
        <w:rPr>
          <w:color w:val="000000"/>
          <w:szCs w:val="22"/>
          <w:lang w:val="sl-SI"/>
        </w:rPr>
      </w:pPr>
    </w:p>
    <w:p w14:paraId="52979D11" w14:textId="77777777" w:rsidR="00444D75" w:rsidRPr="004A59B1" w:rsidRDefault="00444D75" w:rsidP="009C1193">
      <w:pPr>
        <w:widowControl w:val="0"/>
        <w:tabs>
          <w:tab w:val="clear" w:pos="567"/>
        </w:tabs>
        <w:spacing w:line="240" w:lineRule="auto"/>
        <w:rPr>
          <w:color w:val="000000"/>
          <w:szCs w:val="22"/>
          <w:lang w:val="sl-SI"/>
        </w:rPr>
      </w:pPr>
    </w:p>
    <w:p w14:paraId="52979D12" w14:textId="77777777" w:rsidR="00444D75" w:rsidRPr="004A59B1" w:rsidRDefault="00444D75" w:rsidP="009C1193">
      <w:pPr>
        <w:widowControl w:val="0"/>
        <w:tabs>
          <w:tab w:val="clear" w:pos="567"/>
        </w:tabs>
        <w:spacing w:line="240" w:lineRule="auto"/>
        <w:ind w:left="567" w:hanging="567"/>
        <w:rPr>
          <w:b/>
          <w:color w:val="000000"/>
          <w:szCs w:val="22"/>
          <w:lang w:val="sl-SI"/>
        </w:rPr>
      </w:pPr>
      <w:r w:rsidRPr="004A59B1">
        <w:rPr>
          <w:b/>
          <w:color w:val="000000"/>
          <w:szCs w:val="22"/>
          <w:lang w:val="sl-SI"/>
        </w:rPr>
        <w:t>10.</w:t>
      </w:r>
      <w:r w:rsidRPr="004A59B1">
        <w:rPr>
          <w:b/>
          <w:color w:val="000000"/>
          <w:szCs w:val="22"/>
          <w:lang w:val="sl-SI"/>
        </w:rPr>
        <w:tab/>
        <w:t>DATUM ZADNJE REVIZIJE BESEDILA</w:t>
      </w:r>
    </w:p>
    <w:p w14:paraId="52979D13" w14:textId="77777777" w:rsidR="00BF102A" w:rsidRPr="004A59B1" w:rsidRDefault="00BF102A" w:rsidP="009C1193">
      <w:pPr>
        <w:widowControl w:val="0"/>
        <w:tabs>
          <w:tab w:val="clear" w:pos="567"/>
        </w:tabs>
        <w:spacing w:line="240" w:lineRule="auto"/>
        <w:ind w:left="567" w:hanging="567"/>
        <w:rPr>
          <w:bCs/>
          <w:color w:val="000000"/>
          <w:szCs w:val="22"/>
          <w:lang w:val="sl-SI"/>
        </w:rPr>
      </w:pPr>
    </w:p>
    <w:p w14:paraId="52979D14" w14:textId="77777777" w:rsidR="00307423" w:rsidRPr="004A59B1" w:rsidRDefault="00307423" w:rsidP="009C1193">
      <w:pPr>
        <w:widowControl w:val="0"/>
        <w:tabs>
          <w:tab w:val="clear" w:pos="567"/>
        </w:tabs>
        <w:spacing w:line="240" w:lineRule="auto"/>
        <w:ind w:left="567" w:hanging="567"/>
        <w:rPr>
          <w:bCs/>
          <w:color w:val="000000"/>
          <w:szCs w:val="22"/>
          <w:lang w:val="sl-SI"/>
        </w:rPr>
      </w:pPr>
    </w:p>
    <w:p w14:paraId="52979D15" w14:textId="77777777" w:rsidR="00BF102A" w:rsidRPr="004A59B1" w:rsidRDefault="00BF102A" w:rsidP="009C1193">
      <w:pPr>
        <w:pStyle w:val="Text"/>
        <w:widowControl w:val="0"/>
        <w:tabs>
          <w:tab w:val="left" w:pos="567"/>
        </w:tabs>
        <w:spacing w:before="0"/>
        <w:jc w:val="left"/>
        <w:rPr>
          <w:color w:val="000000"/>
          <w:sz w:val="22"/>
          <w:szCs w:val="22"/>
          <w:lang w:val="sl-SI"/>
        </w:rPr>
      </w:pPr>
      <w:r w:rsidRPr="004A59B1">
        <w:rPr>
          <w:color w:val="000000"/>
          <w:sz w:val="22"/>
          <w:szCs w:val="22"/>
          <w:lang w:val="sl-SI"/>
        </w:rPr>
        <w:t>Podrobne informacije o zdravilu so objavljene na spletni strani Evropske agencije za zdravila http://www.ema.europa.eu</w:t>
      </w:r>
      <w:r w:rsidR="00F32ACF" w:rsidRPr="004A59B1">
        <w:rPr>
          <w:color w:val="000000"/>
          <w:sz w:val="22"/>
          <w:szCs w:val="22"/>
          <w:lang w:val="sl-SI"/>
        </w:rPr>
        <w:t>.</w:t>
      </w:r>
    </w:p>
    <w:p w14:paraId="52979D16" w14:textId="77777777" w:rsidR="00BF102A" w:rsidRPr="004A59B1" w:rsidRDefault="00BF102A" w:rsidP="009C1193">
      <w:pPr>
        <w:widowControl w:val="0"/>
        <w:tabs>
          <w:tab w:val="clear" w:pos="567"/>
        </w:tabs>
        <w:spacing w:line="240" w:lineRule="auto"/>
        <w:ind w:left="567" w:hanging="567"/>
        <w:rPr>
          <w:color w:val="000000"/>
          <w:szCs w:val="22"/>
          <w:lang w:val="sl-SI"/>
        </w:rPr>
      </w:pPr>
    </w:p>
    <w:p w14:paraId="52979D17" w14:textId="77777777" w:rsidR="00FF48C2" w:rsidRPr="002E00F3" w:rsidRDefault="00444D75" w:rsidP="009C1193">
      <w:pPr>
        <w:widowControl w:val="0"/>
        <w:rPr>
          <w:color w:val="000000"/>
          <w:szCs w:val="22"/>
          <w:lang w:val="sl-SI"/>
        </w:rPr>
      </w:pPr>
      <w:r w:rsidRPr="004A59B1">
        <w:rPr>
          <w:b/>
          <w:color w:val="000000"/>
          <w:szCs w:val="22"/>
          <w:lang w:val="sl-SI"/>
        </w:rPr>
        <w:br w:type="page"/>
      </w:r>
    </w:p>
    <w:p w14:paraId="52979D18" w14:textId="77777777" w:rsidR="00F03A20" w:rsidRPr="004A59B1" w:rsidRDefault="003B1E8C" w:rsidP="009C1193">
      <w:pPr>
        <w:widowControl w:val="0"/>
        <w:rPr>
          <w:snapToGrid w:val="0"/>
          <w:szCs w:val="22"/>
          <w:lang w:val="sl-SI" w:eastAsia="zh-CN"/>
        </w:rPr>
      </w:pPr>
      <w:r w:rsidRPr="004A59B1">
        <w:rPr>
          <w:noProof/>
          <w:lang w:val="en-US"/>
        </w:rPr>
        <w:lastRenderedPageBreak/>
        <w:drawing>
          <wp:inline distT="0" distB="0" distL="0" distR="0" wp14:anchorId="5297AC26" wp14:editId="5297AC27">
            <wp:extent cx="201295" cy="173990"/>
            <wp:effectExtent l="0" t="0" r="0" b="0"/>
            <wp:docPr id="4"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295" cy="173990"/>
                    </a:xfrm>
                    <a:prstGeom prst="rect">
                      <a:avLst/>
                    </a:prstGeom>
                    <a:noFill/>
                    <a:ln>
                      <a:noFill/>
                    </a:ln>
                  </pic:spPr>
                </pic:pic>
              </a:graphicData>
            </a:graphic>
          </wp:inline>
        </w:drawing>
      </w:r>
      <w:r w:rsidR="00F03A20" w:rsidRPr="004A59B1">
        <w:rPr>
          <w:snapToGrid w:val="0"/>
          <w:szCs w:val="22"/>
          <w:lang w:val="sl-SI" w:eastAsia="zh-CN"/>
        </w:rPr>
        <w:t>Za to zdravilo se izvaja dodatno spremljanje varnosti. Tako bodo hitreje na voljo nove informacije o njegovi varnosti. Zdravstvene delavce naprošamo, da poročajo o katerem koli domnevnem neželenem učinku zdravila. Glejte poglavje 4.8, kako poročati o neželenih učinkih.</w:t>
      </w:r>
    </w:p>
    <w:p w14:paraId="52979D19" w14:textId="77777777" w:rsidR="00F03A20" w:rsidRPr="004A59B1" w:rsidRDefault="00F03A20" w:rsidP="009C1193">
      <w:pPr>
        <w:widowControl w:val="0"/>
        <w:rPr>
          <w:snapToGrid w:val="0"/>
          <w:szCs w:val="22"/>
          <w:lang w:val="sl-SI" w:eastAsia="zh-CN"/>
        </w:rPr>
      </w:pPr>
    </w:p>
    <w:p w14:paraId="52979D1A" w14:textId="77777777" w:rsidR="00F03A20" w:rsidRPr="004A59B1" w:rsidRDefault="00F03A20" w:rsidP="009C1193">
      <w:pPr>
        <w:widowControl w:val="0"/>
        <w:rPr>
          <w:snapToGrid w:val="0"/>
          <w:szCs w:val="22"/>
          <w:lang w:val="sl-SI" w:eastAsia="zh-CN"/>
        </w:rPr>
      </w:pPr>
    </w:p>
    <w:p w14:paraId="52979D1B" w14:textId="77777777" w:rsidR="00444D75" w:rsidRPr="00226F17" w:rsidRDefault="00444D75" w:rsidP="009C1193">
      <w:pPr>
        <w:widowControl w:val="0"/>
        <w:tabs>
          <w:tab w:val="clear" w:pos="567"/>
        </w:tabs>
        <w:spacing w:line="240" w:lineRule="auto"/>
        <w:ind w:left="567" w:hanging="567"/>
        <w:rPr>
          <w:color w:val="000000"/>
          <w:szCs w:val="22"/>
          <w:lang w:val="sl-SI"/>
        </w:rPr>
      </w:pPr>
      <w:r w:rsidRPr="00226F17">
        <w:rPr>
          <w:b/>
          <w:color w:val="000000"/>
          <w:szCs w:val="22"/>
          <w:lang w:val="sl-SI"/>
        </w:rPr>
        <w:t>1.</w:t>
      </w:r>
      <w:r w:rsidRPr="00226F17">
        <w:rPr>
          <w:b/>
          <w:color w:val="000000"/>
          <w:szCs w:val="22"/>
          <w:lang w:val="sl-SI"/>
        </w:rPr>
        <w:tab/>
        <w:t>IME ZDRAVILA</w:t>
      </w:r>
    </w:p>
    <w:p w14:paraId="52979D1C" w14:textId="77777777" w:rsidR="00444D75" w:rsidRPr="00226F17" w:rsidRDefault="00444D75" w:rsidP="009C1193">
      <w:pPr>
        <w:pStyle w:val="EndnoteText"/>
        <w:widowControl w:val="0"/>
        <w:tabs>
          <w:tab w:val="clear" w:pos="567"/>
        </w:tabs>
        <w:rPr>
          <w:color w:val="000000"/>
          <w:szCs w:val="22"/>
          <w:lang w:val="sl-SI"/>
        </w:rPr>
      </w:pPr>
    </w:p>
    <w:p w14:paraId="52979D1D" w14:textId="77777777" w:rsidR="00444D75" w:rsidRPr="00226F17" w:rsidRDefault="00444D75" w:rsidP="009C1193">
      <w:pPr>
        <w:pStyle w:val="EndnoteText"/>
        <w:widowControl w:val="0"/>
        <w:tabs>
          <w:tab w:val="clear" w:pos="567"/>
        </w:tabs>
        <w:rPr>
          <w:color w:val="000000"/>
          <w:szCs w:val="22"/>
          <w:lang w:val="sl-SI"/>
        </w:rPr>
      </w:pPr>
      <w:r w:rsidRPr="00226F17">
        <w:rPr>
          <w:color w:val="000000"/>
          <w:szCs w:val="22"/>
          <w:lang w:val="sl-SI"/>
        </w:rPr>
        <w:t>G</w:t>
      </w:r>
      <w:r w:rsidR="00211A57" w:rsidRPr="00226F17">
        <w:rPr>
          <w:color w:val="000000"/>
          <w:szCs w:val="22"/>
          <w:lang w:val="sl-SI"/>
        </w:rPr>
        <w:t>livec</w:t>
      </w:r>
      <w:r w:rsidRPr="00226F17">
        <w:rPr>
          <w:color w:val="000000"/>
          <w:szCs w:val="22"/>
          <w:lang w:val="sl-SI"/>
        </w:rPr>
        <w:t xml:space="preserve"> 100 mg filmsko obložene tablete</w:t>
      </w:r>
    </w:p>
    <w:p w14:paraId="52979D1E" w14:textId="77777777" w:rsidR="00444D75" w:rsidRPr="00226F17" w:rsidRDefault="0004415D" w:rsidP="009C1193">
      <w:pPr>
        <w:pStyle w:val="EndnoteText"/>
        <w:widowControl w:val="0"/>
        <w:tabs>
          <w:tab w:val="clear" w:pos="567"/>
        </w:tabs>
        <w:rPr>
          <w:color w:val="000000"/>
          <w:szCs w:val="22"/>
          <w:lang w:val="sl-SI"/>
        </w:rPr>
      </w:pPr>
      <w:r w:rsidRPr="004A59B1">
        <w:rPr>
          <w:color w:val="000000"/>
          <w:szCs w:val="22"/>
          <w:lang w:val="pl-PL"/>
        </w:rPr>
        <w:t>Glivec 400 mg filmsko obložene tablete</w:t>
      </w:r>
    </w:p>
    <w:p w14:paraId="52979D1F" w14:textId="77777777" w:rsidR="00444D75" w:rsidRDefault="00444D75" w:rsidP="009C1193">
      <w:pPr>
        <w:pStyle w:val="EndnoteText"/>
        <w:widowControl w:val="0"/>
        <w:tabs>
          <w:tab w:val="clear" w:pos="567"/>
        </w:tabs>
        <w:rPr>
          <w:color w:val="000000"/>
          <w:szCs w:val="22"/>
          <w:lang w:val="sl-SI"/>
        </w:rPr>
      </w:pPr>
    </w:p>
    <w:p w14:paraId="52979D20" w14:textId="77777777" w:rsidR="0004415D" w:rsidRPr="00226F17" w:rsidRDefault="0004415D" w:rsidP="009C1193">
      <w:pPr>
        <w:pStyle w:val="EndnoteText"/>
        <w:widowControl w:val="0"/>
        <w:tabs>
          <w:tab w:val="clear" w:pos="567"/>
        </w:tabs>
        <w:rPr>
          <w:color w:val="000000"/>
          <w:szCs w:val="22"/>
          <w:lang w:val="sl-SI"/>
        </w:rPr>
      </w:pPr>
    </w:p>
    <w:p w14:paraId="52979D21" w14:textId="77777777" w:rsidR="00444D75" w:rsidRPr="00226F17" w:rsidRDefault="00444D75" w:rsidP="009C1193">
      <w:pPr>
        <w:keepNext/>
        <w:widowControl w:val="0"/>
        <w:tabs>
          <w:tab w:val="clear" w:pos="567"/>
        </w:tabs>
        <w:spacing w:line="240" w:lineRule="auto"/>
        <w:ind w:left="567" w:hanging="567"/>
        <w:rPr>
          <w:color w:val="000000"/>
          <w:szCs w:val="22"/>
          <w:lang w:val="sl-SI"/>
        </w:rPr>
      </w:pPr>
      <w:r w:rsidRPr="00226F17">
        <w:rPr>
          <w:b/>
          <w:color w:val="000000"/>
          <w:szCs w:val="22"/>
          <w:lang w:val="sl-SI"/>
        </w:rPr>
        <w:t>2.</w:t>
      </w:r>
      <w:r w:rsidRPr="00226F17">
        <w:rPr>
          <w:b/>
          <w:color w:val="000000"/>
          <w:szCs w:val="22"/>
          <w:lang w:val="sl-SI"/>
        </w:rPr>
        <w:tab/>
        <w:t>KAKOVOSTNA IN KOLIČINSKA SESTAVA</w:t>
      </w:r>
    </w:p>
    <w:p w14:paraId="52979D22" w14:textId="77777777" w:rsidR="00444D75" w:rsidRPr="00226F17" w:rsidRDefault="00444D75" w:rsidP="009C1193">
      <w:pPr>
        <w:keepNext/>
        <w:widowControl w:val="0"/>
        <w:tabs>
          <w:tab w:val="clear" w:pos="567"/>
        </w:tabs>
        <w:spacing w:line="240" w:lineRule="auto"/>
        <w:rPr>
          <w:i/>
          <w:color w:val="000000"/>
          <w:szCs w:val="22"/>
          <w:lang w:val="sl-SI"/>
        </w:rPr>
      </w:pPr>
    </w:p>
    <w:p w14:paraId="52979D23" w14:textId="77777777" w:rsidR="00D72EAE" w:rsidRPr="00B24401" w:rsidRDefault="00D72EAE" w:rsidP="009C1193">
      <w:pPr>
        <w:keepNext/>
        <w:widowControl w:val="0"/>
        <w:tabs>
          <w:tab w:val="clear" w:pos="567"/>
        </w:tabs>
        <w:spacing w:line="240" w:lineRule="auto"/>
        <w:rPr>
          <w:color w:val="000000"/>
          <w:szCs w:val="22"/>
          <w:u w:val="single"/>
          <w:lang w:val="sl-SI"/>
        </w:rPr>
      </w:pPr>
      <w:r w:rsidRPr="00B24401">
        <w:rPr>
          <w:color w:val="000000"/>
          <w:szCs w:val="22"/>
          <w:u w:val="single"/>
          <w:lang w:val="sl-SI"/>
        </w:rPr>
        <w:t>Glivec 100 mg filmsko obložene tablete</w:t>
      </w:r>
    </w:p>
    <w:p w14:paraId="52979D24" w14:textId="77777777" w:rsidR="00444D75" w:rsidRPr="00226F17" w:rsidRDefault="00F94CA3" w:rsidP="009C1193">
      <w:pPr>
        <w:widowControl w:val="0"/>
        <w:tabs>
          <w:tab w:val="clear" w:pos="567"/>
        </w:tabs>
        <w:spacing w:line="240" w:lineRule="auto"/>
        <w:rPr>
          <w:color w:val="000000"/>
          <w:szCs w:val="22"/>
          <w:lang w:val="sl-SI"/>
        </w:rPr>
      </w:pPr>
      <w:r w:rsidRPr="00226F17">
        <w:rPr>
          <w:color w:val="000000"/>
          <w:szCs w:val="22"/>
          <w:lang w:val="sl-SI"/>
        </w:rPr>
        <w:t>Ena</w:t>
      </w:r>
      <w:r w:rsidR="00444D75" w:rsidRPr="00226F17">
        <w:rPr>
          <w:color w:val="000000"/>
          <w:szCs w:val="22"/>
          <w:lang w:val="sl-SI"/>
        </w:rPr>
        <w:t xml:space="preserve"> filmsko obložena tableta vsebuje 100 mg imatiniba (v obliki mesilata).</w:t>
      </w:r>
    </w:p>
    <w:p w14:paraId="52979D25" w14:textId="77777777" w:rsidR="00444D75" w:rsidRDefault="00444D75" w:rsidP="009C1193">
      <w:pPr>
        <w:widowControl w:val="0"/>
        <w:tabs>
          <w:tab w:val="clear" w:pos="567"/>
        </w:tabs>
        <w:spacing w:line="240" w:lineRule="auto"/>
        <w:rPr>
          <w:color w:val="000000"/>
          <w:szCs w:val="22"/>
          <w:lang w:val="sl-SI"/>
        </w:rPr>
      </w:pPr>
    </w:p>
    <w:p w14:paraId="52979D26" w14:textId="77777777" w:rsidR="00660287" w:rsidRDefault="00660287" w:rsidP="009C1193">
      <w:pPr>
        <w:keepNext/>
        <w:widowControl w:val="0"/>
        <w:tabs>
          <w:tab w:val="clear" w:pos="567"/>
        </w:tabs>
        <w:spacing w:line="240" w:lineRule="auto"/>
        <w:rPr>
          <w:color w:val="000000"/>
          <w:szCs w:val="22"/>
          <w:u w:val="single"/>
          <w:lang w:val="pl-PL"/>
        </w:rPr>
      </w:pPr>
      <w:r w:rsidRPr="00B24401">
        <w:rPr>
          <w:color w:val="000000"/>
          <w:szCs w:val="22"/>
          <w:u w:val="single"/>
          <w:lang w:val="pl-PL"/>
        </w:rPr>
        <w:t>Glivec 400 mg filmsko obložene tablete</w:t>
      </w:r>
    </w:p>
    <w:p w14:paraId="52979D27" w14:textId="77777777" w:rsidR="00660287" w:rsidRDefault="00660287" w:rsidP="009C1193">
      <w:pPr>
        <w:widowControl w:val="0"/>
        <w:tabs>
          <w:tab w:val="clear" w:pos="567"/>
        </w:tabs>
        <w:spacing w:line="240" w:lineRule="auto"/>
        <w:rPr>
          <w:color w:val="000000"/>
          <w:szCs w:val="22"/>
          <w:lang w:val="pl-PL"/>
        </w:rPr>
      </w:pPr>
      <w:r w:rsidRPr="004A59B1">
        <w:rPr>
          <w:color w:val="000000"/>
          <w:szCs w:val="22"/>
          <w:lang w:val="pl-PL"/>
        </w:rPr>
        <w:t>Ena filmsko obložena tableta vsebuje 400 mg imatiniba (v obliki mesilata).</w:t>
      </w:r>
    </w:p>
    <w:p w14:paraId="52979D28" w14:textId="77777777" w:rsidR="00660287" w:rsidRPr="00B24401" w:rsidRDefault="00660287" w:rsidP="009C1193">
      <w:pPr>
        <w:widowControl w:val="0"/>
        <w:tabs>
          <w:tab w:val="clear" w:pos="567"/>
        </w:tabs>
        <w:spacing w:line="240" w:lineRule="auto"/>
        <w:rPr>
          <w:color w:val="000000"/>
          <w:szCs w:val="22"/>
          <w:u w:val="single"/>
          <w:lang w:val="sl-SI"/>
        </w:rPr>
      </w:pPr>
    </w:p>
    <w:p w14:paraId="52979D29" w14:textId="77777777" w:rsidR="00444D75" w:rsidRPr="004A59B1" w:rsidRDefault="00444D75" w:rsidP="009C1193">
      <w:pPr>
        <w:widowControl w:val="0"/>
        <w:tabs>
          <w:tab w:val="clear" w:pos="567"/>
        </w:tabs>
        <w:spacing w:line="240" w:lineRule="auto"/>
        <w:rPr>
          <w:color w:val="000000"/>
          <w:szCs w:val="22"/>
          <w:lang w:val="pl-PL"/>
        </w:rPr>
      </w:pPr>
      <w:r w:rsidRPr="004A59B1">
        <w:rPr>
          <w:color w:val="000000"/>
          <w:szCs w:val="22"/>
          <w:lang w:val="pl-PL"/>
        </w:rPr>
        <w:t xml:space="preserve">Za </w:t>
      </w:r>
      <w:r w:rsidR="00211A57" w:rsidRPr="004A59B1">
        <w:rPr>
          <w:color w:val="000000"/>
          <w:szCs w:val="22"/>
          <w:lang w:val="pl-PL"/>
        </w:rPr>
        <w:t xml:space="preserve">celoten seznam </w:t>
      </w:r>
      <w:r w:rsidRPr="004A59B1">
        <w:rPr>
          <w:color w:val="000000"/>
          <w:szCs w:val="22"/>
          <w:lang w:val="pl-PL"/>
        </w:rPr>
        <w:t>pomožn</w:t>
      </w:r>
      <w:r w:rsidR="00211A57" w:rsidRPr="004A59B1">
        <w:rPr>
          <w:color w:val="000000"/>
          <w:szCs w:val="22"/>
          <w:lang w:val="pl-PL"/>
        </w:rPr>
        <w:t>ih</w:t>
      </w:r>
      <w:r w:rsidRPr="004A59B1">
        <w:rPr>
          <w:color w:val="000000"/>
          <w:szCs w:val="22"/>
          <w:lang w:val="pl-PL"/>
        </w:rPr>
        <w:t xml:space="preserve"> snovi glejte </w:t>
      </w:r>
      <w:r w:rsidR="00211A57" w:rsidRPr="004A59B1">
        <w:rPr>
          <w:color w:val="000000"/>
          <w:szCs w:val="22"/>
          <w:lang w:val="pl-PL"/>
        </w:rPr>
        <w:t xml:space="preserve">poglavje </w:t>
      </w:r>
      <w:r w:rsidRPr="004A59B1">
        <w:rPr>
          <w:color w:val="000000"/>
          <w:szCs w:val="22"/>
          <w:lang w:val="pl-PL"/>
        </w:rPr>
        <w:t>6.1.</w:t>
      </w:r>
    </w:p>
    <w:p w14:paraId="52979D2A" w14:textId="77777777" w:rsidR="00444D75" w:rsidRPr="004A59B1" w:rsidRDefault="00444D75" w:rsidP="009C1193">
      <w:pPr>
        <w:widowControl w:val="0"/>
        <w:tabs>
          <w:tab w:val="clear" w:pos="567"/>
        </w:tabs>
        <w:spacing w:line="240" w:lineRule="auto"/>
        <w:rPr>
          <w:color w:val="000000"/>
          <w:szCs w:val="22"/>
          <w:lang w:val="pl-PL"/>
        </w:rPr>
      </w:pPr>
    </w:p>
    <w:p w14:paraId="52979D2B" w14:textId="77777777" w:rsidR="00444D75" w:rsidRPr="004A59B1" w:rsidRDefault="00444D75" w:rsidP="009C1193">
      <w:pPr>
        <w:widowControl w:val="0"/>
        <w:tabs>
          <w:tab w:val="clear" w:pos="567"/>
        </w:tabs>
        <w:spacing w:line="240" w:lineRule="auto"/>
        <w:rPr>
          <w:color w:val="000000"/>
          <w:szCs w:val="22"/>
          <w:lang w:val="pl-PL"/>
        </w:rPr>
      </w:pPr>
    </w:p>
    <w:p w14:paraId="52979D2C" w14:textId="77777777" w:rsidR="00444D75" w:rsidRPr="004A59B1" w:rsidRDefault="00444D75" w:rsidP="009C1193">
      <w:pPr>
        <w:keepNext/>
        <w:widowControl w:val="0"/>
        <w:tabs>
          <w:tab w:val="clear" w:pos="567"/>
        </w:tabs>
        <w:spacing w:line="240" w:lineRule="auto"/>
        <w:ind w:left="567" w:hanging="567"/>
        <w:rPr>
          <w:caps/>
          <w:color w:val="000000"/>
          <w:szCs w:val="22"/>
          <w:lang w:val="pl-PL"/>
        </w:rPr>
      </w:pPr>
      <w:r w:rsidRPr="004A59B1">
        <w:rPr>
          <w:b/>
          <w:color w:val="000000"/>
          <w:szCs w:val="22"/>
          <w:lang w:val="pl-PL"/>
        </w:rPr>
        <w:t>3.</w:t>
      </w:r>
      <w:r w:rsidRPr="004A59B1">
        <w:rPr>
          <w:b/>
          <w:color w:val="000000"/>
          <w:szCs w:val="22"/>
          <w:lang w:val="pl-PL"/>
        </w:rPr>
        <w:tab/>
        <w:t>FARMACEVTSKA OBLIKA</w:t>
      </w:r>
    </w:p>
    <w:p w14:paraId="52979D2D" w14:textId="77777777" w:rsidR="00444D75" w:rsidRPr="004A59B1" w:rsidRDefault="00444D75" w:rsidP="009C1193">
      <w:pPr>
        <w:pStyle w:val="EndnoteText"/>
        <w:keepNext/>
        <w:widowControl w:val="0"/>
        <w:tabs>
          <w:tab w:val="clear" w:pos="567"/>
        </w:tabs>
        <w:rPr>
          <w:color w:val="000000"/>
          <w:szCs w:val="22"/>
          <w:lang w:val="pl-PL"/>
        </w:rPr>
      </w:pPr>
    </w:p>
    <w:p w14:paraId="52979D2E" w14:textId="77777777" w:rsidR="00444D75" w:rsidRPr="004A59B1" w:rsidRDefault="00444D75" w:rsidP="009C1193">
      <w:pPr>
        <w:widowControl w:val="0"/>
        <w:tabs>
          <w:tab w:val="clear" w:pos="567"/>
        </w:tabs>
        <w:spacing w:line="240" w:lineRule="auto"/>
        <w:rPr>
          <w:color w:val="000000"/>
          <w:szCs w:val="22"/>
          <w:lang w:val="pl-PL"/>
        </w:rPr>
      </w:pPr>
      <w:r w:rsidRPr="004A59B1">
        <w:rPr>
          <w:color w:val="000000"/>
          <w:szCs w:val="22"/>
          <w:lang w:val="pl-PL"/>
        </w:rPr>
        <w:t>filmsko obložena tableta</w:t>
      </w:r>
    </w:p>
    <w:p w14:paraId="52979D2F" w14:textId="77777777" w:rsidR="00444D75" w:rsidRPr="004A59B1" w:rsidRDefault="00444D75" w:rsidP="009C1193">
      <w:pPr>
        <w:widowControl w:val="0"/>
        <w:tabs>
          <w:tab w:val="clear" w:pos="567"/>
        </w:tabs>
        <w:spacing w:line="240" w:lineRule="auto"/>
        <w:rPr>
          <w:color w:val="000000"/>
          <w:szCs w:val="22"/>
          <w:lang w:val="pl-PL"/>
        </w:rPr>
      </w:pPr>
    </w:p>
    <w:p w14:paraId="52979D30" w14:textId="77777777" w:rsidR="00320B53" w:rsidRDefault="00320B53" w:rsidP="009C1193">
      <w:pPr>
        <w:keepNext/>
        <w:widowControl w:val="0"/>
        <w:tabs>
          <w:tab w:val="clear" w:pos="567"/>
        </w:tabs>
        <w:spacing w:line="240" w:lineRule="auto"/>
        <w:rPr>
          <w:color w:val="000000"/>
          <w:szCs w:val="22"/>
          <w:lang w:val="pl-PL"/>
        </w:rPr>
      </w:pPr>
      <w:r w:rsidRPr="00CE11E5">
        <w:rPr>
          <w:color w:val="000000"/>
          <w:szCs w:val="22"/>
          <w:u w:val="single"/>
          <w:lang w:val="sl-SI"/>
        </w:rPr>
        <w:t>Glivec 100 mg filmsko obložene tablete</w:t>
      </w:r>
    </w:p>
    <w:p w14:paraId="52979D31" w14:textId="77777777" w:rsidR="00444D75" w:rsidRPr="004A59B1" w:rsidRDefault="00444D75" w:rsidP="009C1193">
      <w:pPr>
        <w:widowControl w:val="0"/>
        <w:tabs>
          <w:tab w:val="clear" w:pos="567"/>
        </w:tabs>
        <w:spacing w:line="240" w:lineRule="auto"/>
        <w:rPr>
          <w:color w:val="000000"/>
          <w:szCs w:val="22"/>
          <w:lang w:val="pl-PL"/>
        </w:rPr>
      </w:pPr>
      <w:r w:rsidRPr="004A59B1">
        <w:rPr>
          <w:color w:val="000000"/>
          <w:szCs w:val="22"/>
          <w:lang w:val="pl-PL"/>
        </w:rPr>
        <w:t>Zelo temno rumena do rjavkastooranžna filmsko obložena tableta, okrogla in z oznako “NVR” na eni ter “SA” in zarezo na drugi strani.</w:t>
      </w:r>
    </w:p>
    <w:p w14:paraId="52979D32" w14:textId="77777777" w:rsidR="00444D75" w:rsidRDefault="00444D75" w:rsidP="009C1193">
      <w:pPr>
        <w:widowControl w:val="0"/>
        <w:tabs>
          <w:tab w:val="clear" w:pos="567"/>
        </w:tabs>
        <w:spacing w:line="240" w:lineRule="auto"/>
        <w:rPr>
          <w:color w:val="000000"/>
          <w:szCs w:val="22"/>
          <w:lang w:val="pl-PL"/>
        </w:rPr>
      </w:pPr>
    </w:p>
    <w:p w14:paraId="52979D33" w14:textId="77777777" w:rsidR="00320B53" w:rsidRDefault="00320B53" w:rsidP="009C1193">
      <w:pPr>
        <w:keepNext/>
        <w:widowControl w:val="0"/>
        <w:tabs>
          <w:tab w:val="clear" w:pos="567"/>
        </w:tabs>
        <w:spacing w:line="240" w:lineRule="auto"/>
        <w:rPr>
          <w:color w:val="000000"/>
          <w:szCs w:val="22"/>
          <w:u w:val="single"/>
          <w:lang w:val="pl-PL"/>
        </w:rPr>
      </w:pPr>
      <w:r w:rsidRPr="00CE11E5">
        <w:rPr>
          <w:color w:val="000000"/>
          <w:szCs w:val="22"/>
          <w:u w:val="single"/>
          <w:lang w:val="pl-PL"/>
        </w:rPr>
        <w:t>Glivec 400 mg filmsko obložene tablete</w:t>
      </w:r>
    </w:p>
    <w:p w14:paraId="52979D34" w14:textId="77777777" w:rsidR="00320B53" w:rsidRPr="004A59B1" w:rsidRDefault="00320B53" w:rsidP="009C1193">
      <w:pPr>
        <w:widowControl w:val="0"/>
        <w:tabs>
          <w:tab w:val="clear" w:pos="567"/>
        </w:tabs>
        <w:spacing w:line="240" w:lineRule="auto"/>
        <w:rPr>
          <w:color w:val="000000"/>
          <w:szCs w:val="22"/>
          <w:lang w:val="pl-PL"/>
        </w:rPr>
      </w:pPr>
      <w:r w:rsidRPr="004A59B1">
        <w:rPr>
          <w:color w:val="000000"/>
          <w:szCs w:val="22"/>
          <w:lang w:val="pl-PL"/>
        </w:rPr>
        <w:t>Zelo temno rumena do rjavkastooranžna, ovalna filmsko obložena tableta z izbočenimi stranicami in z oznako “glivec” na eni strani.</w:t>
      </w:r>
    </w:p>
    <w:p w14:paraId="52979D35" w14:textId="77777777" w:rsidR="00444D75" w:rsidRDefault="00444D75" w:rsidP="009C1193">
      <w:pPr>
        <w:widowControl w:val="0"/>
        <w:tabs>
          <w:tab w:val="clear" w:pos="567"/>
        </w:tabs>
        <w:spacing w:line="240" w:lineRule="auto"/>
        <w:rPr>
          <w:color w:val="000000"/>
          <w:szCs w:val="22"/>
          <w:lang w:val="pl-PL"/>
        </w:rPr>
      </w:pPr>
    </w:p>
    <w:p w14:paraId="52979D36" w14:textId="77777777" w:rsidR="00320B53" w:rsidRPr="004A59B1" w:rsidRDefault="00320B53" w:rsidP="009C1193">
      <w:pPr>
        <w:widowControl w:val="0"/>
        <w:tabs>
          <w:tab w:val="clear" w:pos="567"/>
        </w:tabs>
        <w:spacing w:line="240" w:lineRule="auto"/>
        <w:rPr>
          <w:color w:val="000000"/>
          <w:szCs w:val="22"/>
          <w:lang w:val="pl-PL"/>
        </w:rPr>
      </w:pPr>
    </w:p>
    <w:p w14:paraId="52979D37" w14:textId="77777777" w:rsidR="00212E76" w:rsidRPr="004A59B1" w:rsidRDefault="00212E76" w:rsidP="009C1193">
      <w:pPr>
        <w:keepNext/>
        <w:widowControl w:val="0"/>
        <w:tabs>
          <w:tab w:val="clear" w:pos="567"/>
        </w:tabs>
        <w:spacing w:line="240" w:lineRule="auto"/>
        <w:ind w:left="567" w:hanging="567"/>
        <w:rPr>
          <w:caps/>
          <w:color w:val="000000"/>
          <w:szCs w:val="22"/>
          <w:lang w:val="da-DK"/>
        </w:rPr>
      </w:pPr>
      <w:r w:rsidRPr="004A59B1">
        <w:rPr>
          <w:b/>
          <w:caps/>
          <w:color w:val="000000"/>
          <w:szCs w:val="22"/>
          <w:lang w:val="da-DK"/>
        </w:rPr>
        <w:t>4.</w:t>
      </w:r>
      <w:r w:rsidRPr="004A59B1">
        <w:rPr>
          <w:b/>
          <w:caps/>
          <w:color w:val="000000"/>
          <w:szCs w:val="22"/>
          <w:lang w:val="da-DK"/>
        </w:rPr>
        <w:tab/>
        <w:t>KLINIČNI PODATKI</w:t>
      </w:r>
    </w:p>
    <w:p w14:paraId="52979D38" w14:textId="77777777" w:rsidR="00212E76" w:rsidRPr="004A59B1" w:rsidRDefault="00212E76" w:rsidP="009C1193">
      <w:pPr>
        <w:pStyle w:val="EndnoteText"/>
        <w:keepNext/>
        <w:widowControl w:val="0"/>
        <w:tabs>
          <w:tab w:val="clear" w:pos="567"/>
        </w:tabs>
        <w:rPr>
          <w:color w:val="000000"/>
          <w:szCs w:val="22"/>
          <w:lang w:val="da-DK"/>
        </w:rPr>
      </w:pPr>
    </w:p>
    <w:p w14:paraId="52979D39" w14:textId="77777777" w:rsidR="00212E76" w:rsidRPr="004A59B1" w:rsidRDefault="00212E76" w:rsidP="009C1193">
      <w:pPr>
        <w:keepNext/>
        <w:widowControl w:val="0"/>
        <w:tabs>
          <w:tab w:val="clear" w:pos="567"/>
        </w:tabs>
        <w:spacing w:line="240" w:lineRule="auto"/>
        <w:ind w:left="567" w:hanging="567"/>
        <w:rPr>
          <w:color w:val="000000"/>
          <w:szCs w:val="22"/>
          <w:lang w:val="da-DK"/>
        </w:rPr>
      </w:pPr>
      <w:r w:rsidRPr="004A59B1">
        <w:rPr>
          <w:b/>
          <w:color w:val="000000"/>
          <w:szCs w:val="22"/>
          <w:lang w:val="da-DK"/>
        </w:rPr>
        <w:t>4.1</w:t>
      </w:r>
      <w:r w:rsidRPr="004A59B1">
        <w:rPr>
          <w:b/>
          <w:color w:val="000000"/>
          <w:szCs w:val="22"/>
          <w:lang w:val="da-DK"/>
        </w:rPr>
        <w:tab/>
        <w:t>Terapevtske indikacije</w:t>
      </w:r>
    </w:p>
    <w:p w14:paraId="52979D3A" w14:textId="77777777" w:rsidR="00212E76" w:rsidRPr="004A59B1" w:rsidRDefault="00212E76" w:rsidP="009C1193">
      <w:pPr>
        <w:pStyle w:val="EndnoteText"/>
        <w:keepNext/>
        <w:widowControl w:val="0"/>
        <w:tabs>
          <w:tab w:val="clear" w:pos="567"/>
        </w:tabs>
        <w:rPr>
          <w:color w:val="000000"/>
          <w:szCs w:val="22"/>
          <w:lang w:val="da-DK"/>
        </w:rPr>
      </w:pPr>
    </w:p>
    <w:p w14:paraId="52979D3B" w14:textId="77777777" w:rsidR="00212E76" w:rsidRPr="004A59B1" w:rsidRDefault="00F94CA3" w:rsidP="009C1193">
      <w:pPr>
        <w:pStyle w:val="EndnoteText"/>
        <w:keepNext/>
        <w:widowControl w:val="0"/>
        <w:tabs>
          <w:tab w:val="clear" w:pos="567"/>
        </w:tabs>
        <w:rPr>
          <w:color w:val="000000"/>
          <w:szCs w:val="22"/>
          <w:lang w:val="da-DK"/>
        </w:rPr>
      </w:pPr>
      <w:r w:rsidRPr="004A59B1">
        <w:rPr>
          <w:color w:val="000000"/>
          <w:szCs w:val="22"/>
          <w:lang w:val="da-DK"/>
        </w:rPr>
        <w:t xml:space="preserve">Zdravilo </w:t>
      </w:r>
      <w:r w:rsidR="00212E76" w:rsidRPr="004A59B1">
        <w:rPr>
          <w:color w:val="000000"/>
          <w:szCs w:val="22"/>
          <w:lang w:val="da-DK"/>
        </w:rPr>
        <w:t>Glivec je indiciran</w:t>
      </w:r>
      <w:r w:rsidRPr="004A59B1">
        <w:rPr>
          <w:color w:val="000000"/>
          <w:szCs w:val="22"/>
          <w:lang w:val="da-DK"/>
        </w:rPr>
        <w:t>o</w:t>
      </w:r>
      <w:r w:rsidR="00212E76" w:rsidRPr="004A59B1">
        <w:rPr>
          <w:color w:val="000000"/>
          <w:szCs w:val="22"/>
          <w:lang w:val="da-DK"/>
        </w:rPr>
        <w:t xml:space="preserve"> za zdravljenje</w:t>
      </w:r>
    </w:p>
    <w:p w14:paraId="52979D3C" w14:textId="77777777" w:rsidR="00212E76" w:rsidRPr="004A59B1" w:rsidRDefault="00212E76" w:rsidP="009C1193">
      <w:pPr>
        <w:pStyle w:val="EndnoteText"/>
        <w:widowControl w:val="0"/>
        <w:numPr>
          <w:ilvl w:val="0"/>
          <w:numId w:val="16"/>
        </w:numPr>
        <w:tabs>
          <w:tab w:val="clear" w:pos="360"/>
          <w:tab w:val="clear" w:pos="567"/>
        </w:tabs>
        <w:ind w:left="567" w:hanging="567"/>
        <w:rPr>
          <w:snapToGrid w:val="0"/>
          <w:color w:val="000000"/>
          <w:szCs w:val="22"/>
          <w:lang w:val="da-DK" w:eastAsia="de-DE"/>
        </w:rPr>
      </w:pPr>
      <w:r w:rsidRPr="004A59B1">
        <w:rPr>
          <w:snapToGrid w:val="0"/>
          <w:color w:val="000000"/>
          <w:szCs w:val="22"/>
          <w:lang w:val="da-DK" w:eastAsia="de-DE"/>
        </w:rPr>
        <w:t>odraslih in pediatričnih</w:t>
      </w:r>
      <w:r w:rsidRPr="004A59B1">
        <w:rPr>
          <w:color w:val="000000"/>
          <w:szCs w:val="22"/>
          <w:lang w:val="da-DK"/>
        </w:rPr>
        <w:t xml:space="preserve"> bolnikov z na novo diagnosticirano kronično mieloično levkemijo (</w:t>
      </w:r>
      <w:r w:rsidR="00677326" w:rsidRPr="004A59B1">
        <w:rPr>
          <w:color w:val="000000"/>
          <w:szCs w:val="22"/>
          <w:lang w:val="da-DK"/>
        </w:rPr>
        <w:t>KML</w:t>
      </w:r>
      <w:r w:rsidRPr="004A59B1">
        <w:rPr>
          <w:color w:val="000000"/>
          <w:szCs w:val="22"/>
          <w:lang w:val="da-DK"/>
        </w:rPr>
        <w:t>), s prisotnim kromosomom Philadelphia (bcr-abl) (Ph+), pri katerih presaditev kostnega mozga kot zdravljenje prve izbire ne pride v poštev;</w:t>
      </w:r>
    </w:p>
    <w:p w14:paraId="52979D3D" w14:textId="77777777" w:rsidR="00212E76" w:rsidRPr="004A59B1" w:rsidRDefault="00212E76" w:rsidP="009C1193">
      <w:pPr>
        <w:pStyle w:val="EndnoteText"/>
        <w:widowControl w:val="0"/>
        <w:numPr>
          <w:ilvl w:val="0"/>
          <w:numId w:val="16"/>
        </w:numPr>
        <w:tabs>
          <w:tab w:val="clear" w:pos="360"/>
          <w:tab w:val="clear" w:pos="567"/>
        </w:tabs>
        <w:ind w:left="567" w:hanging="567"/>
        <w:rPr>
          <w:snapToGrid w:val="0"/>
          <w:color w:val="000000"/>
          <w:szCs w:val="22"/>
          <w:lang w:val="da-DK" w:eastAsia="de-DE"/>
        </w:rPr>
      </w:pPr>
      <w:r w:rsidRPr="004A59B1">
        <w:rPr>
          <w:snapToGrid w:val="0"/>
          <w:color w:val="000000"/>
          <w:szCs w:val="22"/>
          <w:lang w:val="da-DK" w:eastAsia="de-DE"/>
        </w:rPr>
        <w:t xml:space="preserve">odraslih in pediatričnih </w:t>
      </w:r>
      <w:r w:rsidRPr="004A59B1">
        <w:rPr>
          <w:color w:val="000000"/>
          <w:szCs w:val="22"/>
          <w:lang w:val="da-DK"/>
        </w:rPr>
        <w:t xml:space="preserve">bolnikov s Ph+ </w:t>
      </w:r>
      <w:r w:rsidR="00677326" w:rsidRPr="004A59B1">
        <w:rPr>
          <w:color w:val="000000"/>
          <w:szCs w:val="22"/>
          <w:lang w:val="da-DK"/>
        </w:rPr>
        <w:t>KML</w:t>
      </w:r>
      <w:r w:rsidRPr="004A59B1">
        <w:rPr>
          <w:color w:val="000000"/>
          <w:szCs w:val="22"/>
          <w:lang w:val="da-DK"/>
        </w:rPr>
        <w:t xml:space="preserve"> v kronični fazi po neuspelem zdravljenju z interferonom alfa, ali v pospešeni fazi ali blastni krizi;</w:t>
      </w:r>
    </w:p>
    <w:p w14:paraId="52979D3E" w14:textId="77777777" w:rsidR="00212E76" w:rsidRPr="004A59B1" w:rsidRDefault="00212E76" w:rsidP="009C1193">
      <w:pPr>
        <w:pStyle w:val="EndnoteText"/>
        <w:widowControl w:val="0"/>
        <w:numPr>
          <w:ilvl w:val="0"/>
          <w:numId w:val="16"/>
        </w:numPr>
        <w:tabs>
          <w:tab w:val="clear" w:pos="360"/>
          <w:tab w:val="clear" w:pos="567"/>
        </w:tabs>
        <w:ind w:left="567" w:hanging="567"/>
        <w:rPr>
          <w:snapToGrid w:val="0"/>
          <w:color w:val="000000"/>
          <w:szCs w:val="22"/>
          <w:lang w:val="da-DK" w:eastAsia="de-DE"/>
        </w:rPr>
      </w:pPr>
      <w:r w:rsidRPr="004A59B1">
        <w:rPr>
          <w:snapToGrid w:val="0"/>
          <w:color w:val="000000"/>
          <w:szCs w:val="22"/>
          <w:lang w:val="da-DK" w:eastAsia="de-DE"/>
        </w:rPr>
        <w:t xml:space="preserve">odraslih </w:t>
      </w:r>
      <w:r w:rsidR="00F94CA3" w:rsidRPr="004A59B1">
        <w:rPr>
          <w:snapToGrid w:val="0"/>
          <w:color w:val="000000"/>
          <w:szCs w:val="22"/>
          <w:lang w:val="da-DK" w:eastAsia="de-DE"/>
        </w:rPr>
        <w:t xml:space="preserve">in pediatričnih </w:t>
      </w:r>
      <w:r w:rsidRPr="004A59B1">
        <w:rPr>
          <w:snapToGrid w:val="0"/>
          <w:color w:val="000000"/>
          <w:szCs w:val="22"/>
          <w:lang w:val="da-DK" w:eastAsia="de-DE"/>
        </w:rPr>
        <w:t>bolnikov</w:t>
      </w:r>
      <w:r w:rsidRPr="004A59B1">
        <w:rPr>
          <w:color w:val="000000"/>
          <w:szCs w:val="22"/>
          <w:lang w:val="da-DK"/>
        </w:rPr>
        <w:t xml:space="preserve"> z na novo diagnosticirano akutno limfoblastno levkemijo,</w:t>
      </w:r>
      <w:r w:rsidRPr="004A59B1">
        <w:rPr>
          <w:snapToGrid w:val="0"/>
          <w:color w:val="000000"/>
          <w:szCs w:val="22"/>
          <w:lang w:val="da-DK" w:eastAsia="de-DE"/>
        </w:rPr>
        <w:t xml:space="preserve"> </w:t>
      </w:r>
      <w:r w:rsidRPr="004A59B1">
        <w:rPr>
          <w:color w:val="000000"/>
          <w:szCs w:val="22"/>
          <w:lang w:val="da-DK"/>
        </w:rPr>
        <w:t>s prisotnim kromosomom Philadelphia (Ph+ ALL) skupaj s kemoterapijo;</w:t>
      </w:r>
    </w:p>
    <w:p w14:paraId="52979D3F" w14:textId="77777777" w:rsidR="00212E76" w:rsidRPr="004A59B1" w:rsidRDefault="00212E76" w:rsidP="009C1193">
      <w:pPr>
        <w:pStyle w:val="EndnoteText"/>
        <w:widowControl w:val="0"/>
        <w:numPr>
          <w:ilvl w:val="0"/>
          <w:numId w:val="16"/>
        </w:numPr>
        <w:tabs>
          <w:tab w:val="clear" w:pos="360"/>
          <w:tab w:val="clear" w:pos="567"/>
        </w:tabs>
        <w:ind w:left="567" w:hanging="567"/>
        <w:rPr>
          <w:snapToGrid w:val="0"/>
          <w:color w:val="000000"/>
          <w:szCs w:val="22"/>
          <w:lang w:val="da-DK" w:eastAsia="de-DE"/>
        </w:rPr>
      </w:pPr>
      <w:r w:rsidRPr="004A59B1">
        <w:rPr>
          <w:color w:val="000000"/>
          <w:szCs w:val="22"/>
          <w:lang w:val="da-DK"/>
        </w:rPr>
        <w:t>odraslih bolnikov z relapsom ali neodzivno Ph+ ALL v monoterapiji;</w:t>
      </w:r>
    </w:p>
    <w:p w14:paraId="52979D40" w14:textId="77777777" w:rsidR="00212E76" w:rsidRPr="004A59B1" w:rsidRDefault="00212E76" w:rsidP="009C1193">
      <w:pPr>
        <w:pStyle w:val="EndnoteText"/>
        <w:widowControl w:val="0"/>
        <w:numPr>
          <w:ilvl w:val="0"/>
          <w:numId w:val="16"/>
        </w:numPr>
        <w:tabs>
          <w:tab w:val="clear" w:pos="360"/>
          <w:tab w:val="num" w:pos="567"/>
        </w:tabs>
        <w:ind w:left="567" w:hanging="567"/>
        <w:rPr>
          <w:snapToGrid w:val="0"/>
          <w:color w:val="000000"/>
          <w:szCs w:val="22"/>
          <w:lang w:val="da-DK" w:eastAsia="de-DE"/>
        </w:rPr>
      </w:pPr>
      <w:r w:rsidRPr="004A59B1">
        <w:rPr>
          <w:color w:val="000000"/>
          <w:szCs w:val="22"/>
          <w:lang w:val="da-DK"/>
        </w:rPr>
        <w:t xml:space="preserve">odraslih bolnikov z mielodisplastičnimi/mieloproliferativnimi boleznimi (MDS/MPD) v povezavi s preureditvijo genov za receptor za rastni faktor iz trombocitov (PDGFR – </w:t>
      </w:r>
      <w:r w:rsidRPr="00304E94">
        <w:rPr>
          <w:i/>
          <w:color w:val="000000"/>
          <w:szCs w:val="22"/>
          <w:lang w:val="da-DK"/>
        </w:rPr>
        <w:t>platelet derived growth factor receptor</w:t>
      </w:r>
      <w:r w:rsidRPr="004A59B1">
        <w:rPr>
          <w:color w:val="000000"/>
          <w:szCs w:val="22"/>
          <w:lang w:val="da-DK"/>
        </w:rPr>
        <w:t>);</w:t>
      </w:r>
    </w:p>
    <w:p w14:paraId="52979D41" w14:textId="77777777" w:rsidR="00212E76" w:rsidRPr="004A59B1" w:rsidRDefault="00212E76" w:rsidP="009C1193">
      <w:pPr>
        <w:pStyle w:val="EndnoteText"/>
        <w:widowControl w:val="0"/>
        <w:numPr>
          <w:ilvl w:val="0"/>
          <w:numId w:val="16"/>
        </w:numPr>
        <w:tabs>
          <w:tab w:val="clear" w:pos="360"/>
          <w:tab w:val="num" w:pos="567"/>
        </w:tabs>
        <w:ind w:left="567" w:hanging="567"/>
        <w:rPr>
          <w:color w:val="000000"/>
          <w:szCs w:val="22"/>
          <w:lang w:val="da-DK"/>
        </w:rPr>
      </w:pPr>
      <w:r w:rsidRPr="004A59B1">
        <w:rPr>
          <w:color w:val="000000"/>
          <w:szCs w:val="22"/>
          <w:lang w:val="da-DK"/>
        </w:rPr>
        <w:t>odraslih bolnikov z napredovalim hipereozinofilnim sindromom (HES) ali s kronično eozinofilno levkemijo (CEL) s premestitvijo FIP1L1-PDGFR</w:t>
      </w:r>
      <w:r w:rsidRPr="004A59B1">
        <w:rPr>
          <w:color w:val="000000"/>
          <w:szCs w:val="22"/>
        </w:rPr>
        <w:sym w:font="Symbol" w:char="F061"/>
      </w:r>
      <w:r w:rsidRPr="004A59B1">
        <w:rPr>
          <w:color w:val="000000"/>
          <w:szCs w:val="22"/>
          <w:lang w:val="da-DK"/>
        </w:rPr>
        <w:t xml:space="preserve"> ali z obojim.</w:t>
      </w:r>
    </w:p>
    <w:p w14:paraId="52979D42" w14:textId="77777777" w:rsidR="00212E76" w:rsidRPr="004A59B1" w:rsidRDefault="00212E76" w:rsidP="009C1193">
      <w:pPr>
        <w:pStyle w:val="EndnoteText"/>
        <w:widowControl w:val="0"/>
        <w:tabs>
          <w:tab w:val="clear" w:pos="567"/>
        </w:tabs>
        <w:rPr>
          <w:color w:val="000000"/>
          <w:szCs w:val="22"/>
          <w:lang w:val="da-DK"/>
        </w:rPr>
      </w:pPr>
    </w:p>
    <w:p w14:paraId="52979D43" w14:textId="77777777" w:rsidR="00212E76" w:rsidRPr="004A59B1" w:rsidRDefault="00212E76" w:rsidP="009C1193">
      <w:pPr>
        <w:pStyle w:val="EndnoteText"/>
        <w:widowControl w:val="0"/>
        <w:tabs>
          <w:tab w:val="clear" w:pos="567"/>
        </w:tabs>
        <w:rPr>
          <w:color w:val="000000"/>
          <w:szCs w:val="22"/>
          <w:lang w:val="da-DK"/>
        </w:rPr>
      </w:pPr>
      <w:r w:rsidRPr="004A59B1">
        <w:rPr>
          <w:color w:val="000000"/>
          <w:szCs w:val="22"/>
          <w:lang w:val="da-DK"/>
        </w:rPr>
        <w:t>Učinek zdravila Glivec na izid presaditve kostnega mozga ni raziskan</w:t>
      </w:r>
      <w:r w:rsidRPr="004A59B1">
        <w:rPr>
          <w:snapToGrid w:val="0"/>
          <w:color w:val="000000"/>
          <w:szCs w:val="22"/>
          <w:lang w:val="da-DK" w:eastAsia="de-DE"/>
        </w:rPr>
        <w:t>.</w:t>
      </w:r>
    </w:p>
    <w:p w14:paraId="52979D44" w14:textId="77777777" w:rsidR="00212E76" w:rsidRPr="004A59B1" w:rsidRDefault="00212E76" w:rsidP="009C1193">
      <w:pPr>
        <w:widowControl w:val="0"/>
        <w:tabs>
          <w:tab w:val="clear" w:pos="567"/>
        </w:tabs>
        <w:spacing w:line="240" w:lineRule="auto"/>
        <w:rPr>
          <w:color w:val="000000"/>
          <w:szCs w:val="22"/>
          <w:lang w:val="da-DK"/>
        </w:rPr>
      </w:pPr>
    </w:p>
    <w:p w14:paraId="52979D45" w14:textId="77777777" w:rsidR="00212E76" w:rsidRPr="004A59B1" w:rsidRDefault="00F94CA3" w:rsidP="009C1193">
      <w:pPr>
        <w:keepNext/>
        <w:widowControl w:val="0"/>
        <w:tabs>
          <w:tab w:val="clear" w:pos="567"/>
        </w:tabs>
        <w:spacing w:line="240" w:lineRule="auto"/>
        <w:rPr>
          <w:color w:val="000000"/>
          <w:szCs w:val="22"/>
          <w:lang w:val="it-IT"/>
        </w:rPr>
      </w:pPr>
      <w:r w:rsidRPr="004A59B1">
        <w:rPr>
          <w:color w:val="000000"/>
          <w:szCs w:val="22"/>
          <w:lang w:val="it-IT"/>
        </w:rPr>
        <w:lastRenderedPageBreak/>
        <w:t xml:space="preserve">Zdravilo </w:t>
      </w:r>
      <w:r w:rsidR="00212E76" w:rsidRPr="004A59B1">
        <w:rPr>
          <w:color w:val="000000"/>
          <w:szCs w:val="22"/>
          <w:lang w:val="it-IT"/>
        </w:rPr>
        <w:t>Glivec je indiciran</w:t>
      </w:r>
      <w:r w:rsidRPr="004A59B1">
        <w:rPr>
          <w:color w:val="000000"/>
          <w:szCs w:val="22"/>
          <w:lang w:val="it-IT"/>
        </w:rPr>
        <w:t>o</w:t>
      </w:r>
      <w:r w:rsidR="00212E76" w:rsidRPr="004A59B1">
        <w:rPr>
          <w:color w:val="000000"/>
          <w:szCs w:val="22"/>
          <w:lang w:val="it-IT"/>
        </w:rPr>
        <w:t xml:space="preserve"> za</w:t>
      </w:r>
    </w:p>
    <w:p w14:paraId="52979D46" w14:textId="77777777" w:rsidR="00212E76" w:rsidRPr="004A59B1" w:rsidRDefault="00212E76" w:rsidP="009C1193">
      <w:pPr>
        <w:widowControl w:val="0"/>
        <w:numPr>
          <w:ilvl w:val="0"/>
          <w:numId w:val="13"/>
        </w:numPr>
        <w:tabs>
          <w:tab w:val="clear" w:pos="720"/>
          <w:tab w:val="num" w:pos="567"/>
        </w:tabs>
        <w:spacing w:line="240" w:lineRule="auto"/>
        <w:ind w:left="567" w:hanging="567"/>
        <w:rPr>
          <w:color w:val="000000"/>
          <w:szCs w:val="22"/>
          <w:lang w:val="it-IT"/>
        </w:rPr>
      </w:pPr>
      <w:r w:rsidRPr="004A59B1">
        <w:rPr>
          <w:color w:val="000000"/>
          <w:szCs w:val="22"/>
          <w:lang w:val="it-IT"/>
        </w:rPr>
        <w:t>zdravljenje odraslih bolnikov z neresektabilnimi in/ali metastatskimi malignimi gastrointestinalnimi stromalnimi tumorji (GIST), pozitivnimi na Kit (CD 117);</w:t>
      </w:r>
    </w:p>
    <w:p w14:paraId="52979D47" w14:textId="77777777" w:rsidR="00212E76" w:rsidRPr="004A59B1" w:rsidRDefault="00212E76" w:rsidP="009C1193">
      <w:pPr>
        <w:widowControl w:val="0"/>
        <w:numPr>
          <w:ilvl w:val="0"/>
          <w:numId w:val="13"/>
        </w:numPr>
        <w:tabs>
          <w:tab w:val="clear" w:pos="720"/>
          <w:tab w:val="num" w:pos="567"/>
        </w:tabs>
        <w:spacing w:line="240" w:lineRule="auto"/>
        <w:ind w:left="567" w:hanging="567"/>
        <w:rPr>
          <w:color w:val="000000"/>
          <w:szCs w:val="22"/>
          <w:lang w:val="it-IT"/>
        </w:rPr>
      </w:pPr>
      <w:r w:rsidRPr="004A59B1">
        <w:rPr>
          <w:color w:val="000000"/>
          <w:szCs w:val="22"/>
          <w:lang w:val="it-IT"/>
        </w:rPr>
        <w:t>adjuvantno zdravljenje odraslih bolnikov s precejšnjim tveganjem za relaps po resekciji GIST, pozitivnega na Kit (CD117). Bolniki z majhnim ali zelo majhnim tveganjem za ponovitev bolezni ne smejo prejemati adjuvantnega zdravljenja;</w:t>
      </w:r>
    </w:p>
    <w:p w14:paraId="52979D48" w14:textId="77777777" w:rsidR="00212E76" w:rsidRPr="004A59B1" w:rsidRDefault="00212E76" w:rsidP="009C1193">
      <w:pPr>
        <w:widowControl w:val="0"/>
        <w:numPr>
          <w:ilvl w:val="0"/>
          <w:numId w:val="13"/>
        </w:numPr>
        <w:tabs>
          <w:tab w:val="clear" w:pos="720"/>
          <w:tab w:val="num" w:pos="567"/>
        </w:tabs>
        <w:spacing w:line="240" w:lineRule="auto"/>
        <w:ind w:left="567" w:hanging="567"/>
        <w:rPr>
          <w:color w:val="000000"/>
          <w:szCs w:val="22"/>
          <w:lang w:val="it-IT"/>
        </w:rPr>
      </w:pPr>
      <w:r w:rsidRPr="004A59B1">
        <w:rPr>
          <w:color w:val="000000"/>
          <w:szCs w:val="22"/>
          <w:lang w:val="it-IT"/>
        </w:rPr>
        <w:t xml:space="preserve">zdravljenje odraslih bolnikov z neresektabilnim protuberantnim dermatofibrosarkomom (DFSP - </w:t>
      </w:r>
      <w:r w:rsidRPr="00304E94">
        <w:rPr>
          <w:i/>
          <w:color w:val="000000"/>
          <w:lang w:val="it-IT"/>
        </w:rPr>
        <w:t>dermatofibrosarcoma protuberans</w:t>
      </w:r>
      <w:r w:rsidRPr="004A59B1">
        <w:rPr>
          <w:color w:val="000000"/>
          <w:szCs w:val="22"/>
          <w:lang w:val="it-IT"/>
        </w:rPr>
        <w:t>) in tistih odraslih bolnikov z rekurentnim in/ali metastatskim DFSP, ki niso primerni za operacijo.</w:t>
      </w:r>
    </w:p>
    <w:p w14:paraId="52979D49" w14:textId="77777777" w:rsidR="00212E76" w:rsidRPr="004A59B1" w:rsidRDefault="00212E76" w:rsidP="009C1193">
      <w:pPr>
        <w:widowControl w:val="0"/>
        <w:tabs>
          <w:tab w:val="clear" w:pos="567"/>
        </w:tabs>
        <w:spacing w:line="240" w:lineRule="auto"/>
        <w:rPr>
          <w:color w:val="000000"/>
          <w:szCs w:val="22"/>
          <w:lang w:val="it-IT"/>
        </w:rPr>
      </w:pPr>
    </w:p>
    <w:p w14:paraId="52979D4A" w14:textId="77777777" w:rsidR="00212E76" w:rsidRPr="004A59B1" w:rsidRDefault="00212E76" w:rsidP="009C1193">
      <w:pPr>
        <w:pStyle w:val="TextChar"/>
        <w:widowControl w:val="0"/>
        <w:spacing w:before="0"/>
        <w:jc w:val="left"/>
        <w:rPr>
          <w:color w:val="000000"/>
          <w:sz w:val="22"/>
          <w:szCs w:val="22"/>
          <w:lang w:val="it-IT"/>
        </w:rPr>
      </w:pPr>
      <w:r w:rsidRPr="004A59B1">
        <w:rPr>
          <w:color w:val="000000"/>
          <w:sz w:val="22"/>
          <w:szCs w:val="22"/>
          <w:lang w:val="it-IT"/>
        </w:rPr>
        <w:t xml:space="preserve">Pri odraslih in pediatričnih bolnikih temelji učinkovitost zdravila Glivec na celotni hematološki in citogenetični odzivnosti in preživetju brez napredovanja bolezni pri </w:t>
      </w:r>
      <w:r w:rsidR="00677326" w:rsidRPr="004A59B1">
        <w:rPr>
          <w:color w:val="000000"/>
          <w:sz w:val="22"/>
          <w:szCs w:val="22"/>
          <w:lang w:val="it-IT"/>
        </w:rPr>
        <w:t>KML</w:t>
      </w:r>
      <w:r w:rsidRPr="004A59B1">
        <w:rPr>
          <w:color w:val="000000"/>
          <w:sz w:val="22"/>
          <w:szCs w:val="22"/>
          <w:lang w:val="it-IT"/>
        </w:rPr>
        <w:t xml:space="preserve">, na hematološki in citogenetični odzivnosti pri Ph+ ALL in MDS/MPD, na hematološki odzivnosti pri HES/CEL ter na objektivni odzivnosti odraslih bolnikov z neresektabilnimi in/ali metastatskimi GIST in DFSP ter na preživetju brez ponovitve bolezni pri adjuvantnem zdravljenju GIST. Izkušenj z uporabo zdravila Glivec pri bolnikih MDS/MPD v povezavi s preureditvijo genov za PDGFR je malo (glejte poglavje 5.1). Razen za novo diagnosticirano </w:t>
      </w:r>
      <w:r w:rsidR="00677326" w:rsidRPr="004A59B1">
        <w:rPr>
          <w:color w:val="000000"/>
          <w:sz w:val="22"/>
          <w:szCs w:val="22"/>
          <w:lang w:val="it-IT"/>
        </w:rPr>
        <w:t>KML</w:t>
      </w:r>
      <w:r w:rsidRPr="004A59B1">
        <w:rPr>
          <w:color w:val="000000"/>
          <w:sz w:val="22"/>
          <w:szCs w:val="22"/>
          <w:lang w:val="it-IT"/>
        </w:rPr>
        <w:t xml:space="preserve"> v kronični fazi ni kontroliranih preskušanj, ki bi pokazala klinično koristnost ali izboljšanje preživetja pri teh bolezni.</w:t>
      </w:r>
    </w:p>
    <w:p w14:paraId="52979D4B" w14:textId="77777777" w:rsidR="00212E76" w:rsidRPr="004A59B1" w:rsidRDefault="00212E76" w:rsidP="009C1193">
      <w:pPr>
        <w:pStyle w:val="TextChar"/>
        <w:widowControl w:val="0"/>
        <w:spacing w:before="0"/>
        <w:rPr>
          <w:color w:val="000000"/>
          <w:sz w:val="22"/>
          <w:szCs w:val="22"/>
          <w:lang w:val="it-IT"/>
        </w:rPr>
      </w:pPr>
    </w:p>
    <w:p w14:paraId="52979D4C" w14:textId="77777777" w:rsidR="00212E76" w:rsidRPr="004A59B1" w:rsidRDefault="00212E76" w:rsidP="009C1193">
      <w:pPr>
        <w:keepNext/>
        <w:widowControl w:val="0"/>
        <w:tabs>
          <w:tab w:val="clear" w:pos="567"/>
        </w:tabs>
        <w:spacing w:line="240" w:lineRule="auto"/>
        <w:ind w:left="567" w:hanging="567"/>
        <w:rPr>
          <w:color w:val="000000"/>
          <w:szCs w:val="22"/>
          <w:lang w:val="it-IT"/>
        </w:rPr>
      </w:pPr>
      <w:r w:rsidRPr="004A59B1">
        <w:rPr>
          <w:b/>
          <w:color w:val="000000"/>
          <w:szCs w:val="22"/>
          <w:lang w:val="it-IT"/>
        </w:rPr>
        <w:t>4.2</w:t>
      </w:r>
      <w:r w:rsidRPr="004A59B1">
        <w:rPr>
          <w:b/>
          <w:color w:val="000000"/>
          <w:szCs w:val="22"/>
          <w:lang w:val="it-IT"/>
        </w:rPr>
        <w:tab/>
        <w:t>Odmerjanje in način uporabe</w:t>
      </w:r>
    </w:p>
    <w:p w14:paraId="52979D4D" w14:textId="77777777" w:rsidR="00212E76" w:rsidRPr="004A59B1" w:rsidRDefault="00212E76" w:rsidP="009C1193">
      <w:pPr>
        <w:pStyle w:val="EndnoteText"/>
        <w:keepNext/>
        <w:widowControl w:val="0"/>
        <w:tabs>
          <w:tab w:val="clear" w:pos="567"/>
        </w:tabs>
        <w:rPr>
          <w:color w:val="000000"/>
          <w:szCs w:val="22"/>
          <w:lang w:val="it-IT"/>
        </w:rPr>
      </w:pPr>
    </w:p>
    <w:p w14:paraId="52979D4E" w14:textId="77777777" w:rsidR="00211A57" w:rsidRPr="004A59B1" w:rsidRDefault="00211A57" w:rsidP="009C1193">
      <w:pPr>
        <w:pStyle w:val="EndnoteText"/>
        <w:widowControl w:val="0"/>
        <w:tabs>
          <w:tab w:val="clear" w:pos="567"/>
        </w:tabs>
        <w:rPr>
          <w:color w:val="000000"/>
          <w:szCs w:val="22"/>
          <w:lang w:val="it-IT"/>
        </w:rPr>
      </w:pPr>
      <w:r w:rsidRPr="004A59B1">
        <w:rPr>
          <w:color w:val="000000"/>
          <w:szCs w:val="22"/>
          <w:lang w:val="it-IT"/>
        </w:rPr>
        <w:t xml:space="preserve">Zdravljenje mora začeti zdravnik, izkušen v zdravljenju bolnikov s hematološkimi malignimi boleznimi oziroma </w:t>
      </w:r>
      <w:r w:rsidR="00D9464C" w:rsidRPr="004A59B1">
        <w:rPr>
          <w:color w:val="000000"/>
          <w:szCs w:val="22"/>
          <w:lang w:val="it-IT"/>
        </w:rPr>
        <w:t xml:space="preserve">z </w:t>
      </w:r>
      <w:r w:rsidRPr="004A59B1">
        <w:rPr>
          <w:color w:val="000000"/>
          <w:szCs w:val="22"/>
          <w:lang w:val="it-IT"/>
        </w:rPr>
        <w:t>malignimi sarkomi.</w:t>
      </w:r>
    </w:p>
    <w:p w14:paraId="52979D4F" w14:textId="77777777" w:rsidR="00444D75" w:rsidRPr="004A59B1" w:rsidRDefault="00444D75" w:rsidP="009C1193">
      <w:pPr>
        <w:pStyle w:val="EndnoteText"/>
        <w:widowControl w:val="0"/>
        <w:tabs>
          <w:tab w:val="clear" w:pos="567"/>
        </w:tabs>
        <w:rPr>
          <w:color w:val="000000"/>
          <w:szCs w:val="22"/>
          <w:lang w:val="it-IT"/>
        </w:rPr>
      </w:pPr>
    </w:p>
    <w:p w14:paraId="52979D50" w14:textId="77777777" w:rsidR="009F046D" w:rsidRDefault="00561033" w:rsidP="009C1193">
      <w:pPr>
        <w:pStyle w:val="EndnoteText"/>
        <w:widowControl w:val="0"/>
        <w:tabs>
          <w:tab w:val="clear" w:pos="567"/>
        </w:tabs>
        <w:rPr>
          <w:color w:val="000000"/>
          <w:szCs w:val="22"/>
          <w:lang w:val="it-IT"/>
        </w:rPr>
      </w:pPr>
      <w:r>
        <w:rPr>
          <w:color w:val="000000"/>
          <w:szCs w:val="22"/>
          <w:lang w:val="it-IT"/>
        </w:rPr>
        <w:t xml:space="preserve">Za odmerke, </w:t>
      </w:r>
      <w:r w:rsidR="00502631">
        <w:rPr>
          <w:color w:val="000000"/>
          <w:szCs w:val="22"/>
          <w:lang w:val="it-IT"/>
        </w:rPr>
        <w:t>drugačne</w:t>
      </w:r>
      <w:r>
        <w:rPr>
          <w:color w:val="000000"/>
          <w:szCs w:val="22"/>
          <w:lang w:val="it-IT"/>
        </w:rPr>
        <w:t xml:space="preserve"> od 400 mg in 800 mg (glejte priporočila za odmerjanje v nadaljevanju), so na voljo deljive tablete</w:t>
      </w:r>
      <w:r w:rsidR="009F046D">
        <w:rPr>
          <w:color w:val="000000"/>
          <w:szCs w:val="22"/>
          <w:lang w:val="it-IT"/>
        </w:rPr>
        <w:t xml:space="preserve"> po 100 mg.</w:t>
      </w:r>
      <w:r>
        <w:rPr>
          <w:color w:val="000000"/>
          <w:szCs w:val="22"/>
          <w:lang w:val="it-IT"/>
        </w:rPr>
        <w:t xml:space="preserve"> </w:t>
      </w:r>
    </w:p>
    <w:p w14:paraId="52979D51" w14:textId="77777777" w:rsidR="00444D75" w:rsidRPr="004A59B1" w:rsidRDefault="00444D75" w:rsidP="009C1193">
      <w:pPr>
        <w:pStyle w:val="EndnoteText"/>
        <w:widowControl w:val="0"/>
        <w:tabs>
          <w:tab w:val="clear" w:pos="567"/>
        </w:tabs>
        <w:rPr>
          <w:color w:val="000000"/>
          <w:szCs w:val="22"/>
          <w:lang w:val="it-IT"/>
        </w:rPr>
      </w:pPr>
      <w:r w:rsidRPr="004A59B1">
        <w:rPr>
          <w:color w:val="000000"/>
          <w:szCs w:val="22"/>
          <w:lang w:val="it-IT"/>
        </w:rPr>
        <w:t>Za odmerke 400 mg in več (glejte spodaj navedeno priporočeno odmerjanje) so na voljo tablete (nedeljive) po 400 mg.</w:t>
      </w:r>
    </w:p>
    <w:p w14:paraId="52979D52" w14:textId="77777777" w:rsidR="00444D75" w:rsidRPr="004A59B1" w:rsidRDefault="00444D75" w:rsidP="009C1193">
      <w:pPr>
        <w:pStyle w:val="EndnoteText"/>
        <w:widowControl w:val="0"/>
        <w:tabs>
          <w:tab w:val="clear" w:pos="567"/>
        </w:tabs>
        <w:rPr>
          <w:color w:val="000000"/>
          <w:szCs w:val="22"/>
          <w:lang w:val="it-IT"/>
        </w:rPr>
      </w:pPr>
    </w:p>
    <w:p w14:paraId="52979D53" w14:textId="77777777" w:rsidR="00444D75" w:rsidRPr="004A59B1" w:rsidRDefault="00444D75" w:rsidP="009C1193">
      <w:pPr>
        <w:pStyle w:val="EndnoteText"/>
        <w:widowControl w:val="0"/>
        <w:tabs>
          <w:tab w:val="clear" w:pos="567"/>
        </w:tabs>
        <w:rPr>
          <w:color w:val="000000"/>
          <w:szCs w:val="22"/>
          <w:lang w:val="it-IT"/>
        </w:rPr>
      </w:pPr>
      <w:r w:rsidRPr="004A59B1">
        <w:rPr>
          <w:color w:val="000000"/>
          <w:szCs w:val="22"/>
          <w:lang w:val="it-IT"/>
        </w:rPr>
        <w:t>Predpisani odmerek mora bolnik vzeti peroralno z obrokom in velikim kozarcem vode, da se čim bolj zmanjša tveganje draženja prebavil. Odmerke po 400 mg ali 600 mg je treba jemati enkrat na dan, medtem ko je treba odmerek 800 mg</w:t>
      </w:r>
      <w:r w:rsidR="00F03A20" w:rsidRPr="004A59B1">
        <w:rPr>
          <w:color w:val="000000"/>
          <w:szCs w:val="22"/>
          <w:lang w:val="it-IT"/>
        </w:rPr>
        <w:t xml:space="preserve"> na dan</w:t>
      </w:r>
      <w:r w:rsidRPr="004A59B1">
        <w:rPr>
          <w:color w:val="000000"/>
          <w:szCs w:val="22"/>
          <w:lang w:val="it-IT"/>
        </w:rPr>
        <w:t xml:space="preserve"> vzeti kot 400 mg dvakrat na dan, zjutraj in zvečer.</w:t>
      </w:r>
    </w:p>
    <w:p w14:paraId="52979D54" w14:textId="77777777" w:rsidR="00444D75" w:rsidRPr="004A59B1" w:rsidRDefault="00444D75" w:rsidP="009C1193">
      <w:pPr>
        <w:pStyle w:val="EndnoteText"/>
        <w:widowControl w:val="0"/>
        <w:tabs>
          <w:tab w:val="clear" w:pos="567"/>
        </w:tabs>
        <w:rPr>
          <w:color w:val="000000"/>
          <w:szCs w:val="22"/>
          <w:lang w:val="it-IT"/>
        </w:rPr>
      </w:pPr>
    </w:p>
    <w:p w14:paraId="52979D55" w14:textId="77777777" w:rsidR="00444D75" w:rsidRPr="004A59B1" w:rsidRDefault="00444D75" w:rsidP="009C1193">
      <w:pPr>
        <w:pStyle w:val="EndnoteText"/>
        <w:widowControl w:val="0"/>
        <w:tabs>
          <w:tab w:val="clear" w:pos="567"/>
        </w:tabs>
        <w:rPr>
          <w:color w:val="000000"/>
          <w:szCs w:val="22"/>
          <w:lang w:val="it-IT"/>
        </w:rPr>
      </w:pPr>
      <w:r w:rsidRPr="004A59B1">
        <w:rPr>
          <w:color w:val="000000"/>
          <w:szCs w:val="22"/>
          <w:lang w:val="it-IT"/>
        </w:rPr>
        <w:t xml:space="preserve">Bolnikom, ki ne morejo pogoltniti filmsko obloženih tablet, lahko tablete raztopimo v kozarcu </w:t>
      </w:r>
      <w:r w:rsidR="00C15CFE" w:rsidRPr="004A59B1">
        <w:rPr>
          <w:color w:val="000000"/>
          <w:szCs w:val="22"/>
          <w:lang w:val="it-IT"/>
        </w:rPr>
        <w:t>navadne</w:t>
      </w:r>
      <w:r w:rsidRPr="004A59B1">
        <w:rPr>
          <w:color w:val="000000"/>
          <w:szCs w:val="22"/>
          <w:lang w:val="it-IT"/>
        </w:rPr>
        <w:t xml:space="preserve"> vode ali jabolčnega soka. Predpisano število tablet je treba dati v primerno količino napitka (približno 50 ml za tableto po 100 mg in 200 ml za tableto po 400 mg) in premešati z žlico. Suspenzijo je treba zaužiti takoj, ko se tableta (tablete) popolnoma razkroji (razkrojijo).</w:t>
      </w:r>
    </w:p>
    <w:p w14:paraId="52979D56" w14:textId="77777777" w:rsidR="00444D75" w:rsidRPr="004A59B1" w:rsidRDefault="00444D75" w:rsidP="009C1193">
      <w:pPr>
        <w:pStyle w:val="BodyText"/>
        <w:widowControl w:val="0"/>
        <w:spacing w:line="240" w:lineRule="auto"/>
        <w:rPr>
          <w:b w:val="0"/>
          <w:i w:val="0"/>
          <w:color w:val="000000"/>
          <w:szCs w:val="22"/>
          <w:lang w:val="it-IT"/>
        </w:rPr>
      </w:pPr>
    </w:p>
    <w:p w14:paraId="52979D57" w14:textId="77777777" w:rsidR="00412C09" w:rsidRPr="004A59B1" w:rsidRDefault="00412C09" w:rsidP="009C1193">
      <w:pPr>
        <w:keepNext/>
        <w:widowControl w:val="0"/>
        <w:spacing w:line="240" w:lineRule="auto"/>
        <w:jc w:val="both"/>
        <w:rPr>
          <w:color w:val="000000"/>
          <w:szCs w:val="22"/>
          <w:u w:val="single"/>
          <w:lang w:val="it-IT"/>
        </w:rPr>
      </w:pPr>
      <w:r w:rsidRPr="004A59B1">
        <w:rPr>
          <w:color w:val="000000"/>
          <w:szCs w:val="22"/>
          <w:u w:val="single"/>
          <w:lang w:val="it-IT"/>
        </w:rPr>
        <w:t xml:space="preserve">Odmerjanje pri </w:t>
      </w:r>
      <w:r w:rsidR="00677326" w:rsidRPr="004A59B1">
        <w:rPr>
          <w:color w:val="000000"/>
          <w:szCs w:val="22"/>
          <w:u w:val="single"/>
          <w:lang w:val="it-IT"/>
        </w:rPr>
        <w:t>KML</w:t>
      </w:r>
      <w:r w:rsidRPr="004A59B1">
        <w:rPr>
          <w:color w:val="000000"/>
          <w:szCs w:val="22"/>
          <w:u w:val="single"/>
          <w:lang w:val="it-IT"/>
        </w:rPr>
        <w:t xml:space="preserve"> pri odraslih bolnikih</w:t>
      </w:r>
    </w:p>
    <w:p w14:paraId="52979D58" w14:textId="77777777" w:rsidR="00412C09" w:rsidRPr="004A59B1" w:rsidRDefault="00412C09" w:rsidP="009C1193">
      <w:pPr>
        <w:pStyle w:val="BodyText"/>
        <w:widowControl w:val="0"/>
        <w:spacing w:line="240" w:lineRule="auto"/>
        <w:rPr>
          <w:b w:val="0"/>
          <w:i w:val="0"/>
          <w:snapToGrid w:val="0"/>
          <w:color w:val="000000"/>
          <w:szCs w:val="22"/>
          <w:lang w:val="it-IT"/>
        </w:rPr>
      </w:pPr>
      <w:r w:rsidRPr="004A59B1">
        <w:rPr>
          <w:b w:val="0"/>
          <w:i w:val="0"/>
          <w:color w:val="000000"/>
          <w:szCs w:val="22"/>
          <w:lang w:val="it-IT"/>
        </w:rPr>
        <w:t xml:space="preserve">Priporočeno odmerjanje zdravila Glivec za </w:t>
      </w:r>
      <w:r w:rsidR="00A26948" w:rsidRPr="004A59B1">
        <w:rPr>
          <w:b w:val="0"/>
          <w:i w:val="0"/>
          <w:color w:val="000000"/>
          <w:szCs w:val="22"/>
          <w:lang w:val="it-IT"/>
        </w:rPr>
        <w:t xml:space="preserve">odrasle </w:t>
      </w:r>
      <w:r w:rsidRPr="004A59B1">
        <w:rPr>
          <w:b w:val="0"/>
          <w:i w:val="0"/>
          <w:color w:val="000000"/>
          <w:szCs w:val="22"/>
          <w:lang w:val="it-IT"/>
        </w:rPr>
        <w:t xml:space="preserve">bolnike v kronični fazi </w:t>
      </w:r>
      <w:r w:rsidR="00677326" w:rsidRPr="004A59B1">
        <w:rPr>
          <w:b w:val="0"/>
          <w:i w:val="0"/>
          <w:color w:val="000000"/>
          <w:szCs w:val="22"/>
          <w:lang w:val="it-IT"/>
        </w:rPr>
        <w:t>KML</w:t>
      </w:r>
      <w:r w:rsidRPr="004A59B1">
        <w:rPr>
          <w:b w:val="0"/>
          <w:i w:val="0"/>
          <w:color w:val="000000"/>
          <w:szCs w:val="22"/>
          <w:lang w:val="it-IT"/>
        </w:rPr>
        <w:t xml:space="preserve"> je 400 mg/dan. Kronična faza </w:t>
      </w:r>
      <w:r w:rsidR="00677326" w:rsidRPr="004A59B1">
        <w:rPr>
          <w:b w:val="0"/>
          <w:i w:val="0"/>
          <w:color w:val="000000"/>
          <w:szCs w:val="22"/>
          <w:lang w:val="it-IT"/>
        </w:rPr>
        <w:t>KML</w:t>
      </w:r>
      <w:r w:rsidRPr="004A59B1">
        <w:rPr>
          <w:b w:val="0"/>
          <w:i w:val="0"/>
          <w:color w:val="000000"/>
          <w:szCs w:val="22"/>
          <w:lang w:val="it-IT"/>
        </w:rPr>
        <w:t xml:space="preserve"> je opredeljena z naslednjimi kriteriji</w:t>
      </w:r>
      <w:r w:rsidRPr="004A59B1">
        <w:rPr>
          <w:b w:val="0"/>
          <w:i w:val="0"/>
          <w:snapToGrid w:val="0"/>
          <w:color w:val="000000"/>
          <w:szCs w:val="22"/>
          <w:lang w:val="it-IT"/>
        </w:rPr>
        <w:t xml:space="preserve">: </w:t>
      </w:r>
      <w:r w:rsidRPr="004A59B1">
        <w:rPr>
          <w:b w:val="0"/>
          <w:i w:val="0"/>
          <w:color w:val="000000"/>
          <w:szCs w:val="22"/>
          <w:lang w:val="it-IT"/>
        </w:rPr>
        <w:t>blasti &lt; 15 % v krvi in kostnem mozgu, bazofilci v periferni krvi &lt; 20 %, trombociti &gt; 100 x 10</w:t>
      </w:r>
      <w:r w:rsidRPr="004A59B1">
        <w:rPr>
          <w:b w:val="0"/>
          <w:i w:val="0"/>
          <w:color w:val="000000"/>
          <w:szCs w:val="22"/>
          <w:vertAlign w:val="superscript"/>
          <w:lang w:val="it-IT"/>
        </w:rPr>
        <w:t>9</w:t>
      </w:r>
      <w:r w:rsidRPr="004A59B1">
        <w:rPr>
          <w:b w:val="0"/>
          <w:i w:val="0"/>
          <w:color w:val="000000"/>
          <w:szCs w:val="22"/>
          <w:lang w:val="it-IT"/>
        </w:rPr>
        <w:t>/l</w:t>
      </w:r>
      <w:r w:rsidRPr="004A59B1">
        <w:rPr>
          <w:b w:val="0"/>
          <w:i w:val="0"/>
          <w:snapToGrid w:val="0"/>
          <w:color w:val="000000"/>
          <w:szCs w:val="22"/>
          <w:lang w:val="it-IT"/>
        </w:rPr>
        <w:t>.</w:t>
      </w:r>
    </w:p>
    <w:p w14:paraId="52979D59" w14:textId="77777777" w:rsidR="00412C09" w:rsidRPr="004A59B1" w:rsidRDefault="00412C09" w:rsidP="009C1193">
      <w:pPr>
        <w:pStyle w:val="BodyText"/>
        <w:widowControl w:val="0"/>
        <w:spacing w:line="240" w:lineRule="auto"/>
        <w:rPr>
          <w:b w:val="0"/>
          <w:i w:val="0"/>
          <w:color w:val="000000"/>
          <w:szCs w:val="22"/>
          <w:lang w:val="it-IT"/>
        </w:rPr>
      </w:pPr>
    </w:p>
    <w:p w14:paraId="52979D5A" w14:textId="77777777" w:rsidR="00412C09" w:rsidRPr="004A59B1" w:rsidRDefault="00412C09" w:rsidP="009C1193">
      <w:pPr>
        <w:pStyle w:val="BodyText"/>
        <w:widowControl w:val="0"/>
        <w:spacing w:line="240" w:lineRule="auto"/>
        <w:rPr>
          <w:b w:val="0"/>
          <w:i w:val="0"/>
          <w:snapToGrid w:val="0"/>
          <w:color w:val="000000"/>
          <w:szCs w:val="22"/>
          <w:lang w:val="it-IT"/>
        </w:rPr>
      </w:pPr>
      <w:r w:rsidRPr="004A59B1">
        <w:rPr>
          <w:b w:val="0"/>
          <w:i w:val="0"/>
          <w:color w:val="000000"/>
          <w:szCs w:val="22"/>
          <w:lang w:val="it-IT"/>
        </w:rPr>
        <w:t xml:space="preserve">Priporočeno odmerjanje zdravila Glivec za </w:t>
      </w:r>
      <w:r w:rsidR="00A26948" w:rsidRPr="004A59B1">
        <w:rPr>
          <w:b w:val="0"/>
          <w:i w:val="0"/>
          <w:color w:val="000000"/>
          <w:szCs w:val="22"/>
          <w:lang w:val="it-IT"/>
        </w:rPr>
        <w:t xml:space="preserve">odrasle </w:t>
      </w:r>
      <w:r w:rsidRPr="004A59B1">
        <w:rPr>
          <w:b w:val="0"/>
          <w:i w:val="0"/>
          <w:color w:val="000000"/>
          <w:szCs w:val="22"/>
          <w:lang w:val="it-IT"/>
        </w:rPr>
        <w:t>bolnike v pospešeni fazi je 600 mg/dan. Pospešeno fazo opredeljuje eno ali več sledečih meril: blasti v krvi ali kostnem mozgu ≥ 15 %, vendar &lt; 30 %, blasti in promielociti skupaj ≥ 30 % v krvi ali kostnem mozgu (pogoj: blasti &lt; 30 %), bazofilci v periferni krvi ≥ 20 %, trombociti &lt; 100 x</w:t>
      </w:r>
      <w:r w:rsidRPr="004A59B1">
        <w:rPr>
          <w:i w:val="0"/>
          <w:color w:val="000000"/>
          <w:szCs w:val="22"/>
          <w:lang w:val="it-IT"/>
        </w:rPr>
        <w:t> </w:t>
      </w:r>
      <w:r w:rsidRPr="004A59B1">
        <w:rPr>
          <w:b w:val="0"/>
          <w:i w:val="0"/>
          <w:color w:val="000000"/>
          <w:szCs w:val="22"/>
          <w:lang w:val="it-IT"/>
        </w:rPr>
        <w:t>10</w:t>
      </w:r>
      <w:r w:rsidRPr="004A59B1">
        <w:rPr>
          <w:b w:val="0"/>
          <w:i w:val="0"/>
          <w:color w:val="000000"/>
          <w:szCs w:val="22"/>
          <w:vertAlign w:val="superscript"/>
          <w:lang w:val="it-IT"/>
        </w:rPr>
        <w:t>9</w:t>
      </w:r>
      <w:r w:rsidRPr="004A59B1">
        <w:rPr>
          <w:b w:val="0"/>
          <w:i w:val="0"/>
          <w:color w:val="000000"/>
          <w:szCs w:val="22"/>
          <w:lang w:val="it-IT"/>
        </w:rPr>
        <w:t>/l ne glede na zdravljenje</w:t>
      </w:r>
      <w:r w:rsidRPr="004A59B1">
        <w:rPr>
          <w:b w:val="0"/>
          <w:i w:val="0"/>
          <w:snapToGrid w:val="0"/>
          <w:color w:val="000000"/>
          <w:szCs w:val="22"/>
          <w:lang w:val="it-IT"/>
        </w:rPr>
        <w:t>.</w:t>
      </w:r>
    </w:p>
    <w:p w14:paraId="52979D5B" w14:textId="77777777" w:rsidR="00412C09" w:rsidRPr="004A59B1" w:rsidRDefault="00412C09" w:rsidP="009C1193">
      <w:pPr>
        <w:pStyle w:val="BodyText"/>
        <w:widowControl w:val="0"/>
        <w:spacing w:line="240" w:lineRule="auto"/>
        <w:rPr>
          <w:b w:val="0"/>
          <w:i w:val="0"/>
          <w:color w:val="000000"/>
          <w:szCs w:val="22"/>
          <w:lang w:val="it-IT"/>
        </w:rPr>
      </w:pPr>
    </w:p>
    <w:p w14:paraId="52979D5C" w14:textId="77777777" w:rsidR="00412C09" w:rsidRPr="004A59B1" w:rsidRDefault="00412C09" w:rsidP="009C1193">
      <w:pPr>
        <w:pStyle w:val="BodyText"/>
        <w:widowControl w:val="0"/>
        <w:spacing w:line="240" w:lineRule="auto"/>
        <w:rPr>
          <w:b w:val="0"/>
          <w:i w:val="0"/>
          <w:color w:val="000000"/>
          <w:szCs w:val="22"/>
          <w:lang w:val="it-IT"/>
        </w:rPr>
      </w:pPr>
      <w:r w:rsidRPr="004A59B1">
        <w:rPr>
          <w:b w:val="0"/>
          <w:i w:val="0"/>
          <w:color w:val="000000"/>
          <w:szCs w:val="22"/>
          <w:lang w:val="it-IT"/>
        </w:rPr>
        <w:t xml:space="preserve">Priporočeni odmerek zdravila Glivec za </w:t>
      </w:r>
      <w:r w:rsidR="00A26948" w:rsidRPr="004A59B1">
        <w:rPr>
          <w:b w:val="0"/>
          <w:i w:val="0"/>
          <w:color w:val="000000"/>
          <w:szCs w:val="22"/>
          <w:lang w:val="it-IT"/>
        </w:rPr>
        <w:t xml:space="preserve">odrasle </w:t>
      </w:r>
      <w:r w:rsidRPr="004A59B1">
        <w:rPr>
          <w:b w:val="0"/>
          <w:i w:val="0"/>
          <w:color w:val="000000"/>
          <w:szCs w:val="22"/>
          <w:lang w:val="it-IT"/>
        </w:rPr>
        <w:t>bolnike v blastni krizi je 600 mg/dan. Blastno krizo opredeljuje ≥ 30 % blastov v krvi ali kostnem mozgu ali ekstramedularna bolezen, ki ni hepatosplenomegalija</w:t>
      </w:r>
      <w:r w:rsidRPr="004A59B1">
        <w:rPr>
          <w:b w:val="0"/>
          <w:i w:val="0"/>
          <w:snapToGrid w:val="0"/>
          <w:color w:val="000000"/>
          <w:szCs w:val="22"/>
          <w:lang w:val="it-IT"/>
        </w:rPr>
        <w:t>.</w:t>
      </w:r>
    </w:p>
    <w:p w14:paraId="52979D5D" w14:textId="77777777" w:rsidR="00412C09" w:rsidRPr="004A59B1" w:rsidRDefault="00412C09" w:rsidP="009C1193">
      <w:pPr>
        <w:pStyle w:val="EndnoteText"/>
        <w:widowControl w:val="0"/>
        <w:tabs>
          <w:tab w:val="clear" w:pos="567"/>
        </w:tabs>
        <w:rPr>
          <w:color w:val="000000"/>
          <w:szCs w:val="22"/>
          <w:lang w:val="it-IT"/>
        </w:rPr>
      </w:pPr>
    </w:p>
    <w:p w14:paraId="52979D5E" w14:textId="77777777" w:rsidR="00412C09" w:rsidRPr="004A59B1" w:rsidRDefault="00412C09" w:rsidP="009C1193">
      <w:pPr>
        <w:pStyle w:val="EndnoteText"/>
        <w:widowControl w:val="0"/>
        <w:tabs>
          <w:tab w:val="clear" w:pos="567"/>
        </w:tabs>
        <w:rPr>
          <w:color w:val="000000"/>
          <w:szCs w:val="22"/>
          <w:lang w:val="it-IT"/>
        </w:rPr>
      </w:pPr>
      <w:r w:rsidRPr="004A59B1">
        <w:rPr>
          <w:color w:val="000000"/>
          <w:szCs w:val="22"/>
          <w:lang w:val="it-IT"/>
        </w:rPr>
        <w:t>Trajanje zdravljenja: V kliničnih preskušanjih so zdravljenje z zdravilom Glivec nadaljevali, dokler ni začela bolezen napredovati. Učinek prekinitve zdravljenja po doseženem popolnem citogenetičnem odzivu ni raziskan.</w:t>
      </w:r>
    </w:p>
    <w:p w14:paraId="52979D5F" w14:textId="77777777" w:rsidR="00412C09" w:rsidRPr="004A59B1" w:rsidRDefault="00412C09" w:rsidP="009C1193">
      <w:pPr>
        <w:pStyle w:val="EndnoteText"/>
        <w:widowControl w:val="0"/>
        <w:tabs>
          <w:tab w:val="clear" w:pos="567"/>
        </w:tabs>
        <w:rPr>
          <w:color w:val="000000"/>
          <w:szCs w:val="22"/>
          <w:lang w:val="it-IT"/>
        </w:rPr>
      </w:pPr>
    </w:p>
    <w:p w14:paraId="52979D60" w14:textId="77777777" w:rsidR="00412C09" w:rsidRPr="004A59B1" w:rsidRDefault="00412C09" w:rsidP="009C1193">
      <w:pPr>
        <w:pStyle w:val="EndnoteText"/>
        <w:widowControl w:val="0"/>
        <w:tabs>
          <w:tab w:val="clear" w:pos="567"/>
        </w:tabs>
        <w:rPr>
          <w:color w:val="000000"/>
          <w:szCs w:val="22"/>
          <w:lang w:val="it-IT"/>
        </w:rPr>
      </w:pPr>
      <w:r w:rsidRPr="004A59B1">
        <w:rPr>
          <w:color w:val="000000"/>
          <w:szCs w:val="22"/>
          <w:lang w:val="it-IT"/>
        </w:rPr>
        <w:t xml:space="preserve">Povečanje odmerka s 400 mg na 600 mg ali 800 mg pri bolnikih s kronično fazo bolezni ali s 600 mg </w:t>
      </w:r>
      <w:r w:rsidRPr="004A59B1">
        <w:rPr>
          <w:color w:val="000000"/>
          <w:szCs w:val="22"/>
          <w:lang w:val="it-IT"/>
        </w:rPr>
        <w:lastRenderedPageBreak/>
        <w:t>na največ 800 mg (odmerjanih po 400 mg dvakrat na dan) pri bolnikih v pospešeni fazi ali v blastni krizi lahko pride v poštev, če bolnik nima hude neželene reakcije na zdravilo in hude nevtropenije ali trombocitopenije, ki ni povezana z levkemijo, v sledečih okoliščinah: napredovanje bolezni (kadarkoli); odsotnost zadovoljivega hematološkega odziva po najmanj 3 mesecih zdravljenja; odsotnost citogenetičnega odziva po 12 mesecih zdravljenja; ali izguba že prej doseženega hematološkega in/ali citogenetičnega odziva. Po povečanju odmerka je treba bolnike natančno spremljati, ker pri večjih odmerkih obstaja možnost povečane pogostnosti neželenih reakcij.</w:t>
      </w:r>
    </w:p>
    <w:p w14:paraId="52979D61" w14:textId="77777777" w:rsidR="00412C09" w:rsidRPr="004A59B1" w:rsidRDefault="00412C09" w:rsidP="009C1193">
      <w:pPr>
        <w:pStyle w:val="EndnoteText"/>
        <w:widowControl w:val="0"/>
        <w:tabs>
          <w:tab w:val="clear" w:pos="567"/>
        </w:tabs>
        <w:rPr>
          <w:color w:val="000000"/>
          <w:szCs w:val="22"/>
          <w:lang w:val="it-IT"/>
        </w:rPr>
      </w:pPr>
    </w:p>
    <w:p w14:paraId="52979D62" w14:textId="77777777" w:rsidR="00412C09" w:rsidRPr="004A59B1" w:rsidRDefault="00412C09" w:rsidP="009C1193">
      <w:pPr>
        <w:pStyle w:val="EndnoteText"/>
        <w:keepNext/>
        <w:widowControl w:val="0"/>
        <w:tabs>
          <w:tab w:val="clear" w:pos="567"/>
        </w:tabs>
        <w:rPr>
          <w:color w:val="000000"/>
          <w:szCs w:val="22"/>
          <w:u w:val="single"/>
          <w:lang w:val="it-IT"/>
        </w:rPr>
      </w:pPr>
      <w:r w:rsidRPr="004A59B1">
        <w:rPr>
          <w:color w:val="000000"/>
          <w:szCs w:val="22"/>
          <w:u w:val="single"/>
          <w:lang w:val="it-IT"/>
        </w:rPr>
        <w:t xml:space="preserve">Odmerjanje pri </w:t>
      </w:r>
      <w:r w:rsidR="00677326" w:rsidRPr="004A59B1">
        <w:rPr>
          <w:color w:val="000000"/>
          <w:szCs w:val="22"/>
          <w:u w:val="single"/>
          <w:lang w:val="it-IT"/>
        </w:rPr>
        <w:t>KML</w:t>
      </w:r>
      <w:r w:rsidRPr="004A59B1">
        <w:rPr>
          <w:color w:val="000000"/>
          <w:szCs w:val="22"/>
          <w:u w:val="single"/>
          <w:lang w:val="it-IT"/>
        </w:rPr>
        <w:t xml:space="preserve"> pri otrocih</w:t>
      </w:r>
    </w:p>
    <w:p w14:paraId="52979D63" w14:textId="77777777" w:rsidR="00412C09" w:rsidRPr="004A59B1" w:rsidRDefault="00412C09" w:rsidP="009C1193">
      <w:pPr>
        <w:pStyle w:val="EndnoteText"/>
        <w:widowControl w:val="0"/>
        <w:tabs>
          <w:tab w:val="clear" w:pos="567"/>
        </w:tabs>
        <w:rPr>
          <w:color w:val="000000"/>
          <w:szCs w:val="22"/>
          <w:lang w:val="it-IT"/>
        </w:rPr>
      </w:pPr>
      <w:r w:rsidRPr="004A59B1">
        <w:rPr>
          <w:color w:val="000000"/>
          <w:szCs w:val="22"/>
          <w:lang w:val="it-IT"/>
        </w:rPr>
        <w:t>Odmerjanje za otroke mora temeljiti na telesni površini (mg/m</w:t>
      </w:r>
      <w:r w:rsidRPr="004A59B1">
        <w:rPr>
          <w:color w:val="000000"/>
          <w:szCs w:val="22"/>
          <w:vertAlign w:val="superscript"/>
          <w:lang w:val="it-IT"/>
        </w:rPr>
        <w:t>2</w:t>
      </w:r>
      <w:r w:rsidRPr="004A59B1">
        <w:rPr>
          <w:color w:val="000000"/>
          <w:szCs w:val="22"/>
          <w:lang w:val="it-IT"/>
        </w:rPr>
        <w:t xml:space="preserve">). Za otroke s kronično fazo </w:t>
      </w:r>
      <w:r w:rsidR="00677326" w:rsidRPr="004A59B1">
        <w:rPr>
          <w:color w:val="000000"/>
          <w:szCs w:val="22"/>
          <w:lang w:val="it-IT"/>
        </w:rPr>
        <w:t>KML</w:t>
      </w:r>
      <w:r w:rsidRPr="004A59B1">
        <w:rPr>
          <w:color w:val="000000"/>
          <w:szCs w:val="22"/>
          <w:lang w:val="it-IT"/>
        </w:rPr>
        <w:t xml:space="preserve"> oziroma z napredovalimi fazami </w:t>
      </w:r>
      <w:r w:rsidR="00677326" w:rsidRPr="004A59B1">
        <w:rPr>
          <w:color w:val="000000"/>
          <w:szCs w:val="22"/>
          <w:lang w:val="it-IT"/>
        </w:rPr>
        <w:t>KML</w:t>
      </w:r>
      <w:r w:rsidRPr="004A59B1">
        <w:rPr>
          <w:color w:val="000000"/>
          <w:szCs w:val="22"/>
          <w:lang w:val="it-IT"/>
        </w:rPr>
        <w:t xml:space="preserve"> je priporočeni odmerek 340 mg/m</w:t>
      </w:r>
      <w:r w:rsidRPr="004A59B1">
        <w:rPr>
          <w:color w:val="000000"/>
          <w:szCs w:val="22"/>
          <w:vertAlign w:val="superscript"/>
          <w:lang w:val="it-IT"/>
        </w:rPr>
        <w:t>2</w:t>
      </w:r>
      <w:r w:rsidRPr="004A59B1">
        <w:rPr>
          <w:color w:val="000000"/>
          <w:szCs w:val="22"/>
          <w:lang w:val="it-IT"/>
        </w:rPr>
        <w:t xml:space="preserve"> na dan (ne sme preseči celotnega odmerka 800 mg). Zdravljenje lahko poteka v obliki enega samega odmerka </w:t>
      </w:r>
      <w:r w:rsidR="006A40E1" w:rsidRPr="004A59B1">
        <w:rPr>
          <w:color w:val="000000"/>
          <w:szCs w:val="22"/>
          <w:lang w:val="it-IT"/>
        </w:rPr>
        <w:t xml:space="preserve">na dan </w:t>
      </w:r>
      <w:r w:rsidRPr="004A59B1">
        <w:rPr>
          <w:color w:val="000000"/>
          <w:szCs w:val="22"/>
          <w:lang w:val="it-IT"/>
        </w:rPr>
        <w:t>ali pa dnevni odmerek razdelimo na dva – enega zjutraj in enega zvečer. Priporočila za odmerjanje trenutno temeljijo na majhnem številu pediatričnih bolnikov (glejte poglavji 5.1 in 5.2). Z zdravljenjem otrok, mlajših od 2 let, ni nobenih izkušenj.</w:t>
      </w:r>
    </w:p>
    <w:p w14:paraId="52979D64" w14:textId="77777777" w:rsidR="00412C09" w:rsidRPr="004A59B1" w:rsidRDefault="00412C09" w:rsidP="009C1193">
      <w:pPr>
        <w:pStyle w:val="EndnoteText"/>
        <w:widowControl w:val="0"/>
        <w:tabs>
          <w:tab w:val="clear" w:pos="567"/>
        </w:tabs>
        <w:rPr>
          <w:color w:val="000000"/>
          <w:szCs w:val="22"/>
          <w:lang w:val="it-IT"/>
        </w:rPr>
      </w:pPr>
    </w:p>
    <w:p w14:paraId="52979D65" w14:textId="77777777" w:rsidR="00412C09" w:rsidRPr="004A59B1" w:rsidRDefault="00412C09" w:rsidP="009C1193">
      <w:pPr>
        <w:pStyle w:val="EndnoteText"/>
        <w:widowControl w:val="0"/>
        <w:tabs>
          <w:tab w:val="clear" w:pos="567"/>
        </w:tabs>
        <w:rPr>
          <w:color w:val="000000"/>
          <w:szCs w:val="22"/>
          <w:lang w:val="it-IT"/>
        </w:rPr>
      </w:pPr>
      <w:r w:rsidRPr="004A59B1">
        <w:rPr>
          <w:color w:val="000000"/>
          <w:szCs w:val="22"/>
          <w:lang w:val="it-IT"/>
        </w:rPr>
        <w:t>Povečanje odmerka s 340 mg/m</w:t>
      </w:r>
      <w:r w:rsidRPr="004A59B1">
        <w:rPr>
          <w:color w:val="000000"/>
          <w:szCs w:val="22"/>
          <w:vertAlign w:val="superscript"/>
          <w:lang w:val="it-IT"/>
        </w:rPr>
        <w:t>2</w:t>
      </w:r>
      <w:r w:rsidRPr="004A59B1">
        <w:rPr>
          <w:color w:val="000000"/>
          <w:szCs w:val="22"/>
          <w:lang w:val="it-IT"/>
        </w:rPr>
        <w:t xml:space="preserve"> </w:t>
      </w:r>
      <w:r w:rsidR="006A40E1" w:rsidRPr="004A59B1">
        <w:rPr>
          <w:color w:val="000000"/>
          <w:szCs w:val="22"/>
          <w:lang w:val="it-IT"/>
        </w:rPr>
        <w:t xml:space="preserve">na dan </w:t>
      </w:r>
      <w:r w:rsidRPr="004A59B1">
        <w:rPr>
          <w:color w:val="000000"/>
          <w:szCs w:val="22"/>
          <w:lang w:val="it-IT"/>
        </w:rPr>
        <w:t>na 570 mg/m</w:t>
      </w:r>
      <w:r w:rsidRPr="004A59B1">
        <w:rPr>
          <w:color w:val="000000"/>
          <w:szCs w:val="22"/>
          <w:vertAlign w:val="superscript"/>
          <w:lang w:val="it-IT"/>
        </w:rPr>
        <w:t>2</w:t>
      </w:r>
      <w:r w:rsidRPr="004A59B1">
        <w:rPr>
          <w:color w:val="000000"/>
          <w:szCs w:val="22"/>
          <w:lang w:val="it-IT"/>
        </w:rPr>
        <w:t xml:space="preserve"> </w:t>
      </w:r>
      <w:r w:rsidR="006A40E1" w:rsidRPr="004A59B1">
        <w:rPr>
          <w:color w:val="000000"/>
          <w:szCs w:val="22"/>
          <w:lang w:val="it-IT"/>
        </w:rPr>
        <w:t xml:space="preserve">na dan </w:t>
      </w:r>
      <w:r w:rsidRPr="004A59B1">
        <w:rPr>
          <w:color w:val="000000"/>
          <w:szCs w:val="22"/>
          <w:lang w:val="it-IT"/>
        </w:rPr>
        <w:t xml:space="preserve">(ne sme preseči celotnega odmerka 800 mg) pride v poštev pri otrocih, ki nimajo hudih neželenih učinkov na zdravilo in hude nevtropenije ali trombocitopenije, ki </w:t>
      </w:r>
      <w:r w:rsidR="00E564C9" w:rsidRPr="004A59B1">
        <w:rPr>
          <w:color w:val="000000"/>
          <w:szCs w:val="22"/>
          <w:lang w:val="it-IT"/>
        </w:rPr>
        <w:t>ni</w:t>
      </w:r>
      <w:r w:rsidRPr="004A59B1">
        <w:rPr>
          <w:color w:val="000000"/>
          <w:szCs w:val="22"/>
          <w:lang w:val="it-IT"/>
        </w:rPr>
        <w:t xml:space="preserve"> povezana z levkemijo, in sicer v sledečih okoliščinah: napredovanje bolezni (kadarkoli); odsotnost zadovoljivega hematološkega odziva po najmanj 3 mesecih zdravljenja; odsotnost citogenetičnega odziva po 12 mesecih zdravljenja; ali izguba že prej doseženega hematološkega ali citogenetičnega odziva ali obojega. Po povečanju odmerka je treba bolnike natančno spremljati, ker pri večjih odmerkih obstaja možnost povečane pogostnosti neželenih učinkov.</w:t>
      </w:r>
    </w:p>
    <w:p w14:paraId="52979D66" w14:textId="77777777" w:rsidR="00412C09" w:rsidRPr="004A59B1" w:rsidRDefault="00412C09" w:rsidP="009C1193">
      <w:pPr>
        <w:pStyle w:val="EndnoteText"/>
        <w:widowControl w:val="0"/>
        <w:tabs>
          <w:tab w:val="clear" w:pos="567"/>
        </w:tabs>
        <w:rPr>
          <w:color w:val="000000"/>
          <w:szCs w:val="22"/>
          <w:lang w:val="it-IT"/>
        </w:rPr>
      </w:pPr>
    </w:p>
    <w:p w14:paraId="52979D67" w14:textId="77777777" w:rsidR="00412C09" w:rsidRPr="004A59B1" w:rsidRDefault="00412C09" w:rsidP="009C1193">
      <w:pPr>
        <w:pStyle w:val="EndnoteText"/>
        <w:keepNext/>
        <w:widowControl w:val="0"/>
        <w:tabs>
          <w:tab w:val="clear" w:pos="567"/>
        </w:tabs>
        <w:rPr>
          <w:color w:val="000000"/>
          <w:szCs w:val="22"/>
          <w:u w:val="single"/>
          <w:lang w:val="it-IT"/>
        </w:rPr>
      </w:pPr>
      <w:r w:rsidRPr="004A59B1">
        <w:rPr>
          <w:color w:val="000000"/>
          <w:szCs w:val="22"/>
          <w:u w:val="single"/>
          <w:lang w:val="it-IT"/>
        </w:rPr>
        <w:t>Odmerjanje pri Ph+ ALL</w:t>
      </w:r>
      <w:r w:rsidR="005F3C8F" w:rsidRPr="004A59B1">
        <w:rPr>
          <w:color w:val="000000"/>
          <w:szCs w:val="22"/>
          <w:u w:val="single"/>
          <w:lang w:val="pl-PL"/>
        </w:rPr>
        <w:t xml:space="preserve"> pri odraslih bolnikih</w:t>
      </w:r>
    </w:p>
    <w:p w14:paraId="52979D68" w14:textId="77777777" w:rsidR="00412C09" w:rsidRPr="004A59B1" w:rsidRDefault="00412C09" w:rsidP="009C1193">
      <w:pPr>
        <w:pStyle w:val="EndnoteText"/>
        <w:widowControl w:val="0"/>
        <w:tabs>
          <w:tab w:val="clear" w:pos="567"/>
        </w:tabs>
        <w:rPr>
          <w:color w:val="000000"/>
          <w:szCs w:val="22"/>
          <w:lang w:val="it-IT"/>
        </w:rPr>
      </w:pPr>
      <w:r w:rsidRPr="004A59B1">
        <w:rPr>
          <w:color w:val="000000"/>
          <w:szCs w:val="22"/>
          <w:lang w:val="it-IT"/>
        </w:rPr>
        <w:t xml:space="preserve">Priporočeni odmerek zdravila Glivec pri </w:t>
      </w:r>
      <w:r w:rsidR="00A26948" w:rsidRPr="004A59B1">
        <w:rPr>
          <w:color w:val="000000"/>
          <w:szCs w:val="22"/>
          <w:lang w:val="it-IT"/>
        </w:rPr>
        <w:t xml:space="preserve">odrasle </w:t>
      </w:r>
      <w:r w:rsidRPr="004A59B1">
        <w:rPr>
          <w:color w:val="000000"/>
          <w:szCs w:val="22"/>
          <w:lang w:val="it-IT"/>
        </w:rPr>
        <w:t>bolnikih s Ph+ ALL je 600 mg/dan. V vseh fazah naj zdravljenje nadzira hematolog, strokovnjak za vodenje te bolezni.</w:t>
      </w:r>
    </w:p>
    <w:p w14:paraId="52979D69" w14:textId="77777777" w:rsidR="00412C09" w:rsidRPr="004A59B1" w:rsidRDefault="00412C09" w:rsidP="009C1193">
      <w:pPr>
        <w:pStyle w:val="EndnoteText"/>
        <w:widowControl w:val="0"/>
        <w:tabs>
          <w:tab w:val="clear" w:pos="567"/>
        </w:tabs>
        <w:rPr>
          <w:color w:val="000000"/>
          <w:szCs w:val="22"/>
          <w:lang w:val="it-IT"/>
        </w:rPr>
      </w:pPr>
    </w:p>
    <w:p w14:paraId="52979D6A" w14:textId="77777777" w:rsidR="00412C09" w:rsidRPr="004A59B1" w:rsidRDefault="00412C09" w:rsidP="009C1193">
      <w:pPr>
        <w:pStyle w:val="EndnoteText"/>
        <w:widowControl w:val="0"/>
        <w:tabs>
          <w:tab w:val="clear" w:pos="567"/>
        </w:tabs>
        <w:rPr>
          <w:rFonts w:eastAsia="MS Mincho"/>
          <w:color w:val="000000"/>
          <w:lang w:val="it-IT" w:eastAsia="ja-JP"/>
        </w:rPr>
      </w:pPr>
      <w:r w:rsidRPr="004A59B1">
        <w:rPr>
          <w:color w:val="000000"/>
          <w:szCs w:val="22"/>
          <w:lang w:val="it-IT"/>
        </w:rPr>
        <w:t xml:space="preserve">Razpored zdravljenja: Na osnovi obstoječih podatkov se je zdravilo Glivec izkazalo kot učinkovito in varno zdravilo, če je bilo pri odraslih bolnikih z novo diagnosticirano </w:t>
      </w:r>
      <w:r w:rsidRPr="004A59B1">
        <w:rPr>
          <w:rFonts w:eastAsia="MS Mincho"/>
          <w:color w:val="000000"/>
          <w:lang w:val="it-IT" w:eastAsia="ja-JP"/>
        </w:rPr>
        <w:t>Ph+ALL</w:t>
      </w:r>
      <w:r w:rsidRPr="004A59B1">
        <w:rPr>
          <w:color w:val="000000"/>
          <w:szCs w:val="22"/>
          <w:lang w:val="it-IT"/>
        </w:rPr>
        <w:t xml:space="preserve"> uporabljeno v odmerku </w:t>
      </w:r>
      <w:r w:rsidRPr="004A59B1">
        <w:rPr>
          <w:rFonts w:eastAsia="MS Mincho"/>
          <w:color w:val="000000"/>
          <w:lang w:val="it-IT" w:eastAsia="ja-JP"/>
        </w:rPr>
        <w:t>600 mg/dan v kombinaciji s kemoterapijo v začetni fazi, konsolidacijski in vzdrževalni fazi kemoterapije (glejte poglavje 5.1). Trajanje zdravljenja z zdravilom Glivec je lahko različno glede na izbrani program zdravljenja, vendar pa je na splošno daljša izpostavljenost zdravilu Glivec prinesla boljše rezultate.</w:t>
      </w:r>
    </w:p>
    <w:p w14:paraId="52979D6B" w14:textId="77777777" w:rsidR="00412C09" w:rsidRPr="004A59B1" w:rsidRDefault="00412C09" w:rsidP="009C1193">
      <w:pPr>
        <w:pStyle w:val="EndnoteText"/>
        <w:widowControl w:val="0"/>
        <w:tabs>
          <w:tab w:val="clear" w:pos="567"/>
        </w:tabs>
        <w:rPr>
          <w:color w:val="000000"/>
          <w:szCs w:val="22"/>
          <w:lang w:val="it-IT"/>
        </w:rPr>
      </w:pPr>
    </w:p>
    <w:p w14:paraId="52979D6C" w14:textId="77777777" w:rsidR="00412C09" w:rsidRPr="004A59B1" w:rsidRDefault="00412C09" w:rsidP="009C1193">
      <w:pPr>
        <w:widowControl w:val="0"/>
        <w:rPr>
          <w:rFonts w:eastAsia="MS Mincho"/>
          <w:color w:val="000000"/>
          <w:lang w:val="it-IT" w:eastAsia="ja-JP"/>
        </w:rPr>
      </w:pPr>
      <w:r w:rsidRPr="004A59B1">
        <w:rPr>
          <w:rFonts w:eastAsia="MS Mincho"/>
          <w:color w:val="000000"/>
          <w:lang w:val="it-IT" w:eastAsia="ja-JP"/>
        </w:rPr>
        <w:t xml:space="preserve">Za odrasle bolnike </w:t>
      </w:r>
      <w:r w:rsidRPr="004A59B1">
        <w:rPr>
          <w:color w:val="000000"/>
          <w:szCs w:val="22"/>
          <w:lang w:val="it-IT"/>
        </w:rPr>
        <w:t>z relapsom ali neodzivno Ph+ ALL je zdravilo Glivec kot monoterapija v odmerku</w:t>
      </w:r>
      <w:r w:rsidRPr="004A59B1">
        <w:rPr>
          <w:rFonts w:eastAsia="MS Mincho"/>
          <w:color w:val="000000"/>
          <w:lang w:val="it-IT" w:eastAsia="ja-JP"/>
        </w:rPr>
        <w:t xml:space="preserve"> 600 mg/dan varno in učinkovito ter ga lahko prejemajo dokler ne pride do napredovanja bolezni.</w:t>
      </w:r>
    </w:p>
    <w:p w14:paraId="52979D6D" w14:textId="77777777" w:rsidR="00412C09" w:rsidRPr="004A59B1" w:rsidRDefault="00412C09" w:rsidP="009C1193">
      <w:pPr>
        <w:pStyle w:val="EndnoteText"/>
        <w:widowControl w:val="0"/>
        <w:tabs>
          <w:tab w:val="clear" w:pos="567"/>
        </w:tabs>
        <w:rPr>
          <w:color w:val="000000"/>
          <w:szCs w:val="22"/>
          <w:u w:val="single"/>
          <w:lang w:val="it-IT"/>
        </w:rPr>
      </w:pPr>
    </w:p>
    <w:p w14:paraId="52979D6E" w14:textId="77777777" w:rsidR="005F3C8F" w:rsidRPr="004A59B1" w:rsidRDefault="005F3C8F" w:rsidP="009C1193">
      <w:pPr>
        <w:keepNext/>
        <w:widowControl w:val="0"/>
        <w:rPr>
          <w:rFonts w:eastAsia="MS Mincho"/>
          <w:color w:val="000000"/>
          <w:u w:val="single"/>
          <w:lang w:val="pl-PL" w:eastAsia="ja-JP"/>
        </w:rPr>
      </w:pPr>
      <w:r w:rsidRPr="004A59B1">
        <w:rPr>
          <w:rFonts w:eastAsia="MS Mincho"/>
          <w:color w:val="000000"/>
          <w:u w:val="single"/>
          <w:lang w:val="pl-PL" w:eastAsia="ja-JP"/>
        </w:rPr>
        <w:t>Odmerjanje pri Ph+ ALL pri otrocih</w:t>
      </w:r>
    </w:p>
    <w:p w14:paraId="52979D6F" w14:textId="77777777" w:rsidR="005F3C8F" w:rsidRPr="004A59B1" w:rsidRDefault="005F3C8F" w:rsidP="009C1193">
      <w:pPr>
        <w:pStyle w:val="EndnoteText"/>
        <w:widowControl w:val="0"/>
        <w:tabs>
          <w:tab w:val="clear" w:pos="567"/>
        </w:tabs>
        <w:rPr>
          <w:color w:val="000000"/>
          <w:szCs w:val="22"/>
          <w:lang w:val="pl-PL"/>
        </w:rPr>
      </w:pPr>
      <w:r w:rsidRPr="004A59B1">
        <w:rPr>
          <w:color w:val="000000"/>
          <w:szCs w:val="22"/>
          <w:lang w:val="pl-PL"/>
        </w:rPr>
        <w:t>Odmerjanje za otroke mora temeljiti na telesni površini (mg/m</w:t>
      </w:r>
      <w:r w:rsidRPr="004A59B1">
        <w:rPr>
          <w:color w:val="000000"/>
          <w:szCs w:val="22"/>
          <w:vertAlign w:val="superscript"/>
          <w:lang w:val="pl-PL"/>
        </w:rPr>
        <w:t>2</w:t>
      </w:r>
      <w:r w:rsidRPr="004A59B1">
        <w:rPr>
          <w:color w:val="000000"/>
          <w:szCs w:val="22"/>
          <w:lang w:val="pl-PL"/>
        </w:rPr>
        <w:t>). Za otroke s Ph+ ALL je priporočeni odmerek 340 mg/m</w:t>
      </w:r>
      <w:r w:rsidRPr="004A59B1">
        <w:rPr>
          <w:color w:val="000000"/>
          <w:szCs w:val="22"/>
          <w:vertAlign w:val="superscript"/>
          <w:lang w:val="pl-PL"/>
        </w:rPr>
        <w:t>2</w:t>
      </w:r>
      <w:r w:rsidRPr="004A59B1">
        <w:rPr>
          <w:color w:val="000000"/>
          <w:szCs w:val="22"/>
          <w:lang w:val="pl-PL"/>
        </w:rPr>
        <w:t xml:space="preserve"> na dan (ne sme preseči celotnega odmerka 600 mg).</w:t>
      </w:r>
    </w:p>
    <w:p w14:paraId="52979D70" w14:textId="77777777" w:rsidR="005F3C8F" w:rsidRPr="004A59B1" w:rsidRDefault="005F3C8F" w:rsidP="009C1193">
      <w:pPr>
        <w:pStyle w:val="EndnoteText"/>
        <w:widowControl w:val="0"/>
        <w:tabs>
          <w:tab w:val="clear" w:pos="567"/>
        </w:tabs>
        <w:rPr>
          <w:color w:val="000000"/>
          <w:szCs w:val="22"/>
          <w:u w:val="single"/>
          <w:lang w:val="pl-PL"/>
        </w:rPr>
      </w:pPr>
    </w:p>
    <w:p w14:paraId="52979D71" w14:textId="77777777" w:rsidR="00412C09" w:rsidRPr="004A59B1" w:rsidRDefault="00412C09" w:rsidP="009C1193">
      <w:pPr>
        <w:pStyle w:val="EndnoteText"/>
        <w:keepNext/>
        <w:widowControl w:val="0"/>
        <w:tabs>
          <w:tab w:val="clear" w:pos="567"/>
        </w:tabs>
        <w:rPr>
          <w:color w:val="000000"/>
          <w:szCs w:val="22"/>
          <w:u w:val="single"/>
          <w:lang w:val="pl-PL"/>
        </w:rPr>
      </w:pPr>
      <w:r w:rsidRPr="004A59B1">
        <w:rPr>
          <w:color w:val="000000"/>
          <w:szCs w:val="22"/>
          <w:u w:val="single"/>
          <w:lang w:val="pl-PL"/>
        </w:rPr>
        <w:t>Odmerjanje pri MDS/MPD</w:t>
      </w:r>
    </w:p>
    <w:p w14:paraId="52979D72" w14:textId="77777777" w:rsidR="00412C09" w:rsidRPr="004A59B1" w:rsidRDefault="00412C09" w:rsidP="009C1193">
      <w:pPr>
        <w:pStyle w:val="EndnoteText"/>
        <w:widowControl w:val="0"/>
        <w:tabs>
          <w:tab w:val="clear" w:pos="567"/>
        </w:tabs>
        <w:rPr>
          <w:color w:val="000000"/>
          <w:szCs w:val="22"/>
          <w:lang w:val="pl-PL"/>
        </w:rPr>
      </w:pPr>
      <w:r w:rsidRPr="004A59B1">
        <w:rPr>
          <w:color w:val="000000"/>
          <w:szCs w:val="22"/>
          <w:lang w:val="pl-PL"/>
        </w:rPr>
        <w:t xml:space="preserve">Priporočeni odmerek zdravila Glivec pri </w:t>
      </w:r>
      <w:r w:rsidR="00A26948" w:rsidRPr="004A59B1">
        <w:rPr>
          <w:color w:val="000000"/>
          <w:szCs w:val="22"/>
          <w:lang w:val="pl-PL"/>
        </w:rPr>
        <w:t xml:space="preserve">odraslih </w:t>
      </w:r>
      <w:r w:rsidRPr="004A59B1">
        <w:rPr>
          <w:color w:val="000000"/>
          <w:szCs w:val="22"/>
          <w:lang w:val="pl-PL"/>
        </w:rPr>
        <w:t>bolnikih z MDS/MPD je 400 mg/dan.</w:t>
      </w:r>
    </w:p>
    <w:p w14:paraId="52979D73" w14:textId="77777777" w:rsidR="00412C09" w:rsidRPr="004A59B1" w:rsidRDefault="00412C09" w:rsidP="009C1193">
      <w:pPr>
        <w:pStyle w:val="EndnoteText"/>
        <w:widowControl w:val="0"/>
        <w:tabs>
          <w:tab w:val="clear" w:pos="567"/>
        </w:tabs>
        <w:rPr>
          <w:color w:val="000000"/>
          <w:szCs w:val="22"/>
          <w:u w:val="single"/>
          <w:lang w:val="pl-PL"/>
        </w:rPr>
      </w:pPr>
    </w:p>
    <w:p w14:paraId="52979D74" w14:textId="77777777" w:rsidR="00412C09" w:rsidRPr="004A59B1" w:rsidRDefault="00412C09" w:rsidP="009C1193">
      <w:pPr>
        <w:pStyle w:val="EndnoteText"/>
        <w:widowControl w:val="0"/>
        <w:tabs>
          <w:tab w:val="clear" w:pos="567"/>
        </w:tabs>
        <w:rPr>
          <w:color w:val="000000"/>
          <w:szCs w:val="22"/>
          <w:lang w:val="es-ES"/>
        </w:rPr>
      </w:pPr>
      <w:r w:rsidRPr="004A59B1">
        <w:rPr>
          <w:color w:val="000000"/>
          <w:szCs w:val="22"/>
          <w:lang w:val="pl-PL"/>
        </w:rPr>
        <w:t xml:space="preserve">Trajanje zdravljenja: V edinem do zdaj izvedenem kliničnem preskušanju so zdravljenje z zdravilom Glivec nadaljevali do napredovanja bolezni (glejte poglavje 5.1). </w:t>
      </w:r>
      <w:r w:rsidRPr="004A59B1">
        <w:rPr>
          <w:color w:val="000000"/>
          <w:szCs w:val="22"/>
          <w:lang w:val="es-ES"/>
        </w:rPr>
        <w:t>V času analize je bila mediana trajanja zdravljenja 47 mesecev (24 dni - 60 mesecev).</w:t>
      </w:r>
    </w:p>
    <w:p w14:paraId="52979D75" w14:textId="77777777" w:rsidR="00412C09" w:rsidRPr="004A59B1" w:rsidRDefault="00412C09" w:rsidP="009C1193">
      <w:pPr>
        <w:pStyle w:val="EndnoteText"/>
        <w:widowControl w:val="0"/>
        <w:tabs>
          <w:tab w:val="clear" w:pos="567"/>
        </w:tabs>
        <w:rPr>
          <w:color w:val="000000"/>
          <w:szCs w:val="22"/>
          <w:u w:val="single"/>
          <w:lang w:val="es-ES"/>
        </w:rPr>
      </w:pPr>
    </w:p>
    <w:p w14:paraId="52979D76" w14:textId="77777777" w:rsidR="00412C09" w:rsidRPr="004A59B1" w:rsidRDefault="00412C09" w:rsidP="009C1193">
      <w:pPr>
        <w:pStyle w:val="EndnoteText"/>
        <w:keepNext/>
        <w:widowControl w:val="0"/>
        <w:tabs>
          <w:tab w:val="clear" w:pos="567"/>
        </w:tabs>
        <w:rPr>
          <w:color w:val="000000"/>
          <w:szCs w:val="22"/>
          <w:u w:val="single"/>
          <w:lang w:val="es-ES"/>
        </w:rPr>
      </w:pPr>
      <w:r w:rsidRPr="004A59B1">
        <w:rPr>
          <w:color w:val="000000"/>
          <w:szCs w:val="22"/>
          <w:u w:val="single"/>
          <w:lang w:val="es-ES"/>
        </w:rPr>
        <w:t>Odmerjanje pri HES/CEL</w:t>
      </w:r>
    </w:p>
    <w:p w14:paraId="52979D77" w14:textId="77777777" w:rsidR="00412C09" w:rsidRPr="004A59B1" w:rsidRDefault="00412C09" w:rsidP="009C1193">
      <w:pPr>
        <w:pStyle w:val="EndnoteText"/>
        <w:widowControl w:val="0"/>
        <w:tabs>
          <w:tab w:val="clear" w:pos="567"/>
        </w:tabs>
        <w:rPr>
          <w:color w:val="000000"/>
          <w:szCs w:val="22"/>
          <w:lang w:val="es-ES"/>
        </w:rPr>
      </w:pPr>
      <w:r w:rsidRPr="004A59B1">
        <w:rPr>
          <w:color w:val="000000"/>
          <w:szCs w:val="22"/>
          <w:lang w:val="es-ES"/>
        </w:rPr>
        <w:t xml:space="preserve">Priporočeni odmerek zdravila Glivec pri </w:t>
      </w:r>
      <w:r w:rsidR="00A26948" w:rsidRPr="004A59B1">
        <w:rPr>
          <w:color w:val="000000"/>
          <w:szCs w:val="22"/>
          <w:lang w:val="es-ES"/>
        </w:rPr>
        <w:t xml:space="preserve">odraslih </w:t>
      </w:r>
      <w:r w:rsidRPr="004A59B1">
        <w:rPr>
          <w:color w:val="000000"/>
          <w:szCs w:val="22"/>
          <w:lang w:val="es-ES"/>
        </w:rPr>
        <w:t>bolnikih s HES/CEL je 100 mg/dan.</w:t>
      </w:r>
    </w:p>
    <w:p w14:paraId="52979D78" w14:textId="77777777" w:rsidR="00412C09" w:rsidRPr="004A59B1" w:rsidRDefault="00412C09" w:rsidP="009C1193">
      <w:pPr>
        <w:pStyle w:val="EndnoteText"/>
        <w:widowControl w:val="0"/>
        <w:tabs>
          <w:tab w:val="clear" w:pos="567"/>
        </w:tabs>
        <w:rPr>
          <w:color w:val="000000"/>
          <w:szCs w:val="22"/>
          <w:lang w:val="es-ES"/>
        </w:rPr>
      </w:pPr>
    </w:p>
    <w:p w14:paraId="52979D79" w14:textId="77777777" w:rsidR="00412C09" w:rsidRPr="004A59B1" w:rsidRDefault="00412C09" w:rsidP="009C1193">
      <w:pPr>
        <w:pStyle w:val="EndnoteText"/>
        <w:widowControl w:val="0"/>
        <w:tabs>
          <w:tab w:val="clear" w:pos="567"/>
        </w:tabs>
        <w:rPr>
          <w:color w:val="000000"/>
          <w:szCs w:val="22"/>
          <w:lang w:val="es-ES"/>
        </w:rPr>
      </w:pPr>
      <w:r w:rsidRPr="004A59B1">
        <w:rPr>
          <w:color w:val="000000"/>
          <w:szCs w:val="22"/>
          <w:lang w:val="es-ES"/>
        </w:rPr>
        <w:t>Če se ugotovi nezadosten odziv na zdravljenje, pri tem pa ni nobenih neželenih učinkov, velja pri takih bolnikih razmisliti o povečanju odmerka s 100 mg na 400 mg.</w:t>
      </w:r>
    </w:p>
    <w:p w14:paraId="52979D7A" w14:textId="77777777" w:rsidR="00412C09" w:rsidRPr="004A59B1" w:rsidRDefault="00412C09" w:rsidP="009C1193">
      <w:pPr>
        <w:pStyle w:val="Text"/>
        <w:widowControl w:val="0"/>
        <w:spacing w:before="0"/>
        <w:jc w:val="left"/>
        <w:rPr>
          <w:color w:val="000000"/>
          <w:sz w:val="22"/>
          <w:szCs w:val="22"/>
          <w:lang w:val="es-ES"/>
        </w:rPr>
      </w:pPr>
    </w:p>
    <w:p w14:paraId="52979D7B" w14:textId="77777777" w:rsidR="00412C09" w:rsidRPr="004A59B1" w:rsidRDefault="00412C09" w:rsidP="009C1193">
      <w:pPr>
        <w:pStyle w:val="Text"/>
        <w:widowControl w:val="0"/>
        <w:spacing w:before="0"/>
        <w:jc w:val="left"/>
        <w:rPr>
          <w:color w:val="000000"/>
          <w:sz w:val="22"/>
          <w:szCs w:val="22"/>
          <w:lang w:val="pl-PL"/>
        </w:rPr>
      </w:pPr>
      <w:r w:rsidRPr="004A59B1">
        <w:rPr>
          <w:color w:val="000000"/>
          <w:sz w:val="22"/>
          <w:szCs w:val="22"/>
          <w:lang w:val="pl-PL"/>
        </w:rPr>
        <w:t>Z zdravljenjem je treba nadaljevati dokler to bolniku koristi.</w:t>
      </w:r>
    </w:p>
    <w:p w14:paraId="52979D7C" w14:textId="77777777" w:rsidR="00412C09" w:rsidRPr="004A59B1" w:rsidRDefault="00412C09" w:rsidP="009C1193">
      <w:pPr>
        <w:pStyle w:val="EndnoteText"/>
        <w:widowControl w:val="0"/>
        <w:tabs>
          <w:tab w:val="clear" w:pos="567"/>
        </w:tabs>
        <w:rPr>
          <w:color w:val="000000"/>
          <w:szCs w:val="22"/>
          <w:u w:val="single"/>
          <w:lang w:val="pl-PL"/>
        </w:rPr>
      </w:pPr>
    </w:p>
    <w:p w14:paraId="52979D7D" w14:textId="77777777" w:rsidR="00412C09" w:rsidRPr="004A59B1" w:rsidRDefault="00412C09" w:rsidP="009C1193">
      <w:pPr>
        <w:pStyle w:val="EndnoteText"/>
        <w:keepNext/>
        <w:widowControl w:val="0"/>
        <w:tabs>
          <w:tab w:val="clear" w:pos="567"/>
        </w:tabs>
        <w:rPr>
          <w:color w:val="000000"/>
          <w:szCs w:val="22"/>
          <w:u w:val="single"/>
          <w:lang w:val="pl-PL"/>
        </w:rPr>
      </w:pPr>
      <w:r w:rsidRPr="004A59B1">
        <w:rPr>
          <w:color w:val="000000"/>
          <w:szCs w:val="22"/>
          <w:u w:val="single"/>
          <w:lang w:val="pl-PL"/>
        </w:rPr>
        <w:t>Odmerjanje pri GIST</w:t>
      </w:r>
    </w:p>
    <w:p w14:paraId="52979D7E" w14:textId="77777777" w:rsidR="00412C09" w:rsidRPr="004A59B1" w:rsidRDefault="00412C09" w:rsidP="009C1193">
      <w:pPr>
        <w:pStyle w:val="EndnoteText"/>
        <w:widowControl w:val="0"/>
        <w:tabs>
          <w:tab w:val="clear" w:pos="567"/>
        </w:tabs>
        <w:rPr>
          <w:color w:val="000000"/>
          <w:szCs w:val="22"/>
          <w:lang w:val="pl-PL"/>
        </w:rPr>
      </w:pPr>
      <w:r w:rsidRPr="004A59B1">
        <w:rPr>
          <w:color w:val="000000"/>
          <w:szCs w:val="22"/>
          <w:lang w:val="pl-PL"/>
        </w:rPr>
        <w:t xml:space="preserve">Priporočeni odmerek zdravila Glivec pri </w:t>
      </w:r>
      <w:r w:rsidR="00A26948" w:rsidRPr="004A59B1">
        <w:rPr>
          <w:color w:val="000000"/>
          <w:szCs w:val="22"/>
          <w:lang w:val="pl-PL"/>
        </w:rPr>
        <w:t xml:space="preserve">odraslih </w:t>
      </w:r>
      <w:r w:rsidRPr="004A59B1">
        <w:rPr>
          <w:color w:val="000000"/>
          <w:szCs w:val="22"/>
          <w:lang w:val="pl-PL"/>
        </w:rPr>
        <w:t>bolnikih z neresektabilnimi in/ali metastatskimi malignimi GIST je 400 mg/dan.</w:t>
      </w:r>
    </w:p>
    <w:p w14:paraId="52979D7F" w14:textId="77777777" w:rsidR="00412C09" w:rsidRPr="004A59B1" w:rsidRDefault="00412C09" w:rsidP="009C1193">
      <w:pPr>
        <w:pStyle w:val="EndnoteText"/>
        <w:widowControl w:val="0"/>
        <w:tabs>
          <w:tab w:val="clear" w:pos="567"/>
        </w:tabs>
        <w:rPr>
          <w:color w:val="000000"/>
          <w:szCs w:val="22"/>
          <w:lang w:val="pl-PL"/>
        </w:rPr>
      </w:pPr>
    </w:p>
    <w:p w14:paraId="52979D80" w14:textId="77777777" w:rsidR="00412C09" w:rsidRPr="004A59B1" w:rsidRDefault="00412C09" w:rsidP="009C1193">
      <w:pPr>
        <w:pStyle w:val="EndnoteText"/>
        <w:widowControl w:val="0"/>
        <w:tabs>
          <w:tab w:val="clear" w:pos="567"/>
        </w:tabs>
        <w:rPr>
          <w:color w:val="000000"/>
          <w:szCs w:val="22"/>
          <w:lang w:val="pl-PL"/>
        </w:rPr>
      </w:pPr>
      <w:r w:rsidRPr="004A59B1">
        <w:rPr>
          <w:color w:val="000000"/>
          <w:szCs w:val="22"/>
          <w:lang w:val="pl-PL"/>
        </w:rPr>
        <w:t>O učinku povečanja odmerka s 400 mg na 600 mg ali na 800 mg pri bolnikih, pri katerih bolezen pri manjšem odmerku napreduje, obstaja malo podatkov (glejte poglavje 5.1).</w:t>
      </w:r>
    </w:p>
    <w:p w14:paraId="52979D81" w14:textId="77777777" w:rsidR="00412C09" w:rsidRPr="004A59B1" w:rsidRDefault="00412C09" w:rsidP="009C1193">
      <w:pPr>
        <w:pStyle w:val="EndnoteText"/>
        <w:widowControl w:val="0"/>
        <w:tabs>
          <w:tab w:val="clear" w:pos="567"/>
        </w:tabs>
        <w:rPr>
          <w:strike/>
          <w:color w:val="000000"/>
          <w:szCs w:val="22"/>
          <w:lang w:val="pl-PL"/>
        </w:rPr>
      </w:pPr>
    </w:p>
    <w:p w14:paraId="52979D82" w14:textId="77777777" w:rsidR="00412C09" w:rsidRPr="004A59B1" w:rsidRDefault="00412C09" w:rsidP="009C1193">
      <w:pPr>
        <w:pStyle w:val="EndnoteText"/>
        <w:widowControl w:val="0"/>
        <w:tabs>
          <w:tab w:val="clear" w:pos="567"/>
        </w:tabs>
        <w:rPr>
          <w:color w:val="000000"/>
          <w:szCs w:val="22"/>
          <w:lang w:val="pl-PL"/>
        </w:rPr>
      </w:pPr>
      <w:r w:rsidRPr="004A59B1">
        <w:rPr>
          <w:color w:val="000000"/>
          <w:szCs w:val="22"/>
          <w:lang w:val="pl-PL"/>
        </w:rPr>
        <w:t>Trajanje zdravljenja: V kliničnih preskušanjih pri bolnikih z GIST so zdravljenje z zdravilom Glivec nadaljevali, dokler ni začela bolezen napredovati. V času analize je bilo mediano trajanje zdravljenja 7 mesecev (7 dni do 13 mesecev). Učinek prekinitve zdravljenja po doseženem odzivu ni raziskan.</w:t>
      </w:r>
    </w:p>
    <w:p w14:paraId="52979D83" w14:textId="77777777" w:rsidR="00412C09" w:rsidRPr="004A59B1" w:rsidRDefault="00412C09" w:rsidP="009C1193">
      <w:pPr>
        <w:pStyle w:val="EndnoteText"/>
        <w:widowControl w:val="0"/>
        <w:tabs>
          <w:tab w:val="clear" w:pos="567"/>
        </w:tabs>
        <w:rPr>
          <w:color w:val="000000"/>
          <w:szCs w:val="22"/>
          <w:lang w:val="pl-PL"/>
        </w:rPr>
      </w:pPr>
    </w:p>
    <w:p w14:paraId="52979D84" w14:textId="77777777" w:rsidR="00412C09" w:rsidRPr="004A59B1" w:rsidRDefault="00412C09" w:rsidP="009C1193">
      <w:pPr>
        <w:pStyle w:val="Text"/>
        <w:widowControl w:val="0"/>
        <w:spacing w:before="0"/>
        <w:jc w:val="left"/>
        <w:rPr>
          <w:color w:val="000000"/>
          <w:lang w:val="pl-PL"/>
        </w:rPr>
      </w:pPr>
      <w:r w:rsidRPr="004A59B1">
        <w:rPr>
          <w:color w:val="000000"/>
          <w:sz w:val="22"/>
          <w:szCs w:val="22"/>
          <w:lang w:val="pl-PL"/>
        </w:rPr>
        <w:t xml:space="preserve">Za adjuvantno zdravljenje odraslih bolnikov po resekciji GIST je priporočeni odmerek zdravila Glivec 400 mg na dan. Ustrezno trajanje zdravljenja še ni ugotovljeno. V klinični študiji za navedeno indikacijo je zdravljenje trajalo </w:t>
      </w:r>
      <w:r w:rsidR="00A80ADD" w:rsidRPr="004A59B1">
        <w:rPr>
          <w:color w:val="000000"/>
          <w:sz w:val="22"/>
          <w:szCs w:val="22"/>
          <w:lang w:val="pl-PL"/>
        </w:rPr>
        <w:t>36</w:t>
      </w:r>
      <w:r w:rsidRPr="004A59B1">
        <w:rPr>
          <w:color w:val="000000"/>
          <w:sz w:val="22"/>
          <w:szCs w:val="22"/>
          <w:lang w:val="pl-PL"/>
        </w:rPr>
        <w:t> mesecev</w:t>
      </w:r>
      <w:r w:rsidR="00A80ADD" w:rsidRPr="004A59B1">
        <w:rPr>
          <w:color w:val="000000"/>
          <w:sz w:val="22"/>
          <w:szCs w:val="22"/>
          <w:lang w:val="pl-PL"/>
        </w:rPr>
        <w:t xml:space="preserve"> (glejte poglavje 5.1)</w:t>
      </w:r>
      <w:r w:rsidRPr="004A59B1">
        <w:rPr>
          <w:color w:val="000000"/>
          <w:sz w:val="22"/>
          <w:szCs w:val="22"/>
          <w:lang w:val="pl-PL"/>
        </w:rPr>
        <w:t>.</w:t>
      </w:r>
    </w:p>
    <w:p w14:paraId="52979D85" w14:textId="77777777" w:rsidR="00412C09" w:rsidRPr="004A59B1" w:rsidRDefault="00412C09" w:rsidP="009C1193">
      <w:pPr>
        <w:pStyle w:val="EndnoteText"/>
        <w:widowControl w:val="0"/>
        <w:tabs>
          <w:tab w:val="clear" w:pos="567"/>
        </w:tabs>
        <w:rPr>
          <w:color w:val="000000"/>
          <w:szCs w:val="22"/>
          <w:u w:val="single"/>
          <w:lang w:val="pl-PL"/>
        </w:rPr>
      </w:pPr>
    </w:p>
    <w:p w14:paraId="52979D86" w14:textId="77777777" w:rsidR="00412C09" w:rsidRPr="004A59B1" w:rsidRDefault="00412C09" w:rsidP="009C1193">
      <w:pPr>
        <w:pStyle w:val="EndnoteText"/>
        <w:keepNext/>
        <w:widowControl w:val="0"/>
        <w:tabs>
          <w:tab w:val="clear" w:pos="567"/>
        </w:tabs>
        <w:rPr>
          <w:color w:val="000000"/>
          <w:szCs w:val="22"/>
          <w:u w:val="single"/>
          <w:lang w:val="pl-PL"/>
        </w:rPr>
      </w:pPr>
      <w:r w:rsidRPr="004A59B1">
        <w:rPr>
          <w:color w:val="000000"/>
          <w:szCs w:val="22"/>
          <w:u w:val="single"/>
          <w:lang w:val="pl-PL"/>
        </w:rPr>
        <w:t>Odmerjanje pri DFSP</w:t>
      </w:r>
    </w:p>
    <w:p w14:paraId="52979D87" w14:textId="77777777" w:rsidR="00412C09" w:rsidRPr="004A59B1" w:rsidRDefault="00412C09" w:rsidP="009C1193">
      <w:pPr>
        <w:pStyle w:val="EndnoteText"/>
        <w:widowControl w:val="0"/>
        <w:tabs>
          <w:tab w:val="clear" w:pos="567"/>
        </w:tabs>
        <w:rPr>
          <w:color w:val="000000"/>
          <w:szCs w:val="22"/>
          <w:lang w:val="pl-PL"/>
        </w:rPr>
      </w:pPr>
      <w:r w:rsidRPr="004A59B1">
        <w:rPr>
          <w:color w:val="000000"/>
          <w:szCs w:val="22"/>
          <w:lang w:val="pl-PL"/>
        </w:rPr>
        <w:t xml:space="preserve">Priporočeni odmerek zdravila Glivec pri </w:t>
      </w:r>
      <w:r w:rsidR="00A26948" w:rsidRPr="004A59B1">
        <w:rPr>
          <w:color w:val="000000"/>
          <w:szCs w:val="22"/>
          <w:lang w:val="pl-PL"/>
        </w:rPr>
        <w:t xml:space="preserve">odraslih </w:t>
      </w:r>
      <w:r w:rsidRPr="004A59B1">
        <w:rPr>
          <w:color w:val="000000"/>
          <w:szCs w:val="22"/>
          <w:lang w:val="pl-PL"/>
        </w:rPr>
        <w:t>bolnikih s DFSP je 800 mg/dan.</w:t>
      </w:r>
    </w:p>
    <w:p w14:paraId="52979D88" w14:textId="77777777" w:rsidR="00412C09" w:rsidRPr="004A59B1" w:rsidRDefault="00412C09" w:rsidP="009C1193">
      <w:pPr>
        <w:pStyle w:val="EndnoteText"/>
        <w:widowControl w:val="0"/>
        <w:tabs>
          <w:tab w:val="clear" w:pos="567"/>
        </w:tabs>
        <w:rPr>
          <w:color w:val="000000"/>
          <w:szCs w:val="22"/>
          <w:lang w:val="pl-PL"/>
        </w:rPr>
      </w:pPr>
    </w:p>
    <w:p w14:paraId="52979D89" w14:textId="77777777" w:rsidR="00412C09" w:rsidRPr="004A59B1" w:rsidRDefault="00412C09" w:rsidP="009C1193">
      <w:pPr>
        <w:keepNext/>
        <w:widowControl w:val="0"/>
        <w:spacing w:line="240" w:lineRule="auto"/>
        <w:jc w:val="both"/>
        <w:rPr>
          <w:color w:val="000000"/>
          <w:szCs w:val="22"/>
          <w:u w:val="single"/>
          <w:lang w:val="pl-PL"/>
        </w:rPr>
      </w:pPr>
      <w:r w:rsidRPr="004A59B1">
        <w:rPr>
          <w:color w:val="000000"/>
          <w:szCs w:val="22"/>
          <w:u w:val="single"/>
          <w:lang w:val="pl-PL"/>
        </w:rPr>
        <w:t>Prilagoditev odmerjanja zaradi neželenih učinkov</w:t>
      </w:r>
    </w:p>
    <w:p w14:paraId="52979D8A" w14:textId="77777777" w:rsidR="00412C09" w:rsidRPr="004A59B1" w:rsidRDefault="00412C09" w:rsidP="009C1193">
      <w:pPr>
        <w:keepNext/>
        <w:widowControl w:val="0"/>
        <w:spacing w:line="240" w:lineRule="auto"/>
        <w:jc w:val="both"/>
        <w:rPr>
          <w:i/>
          <w:color w:val="000000"/>
          <w:szCs w:val="22"/>
          <w:lang w:val="pl-PL"/>
        </w:rPr>
      </w:pPr>
      <w:r w:rsidRPr="004A59B1">
        <w:rPr>
          <w:i/>
          <w:color w:val="000000"/>
          <w:szCs w:val="22"/>
          <w:lang w:val="pl-PL"/>
        </w:rPr>
        <w:t>Nehematološke neželene reakcije</w:t>
      </w:r>
    </w:p>
    <w:p w14:paraId="52979D8B" w14:textId="77777777" w:rsidR="00412C09" w:rsidRPr="004A59B1" w:rsidRDefault="00412C09" w:rsidP="009C1193">
      <w:pPr>
        <w:pStyle w:val="EndnoteText"/>
        <w:widowControl w:val="0"/>
        <w:tabs>
          <w:tab w:val="clear" w:pos="567"/>
        </w:tabs>
        <w:rPr>
          <w:color w:val="000000"/>
          <w:szCs w:val="22"/>
          <w:lang w:val="pl-PL"/>
        </w:rPr>
      </w:pPr>
      <w:r w:rsidRPr="004A59B1">
        <w:rPr>
          <w:color w:val="000000"/>
          <w:szCs w:val="22"/>
          <w:lang w:val="pl-PL"/>
        </w:rPr>
        <w:t>Če med uporabo zdravila Glivec nastopi huda nehematološka neželena reakcija, je treba zdravljenje prekiniti, dokler reakcija ne izzveni. Nato se lahko zdravljenje spet začne po ustrezni shemi, odvisni od začetne resnosti reakcije.</w:t>
      </w:r>
    </w:p>
    <w:p w14:paraId="52979D8C" w14:textId="77777777" w:rsidR="00412C09" w:rsidRPr="004A59B1" w:rsidRDefault="00412C09" w:rsidP="009C1193">
      <w:pPr>
        <w:pStyle w:val="EndnoteText"/>
        <w:widowControl w:val="0"/>
        <w:tabs>
          <w:tab w:val="clear" w:pos="567"/>
        </w:tabs>
        <w:rPr>
          <w:color w:val="000000"/>
          <w:szCs w:val="22"/>
          <w:lang w:val="pl-PL"/>
        </w:rPr>
      </w:pPr>
    </w:p>
    <w:p w14:paraId="52979D8D" w14:textId="77777777" w:rsidR="00412C09" w:rsidRPr="004A59B1" w:rsidRDefault="00412C09" w:rsidP="009C1193">
      <w:pPr>
        <w:pStyle w:val="EndnoteText"/>
        <w:widowControl w:val="0"/>
        <w:tabs>
          <w:tab w:val="clear" w:pos="567"/>
          <w:tab w:val="left" w:pos="2268"/>
        </w:tabs>
        <w:rPr>
          <w:color w:val="000000"/>
          <w:szCs w:val="22"/>
          <w:lang w:val="pl-PL"/>
        </w:rPr>
      </w:pPr>
      <w:r w:rsidRPr="004A59B1">
        <w:rPr>
          <w:color w:val="000000"/>
          <w:szCs w:val="22"/>
          <w:lang w:val="pl-PL"/>
        </w:rPr>
        <w:t>Če pride do zvišanja bilirubina na &gt; 3</w:t>
      </w:r>
      <w:r w:rsidRPr="004A59B1">
        <w:rPr>
          <w:color w:val="000000"/>
          <w:szCs w:val="22"/>
          <w:lang w:val="pl-PL"/>
        </w:rPr>
        <w:noBreakHyphen/>
        <w:t>kratno zgornjo mejo normalnih vrednosti, specifično za ustanovo, (IULN</w:t>
      </w:r>
      <w:r w:rsidR="00D32388" w:rsidRPr="004A59B1">
        <w:rPr>
          <w:color w:val="000000"/>
          <w:szCs w:val="22"/>
          <w:lang w:val="pl-PL"/>
        </w:rPr>
        <w:t xml:space="preserve"> </w:t>
      </w:r>
      <w:r w:rsidRPr="004A59B1">
        <w:rPr>
          <w:color w:val="000000"/>
          <w:szCs w:val="22"/>
          <w:lang w:val="pl-PL"/>
        </w:rPr>
        <w:noBreakHyphen/>
      </w:r>
      <w:r w:rsidR="00D32388" w:rsidRPr="004A59B1">
        <w:rPr>
          <w:color w:val="000000"/>
          <w:szCs w:val="22"/>
          <w:lang w:val="pl-PL"/>
        </w:rPr>
        <w:t xml:space="preserve"> </w:t>
      </w:r>
      <w:r w:rsidRPr="00304E94">
        <w:rPr>
          <w:i/>
          <w:color w:val="000000"/>
          <w:szCs w:val="22"/>
          <w:lang w:val="pl-PL"/>
        </w:rPr>
        <w:t>institutional upper limit of normal</w:t>
      </w:r>
      <w:r w:rsidRPr="004A59B1">
        <w:rPr>
          <w:color w:val="000000"/>
          <w:szCs w:val="22"/>
          <w:lang w:val="pl-PL"/>
        </w:rPr>
        <w:t>) ali zvišanja jetrnih aminotransferaz na &gt; 5</w:t>
      </w:r>
      <w:r w:rsidRPr="004A59B1">
        <w:rPr>
          <w:color w:val="000000"/>
          <w:szCs w:val="22"/>
          <w:lang w:val="pl-PL"/>
        </w:rPr>
        <w:noBreakHyphen/>
        <w:t>kratno IULN, je treba zdravljenje z zdravilom Glivec prekiniti, dokler se koncentracija bilirubina ne vrne na &lt; 1,5</w:t>
      </w:r>
      <w:r w:rsidRPr="004A59B1">
        <w:rPr>
          <w:color w:val="000000"/>
          <w:szCs w:val="22"/>
          <w:lang w:val="pl-PL"/>
        </w:rPr>
        <w:noBreakHyphen/>
        <w:t>kratno IULN oziroma koncentracija aminotransferaz na &lt; 2,5</w:t>
      </w:r>
      <w:r w:rsidRPr="004A59B1">
        <w:rPr>
          <w:color w:val="000000"/>
          <w:szCs w:val="22"/>
          <w:lang w:val="pl-PL"/>
        </w:rPr>
        <w:noBreakHyphen/>
        <w:t>kratno IULN. Nato se lahko zdravljenje z zdravilom Glivec nadaljuje z zmanjšanim dnevnim odmerkom. Pri odraslih je treba zmanjšati odmerek s 400</w:t>
      </w:r>
      <w:r w:rsidR="006A40E1" w:rsidRPr="004A59B1">
        <w:rPr>
          <w:color w:val="000000"/>
          <w:szCs w:val="22"/>
          <w:lang w:val="pl-PL"/>
        </w:rPr>
        <w:t> mg</w:t>
      </w:r>
      <w:r w:rsidRPr="004A59B1">
        <w:rPr>
          <w:color w:val="000000"/>
          <w:szCs w:val="22"/>
          <w:lang w:val="pl-PL"/>
        </w:rPr>
        <w:t xml:space="preserve"> na 300 mg ali s 600</w:t>
      </w:r>
      <w:r w:rsidR="006A40E1" w:rsidRPr="004A59B1">
        <w:rPr>
          <w:color w:val="000000"/>
          <w:szCs w:val="22"/>
          <w:lang w:val="pl-PL"/>
        </w:rPr>
        <w:t> mg</w:t>
      </w:r>
      <w:r w:rsidRPr="004A59B1">
        <w:rPr>
          <w:color w:val="000000"/>
          <w:szCs w:val="22"/>
          <w:lang w:val="pl-PL"/>
        </w:rPr>
        <w:t xml:space="preserve"> na 400 mg ali z 800</w:t>
      </w:r>
      <w:r w:rsidR="006A40E1" w:rsidRPr="004A59B1">
        <w:rPr>
          <w:color w:val="000000"/>
          <w:szCs w:val="22"/>
          <w:lang w:val="pl-PL"/>
        </w:rPr>
        <w:t> mg</w:t>
      </w:r>
      <w:r w:rsidRPr="004A59B1">
        <w:rPr>
          <w:color w:val="000000"/>
          <w:szCs w:val="22"/>
          <w:lang w:val="pl-PL"/>
        </w:rPr>
        <w:t xml:space="preserve"> na 600 mg, pri otrocih pa s 340</w:t>
      </w:r>
      <w:r w:rsidR="006A40E1" w:rsidRPr="004A59B1">
        <w:rPr>
          <w:color w:val="000000"/>
          <w:szCs w:val="22"/>
          <w:lang w:val="pl-PL"/>
        </w:rPr>
        <w:t> mg/m</w:t>
      </w:r>
      <w:r w:rsidR="006A40E1" w:rsidRPr="004A59B1">
        <w:rPr>
          <w:color w:val="000000"/>
          <w:szCs w:val="22"/>
          <w:vertAlign w:val="superscript"/>
          <w:lang w:val="pl-PL"/>
        </w:rPr>
        <w:t>2</w:t>
      </w:r>
      <w:r w:rsidR="006A40E1" w:rsidRPr="004A59B1">
        <w:rPr>
          <w:color w:val="000000"/>
          <w:szCs w:val="22"/>
          <w:lang w:val="pl-PL"/>
        </w:rPr>
        <w:t>/dan</w:t>
      </w:r>
      <w:r w:rsidRPr="004A59B1">
        <w:rPr>
          <w:color w:val="000000"/>
          <w:szCs w:val="22"/>
          <w:lang w:val="pl-PL"/>
        </w:rPr>
        <w:t xml:space="preserve"> na 260 mg/m</w:t>
      </w:r>
      <w:r w:rsidRPr="004A59B1">
        <w:rPr>
          <w:color w:val="000000"/>
          <w:szCs w:val="22"/>
          <w:vertAlign w:val="superscript"/>
          <w:lang w:val="pl-PL"/>
        </w:rPr>
        <w:t>2</w:t>
      </w:r>
      <w:r w:rsidRPr="004A59B1">
        <w:rPr>
          <w:color w:val="000000"/>
          <w:szCs w:val="22"/>
          <w:lang w:val="pl-PL"/>
        </w:rPr>
        <w:t>/dan.</w:t>
      </w:r>
    </w:p>
    <w:p w14:paraId="52979D8E" w14:textId="77777777" w:rsidR="00412C09" w:rsidRPr="004A59B1" w:rsidRDefault="00412C09" w:rsidP="009C1193">
      <w:pPr>
        <w:pStyle w:val="EndnoteText"/>
        <w:widowControl w:val="0"/>
        <w:tabs>
          <w:tab w:val="clear" w:pos="567"/>
        </w:tabs>
        <w:rPr>
          <w:color w:val="000000"/>
          <w:szCs w:val="22"/>
          <w:lang w:val="pl-PL"/>
        </w:rPr>
      </w:pPr>
    </w:p>
    <w:p w14:paraId="52979D8F" w14:textId="77777777" w:rsidR="00412C09" w:rsidRPr="004A59B1" w:rsidRDefault="00412C09" w:rsidP="009C1193">
      <w:pPr>
        <w:pStyle w:val="EndnoteText"/>
        <w:keepNext/>
        <w:widowControl w:val="0"/>
        <w:tabs>
          <w:tab w:val="clear" w:pos="567"/>
        </w:tabs>
        <w:rPr>
          <w:i/>
          <w:color w:val="000000"/>
          <w:szCs w:val="22"/>
          <w:lang w:val="pl-PL"/>
        </w:rPr>
      </w:pPr>
      <w:r w:rsidRPr="004A59B1">
        <w:rPr>
          <w:i/>
          <w:color w:val="000000"/>
          <w:szCs w:val="22"/>
          <w:lang w:val="pl-PL"/>
        </w:rPr>
        <w:t>Hematološke neželene reakcije</w:t>
      </w:r>
    </w:p>
    <w:p w14:paraId="52979D90" w14:textId="77777777" w:rsidR="00412C09" w:rsidRPr="004A59B1" w:rsidRDefault="00412C09" w:rsidP="009C1193">
      <w:pPr>
        <w:pStyle w:val="EndnoteText"/>
        <w:widowControl w:val="0"/>
        <w:tabs>
          <w:tab w:val="clear" w:pos="567"/>
        </w:tabs>
        <w:rPr>
          <w:color w:val="000000"/>
          <w:szCs w:val="22"/>
          <w:lang w:val="pl-PL"/>
        </w:rPr>
      </w:pPr>
      <w:r w:rsidRPr="004A59B1">
        <w:rPr>
          <w:color w:val="000000"/>
          <w:szCs w:val="22"/>
          <w:lang w:val="pl-PL"/>
        </w:rPr>
        <w:t>Pri hudi nevtropeniji in trombocitopeniji je priporočljivo zmanjšanje odmerka ali prekinitev zdravljenja, kot kaže spodnja preglednica.</w:t>
      </w:r>
    </w:p>
    <w:p w14:paraId="52979D91" w14:textId="77777777" w:rsidR="00412C09" w:rsidRPr="004A59B1" w:rsidRDefault="00412C09" w:rsidP="009C1193">
      <w:pPr>
        <w:pStyle w:val="EndnoteText"/>
        <w:widowControl w:val="0"/>
        <w:tabs>
          <w:tab w:val="clear" w:pos="567"/>
        </w:tabs>
        <w:rPr>
          <w:color w:val="000000"/>
          <w:szCs w:val="22"/>
          <w:lang w:val="pl-PL"/>
        </w:rPr>
      </w:pPr>
    </w:p>
    <w:p w14:paraId="52979D92" w14:textId="77777777" w:rsidR="00412C09" w:rsidRPr="004A59B1" w:rsidRDefault="00412C09" w:rsidP="009C1193">
      <w:pPr>
        <w:pStyle w:val="EndnoteText"/>
        <w:keepNext/>
        <w:keepLines/>
        <w:widowControl w:val="0"/>
        <w:tabs>
          <w:tab w:val="clear" w:pos="567"/>
        </w:tabs>
        <w:rPr>
          <w:color w:val="000000"/>
          <w:szCs w:val="22"/>
          <w:lang w:val="pl-PL"/>
        </w:rPr>
      </w:pPr>
      <w:r w:rsidRPr="004A59B1">
        <w:rPr>
          <w:color w:val="000000"/>
          <w:szCs w:val="22"/>
          <w:lang w:val="pl-PL"/>
        </w:rPr>
        <w:lastRenderedPageBreak/>
        <w:t>Prilagajanje odmerkov zaradi nevtropenije in trombocitopenije:</w:t>
      </w:r>
    </w:p>
    <w:p w14:paraId="52979D93" w14:textId="77777777" w:rsidR="00043C17" w:rsidRPr="004A59B1" w:rsidRDefault="00043C17" w:rsidP="009C1193">
      <w:pPr>
        <w:pStyle w:val="EndnoteText"/>
        <w:keepNext/>
        <w:keepLines/>
        <w:widowControl w:val="0"/>
        <w:tabs>
          <w:tab w:val="clear" w:pos="567"/>
        </w:tabs>
        <w:rPr>
          <w:color w:val="000000"/>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2400"/>
        <w:gridCol w:w="4404"/>
      </w:tblGrid>
      <w:tr w:rsidR="00043C17" w:rsidRPr="003B6568" w14:paraId="52979D9A" w14:textId="77777777" w:rsidTr="008F282C">
        <w:trPr>
          <w:cantSplit/>
        </w:trPr>
        <w:tc>
          <w:tcPr>
            <w:tcW w:w="2376" w:type="dxa"/>
            <w:tcBorders>
              <w:top w:val="single" w:sz="4" w:space="0" w:color="auto"/>
              <w:left w:val="single" w:sz="4" w:space="0" w:color="auto"/>
              <w:bottom w:val="single" w:sz="4" w:space="0" w:color="auto"/>
              <w:right w:val="single" w:sz="4" w:space="0" w:color="auto"/>
            </w:tcBorders>
          </w:tcPr>
          <w:p w14:paraId="52979D94" w14:textId="77777777" w:rsidR="00043C17" w:rsidRPr="004A59B1" w:rsidRDefault="00043C17" w:rsidP="009C1193">
            <w:pPr>
              <w:pStyle w:val="EndnoteText"/>
              <w:keepNext/>
              <w:keepLines/>
              <w:widowControl w:val="0"/>
              <w:tabs>
                <w:tab w:val="clear" w:pos="567"/>
              </w:tabs>
              <w:rPr>
                <w:color w:val="000000"/>
                <w:szCs w:val="22"/>
                <w:lang w:val="pl-PL"/>
              </w:rPr>
            </w:pPr>
            <w:r w:rsidRPr="004A59B1">
              <w:rPr>
                <w:color w:val="000000"/>
                <w:szCs w:val="22"/>
                <w:lang w:val="pl-PL"/>
              </w:rPr>
              <w:t>HES/CEL (začetni odmerek 100 mg)</w:t>
            </w:r>
          </w:p>
        </w:tc>
        <w:tc>
          <w:tcPr>
            <w:tcW w:w="2400" w:type="dxa"/>
            <w:tcBorders>
              <w:top w:val="single" w:sz="4" w:space="0" w:color="auto"/>
              <w:left w:val="single" w:sz="4" w:space="0" w:color="auto"/>
              <w:bottom w:val="single" w:sz="4" w:space="0" w:color="auto"/>
              <w:right w:val="single" w:sz="4" w:space="0" w:color="auto"/>
            </w:tcBorders>
          </w:tcPr>
          <w:p w14:paraId="52979D95" w14:textId="77777777" w:rsidR="00043C17" w:rsidRPr="004A59B1" w:rsidRDefault="00043C17" w:rsidP="009C1193">
            <w:pPr>
              <w:pStyle w:val="Table"/>
              <w:widowControl w:val="0"/>
              <w:spacing w:before="0" w:after="0"/>
              <w:rPr>
                <w:rFonts w:ascii="Times New Roman" w:hAnsi="Times New Roman"/>
                <w:color w:val="000000"/>
                <w:sz w:val="22"/>
                <w:szCs w:val="22"/>
                <w:lang w:val="it-IT"/>
              </w:rPr>
            </w:pPr>
            <w:r w:rsidRPr="004A59B1">
              <w:rPr>
                <w:rFonts w:ascii="Times New Roman" w:hAnsi="Times New Roman"/>
                <w:color w:val="000000"/>
                <w:sz w:val="22"/>
                <w:szCs w:val="22"/>
                <w:lang w:val="it-IT"/>
              </w:rPr>
              <w:t>ANC &lt; 1,0 x 10</w:t>
            </w:r>
            <w:r w:rsidRPr="004A59B1">
              <w:rPr>
                <w:rFonts w:ascii="Times New Roman" w:hAnsi="Times New Roman"/>
                <w:color w:val="000000"/>
                <w:sz w:val="22"/>
                <w:szCs w:val="22"/>
                <w:vertAlign w:val="superscript"/>
                <w:lang w:val="it-IT"/>
              </w:rPr>
              <w:t>9</w:t>
            </w:r>
            <w:r w:rsidRPr="004A59B1">
              <w:rPr>
                <w:rFonts w:ascii="Times New Roman" w:hAnsi="Times New Roman"/>
                <w:color w:val="000000"/>
                <w:sz w:val="22"/>
                <w:szCs w:val="22"/>
                <w:lang w:val="it-IT"/>
              </w:rPr>
              <w:t>/l</w:t>
            </w:r>
          </w:p>
          <w:p w14:paraId="52979D96" w14:textId="77777777" w:rsidR="00043C17" w:rsidRPr="004A59B1" w:rsidRDefault="00043C17" w:rsidP="009C1193">
            <w:pPr>
              <w:pStyle w:val="Table"/>
              <w:widowControl w:val="0"/>
              <w:spacing w:before="0" w:after="0"/>
              <w:rPr>
                <w:rFonts w:ascii="Times New Roman" w:hAnsi="Times New Roman"/>
                <w:color w:val="000000"/>
                <w:sz w:val="22"/>
                <w:szCs w:val="22"/>
                <w:lang w:val="it-IT"/>
              </w:rPr>
            </w:pPr>
            <w:r w:rsidRPr="004A59B1">
              <w:rPr>
                <w:rFonts w:ascii="Times New Roman" w:hAnsi="Times New Roman"/>
                <w:color w:val="000000"/>
                <w:sz w:val="22"/>
                <w:szCs w:val="22"/>
                <w:lang w:val="it-IT"/>
              </w:rPr>
              <w:t>in/ali</w:t>
            </w:r>
          </w:p>
          <w:p w14:paraId="52979D97" w14:textId="77777777" w:rsidR="00043C17" w:rsidRPr="004A59B1" w:rsidRDefault="00043C17" w:rsidP="009C1193">
            <w:pPr>
              <w:pStyle w:val="Table"/>
              <w:widowControl w:val="0"/>
              <w:spacing w:before="0" w:after="0"/>
              <w:rPr>
                <w:rFonts w:ascii="Times New Roman" w:hAnsi="Times New Roman"/>
                <w:color w:val="000000"/>
                <w:sz w:val="22"/>
                <w:szCs w:val="22"/>
                <w:lang w:val="it-IT"/>
              </w:rPr>
            </w:pPr>
            <w:r w:rsidRPr="004A59B1">
              <w:rPr>
                <w:rFonts w:ascii="Times New Roman" w:hAnsi="Times New Roman"/>
                <w:color w:val="000000"/>
                <w:sz w:val="22"/>
                <w:szCs w:val="22"/>
                <w:lang w:val="it-IT"/>
              </w:rPr>
              <w:t>koncentracija trombocitov &lt; 50 x 10</w:t>
            </w:r>
            <w:r w:rsidRPr="004A59B1">
              <w:rPr>
                <w:rFonts w:ascii="Times New Roman" w:hAnsi="Times New Roman"/>
                <w:color w:val="000000"/>
                <w:sz w:val="22"/>
                <w:szCs w:val="22"/>
                <w:vertAlign w:val="superscript"/>
                <w:lang w:val="it-IT"/>
              </w:rPr>
              <w:t>9</w:t>
            </w:r>
            <w:r w:rsidRPr="004A59B1">
              <w:rPr>
                <w:rFonts w:ascii="Times New Roman" w:hAnsi="Times New Roman"/>
                <w:color w:val="000000"/>
                <w:sz w:val="22"/>
                <w:szCs w:val="22"/>
                <w:lang w:val="it-IT"/>
              </w:rPr>
              <w:t>/l</w:t>
            </w:r>
          </w:p>
        </w:tc>
        <w:tc>
          <w:tcPr>
            <w:tcW w:w="4404" w:type="dxa"/>
            <w:tcBorders>
              <w:top w:val="single" w:sz="4" w:space="0" w:color="auto"/>
              <w:left w:val="single" w:sz="4" w:space="0" w:color="auto"/>
              <w:bottom w:val="single" w:sz="4" w:space="0" w:color="auto"/>
              <w:right w:val="single" w:sz="4" w:space="0" w:color="auto"/>
            </w:tcBorders>
          </w:tcPr>
          <w:p w14:paraId="52979D98" w14:textId="77777777" w:rsidR="00043C17" w:rsidRPr="004A59B1" w:rsidRDefault="00043C17" w:rsidP="009C1193">
            <w:pPr>
              <w:pStyle w:val="Table"/>
              <w:widowControl w:val="0"/>
              <w:tabs>
                <w:tab w:val="clear" w:pos="284"/>
              </w:tabs>
              <w:spacing w:before="0" w:after="0"/>
              <w:ind w:left="469" w:hanging="469"/>
              <w:rPr>
                <w:rFonts w:ascii="Times New Roman" w:hAnsi="Times New Roman"/>
                <w:color w:val="000000"/>
                <w:sz w:val="22"/>
                <w:szCs w:val="22"/>
                <w:lang w:val="sv-SE"/>
              </w:rPr>
            </w:pPr>
            <w:r w:rsidRPr="004A59B1">
              <w:rPr>
                <w:rFonts w:ascii="Times New Roman" w:hAnsi="Times New Roman"/>
                <w:color w:val="000000"/>
                <w:sz w:val="22"/>
                <w:szCs w:val="22"/>
                <w:lang w:val="sv-SE"/>
              </w:rPr>
              <w:t>1.</w:t>
            </w:r>
            <w:r w:rsidRPr="004A59B1">
              <w:rPr>
                <w:rFonts w:ascii="Times New Roman" w:hAnsi="Times New Roman"/>
                <w:color w:val="000000"/>
                <w:sz w:val="22"/>
                <w:szCs w:val="22"/>
                <w:lang w:val="sv-SE"/>
              </w:rPr>
              <w:tab/>
              <w:t xml:space="preserve">Prekinite zdravljenje z zdravilom Glivec, dokler ni ANC </w:t>
            </w:r>
            <w:r w:rsidRPr="004A59B1">
              <w:rPr>
                <w:rFonts w:ascii="Times New Roman" w:hAnsi="Times New Roman"/>
                <w:color w:val="000000"/>
                <w:sz w:val="22"/>
                <w:szCs w:val="22"/>
                <w:lang w:val="de-CH"/>
              </w:rPr>
              <w:sym w:font="Symbol" w:char="F0B3"/>
            </w:r>
            <w:r w:rsidRPr="004A59B1">
              <w:rPr>
                <w:rFonts w:ascii="Times New Roman" w:hAnsi="Times New Roman"/>
                <w:color w:val="000000"/>
                <w:sz w:val="22"/>
                <w:szCs w:val="22"/>
                <w:lang w:val="sv-SE"/>
              </w:rPr>
              <w:t> 1,5 x 10</w:t>
            </w:r>
            <w:r w:rsidRPr="004A59B1">
              <w:rPr>
                <w:rFonts w:ascii="Times New Roman" w:hAnsi="Times New Roman"/>
                <w:color w:val="000000"/>
                <w:sz w:val="22"/>
                <w:szCs w:val="22"/>
                <w:vertAlign w:val="superscript"/>
                <w:lang w:val="sv-SE"/>
              </w:rPr>
              <w:t>9</w:t>
            </w:r>
            <w:r w:rsidRPr="004A59B1">
              <w:rPr>
                <w:rFonts w:ascii="Times New Roman" w:hAnsi="Times New Roman"/>
                <w:color w:val="000000"/>
                <w:sz w:val="22"/>
                <w:szCs w:val="22"/>
                <w:lang w:val="sv-SE"/>
              </w:rPr>
              <w:t xml:space="preserve">/l in koncentracija trombocitov </w:t>
            </w:r>
            <w:r w:rsidRPr="004A59B1">
              <w:rPr>
                <w:rFonts w:ascii="Times New Roman" w:hAnsi="Times New Roman"/>
                <w:color w:val="000000"/>
                <w:sz w:val="22"/>
                <w:szCs w:val="22"/>
                <w:lang w:val="de-CH"/>
              </w:rPr>
              <w:sym w:font="Symbol" w:char="F0B3"/>
            </w:r>
            <w:r w:rsidRPr="004A59B1">
              <w:rPr>
                <w:rFonts w:ascii="Times New Roman" w:hAnsi="Times New Roman"/>
                <w:color w:val="000000"/>
                <w:sz w:val="22"/>
                <w:szCs w:val="22"/>
                <w:lang w:val="sv-SE"/>
              </w:rPr>
              <w:t> 75 x 10</w:t>
            </w:r>
            <w:r w:rsidRPr="004A59B1">
              <w:rPr>
                <w:rFonts w:ascii="Times New Roman" w:hAnsi="Times New Roman"/>
                <w:color w:val="000000"/>
                <w:sz w:val="22"/>
                <w:szCs w:val="22"/>
                <w:vertAlign w:val="superscript"/>
                <w:lang w:val="sv-SE"/>
              </w:rPr>
              <w:t>9</w:t>
            </w:r>
            <w:r w:rsidRPr="004A59B1">
              <w:rPr>
                <w:rFonts w:ascii="Times New Roman" w:hAnsi="Times New Roman"/>
                <w:color w:val="000000"/>
                <w:sz w:val="22"/>
                <w:szCs w:val="22"/>
                <w:lang w:val="sv-SE"/>
              </w:rPr>
              <w:t>/l.</w:t>
            </w:r>
          </w:p>
          <w:p w14:paraId="52979D99" w14:textId="77777777" w:rsidR="00043C17" w:rsidRPr="004A59B1" w:rsidRDefault="00043C17" w:rsidP="009C1193">
            <w:pPr>
              <w:pStyle w:val="Table"/>
              <w:widowControl w:val="0"/>
              <w:tabs>
                <w:tab w:val="clear" w:pos="284"/>
              </w:tabs>
              <w:spacing w:before="0" w:after="0"/>
              <w:ind w:left="469" w:hanging="469"/>
              <w:rPr>
                <w:rFonts w:ascii="Times New Roman" w:hAnsi="Times New Roman"/>
                <w:color w:val="000000"/>
                <w:sz w:val="22"/>
                <w:szCs w:val="22"/>
                <w:lang w:val="sv-SE"/>
              </w:rPr>
            </w:pPr>
            <w:r w:rsidRPr="004A59B1">
              <w:rPr>
                <w:rFonts w:ascii="Times New Roman" w:hAnsi="Times New Roman"/>
                <w:color w:val="000000"/>
                <w:sz w:val="22"/>
                <w:szCs w:val="22"/>
                <w:lang w:val="sv-SE"/>
              </w:rPr>
              <w:t>2.</w:t>
            </w:r>
            <w:r w:rsidRPr="004A59B1">
              <w:rPr>
                <w:rFonts w:ascii="Times New Roman" w:hAnsi="Times New Roman"/>
                <w:color w:val="000000"/>
                <w:sz w:val="22"/>
                <w:szCs w:val="22"/>
                <w:lang w:val="sv-SE"/>
              </w:rPr>
              <w:tab/>
              <w:t>Spet začnite zdravljenje z zdravilom Glivec s prejšnjim odmerkom (t.j. tistim pred nastopom resnega neželenega učinka).</w:t>
            </w:r>
          </w:p>
        </w:tc>
      </w:tr>
      <w:tr w:rsidR="00043C17" w:rsidRPr="003B6568" w14:paraId="52979DA4" w14:textId="77777777" w:rsidTr="008F282C">
        <w:trPr>
          <w:cantSplit/>
        </w:trPr>
        <w:tc>
          <w:tcPr>
            <w:tcW w:w="2376" w:type="dxa"/>
          </w:tcPr>
          <w:p w14:paraId="52979D9B" w14:textId="77777777" w:rsidR="00043C17" w:rsidRPr="004A59B1" w:rsidRDefault="00043C17" w:rsidP="009C1193">
            <w:pPr>
              <w:pStyle w:val="EndnoteText"/>
              <w:widowControl w:val="0"/>
              <w:tabs>
                <w:tab w:val="clear" w:pos="567"/>
              </w:tabs>
              <w:rPr>
                <w:color w:val="000000"/>
                <w:szCs w:val="22"/>
                <w:lang w:val="sv-SE"/>
              </w:rPr>
            </w:pPr>
            <w:r w:rsidRPr="004A59B1">
              <w:rPr>
                <w:color w:val="000000"/>
                <w:szCs w:val="22"/>
                <w:lang w:val="sv-SE"/>
              </w:rPr>
              <w:t>kronična faza KML, MDS/MPD in GIST (začetni odmerek 400 mg)</w:t>
            </w:r>
          </w:p>
          <w:p w14:paraId="52979D9C" w14:textId="77777777" w:rsidR="00043C17" w:rsidRPr="004A59B1" w:rsidRDefault="00043C17" w:rsidP="009C1193">
            <w:pPr>
              <w:pStyle w:val="EndnoteText"/>
              <w:widowControl w:val="0"/>
              <w:tabs>
                <w:tab w:val="clear" w:pos="567"/>
              </w:tabs>
              <w:rPr>
                <w:color w:val="000000"/>
                <w:szCs w:val="22"/>
                <w:lang w:val="fr-FR"/>
              </w:rPr>
            </w:pPr>
            <w:r w:rsidRPr="004A59B1">
              <w:rPr>
                <w:color w:val="000000"/>
                <w:szCs w:val="22"/>
                <w:lang w:val="fr-FR"/>
              </w:rPr>
              <w:t>HES/CEL</w:t>
            </w:r>
          </w:p>
          <w:p w14:paraId="52979D9D" w14:textId="77777777" w:rsidR="00043C17" w:rsidRPr="004A59B1" w:rsidRDefault="00043C17" w:rsidP="009C1193">
            <w:pPr>
              <w:pStyle w:val="EndnoteText"/>
              <w:widowControl w:val="0"/>
              <w:tabs>
                <w:tab w:val="clear" w:pos="567"/>
              </w:tabs>
              <w:rPr>
                <w:color w:val="000000"/>
                <w:szCs w:val="22"/>
                <w:lang w:val="fr-FR"/>
              </w:rPr>
            </w:pPr>
            <w:r w:rsidRPr="004A59B1">
              <w:rPr>
                <w:color w:val="000000"/>
                <w:szCs w:val="22"/>
                <w:lang w:val="fr-FR"/>
              </w:rPr>
              <w:t>(pri odmerku 400 mg)</w:t>
            </w:r>
          </w:p>
        </w:tc>
        <w:tc>
          <w:tcPr>
            <w:tcW w:w="2400" w:type="dxa"/>
          </w:tcPr>
          <w:p w14:paraId="52979D9E" w14:textId="77777777" w:rsidR="00043C17" w:rsidRPr="004A59B1" w:rsidRDefault="00043C17" w:rsidP="009C1193">
            <w:pPr>
              <w:pStyle w:val="Table"/>
              <w:keepNext w:val="0"/>
              <w:keepLines w:val="0"/>
              <w:widowControl w:val="0"/>
              <w:spacing w:before="0" w:after="0"/>
              <w:rPr>
                <w:rFonts w:ascii="Times New Roman" w:hAnsi="Times New Roman"/>
                <w:color w:val="000000"/>
                <w:sz w:val="22"/>
                <w:szCs w:val="22"/>
                <w:lang w:val="it-IT"/>
              </w:rPr>
            </w:pPr>
            <w:r w:rsidRPr="004A59B1">
              <w:rPr>
                <w:rFonts w:ascii="Times New Roman" w:hAnsi="Times New Roman"/>
                <w:color w:val="000000"/>
                <w:sz w:val="22"/>
                <w:szCs w:val="22"/>
                <w:lang w:val="it-IT"/>
              </w:rPr>
              <w:t>ANC &lt; 1,0 x 10</w:t>
            </w:r>
            <w:r w:rsidRPr="004A59B1">
              <w:rPr>
                <w:rFonts w:ascii="Times New Roman" w:hAnsi="Times New Roman"/>
                <w:color w:val="000000"/>
                <w:sz w:val="22"/>
                <w:szCs w:val="22"/>
                <w:vertAlign w:val="superscript"/>
                <w:lang w:val="it-IT"/>
              </w:rPr>
              <w:t>9</w:t>
            </w:r>
            <w:r w:rsidRPr="004A59B1">
              <w:rPr>
                <w:rFonts w:ascii="Times New Roman" w:hAnsi="Times New Roman"/>
                <w:color w:val="000000"/>
                <w:sz w:val="22"/>
                <w:szCs w:val="22"/>
                <w:lang w:val="it-IT"/>
              </w:rPr>
              <w:t>/l</w:t>
            </w:r>
          </w:p>
          <w:p w14:paraId="52979D9F" w14:textId="77777777" w:rsidR="00043C17" w:rsidRPr="004A59B1" w:rsidRDefault="00043C17" w:rsidP="009C1193">
            <w:pPr>
              <w:pStyle w:val="Table"/>
              <w:keepNext w:val="0"/>
              <w:keepLines w:val="0"/>
              <w:widowControl w:val="0"/>
              <w:spacing w:before="0" w:after="0"/>
              <w:rPr>
                <w:rFonts w:ascii="Times New Roman" w:hAnsi="Times New Roman"/>
                <w:color w:val="000000"/>
                <w:sz w:val="22"/>
                <w:szCs w:val="22"/>
                <w:lang w:val="it-IT"/>
              </w:rPr>
            </w:pPr>
            <w:r w:rsidRPr="004A59B1">
              <w:rPr>
                <w:rFonts w:ascii="Times New Roman" w:hAnsi="Times New Roman"/>
                <w:color w:val="000000"/>
                <w:sz w:val="22"/>
                <w:szCs w:val="22"/>
                <w:lang w:val="it-IT"/>
              </w:rPr>
              <w:t>in/ali</w:t>
            </w:r>
          </w:p>
          <w:p w14:paraId="52979DA0" w14:textId="77777777" w:rsidR="00043C17" w:rsidRPr="004A59B1" w:rsidRDefault="00043C17" w:rsidP="009C1193">
            <w:pPr>
              <w:pStyle w:val="EndnoteText"/>
              <w:widowControl w:val="0"/>
              <w:tabs>
                <w:tab w:val="clear" w:pos="567"/>
              </w:tabs>
              <w:rPr>
                <w:color w:val="000000"/>
                <w:szCs w:val="22"/>
                <w:lang w:val="it-IT"/>
              </w:rPr>
            </w:pPr>
            <w:r w:rsidRPr="004A59B1">
              <w:rPr>
                <w:color w:val="000000"/>
                <w:szCs w:val="22"/>
                <w:lang w:val="it-IT"/>
              </w:rPr>
              <w:t>koncentracija trombocitov &lt; 50 x 10</w:t>
            </w:r>
            <w:r w:rsidRPr="004A59B1">
              <w:rPr>
                <w:color w:val="000000"/>
                <w:szCs w:val="22"/>
                <w:vertAlign w:val="superscript"/>
                <w:lang w:val="it-IT"/>
              </w:rPr>
              <w:t>9</w:t>
            </w:r>
            <w:r w:rsidRPr="004A59B1">
              <w:rPr>
                <w:color w:val="000000"/>
                <w:szCs w:val="22"/>
                <w:lang w:val="it-IT"/>
              </w:rPr>
              <w:t>/l</w:t>
            </w:r>
          </w:p>
        </w:tc>
        <w:tc>
          <w:tcPr>
            <w:tcW w:w="4404" w:type="dxa"/>
          </w:tcPr>
          <w:p w14:paraId="52979DA1" w14:textId="77777777" w:rsidR="00043C17" w:rsidRPr="004A59B1" w:rsidRDefault="00043C17" w:rsidP="009C1193">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sidRPr="004A59B1">
              <w:rPr>
                <w:rFonts w:ascii="Times New Roman" w:hAnsi="Times New Roman"/>
                <w:color w:val="000000"/>
                <w:sz w:val="22"/>
                <w:szCs w:val="22"/>
                <w:lang w:val="sv-SE"/>
              </w:rPr>
              <w:t>1.</w:t>
            </w:r>
            <w:r w:rsidRPr="004A59B1">
              <w:rPr>
                <w:rFonts w:ascii="Times New Roman" w:hAnsi="Times New Roman"/>
                <w:color w:val="000000"/>
                <w:sz w:val="22"/>
                <w:szCs w:val="22"/>
                <w:lang w:val="sv-SE"/>
              </w:rPr>
              <w:tab/>
              <w:t xml:space="preserve">Prekinite zdravljenje z zdravilom Glivec, dokler ni ANC </w:t>
            </w:r>
            <w:r w:rsidRPr="004A59B1">
              <w:rPr>
                <w:rFonts w:ascii="Times New Roman" w:hAnsi="Times New Roman"/>
                <w:color w:val="000000"/>
                <w:sz w:val="22"/>
                <w:szCs w:val="22"/>
                <w:lang w:val="en-GB"/>
              </w:rPr>
              <w:sym w:font="Symbol" w:char="F0B3"/>
            </w:r>
            <w:r w:rsidRPr="004A59B1">
              <w:rPr>
                <w:rFonts w:ascii="Times New Roman" w:hAnsi="Times New Roman"/>
                <w:color w:val="000000"/>
                <w:sz w:val="22"/>
                <w:szCs w:val="22"/>
                <w:lang w:val="sv-SE"/>
              </w:rPr>
              <w:t> 1,5 x 10</w:t>
            </w:r>
            <w:r w:rsidRPr="004A59B1">
              <w:rPr>
                <w:rFonts w:ascii="Times New Roman" w:hAnsi="Times New Roman"/>
                <w:color w:val="000000"/>
                <w:sz w:val="22"/>
                <w:szCs w:val="22"/>
                <w:vertAlign w:val="superscript"/>
                <w:lang w:val="sv-SE"/>
              </w:rPr>
              <w:t>9</w:t>
            </w:r>
            <w:r w:rsidRPr="004A59B1">
              <w:rPr>
                <w:rFonts w:ascii="Times New Roman" w:hAnsi="Times New Roman"/>
                <w:color w:val="000000"/>
                <w:sz w:val="22"/>
                <w:szCs w:val="22"/>
                <w:lang w:val="sv-SE"/>
              </w:rPr>
              <w:t>/l in koncentracija</w:t>
            </w:r>
            <w:r w:rsidRPr="004A59B1">
              <w:rPr>
                <w:color w:val="000000"/>
                <w:szCs w:val="22"/>
                <w:lang w:val="sv-SE"/>
              </w:rPr>
              <w:t xml:space="preserve"> </w:t>
            </w:r>
            <w:r w:rsidRPr="004A59B1">
              <w:rPr>
                <w:rFonts w:ascii="Times New Roman" w:hAnsi="Times New Roman"/>
                <w:color w:val="000000"/>
                <w:sz w:val="22"/>
                <w:szCs w:val="22"/>
                <w:lang w:val="sv-SE"/>
              </w:rPr>
              <w:t xml:space="preserve">trombocitov </w:t>
            </w:r>
            <w:r w:rsidRPr="004A59B1">
              <w:rPr>
                <w:rFonts w:ascii="Times New Roman" w:hAnsi="Times New Roman"/>
                <w:color w:val="000000"/>
                <w:sz w:val="22"/>
                <w:szCs w:val="22"/>
                <w:lang w:val="en-GB"/>
              </w:rPr>
              <w:sym w:font="Symbol" w:char="F0B3"/>
            </w:r>
            <w:r w:rsidRPr="004A59B1">
              <w:rPr>
                <w:rFonts w:ascii="Times New Roman" w:hAnsi="Times New Roman"/>
                <w:color w:val="000000"/>
                <w:sz w:val="22"/>
                <w:szCs w:val="22"/>
                <w:lang w:val="sv-SE"/>
              </w:rPr>
              <w:t> 75 x 10</w:t>
            </w:r>
            <w:r w:rsidRPr="004A59B1">
              <w:rPr>
                <w:rFonts w:ascii="Times New Roman" w:hAnsi="Times New Roman"/>
                <w:color w:val="000000"/>
                <w:sz w:val="22"/>
                <w:szCs w:val="22"/>
                <w:vertAlign w:val="superscript"/>
                <w:lang w:val="sv-SE"/>
              </w:rPr>
              <w:t>9</w:t>
            </w:r>
            <w:r w:rsidRPr="004A59B1">
              <w:rPr>
                <w:rFonts w:ascii="Times New Roman" w:hAnsi="Times New Roman"/>
                <w:color w:val="000000"/>
                <w:sz w:val="22"/>
                <w:szCs w:val="22"/>
                <w:lang w:val="sv-SE"/>
              </w:rPr>
              <w:t>/l.</w:t>
            </w:r>
          </w:p>
          <w:p w14:paraId="52979DA2" w14:textId="77777777" w:rsidR="00043C17" w:rsidRPr="004A59B1" w:rsidRDefault="00043C17" w:rsidP="009C1193">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sidRPr="004A59B1">
              <w:rPr>
                <w:rFonts w:ascii="Times New Roman" w:hAnsi="Times New Roman"/>
                <w:color w:val="000000"/>
                <w:sz w:val="22"/>
                <w:szCs w:val="22"/>
                <w:lang w:val="sv-SE"/>
              </w:rPr>
              <w:t>2.</w:t>
            </w:r>
            <w:r w:rsidRPr="004A59B1">
              <w:rPr>
                <w:rFonts w:ascii="Times New Roman" w:hAnsi="Times New Roman"/>
                <w:color w:val="000000"/>
                <w:sz w:val="22"/>
                <w:szCs w:val="22"/>
                <w:lang w:val="sv-SE"/>
              </w:rPr>
              <w:tab/>
              <w:t>Spet začnite zdravljenje z zdravilom Glivec s prejšnjim odmerkom (t.j. tistim pred nastopom resnega neželenega učinka).</w:t>
            </w:r>
          </w:p>
          <w:p w14:paraId="52979DA3" w14:textId="77777777" w:rsidR="00043C17" w:rsidRPr="004A59B1" w:rsidRDefault="00043C17" w:rsidP="009C1193">
            <w:pPr>
              <w:pStyle w:val="EndnoteText"/>
              <w:widowControl w:val="0"/>
              <w:tabs>
                <w:tab w:val="clear" w:pos="567"/>
              </w:tabs>
              <w:ind w:left="469" w:hanging="469"/>
              <w:rPr>
                <w:color w:val="000000"/>
                <w:szCs w:val="22"/>
                <w:lang w:val="sv-SE"/>
              </w:rPr>
            </w:pPr>
            <w:r w:rsidRPr="004A59B1">
              <w:rPr>
                <w:color w:val="000000"/>
                <w:szCs w:val="22"/>
                <w:lang w:val="sv-SE"/>
              </w:rPr>
              <w:t>3.</w:t>
            </w:r>
            <w:r w:rsidRPr="004A59B1">
              <w:rPr>
                <w:color w:val="000000"/>
                <w:szCs w:val="22"/>
                <w:lang w:val="sv-SE"/>
              </w:rPr>
              <w:tab/>
              <w:t xml:space="preserve">Če se pojav/a ANC </w:t>
            </w:r>
            <w:r w:rsidRPr="004A59B1">
              <w:rPr>
                <w:color w:val="000000"/>
                <w:szCs w:val="22"/>
              </w:rPr>
              <w:sym w:font="Symbol" w:char="F03C"/>
            </w:r>
            <w:r w:rsidRPr="004A59B1">
              <w:rPr>
                <w:color w:val="000000"/>
                <w:szCs w:val="22"/>
                <w:lang w:val="sv-SE"/>
              </w:rPr>
              <w:t> 1,0 x 10</w:t>
            </w:r>
            <w:r w:rsidRPr="004A59B1">
              <w:rPr>
                <w:color w:val="000000"/>
                <w:szCs w:val="22"/>
                <w:vertAlign w:val="superscript"/>
                <w:lang w:val="sv-SE"/>
              </w:rPr>
              <w:t>9</w:t>
            </w:r>
            <w:r w:rsidRPr="004A59B1">
              <w:rPr>
                <w:color w:val="000000"/>
                <w:szCs w:val="22"/>
                <w:lang w:val="sv-SE"/>
              </w:rPr>
              <w:t xml:space="preserve">/l in/ali koncentracija trombocitov </w:t>
            </w:r>
            <w:r w:rsidRPr="004A59B1">
              <w:rPr>
                <w:color w:val="000000"/>
                <w:szCs w:val="22"/>
              </w:rPr>
              <w:sym w:font="Symbol" w:char="F03C"/>
            </w:r>
            <w:r w:rsidRPr="004A59B1">
              <w:rPr>
                <w:color w:val="000000"/>
                <w:szCs w:val="22"/>
                <w:lang w:val="sv-SE"/>
              </w:rPr>
              <w:t> 50 x 10</w:t>
            </w:r>
            <w:r w:rsidRPr="004A59B1">
              <w:rPr>
                <w:color w:val="000000"/>
                <w:szCs w:val="22"/>
                <w:vertAlign w:val="superscript"/>
                <w:lang w:val="sv-SE"/>
              </w:rPr>
              <w:t>9</w:t>
            </w:r>
            <w:r w:rsidRPr="004A59B1">
              <w:rPr>
                <w:color w:val="000000"/>
                <w:szCs w:val="22"/>
                <w:lang w:val="sv-SE"/>
              </w:rPr>
              <w:t>/l ponovi/ta, ponovite točko 1 in spet začnite zdravljenje z zdravilom Glivec z zmanjšanim odmerkom 300 mg.</w:t>
            </w:r>
          </w:p>
        </w:tc>
      </w:tr>
      <w:tr w:rsidR="00043C17" w:rsidRPr="003B6568" w14:paraId="52979DAC" w14:textId="77777777" w:rsidTr="008F282C">
        <w:trPr>
          <w:cantSplit/>
        </w:trPr>
        <w:tc>
          <w:tcPr>
            <w:tcW w:w="2376" w:type="dxa"/>
          </w:tcPr>
          <w:p w14:paraId="52979DA5" w14:textId="77777777" w:rsidR="00043C17" w:rsidRPr="004A59B1" w:rsidRDefault="00043C17" w:rsidP="009C1193">
            <w:pPr>
              <w:pStyle w:val="EndnoteText"/>
              <w:widowControl w:val="0"/>
              <w:tabs>
                <w:tab w:val="clear" w:pos="567"/>
              </w:tabs>
              <w:rPr>
                <w:color w:val="000000"/>
                <w:szCs w:val="22"/>
                <w:lang w:val="sv-SE"/>
              </w:rPr>
            </w:pPr>
            <w:r w:rsidRPr="004A59B1">
              <w:rPr>
                <w:color w:val="000000"/>
                <w:szCs w:val="22"/>
                <w:lang w:val="sv-SE"/>
              </w:rPr>
              <w:t>kronična faza KML pri pediatričnih bolnikih (ob odmerku 340 mg/m</w:t>
            </w:r>
            <w:r w:rsidRPr="004A59B1">
              <w:rPr>
                <w:color w:val="000000"/>
                <w:szCs w:val="22"/>
                <w:vertAlign w:val="superscript"/>
                <w:lang w:val="sv-SE"/>
              </w:rPr>
              <w:t>2</w:t>
            </w:r>
            <w:r w:rsidRPr="004A59B1">
              <w:rPr>
                <w:color w:val="000000"/>
                <w:szCs w:val="22"/>
                <w:lang w:val="sv-SE"/>
              </w:rPr>
              <w:t>)</w:t>
            </w:r>
          </w:p>
        </w:tc>
        <w:tc>
          <w:tcPr>
            <w:tcW w:w="2400" w:type="dxa"/>
          </w:tcPr>
          <w:p w14:paraId="52979DA6" w14:textId="77777777" w:rsidR="00043C17" w:rsidRPr="004A59B1" w:rsidRDefault="00043C17" w:rsidP="009C1193">
            <w:pPr>
              <w:pStyle w:val="Table"/>
              <w:keepNext w:val="0"/>
              <w:keepLines w:val="0"/>
              <w:widowControl w:val="0"/>
              <w:spacing w:before="0" w:after="0"/>
              <w:rPr>
                <w:rFonts w:ascii="Times New Roman" w:hAnsi="Times New Roman"/>
                <w:color w:val="000000"/>
                <w:sz w:val="22"/>
                <w:szCs w:val="22"/>
                <w:lang w:val="it-IT"/>
              </w:rPr>
            </w:pPr>
            <w:r w:rsidRPr="004A59B1">
              <w:rPr>
                <w:rFonts w:ascii="Times New Roman" w:hAnsi="Times New Roman"/>
                <w:color w:val="000000"/>
                <w:sz w:val="22"/>
                <w:szCs w:val="22"/>
                <w:lang w:val="it-IT"/>
              </w:rPr>
              <w:t>ANC &lt; 1,0 x 10</w:t>
            </w:r>
            <w:r w:rsidRPr="004A59B1">
              <w:rPr>
                <w:rFonts w:ascii="Times New Roman" w:hAnsi="Times New Roman"/>
                <w:color w:val="000000"/>
                <w:sz w:val="22"/>
                <w:szCs w:val="22"/>
                <w:vertAlign w:val="superscript"/>
                <w:lang w:val="it-IT"/>
              </w:rPr>
              <w:t>9</w:t>
            </w:r>
            <w:r w:rsidRPr="004A59B1">
              <w:rPr>
                <w:rFonts w:ascii="Times New Roman" w:hAnsi="Times New Roman"/>
                <w:color w:val="000000"/>
                <w:sz w:val="22"/>
                <w:szCs w:val="22"/>
                <w:lang w:val="it-IT"/>
              </w:rPr>
              <w:t>/l</w:t>
            </w:r>
          </w:p>
          <w:p w14:paraId="52979DA7" w14:textId="77777777" w:rsidR="00043C17" w:rsidRPr="004A59B1" w:rsidRDefault="00043C17" w:rsidP="009C1193">
            <w:pPr>
              <w:pStyle w:val="Table"/>
              <w:keepNext w:val="0"/>
              <w:keepLines w:val="0"/>
              <w:widowControl w:val="0"/>
              <w:spacing w:before="0" w:after="0"/>
              <w:rPr>
                <w:rFonts w:ascii="Times New Roman" w:hAnsi="Times New Roman"/>
                <w:color w:val="000000"/>
                <w:sz w:val="22"/>
                <w:szCs w:val="22"/>
                <w:lang w:val="it-IT"/>
              </w:rPr>
            </w:pPr>
            <w:r w:rsidRPr="004A59B1">
              <w:rPr>
                <w:rFonts w:ascii="Times New Roman" w:hAnsi="Times New Roman"/>
                <w:color w:val="000000"/>
                <w:sz w:val="22"/>
                <w:szCs w:val="22"/>
                <w:lang w:val="it-IT"/>
              </w:rPr>
              <w:t>in/ali</w:t>
            </w:r>
          </w:p>
          <w:p w14:paraId="52979DA8" w14:textId="77777777" w:rsidR="00043C17" w:rsidRPr="004A59B1" w:rsidRDefault="00043C17" w:rsidP="009C1193">
            <w:pPr>
              <w:pStyle w:val="Table"/>
              <w:keepNext w:val="0"/>
              <w:keepLines w:val="0"/>
              <w:widowControl w:val="0"/>
              <w:spacing w:before="0" w:after="0"/>
              <w:rPr>
                <w:rFonts w:ascii="Times New Roman" w:hAnsi="Times New Roman"/>
                <w:color w:val="000000"/>
                <w:sz w:val="22"/>
                <w:szCs w:val="22"/>
                <w:lang w:val="it-IT"/>
              </w:rPr>
            </w:pPr>
            <w:r w:rsidRPr="004A59B1">
              <w:rPr>
                <w:rFonts w:ascii="Times New Roman" w:hAnsi="Times New Roman"/>
                <w:color w:val="000000"/>
                <w:sz w:val="22"/>
                <w:szCs w:val="22"/>
                <w:lang w:val="it-IT"/>
              </w:rPr>
              <w:t>koncentracija</w:t>
            </w:r>
            <w:r w:rsidRPr="004A59B1">
              <w:rPr>
                <w:color w:val="000000"/>
                <w:szCs w:val="22"/>
                <w:lang w:val="it-IT"/>
              </w:rPr>
              <w:t xml:space="preserve"> </w:t>
            </w:r>
            <w:r w:rsidRPr="004A59B1">
              <w:rPr>
                <w:rFonts w:ascii="Times New Roman" w:hAnsi="Times New Roman"/>
                <w:color w:val="000000"/>
                <w:sz w:val="22"/>
                <w:szCs w:val="22"/>
                <w:lang w:val="it-IT"/>
              </w:rPr>
              <w:t>trombocitov &lt; 50 x 10</w:t>
            </w:r>
            <w:r w:rsidRPr="004A59B1">
              <w:rPr>
                <w:rFonts w:ascii="Times New Roman" w:hAnsi="Times New Roman"/>
                <w:color w:val="000000"/>
                <w:sz w:val="22"/>
                <w:szCs w:val="22"/>
                <w:vertAlign w:val="superscript"/>
                <w:lang w:val="it-IT"/>
              </w:rPr>
              <w:t>9</w:t>
            </w:r>
            <w:r w:rsidRPr="004A59B1">
              <w:rPr>
                <w:rFonts w:ascii="Times New Roman" w:hAnsi="Times New Roman"/>
                <w:color w:val="000000"/>
                <w:sz w:val="22"/>
                <w:szCs w:val="22"/>
                <w:lang w:val="it-IT"/>
              </w:rPr>
              <w:t>/l</w:t>
            </w:r>
          </w:p>
        </w:tc>
        <w:tc>
          <w:tcPr>
            <w:tcW w:w="4404" w:type="dxa"/>
          </w:tcPr>
          <w:p w14:paraId="52979DA9" w14:textId="77777777" w:rsidR="00043C17" w:rsidRPr="004A59B1" w:rsidRDefault="00043C17" w:rsidP="009C1193">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sidRPr="004A59B1">
              <w:rPr>
                <w:rFonts w:ascii="Times New Roman" w:hAnsi="Times New Roman"/>
                <w:color w:val="000000"/>
                <w:sz w:val="22"/>
                <w:szCs w:val="22"/>
                <w:lang w:val="sv-SE"/>
              </w:rPr>
              <w:t>1.</w:t>
            </w:r>
            <w:r w:rsidRPr="004A59B1">
              <w:rPr>
                <w:rFonts w:ascii="Times New Roman" w:hAnsi="Times New Roman"/>
                <w:color w:val="000000"/>
                <w:sz w:val="22"/>
                <w:szCs w:val="22"/>
                <w:lang w:val="sv-SE"/>
              </w:rPr>
              <w:tab/>
              <w:t xml:space="preserve">Prekinite zdravljenje z zdravilom Glivec dokler ni ANC </w:t>
            </w:r>
            <w:r w:rsidRPr="004A59B1">
              <w:rPr>
                <w:rFonts w:ascii="Times New Roman" w:hAnsi="Times New Roman"/>
                <w:color w:val="000000"/>
                <w:sz w:val="22"/>
                <w:szCs w:val="22"/>
                <w:lang w:val="en-GB"/>
              </w:rPr>
              <w:sym w:font="Symbol" w:char="F0B3"/>
            </w:r>
            <w:r w:rsidRPr="004A59B1">
              <w:rPr>
                <w:rFonts w:ascii="Times New Roman" w:hAnsi="Times New Roman"/>
                <w:color w:val="000000"/>
                <w:sz w:val="22"/>
                <w:szCs w:val="22"/>
                <w:lang w:val="sv-SE"/>
              </w:rPr>
              <w:t> 1,5 x 10</w:t>
            </w:r>
            <w:r w:rsidRPr="004A59B1">
              <w:rPr>
                <w:rFonts w:ascii="Times New Roman" w:hAnsi="Times New Roman"/>
                <w:color w:val="000000"/>
                <w:sz w:val="22"/>
                <w:szCs w:val="22"/>
                <w:vertAlign w:val="superscript"/>
                <w:lang w:val="sv-SE"/>
              </w:rPr>
              <w:t>9</w:t>
            </w:r>
            <w:r w:rsidRPr="004A59B1">
              <w:rPr>
                <w:rFonts w:ascii="Times New Roman" w:hAnsi="Times New Roman"/>
                <w:color w:val="000000"/>
                <w:sz w:val="22"/>
                <w:szCs w:val="22"/>
                <w:lang w:val="sv-SE"/>
              </w:rPr>
              <w:t>/l in koncentracija</w:t>
            </w:r>
            <w:r w:rsidRPr="004A59B1">
              <w:rPr>
                <w:color w:val="000000"/>
                <w:szCs w:val="22"/>
                <w:lang w:val="sv-SE"/>
              </w:rPr>
              <w:t xml:space="preserve"> </w:t>
            </w:r>
            <w:r w:rsidRPr="004A59B1">
              <w:rPr>
                <w:rFonts w:ascii="Times New Roman" w:hAnsi="Times New Roman"/>
                <w:color w:val="000000"/>
                <w:sz w:val="22"/>
                <w:szCs w:val="22"/>
                <w:lang w:val="sv-SE"/>
              </w:rPr>
              <w:t xml:space="preserve">trombocitov </w:t>
            </w:r>
            <w:r w:rsidRPr="004A59B1">
              <w:rPr>
                <w:rFonts w:ascii="Times New Roman" w:hAnsi="Times New Roman"/>
                <w:color w:val="000000"/>
                <w:sz w:val="22"/>
                <w:szCs w:val="22"/>
                <w:lang w:val="en-GB"/>
              </w:rPr>
              <w:sym w:font="Symbol" w:char="F0B3"/>
            </w:r>
            <w:r w:rsidRPr="004A59B1">
              <w:rPr>
                <w:rFonts w:ascii="Times New Roman" w:hAnsi="Times New Roman"/>
                <w:color w:val="000000"/>
                <w:sz w:val="22"/>
                <w:szCs w:val="22"/>
                <w:lang w:val="sv-SE"/>
              </w:rPr>
              <w:t> 75 x 10</w:t>
            </w:r>
            <w:r w:rsidRPr="004A59B1">
              <w:rPr>
                <w:rFonts w:ascii="Times New Roman" w:hAnsi="Times New Roman"/>
                <w:color w:val="000000"/>
                <w:sz w:val="22"/>
                <w:szCs w:val="22"/>
                <w:vertAlign w:val="superscript"/>
                <w:lang w:val="sv-SE"/>
              </w:rPr>
              <w:t>9</w:t>
            </w:r>
            <w:r w:rsidRPr="004A59B1">
              <w:rPr>
                <w:rFonts w:ascii="Times New Roman" w:hAnsi="Times New Roman"/>
                <w:color w:val="000000"/>
                <w:sz w:val="22"/>
                <w:szCs w:val="22"/>
                <w:lang w:val="sv-SE"/>
              </w:rPr>
              <w:t>/l.</w:t>
            </w:r>
          </w:p>
          <w:p w14:paraId="52979DAA" w14:textId="77777777" w:rsidR="00043C17" w:rsidRPr="004A59B1" w:rsidRDefault="00043C17" w:rsidP="009C1193">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sidRPr="004A59B1">
              <w:rPr>
                <w:rFonts w:ascii="Times New Roman" w:hAnsi="Times New Roman"/>
                <w:color w:val="000000"/>
                <w:sz w:val="22"/>
                <w:szCs w:val="22"/>
                <w:lang w:val="sv-SE"/>
              </w:rPr>
              <w:t>2.</w:t>
            </w:r>
            <w:r w:rsidRPr="004A59B1">
              <w:rPr>
                <w:rFonts w:ascii="Times New Roman" w:hAnsi="Times New Roman"/>
                <w:color w:val="000000"/>
                <w:sz w:val="22"/>
                <w:szCs w:val="22"/>
                <w:lang w:val="sv-SE"/>
              </w:rPr>
              <w:tab/>
              <w:t>Spet začnite zdravljenje z zdravilom Glivec s prejšnjim odmerkom (t.j. tistim pred nastopom resnega neželenega učinka).</w:t>
            </w:r>
          </w:p>
          <w:p w14:paraId="52979DAB" w14:textId="77777777" w:rsidR="00043C17" w:rsidRPr="004A59B1" w:rsidRDefault="00043C17" w:rsidP="009C1193">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sidRPr="004A59B1">
              <w:rPr>
                <w:rFonts w:ascii="Times New Roman" w:hAnsi="Times New Roman"/>
                <w:color w:val="000000"/>
                <w:sz w:val="22"/>
                <w:szCs w:val="22"/>
                <w:lang w:val="sv-SE"/>
              </w:rPr>
              <w:t>3.</w:t>
            </w:r>
            <w:r w:rsidRPr="004A59B1">
              <w:rPr>
                <w:rFonts w:ascii="Times New Roman" w:hAnsi="Times New Roman"/>
                <w:color w:val="000000"/>
                <w:sz w:val="22"/>
                <w:szCs w:val="22"/>
                <w:lang w:val="sv-SE"/>
              </w:rPr>
              <w:tab/>
              <w:t xml:space="preserve">Če se pojav/a ANC </w:t>
            </w:r>
            <w:r w:rsidRPr="004A59B1">
              <w:rPr>
                <w:rFonts w:ascii="Times New Roman" w:hAnsi="Times New Roman"/>
                <w:color w:val="000000"/>
                <w:sz w:val="22"/>
                <w:szCs w:val="22"/>
              </w:rPr>
              <w:sym w:font="Symbol" w:char="F03C"/>
            </w:r>
            <w:r w:rsidRPr="004A59B1">
              <w:rPr>
                <w:rFonts w:ascii="Times New Roman" w:hAnsi="Times New Roman"/>
                <w:color w:val="000000"/>
                <w:sz w:val="22"/>
                <w:szCs w:val="22"/>
                <w:lang w:val="sv-SE"/>
              </w:rPr>
              <w:t> 1,0 x 10</w:t>
            </w:r>
            <w:r w:rsidRPr="004A59B1">
              <w:rPr>
                <w:rFonts w:ascii="Times New Roman" w:hAnsi="Times New Roman"/>
                <w:color w:val="000000"/>
                <w:sz w:val="22"/>
                <w:szCs w:val="22"/>
                <w:vertAlign w:val="superscript"/>
                <w:lang w:val="sv-SE"/>
              </w:rPr>
              <w:t>9</w:t>
            </w:r>
            <w:r w:rsidRPr="004A59B1">
              <w:rPr>
                <w:rFonts w:ascii="Times New Roman" w:hAnsi="Times New Roman"/>
                <w:color w:val="000000"/>
                <w:sz w:val="22"/>
                <w:szCs w:val="22"/>
                <w:lang w:val="sv-SE"/>
              </w:rPr>
              <w:t>/l in/ali koncentracija</w:t>
            </w:r>
            <w:r w:rsidRPr="004A59B1">
              <w:rPr>
                <w:color w:val="000000"/>
                <w:szCs w:val="22"/>
                <w:lang w:val="sv-SE"/>
              </w:rPr>
              <w:t xml:space="preserve"> </w:t>
            </w:r>
            <w:r w:rsidRPr="004A59B1">
              <w:rPr>
                <w:rFonts w:ascii="Times New Roman" w:hAnsi="Times New Roman"/>
                <w:color w:val="000000"/>
                <w:sz w:val="22"/>
                <w:szCs w:val="22"/>
                <w:lang w:val="sv-SE"/>
              </w:rPr>
              <w:t xml:space="preserve">trombocitov </w:t>
            </w:r>
            <w:r w:rsidRPr="004A59B1">
              <w:rPr>
                <w:rFonts w:ascii="Times New Roman" w:hAnsi="Times New Roman"/>
                <w:color w:val="000000"/>
                <w:sz w:val="22"/>
                <w:szCs w:val="22"/>
              </w:rPr>
              <w:sym w:font="Symbol" w:char="F03C"/>
            </w:r>
            <w:r w:rsidRPr="004A59B1">
              <w:rPr>
                <w:rFonts w:ascii="Times New Roman" w:hAnsi="Times New Roman"/>
                <w:color w:val="000000"/>
                <w:sz w:val="22"/>
                <w:szCs w:val="22"/>
                <w:lang w:val="sv-SE"/>
              </w:rPr>
              <w:t> 50 x 10</w:t>
            </w:r>
            <w:r w:rsidRPr="004A59B1">
              <w:rPr>
                <w:rFonts w:ascii="Times New Roman" w:hAnsi="Times New Roman"/>
                <w:color w:val="000000"/>
                <w:sz w:val="22"/>
                <w:szCs w:val="22"/>
                <w:vertAlign w:val="superscript"/>
                <w:lang w:val="sv-SE"/>
              </w:rPr>
              <w:t>9</w:t>
            </w:r>
            <w:r w:rsidRPr="004A59B1">
              <w:rPr>
                <w:rFonts w:ascii="Times New Roman" w:hAnsi="Times New Roman"/>
                <w:color w:val="000000"/>
                <w:sz w:val="22"/>
                <w:szCs w:val="22"/>
                <w:lang w:val="sv-SE"/>
              </w:rPr>
              <w:t>/l ponovi/ta, ponovite točko 1 in spet začnite zdravljenje z zdravilom Glivec z zmanjšanim odmerkom 260 mg/m</w:t>
            </w:r>
            <w:r w:rsidRPr="004A59B1">
              <w:rPr>
                <w:rFonts w:ascii="Times New Roman" w:hAnsi="Times New Roman"/>
                <w:color w:val="000000"/>
                <w:sz w:val="22"/>
                <w:szCs w:val="22"/>
                <w:vertAlign w:val="superscript"/>
                <w:lang w:val="sv-SE"/>
              </w:rPr>
              <w:t>2</w:t>
            </w:r>
            <w:r w:rsidRPr="004A59B1">
              <w:rPr>
                <w:rFonts w:ascii="Times New Roman" w:hAnsi="Times New Roman"/>
                <w:color w:val="000000"/>
                <w:sz w:val="22"/>
                <w:szCs w:val="22"/>
                <w:lang w:val="sv-SE"/>
              </w:rPr>
              <w:t>.</w:t>
            </w:r>
          </w:p>
        </w:tc>
      </w:tr>
      <w:tr w:rsidR="00043C17" w:rsidRPr="003B6568" w14:paraId="52979DB5" w14:textId="77777777" w:rsidTr="008F282C">
        <w:trPr>
          <w:cantSplit/>
        </w:trPr>
        <w:tc>
          <w:tcPr>
            <w:tcW w:w="2376" w:type="dxa"/>
            <w:tcBorders>
              <w:bottom w:val="nil"/>
            </w:tcBorders>
          </w:tcPr>
          <w:p w14:paraId="52979DAD" w14:textId="77777777" w:rsidR="00043C17" w:rsidRPr="004A59B1" w:rsidRDefault="00043C17" w:rsidP="009C1193">
            <w:pPr>
              <w:pStyle w:val="EndnoteText"/>
              <w:widowControl w:val="0"/>
              <w:tabs>
                <w:tab w:val="clear" w:pos="567"/>
              </w:tabs>
              <w:rPr>
                <w:color w:val="000000"/>
                <w:szCs w:val="22"/>
                <w:lang w:val="sv-SE"/>
              </w:rPr>
            </w:pPr>
            <w:r w:rsidRPr="004A59B1">
              <w:rPr>
                <w:color w:val="000000"/>
                <w:szCs w:val="22"/>
                <w:lang w:val="sv-SE"/>
              </w:rPr>
              <w:t>pospešena faza KML in blastna kriza in Ph+ ALL (začetni odmerek 600 mg)</w:t>
            </w:r>
          </w:p>
        </w:tc>
        <w:tc>
          <w:tcPr>
            <w:tcW w:w="2400" w:type="dxa"/>
            <w:tcBorders>
              <w:bottom w:val="nil"/>
            </w:tcBorders>
          </w:tcPr>
          <w:p w14:paraId="52979DAE" w14:textId="77777777" w:rsidR="00043C17" w:rsidRPr="004A59B1" w:rsidRDefault="00043C17" w:rsidP="009C1193">
            <w:pPr>
              <w:pStyle w:val="Table"/>
              <w:keepNext w:val="0"/>
              <w:keepLines w:val="0"/>
              <w:widowControl w:val="0"/>
              <w:spacing w:before="0" w:after="0"/>
              <w:rPr>
                <w:rFonts w:ascii="Times New Roman" w:hAnsi="Times New Roman"/>
                <w:color w:val="000000"/>
                <w:sz w:val="22"/>
                <w:szCs w:val="22"/>
                <w:lang w:val="it-IT"/>
              </w:rPr>
            </w:pPr>
            <w:r w:rsidRPr="004A59B1">
              <w:rPr>
                <w:rFonts w:ascii="Times New Roman" w:hAnsi="Times New Roman"/>
                <w:color w:val="000000"/>
                <w:sz w:val="22"/>
                <w:szCs w:val="22"/>
                <w:vertAlign w:val="superscript"/>
                <w:lang w:val="it-IT"/>
              </w:rPr>
              <w:t>a</w:t>
            </w:r>
            <w:r w:rsidRPr="004A59B1">
              <w:rPr>
                <w:rFonts w:ascii="Times New Roman" w:hAnsi="Times New Roman"/>
                <w:color w:val="000000"/>
                <w:sz w:val="22"/>
                <w:szCs w:val="22"/>
                <w:lang w:val="it-IT"/>
              </w:rPr>
              <w:t>ANC &lt; 0,5 x 10</w:t>
            </w:r>
            <w:r w:rsidRPr="004A59B1">
              <w:rPr>
                <w:rFonts w:ascii="Times New Roman" w:hAnsi="Times New Roman"/>
                <w:color w:val="000000"/>
                <w:sz w:val="22"/>
                <w:szCs w:val="22"/>
                <w:vertAlign w:val="superscript"/>
                <w:lang w:val="it-IT"/>
              </w:rPr>
              <w:t>9</w:t>
            </w:r>
            <w:r w:rsidRPr="004A59B1">
              <w:rPr>
                <w:rFonts w:ascii="Times New Roman" w:hAnsi="Times New Roman"/>
                <w:color w:val="000000"/>
                <w:sz w:val="22"/>
                <w:szCs w:val="22"/>
                <w:lang w:val="it-IT"/>
              </w:rPr>
              <w:t>/l</w:t>
            </w:r>
          </w:p>
          <w:p w14:paraId="52979DAF" w14:textId="77777777" w:rsidR="00043C17" w:rsidRPr="004A59B1" w:rsidRDefault="00043C17" w:rsidP="009C1193">
            <w:pPr>
              <w:pStyle w:val="Table"/>
              <w:keepNext w:val="0"/>
              <w:keepLines w:val="0"/>
              <w:widowControl w:val="0"/>
              <w:spacing w:before="0" w:after="0"/>
              <w:rPr>
                <w:rFonts w:ascii="Times New Roman" w:hAnsi="Times New Roman"/>
                <w:color w:val="000000"/>
                <w:sz w:val="22"/>
                <w:szCs w:val="22"/>
                <w:lang w:val="it-IT"/>
              </w:rPr>
            </w:pPr>
            <w:r w:rsidRPr="004A59B1">
              <w:rPr>
                <w:rFonts w:ascii="Times New Roman" w:hAnsi="Times New Roman"/>
                <w:color w:val="000000"/>
                <w:sz w:val="22"/>
                <w:szCs w:val="22"/>
                <w:lang w:val="it-IT"/>
              </w:rPr>
              <w:t>in/ali</w:t>
            </w:r>
          </w:p>
          <w:p w14:paraId="52979DB0" w14:textId="77777777" w:rsidR="00043C17" w:rsidRPr="004A59B1" w:rsidRDefault="00043C17" w:rsidP="009C1193">
            <w:pPr>
              <w:pStyle w:val="EndnoteText"/>
              <w:widowControl w:val="0"/>
              <w:tabs>
                <w:tab w:val="clear" w:pos="567"/>
              </w:tabs>
              <w:rPr>
                <w:color w:val="000000"/>
                <w:szCs w:val="22"/>
                <w:lang w:val="it-IT"/>
              </w:rPr>
            </w:pPr>
            <w:r w:rsidRPr="004A59B1">
              <w:rPr>
                <w:color w:val="000000"/>
                <w:szCs w:val="22"/>
                <w:lang w:val="it-IT"/>
              </w:rPr>
              <w:t>koncentracija trombocitov &lt; 10 x 10</w:t>
            </w:r>
            <w:r w:rsidRPr="004A59B1">
              <w:rPr>
                <w:color w:val="000000"/>
                <w:szCs w:val="22"/>
                <w:vertAlign w:val="superscript"/>
                <w:lang w:val="it-IT"/>
              </w:rPr>
              <w:t>9</w:t>
            </w:r>
            <w:r w:rsidRPr="004A59B1">
              <w:rPr>
                <w:color w:val="000000"/>
                <w:szCs w:val="22"/>
                <w:lang w:val="it-IT"/>
              </w:rPr>
              <w:t>/l</w:t>
            </w:r>
          </w:p>
        </w:tc>
        <w:tc>
          <w:tcPr>
            <w:tcW w:w="4404" w:type="dxa"/>
            <w:tcBorders>
              <w:bottom w:val="nil"/>
            </w:tcBorders>
          </w:tcPr>
          <w:p w14:paraId="52979DB1" w14:textId="77777777" w:rsidR="00043C17" w:rsidRPr="004A59B1" w:rsidRDefault="00043C17" w:rsidP="009C1193">
            <w:pPr>
              <w:pStyle w:val="Table"/>
              <w:keepNext w:val="0"/>
              <w:keepLines w:val="0"/>
              <w:widowControl w:val="0"/>
              <w:tabs>
                <w:tab w:val="clear" w:pos="284"/>
              </w:tabs>
              <w:spacing w:before="0" w:after="0"/>
              <w:ind w:left="469" w:hanging="469"/>
              <w:rPr>
                <w:rFonts w:ascii="Times New Roman" w:hAnsi="Times New Roman"/>
                <w:color w:val="000000"/>
                <w:sz w:val="22"/>
                <w:szCs w:val="22"/>
                <w:lang w:val="it-IT"/>
              </w:rPr>
            </w:pPr>
            <w:r w:rsidRPr="004A59B1">
              <w:rPr>
                <w:rFonts w:ascii="Times New Roman" w:hAnsi="Times New Roman"/>
                <w:color w:val="000000"/>
                <w:sz w:val="22"/>
                <w:szCs w:val="22"/>
                <w:lang w:val="it-IT"/>
              </w:rPr>
              <w:t>1.</w:t>
            </w:r>
            <w:r w:rsidRPr="004A59B1">
              <w:rPr>
                <w:rFonts w:ascii="Times New Roman" w:hAnsi="Times New Roman"/>
                <w:color w:val="000000"/>
                <w:sz w:val="22"/>
                <w:szCs w:val="22"/>
                <w:lang w:val="it-IT"/>
              </w:rPr>
              <w:tab/>
              <w:t>Preverite, ali je citopenija povezana z levkemijo (aspirat ali biopsija kostnega mozga).</w:t>
            </w:r>
          </w:p>
          <w:p w14:paraId="52979DB2" w14:textId="77777777" w:rsidR="00043C17" w:rsidRPr="004A59B1" w:rsidRDefault="00043C17" w:rsidP="009C1193">
            <w:pPr>
              <w:pStyle w:val="Table"/>
              <w:keepNext w:val="0"/>
              <w:keepLines w:val="0"/>
              <w:widowControl w:val="0"/>
              <w:tabs>
                <w:tab w:val="clear" w:pos="284"/>
              </w:tabs>
              <w:spacing w:before="0" w:after="0"/>
              <w:ind w:left="469" w:hanging="469"/>
              <w:rPr>
                <w:rFonts w:ascii="Times New Roman" w:hAnsi="Times New Roman"/>
                <w:color w:val="000000"/>
                <w:sz w:val="22"/>
                <w:szCs w:val="22"/>
                <w:lang w:val="it-IT"/>
              </w:rPr>
            </w:pPr>
            <w:r w:rsidRPr="004A59B1">
              <w:rPr>
                <w:rFonts w:ascii="Times New Roman" w:hAnsi="Times New Roman"/>
                <w:color w:val="000000"/>
                <w:sz w:val="22"/>
                <w:szCs w:val="22"/>
                <w:lang w:val="it-IT"/>
              </w:rPr>
              <w:t>2.</w:t>
            </w:r>
            <w:r w:rsidRPr="004A59B1">
              <w:rPr>
                <w:rFonts w:ascii="Times New Roman" w:hAnsi="Times New Roman"/>
                <w:color w:val="000000"/>
                <w:sz w:val="22"/>
                <w:szCs w:val="22"/>
                <w:lang w:val="it-IT"/>
              </w:rPr>
              <w:tab/>
              <w:t>Če citopenija ni povezana z levkemijo, zmanjšajte odmerek zdravila Glivec na 400 mg.</w:t>
            </w:r>
          </w:p>
          <w:p w14:paraId="52979DB3" w14:textId="77777777" w:rsidR="00043C17" w:rsidRPr="004A59B1" w:rsidRDefault="00043C17" w:rsidP="009C1193">
            <w:pPr>
              <w:pStyle w:val="Table"/>
              <w:keepNext w:val="0"/>
              <w:keepLines w:val="0"/>
              <w:widowControl w:val="0"/>
              <w:tabs>
                <w:tab w:val="clear" w:pos="284"/>
              </w:tabs>
              <w:spacing w:before="0" w:after="0"/>
              <w:ind w:left="469" w:hanging="469"/>
              <w:rPr>
                <w:rFonts w:ascii="Times New Roman" w:hAnsi="Times New Roman"/>
                <w:color w:val="000000"/>
                <w:sz w:val="22"/>
                <w:szCs w:val="22"/>
                <w:lang w:val="it-IT"/>
              </w:rPr>
            </w:pPr>
            <w:r w:rsidRPr="004A59B1">
              <w:rPr>
                <w:rFonts w:ascii="Times New Roman" w:hAnsi="Times New Roman"/>
                <w:color w:val="000000"/>
                <w:sz w:val="22"/>
                <w:szCs w:val="22"/>
                <w:lang w:val="it-IT"/>
              </w:rPr>
              <w:t>3.</w:t>
            </w:r>
            <w:r w:rsidRPr="004A59B1">
              <w:rPr>
                <w:rFonts w:ascii="Times New Roman" w:hAnsi="Times New Roman"/>
                <w:color w:val="000000"/>
                <w:sz w:val="22"/>
                <w:szCs w:val="22"/>
                <w:lang w:val="it-IT"/>
              </w:rPr>
              <w:tab/>
              <w:t xml:space="preserve">Če citopenija </w:t>
            </w:r>
            <w:r w:rsidR="005F3C8F" w:rsidRPr="004A59B1">
              <w:rPr>
                <w:rFonts w:ascii="Times New Roman" w:hAnsi="Times New Roman"/>
                <w:color w:val="000000"/>
                <w:sz w:val="22"/>
                <w:szCs w:val="22"/>
                <w:lang w:val="it-IT"/>
              </w:rPr>
              <w:t>vz</w:t>
            </w:r>
            <w:r w:rsidRPr="004A59B1">
              <w:rPr>
                <w:rFonts w:ascii="Times New Roman" w:hAnsi="Times New Roman"/>
                <w:color w:val="000000"/>
                <w:sz w:val="22"/>
                <w:szCs w:val="22"/>
                <w:lang w:val="it-IT"/>
              </w:rPr>
              <w:t>traja 2 tedna, odmerek zmanjšajte na 300 mg.</w:t>
            </w:r>
          </w:p>
          <w:p w14:paraId="52979DB4" w14:textId="77777777" w:rsidR="00043C17" w:rsidRPr="004A59B1" w:rsidRDefault="00043C17" w:rsidP="009C1193">
            <w:pPr>
              <w:pStyle w:val="EndnoteText"/>
              <w:widowControl w:val="0"/>
              <w:tabs>
                <w:tab w:val="clear" w:pos="567"/>
              </w:tabs>
              <w:ind w:left="469" w:hanging="469"/>
              <w:rPr>
                <w:color w:val="000000"/>
                <w:szCs w:val="22"/>
                <w:lang w:val="it-IT"/>
              </w:rPr>
            </w:pPr>
            <w:r w:rsidRPr="004A59B1">
              <w:rPr>
                <w:color w:val="000000"/>
                <w:szCs w:val="22"/>
                <w:lang w:val="it-IT"/>
              </w:rPr>
              <w:t>4.</w:t>
            </w:r>
            <w:r w:rsidRPr="004A59B1">
              <w:rPr>
                <w:color w:val="000000"/>
                <w:szCs w:val="22"/>
                <w:lang w:val="it-IT"/>
              </w:rPr>
              <w:tab/>
              <w:t xml:space="preserve">Če citopenija vztraja 4 tedne in še vedno ni povezana z levkemijo, prekinite zdravljenje z zdravilom Glivec, dokler ni ANC </w:t>
            </w:r>
            <w:r w:rsidRPr="004A59B1">
              <w:rPr>
                <w:color w:val="000000"/>
                <w:szCs w:val="22"/>
              </w:rPr>
              <w:sym w:font="Symbol" w:char="F0B3"/>
            </w:r>
            <w:r w:rsidRPr="004A59B1">
              <w:rPr>
                <w:color w:val="000000"/>
                <w:szCs w:val="22"/>
                <w:lang w:val="it-IT"/>
              </w:rPr>
              <w:t> 1 x 10</w:t>
            </w:r>
            <w:r w:rsidRPr="004A59B1">
              <w:rPr>
                <w:color w:val="000000"/>
                <w:szCs w:val="22"/>
                <w:vertAlign w:val="superscript"/>
                <w:lang w:val="it-IT"/>
              </w:rPr>
              <w:t>9</w:t>
            </w:r>
            <w:r w:rsidRPr="004A59B1">
              <w:rPr>
                <w:color w:val="000000"/>
                <w:szCs w:val="22"/>
                <w:lang w:val="it-IT"/>
              </w:rPr>
              <w:t xml:space="preserve">/l in koncentracija trombocitov </w:t>
            </w:r>
            <w:r w:rsidRPr="004A59B1">
              <w:rPr>
                <w:color w:val="000000"/>
                <w:szCs w:val="22"/>
              </w:rPr>
              <w:sym w:font="Symbol" w:char="F0B3"/>
            </w:r>
            <w:r w:rsidRPr="004A59B1">
              <w:rPr>
                <w:color w:val="000000"/>
                <w:szCs w:val="22"/>
                <w:lang w:val="it-IT"/>
              </w:rPr>
              <w:t> 20 x 10</w:t>
            </w:r>
            <w:r w:rsidRPr="004A59B1">
              <w:rPr>
                <w:color w:val="000000"/>
                <w:szCs w:val="22"/>
                <w:vertAlign w:val="superscript"/>
                <w:lang w:val="it-IT"/>
              </w:rPr>
              <w:t>9</w:t>
            </w:r>
            <w:r w:rsidRPr="004A59B1">
              <w:rPr>
                <w:color w:val="000000"/>
                <w:szCs w:val="22"/>
                <w:lang w:val="it-IT"/>
              </w:rPr>
              <w:t>/l, nato spet začnite zdravljenje z odmerkom 300 mg.</w:t>
            </w:r>
          </w:p>
        </w:tc>
      </w:tr>
      <w:tr w:rsidR="00043C17" w:rsidRPr="003B6568" w14:paraId="52979DBE" w14:textId="77777777" w:rsidTr="008F282C">
        <w:trPr>
          <w:cantSplit/>
        </w:trPr>
        <w:tc>
          <w:tcPr>
            <w:tcW w:w="2376" w:type="dxa"/>
            <w:tcBorders>
              <w:bottom w:val="nil"/>
            </w:tcBorders>
          </w:tcPr>
          <w:p w14:paraId="52979DB6" w14:textId="77777777" w:rsidR="00043C17" w:rsidRPr="004A59B1" w:rsidRDefault="00043C17" w:rsidP="009C1193">
            <w:pPr>
              <w:pStyle w:val="EndnoteText"/>
              <w:widowControl w:val="0"/>
              <w:tabs>
                <w:tab w:val="clear" w:pos="567"/>
              </w:tabs>
              <w:rPr>
                <w:color w:val="000000"/>
                <w:szCs w:val="22"/>
                <w:lang w:val="it-IT"/>
              </w:rPr>
            </w:pPr>
            <w:r w:rsidRPr="004A59B1">
              <w:rPr>
                <w:color w:val="000000"/>
                <w:szCs w:val="22"/>
                <w:lang w:val="it-IT"/>
              </w:rPr>
              <w:lastRenderedPageBreak/>
              <w:t>pospešena faza KML in blastna kriza pri pediatričnih bolnikih (začetni odmerek 340 mg/m</w:t>
            </w:r>
            <w:r w:rsidRPr="004A59B1">
              <w:rPr>
                <w:color w:val="000000"/>
                <w:szCs w:val="22"/>
                <w:vertAlign w:val="superscript"/>
                <w:lang w:val="it-IT"/>
              </w:rPr>
              <w:t>2</w:t>
            </w:r>
            <w:r w:rsidRPr="004A59B1">
              <w:rPr>
                <w:color w:val="000000"/>
                <w:szCs w:val="22"/>
                <w:lang w:val="it-IT"/>
              </w:rPr>
              <w:t>)</w:t>
            </w:r>
          </w:p>
        </w:tc>
        <w:tc>
          <w:tcPr>
            <w:tcW w:w="2400" w:type="dxa"/>
            <w:tcBorders>
              <w:bottom w:val="nil"/>
            </w:tcBorders>
          </w:tcPr>
          <w:p w14:paraId="52979DB7" w14:textId="77777777" w:rsidR="00043C17" w:rsidRPr="004A59B1" w:rsidRDefault="00043C17" w:rsidP="009C1193">
            <w:pPr>
              <w:pStyle w:val="Table"/>
              <w:keepNext w:val="0"/>
              <w:keepLines w:val="0"/>
              <w:widowControl w:val="0"/>
              <w:spacing w:before="0" w:after="0"/>
              <w:rPr>
                <w:rFonts w:ascii="Times New Roman" w:hAnsi="Times New Roman"/>
                <w:color w:val="000000"/>
                <w:sz w:val="22"/>
                <w:szCs w:val="22"/>
                <w:lang w:val="it-IT"/>
              </w:rPr>
            </w:pPr>
            <w:r w:rsidRPr="004A59B1">
              <w:rPr>
                <w:rFonts w:ascii="Times New Roman" w:hAnsi="Times New Roman"/>
                <w:color w:val="000000"/>
                <w:sz w:val="22"/>
                <w:szCs w:val="22"/>
                <w:vertAlign w:val="superscript"/>
                <w:lang w:val="it-IT"/>
              </w:rPr>
              <w:t>a</w:t>
            </w:r>
            <w:r w:rsidRPr="004A59B1">
              <w:rPr>
                <w:rFonts w:ascii="Times New Roman" w:hAnsi="Times New Roman"/>
                <w:color w:val="000000"/>
                <w:sz w:val="22"/>
                <w:szCs w:val="22"/>
                <w:lang w:val="it-IT"/>
              </w:rPr>
              <w:t>ANC &lt; 0,5 x 10</w:t>
            </w:r>
            <w:r w:rsidRPr="004A59B1">
              <w:rPr>
                <w:rFonts w:ascii="Times New Roman" w:hAnsi="Times New Roman"/>
                <w:color w:val="000000"/>
                <w:sz w:val="22"/>
                <w:szCs w:val="22"/>
                <w:vertAlign w:val="superscript"/>
                <w:lang w:val="it-IT"/>
              </w:rPr>
              <w:t>9</w:t>
            </w:r>
            <w:r w:rsidRPr="004A59B1">
              <w:rPr>
                <w:rFonts w:ascii="Times New Roman" w:hAnsi="Times New Roman"/>
                <w:color w:val="000000"/>
                <w:sz w:val="22"/>
                <w:szCs w:val="22"/>
                <w:lang w:val="it-IT"/>
              </w:rPr>
              <w:t>/l</w:t>
            </w:r>
          </w:p>
          <w:p w14:paraId="52979DB8" w14:textId="77777777" w:rsidR="00043C17" w:rsidRPr="004A59B1" w:rsidRDefault="00043C17" w:rsidP="009C1193">
            <w:pPr>
              <w:pStyle w:val="Table"/>
              <w:keepNext w:val="0"/>
              <w:keepLines w:val="0"/>
              <w:widowControl w:val="0"/>
              <w:spacing w:before="0" w:after="0"/>
              <w:rPr>
                <w:rFonts w:ascii="Times New Roman" w:hAnsi="Times New Roman"/>
                <w:color w:val="000000"/>
                <w:sz w:val="22"/>
                <w:szCs w:val="22"/>
                <w:lang w:val="it-IT"/>
              </w:rPr>
            </w:pPr>
            <w:r w:rsidRPr="004A59B1">
              <w:rPr>
                <w:rFonts w:ascii="Times New Roman" w:hAnsi="Times New Roman"/>
                <w:color w:val="000000"/>
                <w:sz w:val="22"/>
                <w:szCs w:val="22"/>
                <w:lang w:val="it-IT"/>
              </w:rPr>
              <w:t>in/ali</w:t>
            </w:r>
          </w:p>
          <w:p w14:paraId="52979DB9" w14:textId="77777777" w:rsidR="00043C17" w:rsidRPr="004A59B1" w:rsidDel="000659A8" w:rsidRDefault="00043C17" w:rsidP="009C1193">
            <w:pPr>
              <w:pStyle w:val="Table"/>
              <w:keepNext w:val="0"/>
              <w:keepLines w:val="0"/>
              <w:widowControl w:val="0"/>
              <w:spacing w:before="0" w:after="0"/>
              <w:rPr>
                <w:rFonts w:ascii="Times New Roman" w:hAnsi="Times New Roman"/>
                <w:color w:val="000000"/>
                <w:sz w:val="22"/>
                <w:szCs w:val="22"/>
                <w:vertAlign w:val="superscript"/>
                <w:lang w:val="it-IT"/>
              </w:rPr>
            </w:pPr>
            <w:r w:rsidRPr="004A59B1">
              <w:rPr>
                <w:rFonts w:ascii="Times New Roman" w:hAnsi="Times New Roman"/>
                <w:color w:val="000000"/>
                <w:sz w:val="22"/>
                <w:szCs w:val="22"/>
                <w:lang w:val="it-IT"/>
              </w:rPr>
              <w:t>koncentracija</w:t>
            </w:r>
            <w:r w:rsidRPr="004A59B1">
              <w:rPr>
                <w:color w:val="000000"/>
                <w:szCs w:val="22"/>
                <w:lang w:val="it-IT"/>
              </w:rPr>
              <w:t xml:space="preserve"> </w:t>
            </w:r>
            <w:r w:rsidRPr="004A59B1">
              <w:rPr>
                <w:rFonts w:ascii="Times New Roman" w:hAnsi="Times New Roman"/>
                <w:color w:val="000000"/>
                <w:sz w:val="22"/>
                <w:szCs w:val="22"/>
                <w:lang w:val="it-IT"/>
              </w:rPr>
              <w:t>trombocitov &lt; 10 x 10</w:t>
            </w:r>
            <w:r w:rsidRPr="004A59B1">
              <w:rPr>
                <w:rFonts w:ascii="Times New Roman" w:hAnsi="Times New Roman"/>
                <w:color w:val="000000"/>
                <w:sz w:val="22"/>
                <w:szCs w:val="22"/>
                <w:vertAlign w:val="superscript"/>
                <w:lang w:val="it-IT"/>
              </w:rPr>
              <w:t>9</w:t>
            </w:r>
            <w:r w:rsidRPr="004A59B1">
              <w:rPr>
                <w:rFonts w:ascii="Times New Roman" w:hAnsi="Times New Roman"/>
                <w:color w:val="000000"/>
                <w:sz w:val="22"/>
                <w:szCs w:val="22"/>
                <w:lang w:val="it-IT"/>
              </w:rPr>
              <w:t>/l</w:t>
            </w:r>
          </w:p>
        </w:tc>
        <w:tc>
          <w:tcPr>
            <w:tcW w:w="4404" w:type="dxa"/>
            <w:tcBorders>
              <w:bottom w:val="nil"/>
            </w:tcBorders>
          </w:tcPr>
          <w:p w14:paraId="52979DBA" w14:textId="77777777" w:rsidR="00043C17" w:rsidRPr="004A59B1" w:rsidRDefault="00043C17" w:rsidP="009C1193">
            <w:pPr>
              <w:pStyle w:val="Table"/>
              <w:keepNext w:val="0"/>
              <w:keepLines w:val="0"/>
              <w:widowControl w:val="0"/>
              <w:tabs>
                <w:tab w:val="clear" w:pos="284"/>
              </w:tabs>
              <w:spacing w:before="0" w:after="0"/>
              <w:ind w:left="469" w:hanging="469"/>
              <w:rPr>
                <w:rFonts w:ascii="Times New Roman" w:hAnsi="Times New Roman"/>
                <w:color w:val="000000"/>
                <w:sz w:val="22"/>
                <w:szCs w:val="22"/>
                <w:lang w:val="it-IT"/>
              </w:rPr>
            </w:pPr>
            <w:r w:rsidRPr="004A59B1">
              <w:rPr>
                <w:rFonts w:ascii="Times New Roman" w:hAnsi="Times New Roman"/>
                <w:color w:val="000000"/>
                <w:sz w:val="22"/>
                <w:szCs w:val="22"/>
                <w:lang w:val="it-IT"/>
              </w:rPr>
              <w:t>1.</w:t>
            </w:r>
            <w:r w:rsidRPr="004A59B1">
              <w:rPr>
                <w:rFonts w:ascii="Times New Roman" w:hAnsi="Times New Roman"/>
                <w:color w:val="000000"/>
                <w:sz w:val="22"/>
                <w:szCs w:val="22"/>
                <w:lang w:val="it-IT"/>
              </w:rPr>
              <w:tab/>
              <w:t>Preverite, ali je citopenija povezana z levkemijo (aspirat ali biopsija kostnega mozga).</w:t>
            </w:r>
          </w:p>
          <w:p w14:paraId="52979DBB" w14:textId="77777777" w:rsidR="00043C17" w:rsidRPr="004A59B1" w:rsidRDefault="00043C17" w:rsidP="009C1193">
            <w:pPr>
              <w:pStyle w:val="Table"/>
              <w:keepNext w:val="0"/>
              <w:keepLines w:val="0"/>
              <w:widowControl w:val="0"/>
              <w:tabs>
                <w:tab w:val="clear" w:pos="284"/>
              </w:tabs>
              <w:spacing w:before="0" w:after="0"/>
              <w:ind w:left="469" w:hanging="469"/>
              <w:rPr>
                <w:rFonts w:ascii="Times New Roman" w:hAnsi="Times New Roman"/>
                <w:color w:val="000000"/>
                <w:sz w:val="22"/>
                <w:szCs w:val="22"/>
                <w:lang w:val="it-IT"/>
              </w:rPr>
            </w:pPr>
            <w:r w:rsidRPr="004A59B1">
              <w:rPr>
                <w:rFonts w:ascii="Times New Roman" w:hAnsi="Times New Roman"/>
                <w:color w:val="000000"/>
                <w:sz w:val="22"/>
                <w:szCs w:val="22"/>
                <w:lang w:val="it-IT"/>
              </w:rPr>
              <w:t>2.</w:t>
            </w:r>
            <w:r w:rsidRPr="004A59B1">
              <w:rPr>
                <w:rFonts w:ascii="Times New Roman" w:hAnsi="Times New Roman"/>
                <w:color w:val="000000"/>
                <w:sz w:val="22"/>
                <w:szCs w:val="22"/>
                <w:lang w:val="it-IT"/>
              </w:rPr>
              <w:tab/>
              <w:t>Če citopenija ni povezana z levkemijo, zmanjšajte odmerek zdravila Glivec na 260 mg/m</w:t>
            </w:r>
            <w:r w:rsidRPr="004A59B1">
              <w:rPr>
                <w:rFonts w:ascii="Times New Roman" w:hAnsi="Times New Roman"/>
                <w:color w:val="000000"/>
                <w:sz w:val="22"/>
                <w:szCs w:val="22"/>
                <w:vertAlign w:val="superscript"/>
                <w:lang w:val="it-IT"/>
              </w:rPr>
              <w:t>2</w:t>
            </w:r>
            <w:r w:rsidRPr="004A59B1">
              <w:rPr>
                <w:rFonts w:ascii="Times New Roman" w:hAnsi="Times New Roman"/>
                <w:color w:val="000000"/>
                <w:sz w:val="22"/>
                <w:szCs w:val="22"/>
                <w:lang w:val="it-IT"/>
              </w:rPr>
              <w:t>.</w:t>
            </w:r>
          </w:p>
          <w:p w14:paraId="52979DBC" w14:textId="77777777" w:rsidR="00043C17" w:rsidRPr="004A59B1" w:rsidRDefault="00043C17" w:rsidP="009C1193">
            <w:pPr>
              <w:pStyle w:val="Table"/>
              <w:keepNext w:val="0"/>
              <w:keepLines w:val="0"/>
              <w:widowControl w:val="0"/>
              <w:tabs>
                <w:tab w:val="clear" w:pos="284"/>
              </w:tabs>
              <w:spacing w:before="0" w:after="0"/>
              <w:ind w:left="469" w:hanging="469"/>
              <w:rPr>
                <w:rFonts w:ascii="Times New Roman" w:hAnsi="Times New Roman"/>
                <w:color w:val="000000"/>
                <w:sz w:val="22"/>
                <w:szCs w:val="22"/>
                <w:lang w:val="it-IT"/>
              </w:rPr>
            </w:pPr>
            <w:r w:rsidRPr="004A59B1">
              <w:rPr>
                <w:rFonts w:ascii="Times New Roman" w:hAnsi="Times New Roman"/>
                <w:color w:val="000000"/>
                <w:sz w:val="22"/>
                <w:szCs w:val="22"/>
                <w:lang w:val="it-IT"/>
              </w:rPr>
              <w:t>3.</w:t>
            </w:r>
            <w:r w:rsidRPr="004A59B1">
              <w:rPr>
                <w:rFonts w:ascii="Times New Roman" w:hAnsi="Times New Roman"/>
                <w:color w:val="000000"/>
                <w:sz w:val="22"/>
                <w:szCs w:val="22"/>
                <w:lang w:val="it-IT"/>
              </w:rPr>
              <w:tab/>
              <w:t xml:space="preserve">Če citopenija </w:t>
            </w:r>
            <w:r w:rsidR="005F3C8F" w:rsidRPr="004A59B1">
              <w:rPr>
                <w:rFonts w:ascii="Times New Roman" w:hAnsi="Times New Roman"/>
                <w:color w:val="000000"/>
                <w:sz w:val="22"/>
                <w:szCs w:val="22"/>
                <w:lang w:val="it-IT"/>
              </w:rPr>
              <w:t>vz</w:t>
            </w:r>
            <w:r w:rsidRPr="004A59B1">
              <w:rPr>
                <w:rFonts w:ascii="Times New Roman" w:hAnsi="Times New Roman"/>
                <w:color w:val="000000"/>
                <w:sz w:val="22"/>
                <w:szCs w:val="22"/>
                <w:lang w:val="it-IT"/>
              </w:rPr>
              <w:t>traja 2 tedna, odmerek zmanjšajte na 200 mg/m</w:t>
            </w:r>
            <w:r w:rsidRPr="004A59B1">
              <w:rPr>
                <w:rFonts w:ascii="Times New Roman" w:hAnsi="Times New Roman"/>
                <w:color w:val="000000"/>
                <w:sz w:val="22"/>
                <w:szCs w:val="22"/>
                <w:vertAlign w:val="superscript"/>
                <w:lang w:val="it-IT"/>
              </w:rPr>
              <w:t>2</w:t>
            </w:r>
            <w:r w:rsidRPr="004A59B1">
              <w:rPr>
                <w:rFonts w:ascii="Times New Roman" w:hAnsi="Times New Roman"/>
                <w:color w:val="000000"/>
                <w:sz w:val="22"/>
                <w:szCs w:val="22"/>
                <w:lang w:val="it-IT"/>
              </w:rPr>
              <w:t>.</w:t>
            </w:r>
          </w:p>
          <w:p w14:paraId="52979DBD" w14:textId="77777777" w:rsidR="00043C17" w:rsidRPr="004A59B1" w:rsidRDefault="00043C17" w:rsidP="009C1193">
            <w:pPr>
              <w:pStyle w:val="Table"/>
              <w:keepNext w:val="0"/>
              <w:keepLines w:val="0"/>
              <w:widowControl w:val="0"/>
              <w:tabs>
                <w:tab w:val="clear" w:pos="284"/>
              </w:tabs>
              <w:spacing w:before="0" w:after="0"/>
              <w:ind w:left="469" w:hanging="469"/>
              <w:rPr>
                <w:rFonts w:ascii="Times New Roman" w:hAnsi="Times New Roman"/>
                <w:color w:val="000000"/>
                <w:sz w:val="22"/>
                <w:szCs w:val="22"/>
                <w:lang w:val="it-IT"/>
              </w:rPr>
            </w:pPr>
            <w:r w:rsidRPr="004A59B1">
              <w:rPr>
                <w:rFonts w:ascii="Times New Roman" w:hAnsi="Times New Roman"/>
                <w:color w:val="000000"/>
                <w:sz w:val="22"/>
                <w:szCs w:val="22"/>
                <w:lang w:val="it-IT"/>
              </w:rPr>
              <w:t>4.</w:t>
            </w:r>
            <w:r w:rsidRPr="004A59B1">
              <w:rPr>
                <w:rFonts w:ascii="Times New Roman" w:hAnsi="Times New Roman"/>
                <w:color w:val="000000"/>
                <w:sz w:val="22"/>
                <w:szCs w:val="22"/>
                <w:lang w:val="it-IT"/>
              </w:rPr>
              <w:tab/>
              <w:t xml:space="preserve">Če citopenija vztraja 4 tedne in še vedno ni povezana z levkemijo, prekinite zdravljenje z zdravilom Glivec, dokler ni ANC </w:t>
            </w:r>
            <w:r w:rsidRPr="004A59B1">
              <w:rPr>
                <w:rFonts w:ascii="Times New Roman" w:hAnsi="Times New Roman"/>
                <w:color w:val="000000"/>
                <w:sz w:val="22"/>
                <w:szCs w:val="22"/>
              </w:rPr>
              <w:sym w:font="Symbol" w:char="F0B3"/>
            </w:r>
            <w:r w:rsidRPr="004A59B1">
              <w:rPr>
                <w:rFonts w:ascii="Times New Roman" w:hAnsi="Times New Roman"/>
                <w:color w:val="000000"/>
                <w:sz w:val="22"/>
                <w:szCs w:val="22"/>
                <w:lang w:val="it-IT"/>
              </w:rPr>
              <w:t> 1 x 10</w:t>
            </w:r>
            <w:r w:rsidRPr="004A59B1">
              <w:rPr>
                <w:rFonts w:ascii="Times New Roman" w:hAnsi="Times New Roman"/>
                <w:color w:val="000000"/>
                <w:sz w:val="22"/>
                <w:szCs w:val="22"/>
                <w:vertAlign w:val="superscript"/>
                <w:lang w:val="it-IT"/>
              </w:rPr>
              <w:t>9</w:t>
            </w:r>
            <w:r w:rsidRPr="004A59B1">
              <w:rPr>
                <w:rFonts w:ascii="Times New Roman" w:hAnsi="Times New Roman"/>
                <w:color w:val="000000"/>
                <w:sz w:val="22"/>
                <w:szCs w:val="22"/>
                <w:lang w:val="it-IT"/>
              </w:rPr>
              <w:t>/l in koncentracija</w:t>
            </w:r>
            <w:r w:rsidRPr="004A59B1">
              <w:rPr>
                <w:color w:val="000000"/>
                <w:szCs w:val="22"/>
                <w:lang w:val="it-IT"/>
              </w:rPr>
              <w:t xml:space="preserve"> </w:t>
            </w:r>
            <w:r w:rsidRPr="004A59B1">
              <w:rPr>
                <w:rFonts w:ascii="Times New Roman" w:hAnsi="Times New Roman"/>
                <w:color w:val="000000"/>
                <w:sz w:val="22"/>
                <w:szCs w:val="22"/>
                <w:lang w:val="it-IT"/>
              </w:rPr>
              <w:t xml:space="preserve">trombocitov </w:t>
            </w:r>
            <w:r w:rsidRPr="004A59B1">
              <w:rPr>
                <w:rFonts w:ascii="Times New Roman" w:hAnsi="Times New Roman"/>
                <w:color w:val="000000"/>
                <w:sz w:val="22"/>
                <w:szCs w:val="22"/>
              </w:rPr>
              <w:sym w:font="Symbol" w:char="F0B3"/>
            </w:r>
            <w:r w:rsidRPr="004A59B1">
              <w:rPr>
                <w:rFonts w:ascii="Times New Roman" w:hAnsi="Times New Roman"/>
                <w:color w:val="000000"/>
                <w:sz w:val="22"/>
                <w:szCs w:val="22"/>
                <w:lang w:val="it-IT"/>
              </w:rPr>
              <w:t> 20 x 10</w:t>
            </w:r>
            <w:r w:rsidRPr="004A59B1">
              <w:rPr>
                <w:rFonts w:ascii="Times New Roman" w:hAnsi="Times New Roman"/>
                <w:color w:val="000000"/>
                <w:sz w:val="22"/>
                <w:szCs w:val="22"/>
                <w:vertAlign w:val="superscript"/>
                <w:lang w:val="it-IT"/>
              </w:rPr>
              <w:t>9</w:t>
            </w:r>
            <w:r w:rsidRPr="004A59B1">
              <w:rPr>
                <w:rFonts w:ascii="Times New Roman" w:hAnsi="Times New Roman"/>
                <w:color w:val="000000"/>
                <w:sz w:val="22"/>
                <w:szCs w:val="22"/>
                <w:lang w:val="it-IT"/>
              </w:rPr>
              <w:t>/l, nato spet začnite zdravljenje z odmerkom 200 mg/m</w:t>
            </w:r>
            <w:r w:rsidRPr="004A59B1">
              <w:rPr>
                <w:rFonts w:ascii="Times New Roman" w:hAnsi="Times New Roman"/>
                <w:color w:val="000000"/>
                <w:sz w:val="22"/>
                <w:szCs w:val="22"/>
                <w:vertAlign w:val="superscript"/>
                <w:lang w:val="it-IT"/>
              </w:rPr>
              <w:t>2</w:t>
            </w:r>
            <w:r w:rsidRPr="004A59B1">
              <w:rPr>
                <w:rFonts w:ascii="Times New Roman" w:hAnsi="Times New Roman"/>
                <w:color w:val="000000"/>
                <w:sz w:val="22"/>
                <w:szCs w:val="22"/>
                <w:lang w:val="it-IT"/>
              </w:rPr>
              <w:t>.</w:t>
            </w:r>
          </w:p>
        </w:tc>
      </w:tr>
      <w:tr w:rsidR="00043C17" w:rsidRPr="003B6568" w14:paraId="52979DC7" w14:textId="77777777" w:rsidTr="008F282C">
        <w:trPr>
          <w:cantSplit/>
        </w:trPr>
        <w:tc>
          <w:tcPr>
            <w:tcW w:w="2376" w:type="dxa"/>
            <w:tcBorders>
              <w:bottom w:val="nil"/>
            </w:tcBorders>
          </w:tcPr>
          <w:p w14:paraId="52979DBF" w14:textId="77777777" w:rsidR="00043C17" w:rsidRPr="004A59B1" w:rsidRDefault="00043C17" w:rsidP="009C1193">
            <w:pPr>
              <w:pStyle w:val="Table"/>
              <w:widowControl w:val="0"/>
              <w:rPr>
                <w:rFonts w:ascii="Times New Roman" w:hAnsi="Times New Roman"/>
                <w:color w:val="000000"/>
                <w:sz w:val="22"/>
                <w:szCs w:val="22"/>
                <w:lang w:val="en-GB"/>
              </w:rPr>
            </w:pPr>
            <w:r w:rsidRPr="004A59B1">
              <w:rPr>
                <w:rFonts w:ascii="Times New Roman" w:hAnsi="Times New Roman"/>
                <w:color w:val="000000"/>
                <w:sz w:val="22"/>
                <w:szCs w:val="22"/>
                <w:lang w:val="en-GB"/>
              </w:rPr>
              <w:t>DFSP</w:t>
            </w:r>
          </w:p>
          <w:p w14:paraId="52979DC0" w14:textId="77777777" w:rsidR="00043C17" w:rsidRPr="004A59B1" w:rsidRDefault="00043C17" w:rsidP="009C1193">
            <w:pPr>
              <w:pStyle w:val="EndnoteText"/>
              <w:keepNext/>
              <w:keepLines/>
              <w:widowControl w:val="0"/>
              <w:tabs>
                <w:tab w:val="clear" w:pos="567"/>
              </w:tabs>
              <w:rPr>
                <w:color w:val="000000"/>
                <w:szCs w:val="22"/>
              </w:rPr>
            </w:pPr>
            <w:r w:rsidRPr="004A59B1">
              <w:rPr>
                <w:color w:val="000000"/>
                <w:szCs w:val="22"/>
              </w:rPr>
              <w:t>(ob odmerku 800 mg)</w:t>
            </w:r>
          </w:p>
        </w:tc>
        <w:tc>
          <w:tcPr>
            <w:tcW w:w="2400" w:type="dxa"/>
            <w:tcBorders>
              <w:bottom w:val="nil"/>
            </w:tcBorders>
          </w:tcPr>
          <w:p w14:paraId="52979DC1" w14:textId="77777777" w:rsidR="00043C17" w:rsidRPr="004A59B1" w:rsidRDefault="00043C17" w:rsidP="009C1193">
            <w:pPr>
              <w:pStyle w:val="Table"/>
              <w:widowControl w:val="0"/>
              <w:rPr>
                <w:rFonts w:ascii="Times New Roman" w:hAnsi="Times New Roman"/>
                <w:color w:val="000000"/>
                <w:sz w:val="22"/>
                <w:szCs w:val="22"/>
                <w:lang w:val="it-IT"/>
              </w:rPr>
            </w:pPr>
            <w:r w:rsidRPr="004A59B1">
              <w:rPr>
                <w:rFonts w:ascii="Times New Roman" w:hAnsi="Times New Roman"/>
                <w:color w:val="000000"/>
                <w:sz w:val="22"/>
                <w:szCs w:val="22"/>
                <w:lang w:val="it-IT"/>
              </w:rPr>
              <w:t>ANC &lt; 1,0 x 10</w:t>
            </w:r>
            <w:r w:rsidRPr="004A59B1">
              <w:rPr>
                <w:rFonts w:ascii="Times New Roman" w:hAnsi="Times New Roman"/>
                <w:color w:val="000000"/>
                <w:sz w:val="22"/>
                <w:szCs w:val="22"/>
                <w:vertAlign w:val="superscript"/>
                <w:lang w:val="it-IT"/>
              </w:rPr>
              <w:t>9</w:t>
            </w:r>
            <w:r w:rsidRPr="004A59B1">
              <w:rPr>
                <w:rFonts w:ascii="Times New Roman" w:hAnsi="Times New Roman"/>
                <w:color w:val="000000"/>
                <w:sz w:val="22"/>
                <w:szCs w:val="22"/>
                <w:lang w:val="it-IT"/>
              </w:rPr>
              <w:t>/l</w:t>
            </w:r>
          </w:p>
          <w:p w14:paraId="52979DC2" w14:textId="77777777" w:rsidR="00043C17" w:rsidRPr="004A59B1" w:rsidRDefault="00043C17" w:rsidP="009C1193">
            <w:pPr>
              <w:pStyle w:val="Table"/>
              <w:widowControl w:val="0"/>
              <w:rPr>
                <w:rFonts w:ascii="Times New Roman" w:hAnsi="Times New Roman"/>
                <w:color w:val="000000"/>
                <w:sz w:val="22"/>
                <w:szCs w:val="22"/>
                <w:lang w:val="it-IT"/>
              </w:rPr>
            </w:pPr>
            <w:r w:rsidRPr="004A59B1">
              <w:rPr>
                <w:rFonts w:ascii="Times New Roman" w:hAnsi="Times New Roman"/>
                <w:color w:val="000000"/>
                <w:sz w:val="22"/>
                <w:szCs w:val="22"/>
                <w:lang w:val="it-IT"/>
              </w:rPr>
              <w:t>in/ali</w:t>
            </w:r>
          </w:p>
          <w:p w14:paraId="52979DC3" w14:textId="77777777" w:rsidR="00043C17" w:rsidRPr="004A59B1" w:rsidRDefault="00043C17" w:rsidP="009C1193">
            <w:pPr>
              <w:pStyle w:val="Table"/>
              <w:widowControl w:val="0"/>
              <w:spacing w:before="0" w:after="0"/>
              <w:rPr>
                <w:rFonts w:ascii="Times New Roman" w:hAnsi="Times New Roman"/>
                <w:color w:val="000000"/>
                <w:sz w:val="22"/>
                <w:szCs w:val="22"/>
                <w:vertAlign w:val="superscript"/>
                <w:lang w:val="it-IT"/>
              </w:rPr>
            </w:pPr>
            <w:r w:rsidRPr="004A59B1">
              <w:rPr>
                <w:rFonts w:ascii="Times New Roman" w:hAnsi="Times New Roman"/>
                <w:color w:val="000000"/>
                <w:sz w:val="22"/>
                <w:szCs w:val="22"/>
                <w:lang w:val="it-IT"/>
              </w:rPr>
              <w:t>koncentracija</w:t>
            </w:r>
            <w:r w:rsidRPr="004A59B1">
              <w:rPr>
                <w:color w:val="000000"/>
                <w:szCs w:val="22"/>
                <w:lang w:val="it-IT"/>
              </w:rPr>
              <w:t xml:space="preserve"> </w:t>
            </w:r>
            <w:r w:rsidRPr="004A59B1">
              <w:rPr>
                <w:rFonts w:ascii="Times New Roman" w:hAnsi="Times New Roman"/>
                <w:color w:val="000000"/>
                <w:sz w:val="22"/>
                <w:szCs w:val="22"/>
                <w:lang w:val="it-IT"/>
              </w:rPr>
              <w:t>trombocitov &lt; 50 x 10</w:t>
            </w:r>
            <w:r w:rsidRPr="004A59B1">
              <w:rPr>
                <w:rFonts w:ascii="Times New Roman" w:hAnsi="Times New Roman"/>
                <w:color w:val="000000"/>
                <w:sz w:val="22"/>
                <w:szCs w:val="22"/>
                <w:vertAlign w:val="superscript"/>
                <w:lang w:val="it-IT"/>
              </w:rPr>
              <w:t>9</w:t>
            </w:r>
            <w:r w:rsidRPr="004A59B1">
              <w:rPr>
                <w:rFonts w:ascii="Times New Roman" w:hAnsi="Times New Roman"/>
                <w:color w:val="000000"/>
                <w:sz w:val="22"/>
                <w:szCs w:val="22"/>
                <w:lang w:val="it-IT"/>
              </w:rPr>
              <w:t>/l</w:t>
            </w:r>
          </w:p>
        </w:tc>
        <w:tc>
          <w:tcPr>
            <w:tcW w:w="4404" w:type="dxa"/>
            <w:tcBorders>
              <w:bottom w:val="nil"/>
            </w:tcBorders>
          </w:tcPr>
          <w:p w14:paraId="52979DC4" w14:textId="77777777" w:rsidR="00043C17" w:rsidRPr="004A59B1" w:rsidRDefault="00043C17" w:rsidP="009C1193">
            <w:pPr>
              <w:pStyle w:val="Table"/>
              <w:widowControl w:val="0"/>
              <w:tabs>
                <w:tab w:val="clear" w:pos="284"/>
              </w:tabs>
              <w:spacing w:before="0" w:after="0"/>
              <w:ind w:left="469" w:hanging="469"/>
              <w:rPr>
                <w:rFonts w:ascii="Times New Roman" w:hAnsi="Times New Roman"/>
                <w:color w:val="000000"/>
                <w:sz w:val="22"/>
                <w:szCs w:val="22"/>
                <w:lang w:val="sv-SE"/>
              </w:rPr>
            </w:pPr>
            <w:r w:rsidRPr="004A59B1">
              <w:rPr>
                <w:rFonts w:ascii="Times New Roman" w:hAnsi="Times New Roman"/>
                <w:color w:val="000000"/>
                <w:sz w:val="22"/>
                <w:szCs w:val="22"/>
                <w:lang w:val="sv-SE"/>
              </w:rPr>
              <w:t>1.</w:t>
            </w:r>
            <w:r w:rsidRPr="004A59B1">
              <w:rPr>
                <w:rFonts w:ascii="Times New Roman" w:hAnsi="Times New Roman"/>
                <w:color w:val="000000"/>
                <w:sz w:val="22"/>
                <w:szCs w:val="22"/>
                <w:lang w:val="sv-SE"/>
              </w:rPr>
              <w:tab/>
              <w:t xml:space="preserve">Prekinite zdravljenje z zdravilom Glivec, dokler ni ANC </w:t>
            </w:r>
            <w:r w:rsidRPr="004A59B1">
              <w:rPr>
                <w:rFonts w:ascii="Times New Roman" w:hAnsi="Times New Roman"/>
                <w:color w:val="000000"/>
                <w:sz w:val="22"/>
                <w:szCs w:val="22"/>
                <w:lang w:val="en-GB"/>
              </w:rPr>
              <w:sym w:font="Symbol" w:char="F0B3"/>
            </w:r>
            <w:r w:rsidRPr="004A59B1">
              <w:rPr>
                <w:rFonts w:ascii="Times New Roman" w:hAnsi="Times New Roman"/>
                <w:color w:val="000000"/>
                <w:sz w:val="22"/>
                <w:szCs w:val="22"/>
                <w:lang w:val="sv-SE"/>
              </w:rPr>
              <w:t> 1,5 x 10</w:t>
            </w:r>
            <w:r w:rsidRPr="004A59B1">
              <w:rPr>
                <w:rFonts w:ascii="Times New Roman" w:hAnsi="Times New Roman"/>
                <w:color w:val="000000"/>
                <w:sz w:val="22"/>
                <w:szCs w:val="22"/>
                <w:vertAlign w:val="superscript"/>
                <w:lang w:val="sv-SE"/>
              </w:rPr>
              <w:t>9</w:t>
            </w:r>
            <w:r w:rsidRPr="004A59B1">
              <w:rPr>
                <w:rFonts w:ascii="Times New Roman" w:hAnsi="Times New Roman"/>
                <w:color w:val="000000"/>
                <w:sz w:val="22"/>
                <w:szCs w:val="22"/>
                <w:lang w:val="sv-SE"/>
              </w:rPr>
              <w:t>/l in koncentracija</w:t>
            </w:r>
            <w:r w:rsidRPr="004A59B1">
              <w:rPr>
                <w:color w:val="000000"/>
                <w:szCs w:val="22"/>
                <w:lang w:val="sv-SE"/>
              </w:rPr>
              <w:t xml:space="preserve"> </w:t>
            </w:r>
            <w:r w:rsidRPr="004A59B1">
              <w:rPr>
                <w:rFonts w:ascii="Times New Roman" w:hAnsi="Times New Roman"/>
                <w:color w:val="000000"/>
                <w:sz w:val="22"/>
                <w:szCs w:val="22"/>
                <w:lang w:val="sv-SE"/>
              </w:rPr>
              <w:t xml:space="preserve">trombocitov </w:t>
            </w:r>
            <w:r w:rsidRPr="004A59B1">
              <w:rPr>
                <w:rFonts w:ascii="Times New Roman" w:hAnsi="Times New Roman"/>
                <w:color w:val="000000"/>
                <w:sz w:val="22"/>
                <w:szCs w:val="22"/>
                <w:lang w:val="en-GB"/>
              </w:rPr>
              <w:sym w:font="Symbol" w:char="F0B3"/>
            </w:r>
            <w:r w:rsidRPr="004A59B1">
              <w:rPr>
                <w:rFonts w:ascii="Times New Roman" w:hAnsi="Times New Roman"/>
                <w:color w:val="000000"/>
                <w:sz w:val="22"/>
                <w:szCs w:val="22"/>
                <w:lang w:val="sv-SE"/>
              </w:rPr>
              <w:t> 75 x 10</w:t>
            </w:r>
            <w:r w:rsidRPr="004A59B1">
              <w:rPr>
                <w:rFonts w:ascii="Times New Roman" w:hAnsi="Times New Roman"/>
                <w:color w:val="000000"/>
                <w:sz w:val="22"/>
                <w:szCs w:val="22"/>
                <w:vertAlign w:val="superscript"/>
                <w:lang w:val="sv-SE"/>
              </w:rPr>
              <w:t>9</w:t>
            </w:r>
            <w:r w:rsidRPr="004A59B1">
              <w:rPr>
                <w:rFonts w:ascii="Times New Roman" w:hAnsi="Times New Roman"/>
                <w:color w:val="000000"/>
                <w:sz w:val="22"/>
                <w:szCs w:val="22"/>
                <w:lang w:val="sv-SE"/>
              </w:rPr>
              <w:t>/l.</w:t>
            </w:r>
          </w:p>
          <w:p w14:paraId="52979DC5" w14:textId="77777777" w:rsidR="00043C17" w:rsidRPr="004A59B1" w:rsidRDefault="00043C17" w:rsidP="009C1193">
            <w:pPr>
              <w:pStyle w:val="Table"/>
              <w:widowControl w:val="0"/>
              <w:tabs>
                <w:tab w:val="clear" w:pos="284"/>
              </w:tabs>
              <w:spacing w:before="0" w:after="0"/>
              <w:ind w:left="469" w:hanging="469"/>
              <w:rPr>
                <w:rFonts w:ascii="Times New Roman" w:hAnsi="Times New Roman"/>
                <w:color w:val="000000"/>
                <w:sz w:val="22"/>
                <w:szCs w:val="22"/>
                <w:lang w:val="sv-SE"/>
              </w:rPr>
            </w:pPr>
            <w:r w:rsidRPr="004A59B1">
              <w:rPr>
                <w:rFonts w:ascii="Times New Roman" w:hAnsi="Times New Roman"/>
                <w:color w:val="000000"/>
                <w:sz w:val="22"/>
                <w:szCs w:val="22"/>
                <w:lang w:val="sv-SE"/>
              </w:rPr>
              <w:t>2.</w:t>
            </w:r>
            <w:r w:rsidRPr="004A59B1">
              <w:rPr>
                <w:rFonts w:ascii="Times New Roman" w:hAnsi="Times New Roman"/>
                <w:color w:val="000000"/>
                <w:sz w:val="22"/>
                <w:szCs w:val="22"/>
                <w:lang w:val="sv-SE"/>
              </w:rPr>
              <w:tab/>
              <w:t>Spet začnite zdravljenje z zdravilom Glivec z odmerkom 600 mg.</w:t>
            </w:r>
          </w:p>
          <w:p w14:paraId="52979DC6" w14:textId="77777777" w:rsidR="00043C17" w:rsidRPr="004A59B1" w:rsidRDefault="00043C17" w:rsidP="009C1193">
            <w:pPr>
              <w:pStyle w:val="Table"/>
              <w:widowControl w:val="0"/>
              <w:tabs>
                <w:tab w:val="clear" w:pos="284"/>
              </w:tabs>
              <w:spacing w:before="0" w:after="0"/>
              <w:ind w:left="469" w:hanging="469"/>
              <w:rPr>
                <w:rFonts w:ascii="Times New Roman" w:hAnsi="Times New Roman"/>
                <w:color w:val="000000"/>
                <w:sz w:val="22"/>
                <w:szCs w:val="22"/>
                <w:lang w:val="sv-SE"/>
              </w:rPr>
            </w:pPr>
            <w:r w:rsidRPr="004A59B1">
              <w:rPr>
                <w:rFonts w:ascii="Times New Roman" w:hAnsi="Times New Roman"/>
                <w:color w:val="000000"/>
                <w:sz w:val="22"/>
                <w:szCs w:val="22"/>
                <w:lang w:val="sv-SE"/>
              </w:rPr>
              <w:t>3.</w:t>
            </w:r>
            <w:r w:rsidRPr="004A59B1">
              <w:rPr>
                <w:rFonts w:ascii="Times New Roman" w:hAnsi="Times New Roman"/>
                <w:color w:val="000000"/>
                <w:sz w:val="22"/>
                <w:szCs w:val="22"/>
                <w:lang w:val="sv-SE"/>
              </w:rPr>
              <w:tab/>
              <w:t xml:space="preserve">Če se pojav/a ANC </w:t>
            </w:r>
            <w:r w:rsidRPr="004A59B1">
              <w:rPr>
                <w:rFonts w:ascii="Times New Roman" w:hAnsi="Times New Roman"/>
                <w:color w:val="000000"/>
                <w:sz w:val="22"/>
                <w:szCs w:val="22"/>
                <w:lang w:val="de-CH"/>
              </w:rPr>
              <w:sym w:font="Symbol" w:char="F03C"/>
            </w:r>
            <w:r w:rsidRPr="004A59B1">
              <w:rPr>
                <w:rFonts w:ascii="Times New Roman" w:hAnsi="Times New Roman"/>
                <w:color w:val="000000"/>
                <w:sz w:val="22"/>
                <w:szCs w:val="22"/>
                <w:lang w:val="sv-SE"/>
              </w:rPr>
              <w:t> 1,0 x 10</w:t>
            </w:r>
            <w:r w:rsidRPr="004A59B1">
              <w:rPr>
                <w:rFonts w:ascii="Times New Roman" w:hAnsi="Times New Roman"/>
                <w:color w:val="000000"/>
                <w:sz w:val="22"/>
                <w:szCs w:val="22"/>
                <w:vertAlign w:val="superscript"/>
                <w:lang w:val="sv-SE"/>
              </w:rPr>
              <w:t>9</w:t>
            </w:r>
            <w:r w:rsidRPr="004A59B1">
              <w:rPr>
                <w:rFonts w:ascii="Times New Roman" w:hAnsi="Times New Roman"/>
                <w:color w:val="000000"/>
                <w:sz w:val="22"/>
                <w:szCs w:val="22"/>
                <w:lang w:val="sv-SE"/>
              </w:rPr>
              <w:t>/l in/ali koncentracija</w:t>
            </w:r>
            <w:r w:rsidRPr="004A59B1">
              <w:rPr>
                <w:color w:val="000000"/>
                <w:szCs w:val="22"/>
                <w:lang w:val="sv-SE"/>
              </w:rPr>
              <w:t xml:space="preserve"> </w:t>
            </w:r>
            <w:r w:rsidRPr="004A59B1">
              <w:rPr>
                <w:rFonts w:ascii="Times New Roman" w:hAnsi="Times New Roman"/>
                <w:color w:val="000000"/>
                <w:sz w:val="22"/>
                <w:szCs w:val="22"/>
                <w:lang w:val="sv-SE"/>
              </w:rPr>
              <w:t xml:space="preserve">trombocitov </w:t>
            </w:r>
            <w:r w:rsidRPr="004A59B1">
              <w:rPr>
                <w:rFonts w:ascii="Times New Roman" w:hAnsi="Times New Roman"/>
                <w:color w:val="000000"/>
                <w:sz w:val="22"/>
                <w:szCs w:val="22"/>
                <w:lang w:val="de-CH"/>
              </w:rPr>
              <w:sym w:font="Symbol" w:char="F03C"/>
            </w:r>
            <w:r w:rsidRPr="004A59B1">
              <w:rPr>
                <w:rFonts w:ascii="Times New Roman" w:hAnsi="Times New Roman"/>
                <w:color w:val="000000"/>
                <w:sz w:val="22"/>
                <w:szCs w:val="22"/>
                <w:lang w:val="sv-SE"/>
              </w:rPr>
              <w:t> 50 x 10</w:t>
            </w:r>
            <w:r w:rsidRPr="004A59B1">
              <w:rPr>
                <w:rFonts w:ascii="Times New Roman" w:hAnsi="Times New Roman"/>
                <w:color w:val="000000"/>
                <w:sz w:val="22"/>
                <w:szCs w:val="22"/>
                <w:vertAlign w:val="superscript"/>
                <w:lang w:val="sv-SE"/>
              </w:rPr>
              <w:t>9</w:t>
            </w:r>
            <w:r w:rsidRPr="004A59B1">
              <w:rPr>
                <w:rFonts w:ascii="Times New Roman" w:hAnsi="Times New Roman"/>
                <w:color w:val="000000"/>
                <w:sz w:val="22"/>
                <w:szCs w:val="22"/>
                <w:lang w:val="sv-SE"/>
              </w:rPr>
              <w:t>/l ponovi/ta, ponovite točko 1 in spet začnite zdravljenje z zdravilom Glivec z zmanjšanim odmerkom 400 mg.</w:t>
            </w:r>
          </w:p>
        </w:tc>
      </w:tr>
      <w:tr w:rsidR="00043C17" w:rsidRPr="004A59B1" w14:paraId="52979DC9" w14:textId="77777777" w:rsidTr="008F282C">
        <w:trPr>
          <w:cantSplit/>
        </w:trPr>
        <w:tc>
          <w:tcPr>
            <w:tcW w:w="9180" w:type="dxa"/>
            <w:gridSpan w:val="3"/>
            <w:tcBorders>
              <w:bottom w:val="nil"/>
            </w:tcBorders>
          </w:tcPr>
          <w:p w14:paraId="52979DC8" w14:textId="77777777" w:rsidR="00043C17" w:rsidRPr="004A59B1" w:rsidRDefault="00043C17" w:rsidP="009C1193">
            <w:pPr>
              <w:pStyle w:val="EndnoteText"/>
              <w:keepNext/>
              <w:keepLines/>
              <w:widowControl w:val="0"/>
              <w:tabs>
                <w:tab w:val="clear" w:pos="567"/>
              </w:tabs>
              <w:rPr>
                <w:color w:val="000000"/>
                <w:szCs w:val="22"/>
                <w:lang w:val="sv-SE"/>
              </w:rPr>
            </w:pPr>
            <w:r w:rsidRPr="004A59B1">
              <w:rPr>
                <w:color w:val="000000"/>
                <w:szCs w:val="22"/>
                <w:lang w:val="sv-SE"/>
              </w:rPr>
              <w:t>ANC = absolutno število nevtrofilcev (</w:t>
            </w:r>
            <w:r w:rsidRPr="00304E94">
              <w:rPr>
                <w:i/>
                <w:color w:val="000000"/>
                <w:szCs w:val="22"/>
                <w:lang w:val="sv-SE"/>
              </w:rPr>
              <w:t>absolute neutrophil count</w:t>
            </w:r>
            <w:r w:rsidRPr="004A59B1">
              <w:rPr>
                <w:color w:val="000000"/>
                <w:szCs w:val="22"/>
                <w:lang w:val="sv-SE"/>
              </w:rPr>
              <w:t>)</w:t>
            </w:r>
          </w:p>
        </w:tc>
      </w:tr>
      <w:tr w:rsidR="00043C17" w:rsidRPr="004A59B1" w14:paraId="52979DCB" w14:textId="77777777" w:rsidTr="008F282C">
        <w:trPr>
          <w:cantSplit/>
        </w:trPr>
        <w:tc>
          <w:tcPr>
            <w:tcW w:w="9180" w:type="dxa"/>
            <w:gridSpan w:val="3"/>
            <w:tcBorders>
              <w:top w:val="nil"/>
            </w:tcBorders>
          </w:tcPr>
          <w:p w14:paraId="52979DCA" w14:textId="77777777" w:rsidR="00043C17" w:rsidRPr="004A59B1" w:rsidRDefault="00043C17" w:rsidP="009C1193">
            <w:pPr>
              <w:pStyle w:val="EndnoteText"/>
              <w:keepNext/>
              <w:keepLines/>
              <w:widowControl w:val="0"/>
              <w:tabs>
                <w:tab w:val="clear" w:pos="567"/>
              </w:tabs>
              <w:rPr>
                <w:color w:val="000000"/>
                <w:szCs w:val="22"/>
                <w:lang w:val="pl-PL"/>
              </w:rPr>
            </w:pPr>
            <w:r w:rsidRPr="004A59B1">
              <w:rPr>
                <w:color w:val="000000"/>
                <w:szCs w:val="22"/>
                <w:vertAlign w:val="superscript"/>
                <w:lang w:val="pl-PL"/>
              </w:rPr>
              <w:t>a</w:t>
            </w:r>
            <w:r w:rsidRPr="004A59B1">
              <w:rPr>
                <w:color w:val="000000"/>
                <w:szCs w:val="22"/>
                <w:lang w:val="pl-PL"/>
              </w:rPr>
              <w:t xml:space="preserve"> do katere pride po najmanj 1 mesecu zdravljenja</w:t>
            </w:r>
          </w:p>
        </w:tc>
      </w:tr>
    </w:tbl>
    <w:p w14:paraId="52979DCC" w14:textId="77777777" w:rsidR="00AA03CA" w:rsidRPr="004A59B1" w:rsidRDefault="00AA03CA" w:rsidP="009C1193">
      <w:pPr>
        <w:pStyle w:val="EndnoteText"/>
        <w:widowControl w:val="0"/>
        <w:tabs>
          <w:tab w:val="clear" w:pos="567"/>
        </w:tabs>
        <w:rPr>
          <w:color w:val="000000"/>
          <w:szCs w:val="22"/>
          <w:lang w:val="pl-PL"/>
        </w:rPr>
      </w:pPr>
    </w:p>
    <w:p w14:paraId="52979DCD" w14:textId="77777777" w:rsidR="00AA03CA" w:rsidRPr="004A59B1" w:rsidRDefault="00AA03CA" w:rsidP="009C1193">
      <w:pPr>
        <w:pStyle w:val="EndnoteText"/>
        <w:keepNext/>
        <w:widowControl w:val="0"/>
        <w:tabs>
          <w:tab w:val="clear" w:pos="567"/>
        </w:tabs>
        <w:rPr>
          <w:color w:val="000000"/>
          <w:szCs w:val="22"/>
          <w:u w:val="single"/>
          <w:lang w:val="pl-PL"/>
        </w:rPr>
      </w:pPr>
      <w:r w:rsidRPr="004A59B1">
        <w:rPr>
          <w:color w:val="000000"/>
          <w:szCs w:val="22"/>
          <w:u w:val="single"/>
          <w:lang w:val="pl-PL"/>
        </w:rPr>
        <w:t>Posebne skupine bolnikov</w:t>
      </w:r>
    </w:p>
    <w:p w14:paraId="52979DCE" w14:textId="77777777" w:rsidR="00AA03CA" w:rsidRPr="004A59B1" w:rsidRDefault="00AA03CA" w:rsidP="009C1193">
      <w:pPr>
        <w:pStyle w:val="EndnoteText"/>
        <w:widowControl w:val="0"/>
        <w:tabs>
          <w:tab w:val="clear" w:pos="567"/>
        </w:tabs>
        <w:rPr>
          <w:color w:val="000000"/>
          <w:szCs w:val="22"/>
          <w:lang w:val="pl-PL"/>
        </w:rPr>
      </w:pPr>
      <w:r w:rsidRPr="004A59B1">
        <w:rPr>
          <w:i/>
          <w:color w:val="000000"/>
          <w:szCs w:val="22"/>
          <w:lang w:val="pl-PL"/>
        </w:rPr>
        <w:t>Uporaba v pediatriji:</w:t>
      </w:r>
      <w:r w:rsidRPr="004A59B1">
        <w:rPr>
          <w:color w:val="000000"/>
          <w:szCs w:val="22"/>
          <w:lang w:val="pl-PL"/>
        </w:rPr>
        <w:t xml:space="preserve"> Izkušenj pri otrocih s KML, mlajših od 2</w:t>
      </w:r>
      <w:r w:rsidR="00752AFE" w:rsidRPr="004A59B1">
        <w:rPr>
          <w:color w:val="000000"/>
          <w:szCs w:val="22"/>
          <w:lang w:val="pl-PL"/>
        </w:rPr>
        <w:t> </w:t>
      </w:r>
      <w:r w:rsidRPr="004A59B1">
        <w:rPr>
          <w:color w:val="000000"/>
          <w:szCs w:val="22"/>
          <w:lang w:val="pl-PL"/>
        </w:rPr>
        <w:t xml:space="preserve">let, </w:t>
      </w:r>
      <w:r w:rsidR="00D97FF3" w:rsidRPr="004A59B1">
        <w:rPr>
          <w:color w:val="000000"/>
          <w:szCs w:val="22"/>
          <w:lang w:val="pl-PL"/>
        </w:rPr>
        <w:t xml:space="preserve">in pri otrocih s Ph+ALL, mlajših od 1 leta, </w:t>
      </w:r>
      <w:r w:rsidRPr="004A59B1">
        <w:rPr>
          <w:color w:val="000000"/>
          <w:szCs w:val="22"/>
          <w:lang w:val="pl-PL"/>
        </w:rPr>
        <w:t xml:space="preserve">ni (glejte poglavje 5.1). Izkušenj pri otrocih </w:t>
      </w:r>
      <w:r w:rsidR="00D97FF3" w:rsidRPr="004A59B1">
        <w:rPr>
          <w:color w:val="000000"/>
          <w:szCs w:val="22"/>
          <w:lang w:val="pl-PL"/>
        </w:rPr>
        <w:t>z MDS/MPD, DFSP, GIST in s HES/CEL</w:t>
      </w:r>
      <w:r w:rsidR="00D97FF3" w:rsidRPr="004A59B1" w:rsidDel="00371797">
        <w:rPr>
          <w:color w:val="000000"/>
          <w:szCs w:val="22"/>
          <w:lang w:val="pl-PL"/>
        </w:rPr>
        <w:t xml:space="preserve"> </w:t>
      </w:r>
      <w:r w:rsidRPr="004A59B1">
        <w:rPr>
          <w:color w:val="000000"/>
          <w:szCs w:val="22"/>
          <w:lang w:val="pl-PL"/>
        </w:rPr>
        <w:t>je zelo malo.</w:t>
      </w:r>
    </w:p>
    <w:p w14:paraId="52979DCF" w14:textId="77777777" w:rsidR="00AA72F3" w:rsidRPr="004A59B1" w:rsidRDefault="00AA72F3" w:rsidP="009C1193">
      <w:pPr>
        <w:pStyle w:val="EndnoteText"/>
        <w:widowControl w:val="0"/>
        <w:tabs>
          <w:tab w:val="clear" w:pos="567"/>
        </w:tabs>
        <w:rPr>
          <w:color w:val="000000"/>
          <w:szCs w:val="22"/>
          <w:lang w:val="pl-PL"/>
        </w:rPr>
      </w:pPr>
    </w:p>
    <w:p w14:paraId="52979DD0" w14:textId="77777777" w:rsidR="00AA03CA" w:rsidRPr="004A59B1" w:rsidRDefault="00AA72F3" w:rsidP="009C1193">
      <w:pPr>
        <w:pStyle w:val="EndnoteText"/>
        <w:widowControl w:val="0"/>
        <w:tabs>
          <w:tab w:val="clear" w:pos="567"/>
        </w:tabs>
        <w:rPr>
          <w:color w:val="000000"/>
          <w:szCs w:val="22"/>
          <w:lang w:val="pl-PL"/>
        </w:rPr>
      </w:pPr>
      <w:r w:rsidRPr="004A59B1">
        <w:rPr>
          <w:color w:val="000000"/>
          <w:szCs w:val="22"/>
          <w:lang w:val="pl-PL"/>
        </w:rPr>
        <w:t>Varnost in učinkovitost imatiniba pri otrocih, ki imajo MDS/MPD, DFSP, GIST ali HES/CEL in so stari manj kot 18</w:t>
      </w:r>
      <w:r w:rsidRPr="004A59B1">
        <w:rPr>
          <w:lang w:val="pl-PL"/>
        </w:rPr>
        <w:t xml:space="preserve"> let, nista bili dokazani v kliničnih preskušanjih. Trenutno razpoložljivi objavljeni podatki so povzeti v poglavju </w:t>
      </w:r>
      <w:r w:rsidRPr="004A59B1">
        <w:rPr>
          <w:color w:val="000000"/>
          <w:szCs w:val="22"/>
          <w:lang w:val="pl-PL"/>
        </w:rPr>
        <w:t>5.1, vendar priporočil o odmerjanju ni mogoče dati.</w:t>
      </w:r>
    </w:p>
    <w:p w14:paraId="52979DD1" w14:textId="77777777" w:rsidR="00AA72F3" w:rsidRPr="004A59B1" w:rsidRDefault="00AA72F3" w:rsidP="009C1193">
      <w:pPr>
        <w:pStyle w:val="EndnoteText"/>
        <w:widowControl w:val="0"/>
        <w:tabs>
          <w:tab w:val="clear" w:pos="567"/>
        </w:tabs>
        <w:rPr>
          <w:color w:val="000000"/>
          <w:szCs w:val="22"/>
          <w:lang w:val="pl-PL"/>
        </w:rPr>
      </w:pPr>
    </w:p>
    <w:p w14:paraId="52979DD2" w14:textId="77777777" w:rsidR="00AA03CA" w:rsidRPr="004A59B1" w:rsidRDefault="00AA03CA" w:rsidP="009C1193">
      <w:pPr>
        <w:pStyle w:val="EndnoteText"/>
        <w:widowControl w:val="0"/>
        <w:tabs>
          <w:tab w:val="clear" w:pos="567"/>
        </w:tabs>
        <w:rPr>
          <w:color w:val="000000"/>
          <w:szCs w:val="22"/>
          <w:lang w:val="pt-PT"/>
        </w:rPr>
      </w:pPr>
      <w:r w:rsidRPr="004A59B1">
        <w:rPr>
          <w:i/>
          <w:color w:val="000000"/>
          <w:szCs w:val="22"/>
          <w:lang w:val="pt-PT"/>
        </w:rPr>
        <w:t>Insuficienca jeter:</w:t>
      </w:r>
      <w:r w:rsidRPr="004A59B1">
        <w:rPr>
          <w:color w:val="000000"/>
          <w:szCs w:val="22"/>
          <w:lang w:val="pt-PT"/>
        </w:rPr>
        <w:t xml:space="preserve"> Imatinib se presnavlja predvsem v jetrih. Bolniki z blago, zmerno ali težko disfunkcijo jeter naj prejmejo najmanjši priporočeni odmerek 400 mg na dan. Če bolnik odmerka ne prenaša, ga je mogoče zmanjšati (glejte poglavja 4.4, 4.8 in 5.2).</w:t>
      </w:r>
    </w:p>
    <w:p w14:paraId="52979DD3" w14:textId="77777777" w:rsidR="00AA03CA" w:rsidRPr="004A59B1" w:rsidRDefault="00AA03CA" w:rsidP="009C1193">
      <w:pPr>
        <w:pStyle w:val="EndnoteText"/>
        <w:widowControl w:val="0"/>
        <w:tabs>
          <w:tab w:val="clear" w:pos="567"/>
        </w:tabs>
        <w:rPr>
          <w:color w:val="000000"/>
          <w:szCs w:val="22"/>
          <w:lang w:val="pt-PT"/>
        </w:rPr>
      </w:pPr>
    </w:p>
    <w:p w14:paraId="52979DD4" w14:textId="77777777" w:rsidR="00AA03CA" w:rsidRPr="004A59B1" w:rsidRDefault="00AA03CA" w:rsidP="009C1193">
      <w:pPr>
        <w:pStyle w:val="TextChar"/>
        <w:keepNext/>
        <w:keepLines/>
        <w:widowControl w:val="0"/>
        <w:spacing w:before="0"/>
        <w:jc w:val="left"/>
        <w:rPr>
          <w:color w:val="000000"/>
          <w:sz w:val="22"/>
          <w:szCs w:val="22"/>
        </w:rPr>
      </w:pPr>
      <w:r w:rsidRPr="004A59B1">
        <w:rPr>
          <w:color w:val="000000"/>
          <w:sz w:val="22"/>
          <w:szCs w:val="22"/>
        </w:rPr>
        <w:t>Razvrstitev disfunkcije jeter:</w:t>
      </w:r>
    </w:p>
    <w:p w14:paraId="52979DD5" w14:textId="77777777" w:rsidR="00AA03CA" w:rsidRPr="004A59B1" w:rsidRDefault="00AA03CA" w:rsidP="009C1193">
      <w:pPr>
        <w:pStyle w:val="TextChar"/>
        <w:keepNext/>
        <w:keepLines/>
        <w:widowControl w:val="0"/>
        <w:spacing w:before="0"/>
        <w:jc w:val="left"/>
        <w:rPr>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8"/>
        <w:gridCol w:w="5763"/>
      </w:tblGrid>
      <w:tr w:rsidR="00AA03CA" w:rsidRPr="004A59B1" w14:paraId="52979DD8" w14:textId="77777777" w:rsidTr="009C1193">
        <w:trPr>
          <w:cantSplit/>
        </w:trPr>
        <w:tc>
          <w:tcPr>
            <w:tcW w:w="3369" w:type="dxa"/>
          </w:tcPr>
          <w:p w14:paraId="52979DD6" w14:textId="77777777" w:rsidR="00AA03CA" w:rsidRPr="004A59B1" w:rsidRDefault="00AA03CA" w:rsidP="009C1193">
            <w:pPr>
              <w:pStyle w:val="TextChar"/>
              <w:keepNext/>
              <w:keepLines/>
              <w:widowControl w:val="0"/>
              <w:spacing w:before="0"/>
              <w:jc w:val="left"/>
              <w:rPr>
                <w:color w:val="000000"/>
                <w:sz w:val="22"/>
                <w:szCs w:val="22"/>
                <w:lang w:val="en-GB"/>
              </w:rPr>
            </w:pPr>
            <w:r w:rsidRPr="004A59B1">
              <w:rPr>
                <w:color w:val="000000"/>
                <w:sz w:val="22"/>
                <w:szCs w:val="22"/>
              </w:rPr>
              <w:t>Disfunkcija jeter</w:t>
            </w:r>
          </w:p>
        </w:tc>
        <w:tc>
          <w:tcPr>
            <w:tcW w:w="5918" w:type="dxa"/>
          </w:tcPr>
          <w:p w14:paraId="52979DD7" w14:textId="77777777" w:rsidR="00AA03CA" w:rsidRPr="004A59B1" w:rsidRDefault="00AA03CA" w:rsidP="009C1193">
            <w:pPr>
              <w:pStyle w:val="TextChar"/>
              <w:keepNext/>
              <w:keepLines/>
              <w:widowControl w:val="0"/>
              <w:spacing w:before="0"/>
              <w:jc w:val="left"/>
              <w:rPr>
                <w:color w:val="000000"/>
                <w:sz w:val="22"/>
                <w:szCs w:val="22"/>
                <w:lang w:val="en-GB"/>
              </w:rPr>
            </w:pPr>
            <w:r w:rsidRPr="004A59B1">
              <w:rPr>
                <w:color w:val="000000"/>
                <w:sz w:val="22"/>
                <w:szCs w:val="22"/>
              </w:rPr>
              <w:t>Testi jetrnih funkcij</w:t>
            </w:r>
          </w:p>
        </w:tc>
      </w:tr>
      <w:tr w:rsidR="00AA03CA" w:rsidRPr="004A59B1" w14:paraId="52979DDC" w14:textId="77777777" w:rsidTr="009C1193">
        <w:trPr>
          <w:cantSplit/>
        </w:trPr>
        <w:tc>
          <w:tcPr>
            <w:tcW w:w="3369" w:type="dxa"/>
          </w:tcPr>
          <w:p w14:paraId="52979DD9" w14:textId="77777777" w:rsidR="00AA03CA" w:rsidRPr="004A59B1" w:rsidRDefault="00AA03CA" w:rsidP="009C1193">
            <w:pPr>
              <w:pStyle w:val="TextChar"/>
              <w:keepNext/>
              <w:keepLines/>
              <w:widowControl w:val="0"/>
              <w:spacing w:before="0"/>
              <w:jc w:val="left"/>
              <w:rPr>
                <w:color w:val="000000"/>
                <w:sz w:val="22"/>
                <w:szCs w:val="22"/>
                <w:lang w:val="en-GB"/>
              </w:rPr>
            </w:pPr>
            <w:r w:rsidRPr="004A59B1">
              <w:rPr>
                <w:color w:val="000000"/>
                <w:sz w:val="22"/>
                <w:szCs w:val="22"/>
              </w:rPr>
              <w:t>blaga</w:t>
            </w:r>
          </w:p>
        </w:tc>
        <w:tc>
          <w:tcPr>
            <w:tcW w:w="5918" w:type="dxa"/>
          </w:tcPr>
          <w:p w14:paraId="52979DDA" w14:textId="77777777" w:rsidR="00AA03CA" w:rsidRPr="004A59B1" w:rsidRDefault="00AA03CA" w:rsidP="009C1193">
            <w:pPr>
              <w:keepNext/>
              <w:keepLines/>
              <w:widowControl w:val="0"/>
              <w:spacing w:line="240" w:lineRule="auto"/>
              <w:rPr>
                <w:snapToGrid w:val="0"/>
                <w:color w:val="000000"/>
                <w:szCs w:val="22"/>
              </w:rPr>
            </w:pPr>
            <w:r w:rsidRPr="004A59B1">
              <w:rPr>
                <w:snapToGrid w:val="0"/>
                <w:color w:val="000000"/>
                <w:szCs w:val="22"/>
              </w:rPr>
              <w:t>celotni bilirubin: = 1,5 </w:t>
            </w:r>
            <w:r w:rsidRPr="004A59B1">
              <w:rPr>
                <w:color w:val="000000"/>
                <w:szCs w:val="22"/>
              </w:rPr>
              <w:t>IULN</w:t>
            </w:r>
          </w:p>
          <w:p w14:paraId="52979DDB" w14:textId="77777777" w:rsidR="00AA03CA" w:rsidRPr="004A59B1" w:rsidRDefault="00AA03CA" w:rsidP="009C1193">
            <w:pPr>
              <w:pStyle w:val="TextChar"/>
              <w:keepNext/>
              <w:keepLines/>
              <w:widowControl w:val="0"/>
              <w:spacing w:before="0"/>
              <w:jc w:val="left"/>
              <w:rPr>
                <w:color w:val="000000"/>
                <w:sz w:val="22"/>
                <w:szCs w:val="22"/>
                <w:lang w:val="en-GB"/>
              </w:rPr>
            </w:pPr>
            <w:r w:rsidRPr="004A59B1">
              <w:rPr>
                <w:snapToGrid w:val="0"/>
                <w:color w:val="000000"/>
                <w:sz w:val="22"/>
                <w:szCs w:val="22"/>
                <w:lang w:val="en-GB"/>
              </w:rPr>
              <w:t>AST: &gt; </w:t>
            </w:r>
            <w:r w:rsidRPr="004A59B1">
              <w:rPr>
                <w:color w:val="000000"/>
                <w:szCs w:val="22"/>
                <w:lang w:val="en-GB"/>
              </w:rPr>
              <w:t>IULN</w:t>
            </w:r>
            <w:r w:rsidRPr="004A59B1">
              <w:rPr>
                <w:snapToGrid w:val="0"/>
                <w:color w:val="000000"/>
                <w:sz w:val="22"/>
                <w:szCs w:val="22"/>
                <w:lang w:val="en-GB"/>
              </w:rPr>
              <w:t xml:space="preserve"> (lahko je normalna ali &lt; </w:t>
            </w:r>
            <w:r w:rsidRPr="004A59B1">
              <w:rPr>
                <w:color w:val="000000"/>
                <w:szCs w:val="22"/>
                <w:lang w:val="en-GB"/>
              </w:rPr>
              <w:t>IULN</w:t>
            </w:r>
            <w:r w:rsidRPr="004A59B1">
              <w:rPr>
                <w:snapToGrid w:val="0"/>
                <w:color w:val="000000"/>
                <w:sz w:val="22"/>
                <w:szCs w:val="22"/>
                <w:lang w:val="en-GB"/>
              </w:rPr>
              <w:t>, če je celotni bilirubin &gt; </w:t>
            </w:r>
            <w:r w:rsidRPr="004A59B1">
              <w:rPr>
                <w:color w:val="000000"/>
                <w:szCs w:val="22"/>
                <w:lang w:val="en-GB"/>
              </w:rPr>
              <w:t>IULN</w:t>
            </w:r>
            <w:r w:rsidRPr="004A59B1">
              <w:rPr>
                <w:snapToGrid w:val="0"/>
                <w:color w:val="000000"/>
                <w:sz w:val="22"/>
                <w:szCs w:val="22"/>
                <w:lang w:val="en-GB"/>
              </w:rPr>
              <w:t>)</w:t>
            </w:r>
          </w:p>
        </w:tc>
      </w:tr>
      <w:tr w:rsidR="00AA03CA" w:rsidRPr="003B6568" w14:paraId="52979DE0" w14:textId="77777777" w:rsidTr="009C1193">
        <w:trPr>
          <w:cantSplit/>
        </w:trPr>
        <w:tc>
          <w:tcPr>
            <w:tcW w:w="3369" w:type="dxa"/>
          </w:tcPr>
          <w:p w14:paraId="52979DDD" w14:textId="77777777" w:rsidR="00AA03CA" w:rsidRPr="004A59B1" w:rsidRDefault="00AA03CA" w:rsidP="009C1193">
            <w:pPr>
              <w:pStyle w:val="TextChar"/>
              <w:keepNext/>
              <w:keepLines/>
              <w:widowControl w:val="0"/>
              <w:spacing w:before="0"/>
              <w:jc w:val="left"/>
              <w:rPr>
                <w:color w:val="000000"/>
                <w:sz w:val="22"/>
                <w:szCs w:val="22"/>
                <w:lang w:val="en-GB"/>
              </w:rPr>
            </w:pPr>
            <w:r w:rsidRPr="004A59B1">
              <w:rPr>
                <w:color w:val="000000"/>
                <w:sz w:val="22"/>
                <w:szCs w:val="22"/>
              </w:rPr>
              <w:t>zmerna</w:t>
            </w:r>
          </w:p>
        </w:tc>
        <w:tc>
          <w:tcPr>
            <w:tcW w:w="5918" w:type="dxa"/>
          </w:tcPr>
          <w:p w14:paraId="52979DDE" w14:textId="77777777" w:rsidR="00AA03CA" w:rsidRPr="002227FB" w:rsidRDefault="00AA03CA" w:rsidP="009C1193">
            <w:pPr>
              <w:keepNext/>
              <w:keepLines/>
              <w:widowControl w:val="0"/>
              <w:spacing w:line="240" w:lineRule="auto"/>
              <w:rPr>
                <w:snapToGrid w:val="0"/>
                <w:color w:val="000000"/>
                <w:szCs w:val="22"/>
                <w:lang w:val="de-CH"/>
              </w:rPr>
            </w:pPr>
            <w:r w:rsidRPr="002227FB">
              <w:rPr>
                <w:snapToGrid w:val="0"/>
                <w:color w:val="000000"/>
                <w:szCs w:val="22"/>
                <w:lang w:val="de-CH"/>
              </w:rPr>
              <w:t>celotni bilirubin: &gt; 1,5</w:t>
            </w:r>
            <w:r w:rsidRPr="002227FB">
              <w:rPr>
                <w:color w:val="000000"/>
                <w:szCs w:val="22"/>
                <w:lang w:val="de-CH"/>
              </w:rPr>
              <w:t>–</w:t>
            </w:r>
            <w:r w:rsidRPr="002227FB">
              <w:rPr>
                <w:snapToGrid w:val="0"/>
                <w:color w:val="000000"/>
                <w:szCs w:val="22"/>
                <w:lang w:val="de-CH"/>
              </w:rPr>
              <w:t>3,0 </w:t>
            </w:r>
            <w:r w:rsidRPr="002227FB">
              <w:rPr>
                <w:color w:val="000000"/>
                <w:szCs w:val="22"/>
                <w:lang w:val="de-CH"/>
              </w:rPr>
              <w:t>IULN</w:t>
            </w:r>
          </w:p>
          <w:p w14:paraId="52979DDF" w14:textId="77777777" w:rsidR="00AA03CA" w:rsidRPr="002227FB" w:rsidRDefault="00AA03CA" w:rsidP="009C1193">
            <w:pPr>
              <w:pStyle w:val="TextChar"/>
              <w:keepNext/>
              <w:keepLines/>
              <w:widowControl w:val="0"/>
              <w:spacing w:before="0"/>
              <w:jc w:val="left"/>
              <w:rPr>
                <w:color w:val="000000"/>
                <w:sz w:val="22"/>
                <w:szCs w:val="22"/>
                <w:lang w:val="de-CH"/>
              </w:rPr>
            </w:pPr>
            <w:r w:rsidRPr="002227FB">
              <w:rPr>
                <w:snapToGrid w:val="0"/>
                <w:color w:val="000000"/>
                <w:sz w:val="22"/>
                <w:szCs w:val="22"/>
                <w:lang w:val="de-CH"/>
              </w:rPr>
              <w:t xml:space="preserve">AST: kakršnakoli </w:t>
            </w:r>
          </w:p>
        </w:tc>
      </w:tr>
      <w:tr w:rsidR="00AA03CA" w:rsidRPr="003B6568" w14:paraId="52979DE4" w14:textId="77777777" w:rsidTr="009C1193">
        <w:trPr>
          <w:cantSplit/>
        </w:trPr>
        <w:tc>
          <w:tcPr>
            <w:tcW w:w="3369" w:type="dxa"/>
          </w:tcPr>
          <w:p w14:paraId="52979DE1" w14:textId="77777777" w:rsidR="00AA03CA" w:rsidRPr="004A59B1" w:rsidRDefault="00AA03CA" w:rsidP="009C1193">
            <w:pPr>
              <w:pStyle w:val="TextChar"/>
              <w:keepNext/>
              <w:keepLines/>
              <w:widowControl w:val="0"/>
              <w:spacing w:before="0"/>
              <w:jc w:val="left"/>
              <w:rPr>
                <w:color w:val="000000"/>
                <w:sz w:val="22"/>
                <w:szCs w:val="22"/>
                <w:lang w:val="en-GB"/>
              </w:rPr>
            </w:pPr>
            <w:r w:rsidRPr="004A59B1">
              <w:rPr>
                <w:color w:val="000000"/>
                <w:sz w:val="22"/>
                <w:szCs w:val="22"/>
              </w:rPr>
              <w:t>težka</w:t>
            </w:r>
          </w:p>
        </w:tc>
        <w:tc>
          <w:tcPr>
            <w:tcW w:w="5918" w:type="dxa"/>
          </w:tcPr>
          <w:p w14:paraId="52979DE2" w14:textId="77777777" w:rsidR="00AA03CA" w:rsidRPr="002227FB" w:rsidRDefault="00AA03CA" w:rsidP="009C1193">
            <w:pPr>
              <w:keepNext/>
              <w:keepLines/>
              <w:widowControl w:val="0"/>
              <w:spacing w:line="240" w:lineRule="auto"/>
              <w:rPr>
                <w:snapToGrid w:val="0"/>
                <w:color w:val="000000"/>
                <w:szCs w:val="22"/>
                <w:lang w:val="de-CH"/>
              </w:rPr>
            </w:pPr>
            <w:r w:rsidRPr="002227FB">
              <w:rPr>
                <w:snapToGrid w:val="0"/>
                <w:color w:val="000000"/>
                <w:szCs w:val="22"/>
                <w:lang w:val="de-CH"/>
              </w:rPr>
              <w:t>celotni bilirubin: &gt; 3</w:t>
            </w:r>
            <w:r w:rsidRPr="002227FB">
              <w:rPr>
                <w:color w:val="000000"/>
                <w:szCs w:val="22"/>
                <w:lang w:val="de-CH"/>
              </w:rPr>
              <w:t>–</w:t>
            </w:r>
            <w:r w:rsidRPr="002227FB">
              <w:rPr>
                <w:snapToGrid w:val="0"/>
                <w:color w:val="000000"/>
                <w:szCs w:val="22"/>
                <w:lang w:val="de-CH"/>
              </w:rPr>
              <w:t>10 </w:t>
            </w:r>
            <w:r w:rsidRPr="002227FB">
              <w:rPr>
                <w:color w:val="000000"/>
                <w:szCs w:val="22"/>
                <w:lang w:val="de-CH"/>
              </w:rPr>
              <w:t>IULN</w:t>
            </w:r>
          </w:p>
          <w:p w14:paraId="52979DE3" w14:textId="77777777" w:rsidR="00AA03CA" w:rsidRPr="002227FB" w:rsidRDefault="00AA03CA" w:rsidP="009C1193">
            <w:pPr>
              <w:pStyle w:val="TextChar"/>
              <w:keepNext/>
              <w:keepLines/>
              <w:widowControl w:val="0"/>
              <w:spacing w:before="0"/>
              <w:jc w:val="left"/>
              <w:rPr>
                <w:color w:val="000000"/>
                <w:sz w:val="22"/>
                <w:szCs w:val="22"/>
                <w:lang w:val="de-CH"/>
              </w:rPr>
            </w:pPr>
            <w:r w:rsidRPr="002227FB">
              <w:rPr>
                <w:snapToGrid w:val="0"/>
                <w:color w:val="000000"/>
                <w:sz w:val="22"/>
                <w:szCs w:val="22"/>
                <w:lang w:val="de-CH"/>
              </w:rPr>
              <w:t>AST: kakršnakoli</w:t>
            </w:r>
          </w:p>
        </w:tc>
      </w:tr>
    </w:tbl>
    <w:p w14:paraId="52979DE5" w14:textId="77777777" w:rsidR="00AA03CA" w:rsidRPr="004A59B1" w:rsidRDefault="00AA03CA" w:rsidP="009C1193">
      <w:pPr>
        <w:pStyle w:val="TextChar"/>
        <w:keepNext/>
        <w:keepLines/>
        <w:widowControl w:val="0"/>
        <w:spacing w:before="0"/>
        <w:jc w:val="left"/>
        <w:rPr>
          <w:color w:val="000000"/>
          <w:sz w:val="22"/>
          <w:szCs w:val="22"/>
          <w:lang w:val="it-IT"/>
        </w:rPr>
      </w:pPr>
      <w:r w:rsidRPr="004A59B1">
        <w:rPr>
          <w:color w:val="000000"/>
          <w:szCs w:val="22"/>
          <w:lang w:val="it-IT"/>
        </w:rPr>
        <w:t>IULN</w:t>
      </w:r>
      <w:r w:rsidRPr="004A59B1">
        <w:rPr>
          <w:color w:val="000000"/>
          <w:sz w:val="22"/>
          <w:szCs w:val="22"/>
          <w:lang w:val="it-IT"/>
        </w:rPr>
        <w:t xml:space="preserve"> = zgornja meja normalnih vrednosti, specifična za ustanovo</w:t>
      </w:r>
    </w:p>
    <w:p w14:paraId="52979DE6" w14:textId="77777777" w:rsidR="00AA03CA" w:rsidRPr="004A59B1" w:rsidRDefault="00AA03CA" w:rsidP="009C1193">
      <w:pPr>
        <w:pStyle w:val="EndnoteText"/>
        <w:keepNext/>
        <w:keepLines/>
        <w:widowControl w:val="0"/>
        <w:tabs>
          <w:tab w:val="clear" w:pos="567"/>
        </w:tabs>
        <w:rPr>
          <w:color w:val="000000"/>
          <w:szCs w:val="22"/>
          <w:lang w:val="it-IT"/>
        </w:rPr>
      </w:pPr>
      <w:r w:rsidRPr="004A59B1">
        <w:rPr>
          <w:rFonts w:eastAsia="MS Mincho"/>
          <w:bCs/>
          <w:color w:val="000000"/>
          <w:szCs w:val="22"/>
          <w:lang w:val="it-IT" w:eastAsia="ja-JP"/>
        </w:rPr>
        <w:t xml:space="preserve">AST = </w:t>
      </w:r>
      <w:r w:rsidRPr="004A59B1">
        <w:rPr>
          <w:color w:val="000000"/>
          <w:szCs w:val="22"/>
          <w:lang w:val="it-IT"/>
        </w:rPr>
        <w:t>aspartat-aminotransferaza</w:t>
      </w:r>
    </w:p>
    <w:p w14:paraId="52979DE7" w14:textId="77777777" w:rsidR="00AA03CA" w:rsidRPr="004A59B1" w:rsidRDefault="00AA03CA" w:rsidP="009C1193">
      <w:pPr>
        <w:pStyle w:val="EndnoteText"/>
        <w:widowControl w:val="0"/>
        <w:tabs>
          <w:tab w:val="clear" w:pos="567"/>
        </w:tabs>
        <w:rPr>
          <w:color w:val="000000"/>
          <w:szCs w:val="22"/>
          <w:lang w:val="it-IT"/>
        </w:rPr>
      </w:pPr>
    </w:p>
    <w:p w14:paraId="52979DE8" w14:textId="77777777" w:rsidR="00AA03CA" w:rsidRPr="004A59B1" w:rsidRDefault="00AA03CA" w:rsidP="009C1193">
      <w:pPr>
        <w:pStyle w:val="Text"/>
        <w:widowControl w:val="0"/>
        <w:spacing w:before="0"/>
        <w:jc w:val="left"/>
        <w:rPr>
          <w:color w:val="000000"/>
          <w:sz w:val="22"/>
          <w:szCs w:val="22"/>
          <w:lang w:val="it-IT"/>
        </w:rPr>
      </w:pPr>
      <w:r w:rsidRPr="004A59B1">
        <w:rPr>
          <w:i/>
          <w:color w:val="000000"/>
          <w:sz w:val="22"/>
          <w:szCs w:val="22"/>
          <w:lang w:val="it-IT"/>
        </w:rPr>
        <w:t>Insuficienca ledvic:</w:t>
      </w:r>
      <w:r w:rsidRPr="004A59B1">
        <w:rPr>
          <w:color w:val="000000"/>
          <w:sz w:val="22"/>
          <w:szCs w:val="22"/>
          <w:lang w:val="it-IT"/>
        </w:rPr>
        <w:t xml:space="preserve"> Bolniki </w:t>
      </w:r>
      <w:r w:rsidR="006A40E1" w:rsidRPr="004A59B1">
        <w:rPr>
          <w:color w:val="000000"/>
          <w:sz w:val="22"/>
          <w:szCs w:val="22"/>
          <w:lang w:val="it-IT"/>
        </w:rPr>
        <w:t xml:space="preserve">s poslabšanim </w:t>
      </w:r>
      <w:r w:rsidRPr="004A59B1">
        <w:rPr>
          <w:color w:val="000000"/>
          <w:sz w:val="22"/>
          <w:szCs w:val="22"/>
          <w:lang w:val="it-IT"/>
        </w:rPr>
        <w:t xml:space="preserve">delovanjem ledvic ali bolniki na dializi naj za začetni odmerek prejmejo najmanjši priporočeni odmerek 400 mg na dan. Vendar pri teh bolnikih </w:t>
      </w:r>
      <w:r w:rsidRPr="004A59B1">
        <w:rPr>
          <w:color w:val="000000"/>
          <w:sz w:val="22"/>
          <w:szCs w:val="22"/>
          <w:lang w:val="it-IT"/>
        </w:rPr>
        <w:lastRenderedPageBreak/>
        <w:t>priporočamo previdnost. Odmerek je mogoče zmanjšati, če ga bolnik ne prenaša dobro. Če bolnik odmerek dobro prenaša, ga je mogoče v primeru nezadostnega učinka povečati (glejte poglavji 4.4 in 5.2).</w:t>
      </w:r>
    </w:p>
    <w:p w14:paraId="52979DE9" w14:textId="77777777" w:rsidR="00AA03CA" w:rsidRPr="004A59B1" w:rsidRDefault="00AA03CA" w:rsidP="009C1193">
      <w:pPr>
        <w:pStyle w:val="EndnoteText"/>
        <w:widowControl w:val="0"/>
        <w:tabs>
          <w:tab w:val="clear" w:pos="567"/>
        </w:tabs>
        <w:rPr>
          <w:color w:val="000000"/>
          <w:szCs w:val="22"/>
          <w:lang w:val="it-IT"/>
        </w:rPr>
      </w:pPr>
    </w:p>
    <w:p w14:paraId="52979DEA" w14:textId="77777777" w:rsidR="00AA03CA" w:rsidRPr="004A59B1" w:rsidRDefault="00AA03CA" w:rsidP="009C1193">
      <w:pPr>
        <w:pStyle w:val="EndnoteText"/>
        <w:widowControl w:val="0"/>
        <w:tabs>
          <w:tab w:val="clear" w:pos="567"/>
        </w:tabs>
        <w:rPr>
          <w:color w:val="000000"/>
          <w:szCs w:val="22"/>
          <w:lang w:val="it-IT"/>
        </w:rPr>
      </w:pPr>
      <w:r w:rsidRPr="004A59B1">
        <w:rPr>
          <w:i/>
          <w:color w:val="000000"/>
          <w:szCs w:val="22"/>
          <w:lang w:val="it-IT"/>
        </w:rPr>
        <w:t xml:space="preserve">Starejši </w:t>
      </w:r>
      <w:r w:rsidR="00A15629" w:rsidRPr="004A59B1">
        <w:rPr>
          <w:i/>
          <w:color w:val="000000"/>
          <w:szCs w:val="22"/>
          <w:lang w:val="it-IT"/>
        </w:rPr>
        <w:t>ljudje</w:t>
      </w:r>
      <w:r w:rsidRPr="004A59B1">
        <w:rPr>
          <w:i/>
          <w:color w:val="000000"/>
          <w:szCs w:val="22"/>
          <w:lang w:val="it-IT"/>
        </w:rPr>
        <w:t>:</w:t>
      </w:r>
      <w:r w:rsidRPr="004A59B1">
        <w:rPr>
          <w:color w:val="000000"/>
          <w:szCs w:val="22"/>
          <w:lang w:val="it-IT"/>
        </w:rPr>
        <w:t xml:space="preserve"> Farmakokinetike imatiniba pri starejših </w:t>
      </w:r>
      <w:r w:rsidR="00A15629" w:rsidRPr="004A59B1">
        <w:rPr>
          <w:color w:val="000000"/>
          <w:szCs w:val="22"/>
          <w:lang w:val="it-IT"/>
        </w:rPr>
        <w:t>ljudeh</w:t>
      </w:r>
      <w:r w:rsidRPr="004A59B1">
        <w:rPr>
          <w:color w:val="000000"/>
          <w:szCs w:val="22"/>
          <w:lang w:val="it-IT"/>
        </w:rPr>
        <w:t xml:space="preserve"> niso posebej proučili. Pri odraslih bolnikih v kliničnih preskušanjih, v katerih je bilo več kot 20 % bolnikov starih 65 let ali več, ni bilo pomembnih farmakokinetičnih razlik, povezanih s starostjo. Pri starejših </w:t>
      </w:r>
      <w:r w:rsidR="00A15629" w:rsidRPr="004A59B1">
        <w:rPr>
          <w:color w:val="000000"/>
          <w:szCs w:val="22"/>
          <w:lang w:val="it-IT"/>
        </w:rPr>
        <w:t>ljudeh</w:t>
      </w:r>
      <w:r w:rsidRPr="004A59B1">
        <w:rPr>
          <w:color w:val="000000"/>
          <w:szCs w:val="22"/>
          <w:lang w:val="it-IT"/>
        </w:rPr>
        <w:t xml:space="preserve"> niso potrebna posebna priporočila glede odmerjanja.</w:t>
      </w:r>
    </w:p>
    <w:p w14:paraId="52979DEB" w14:textId="77777777" w:rsidR="00AA03CA" w:rsidRPr="004A59B1" w:rsidRDefault="00AA03CA" w:rsidP="009C1193">
      <w:pPr>
        <w:pStyle w:val="EndnoteText"/>
        <w:widowControl w:val="0"/>
        <w:tabs>
          <w:tab w:val="clear" w:pos="567"/>
        </w:tabs>
        <w:rPr>
          <w:color w:val="000000"/>
          <w:szCs w:val="22"/>
          <w:lang w:val="it-IT"/>
        </w:rPr>
      </w:pPr>
    </w:p>
    <w:p w14:paraId="52979DEC" w14:textId="77777777" w:rsidR="00FF48C2" w:rsidRPr="004A59B1" w:rsidRDefault="00FF48C2" w:rsidP="009C1193">
      <w:pPr>
        <w:keepNext/>
        <w:widowControl w:val="0"/>
        <w:tabs>
          <w:tab w:val="clear" w:pos="567"/>
        </w:tabs>
        <w:spacing w:line="240" w:lineRule="auto"/>
        <w:ind w:left="567" w:hanging="567"/>
        <w:rPr>
          <w:color w:val="000000"/>
          <w:szCs w:val="22"/>
          <w:lang w:val="it-IT"/>
        </w:rPr>
      </w:pPr>
      <w:r w:rsidRPr="004A59B1">
        <w:rPr>
          <w:b/>
          <w:color w:val="000000"/>
          <w:szCs w:val="22"/>
          <w:lang w:val="it-IT"/>
        </w:rPr>
        <w:t>4.3</w:t>
      </w:r>
      <w:r w:rsidRPr="004A59B1">
        <w:rPr>
          <w:b/>
          <w:color w:val="000000"/>
          <w:szCs w:val="22"/>
          <w:lang w:val="it-IT"/>
        </w:rPr>
        <w:tab/>
        <w:t>Kontraindikacije</w:t>
      </w:r>
    </w:p>
    <w:p w14:paraId="52979DED" w14:textId="77777777" w:rsidR="00FF48C2" w:rsidRPr="004A59B1" w:rsidRDefault="00FF48C2" w:rsidP="009C1193">
      <w:pPr>
        <w:pStyle w:val="EndnoteText"/>
        <w:keepNext/>
        <w:widowControl w:val="0"/>
        <w:tabs>
          <w:tab w:val="clear" w:pos="567"/>
        </w:tabs>
        <w:rPr>
          <w:color w:val="000000"/>
          <w:szCs w:val="22"/>
          <w:lang w:val="it-IT"/>
        </w:rPr>
      </w:pPr>
    </w:p>
    <w:p w14:paraId="52979DEE" w14:textId="77777777" w:rsidR="00FF48C2" w:rsidRPr="004A59B1" w:rsidRDefault="00FF48C2" w:rsidP="009C1193">
      <w:pPr>
        <w:pStyle w:val="EndnoteText"/>
        <w:widowControl w:val="0"/>
        <w:tabs>
          <w:tab w:val="clear" w:pos="567"/>
        </w:tabs>
        <w:rPr>
          <w:color w:val="000000"/>
          <w:szCs w:val="22"/>
          <w:lang w:val="it-IT"/>
        </w:rPr>
      </w:pPr>
      <w:r w:rsidRPr="004A59B1">
        <w:rPr>
          <w:color w:val="000000"/>
          <w:szCs w:val="22"/>
          <w:lang w:val="it-IT"/>
        </w:rPr>
        <w:t>Preobčutljivost na učinkovino ali katero koli pomožno snov, navedeno v poglavju 6.1.</w:t>
      </w:r>
    </w:p>
    <w:p w14:paraId="52979DEF" w14:textId="77777777" w:rsidR="00FF48C2" w:rsidRPr="004A59B1" w:rsidRDefault="00FF48C2" w:rsidP="009C1193">
      <w:pPr>
        <w:pStyle w:val="EndnoteText"/>
        <w:widowControl w:val="0"/>
        <w:tabs>
          <w:tab w:val="clear" w:pos="567"/>
        </w:tabs>
        <w:rPr>
          <w:color w:val="000000"/>
          <w:szCs w:val="22"/>
          <w:lang w:val="it-IT"/>
        </w:rPr>
      </w:pPr>
    </w:p>
    <w:p w14:paraId="52979DF0" w14:textId="77777777" w:rsidR="00FF48C2" w:rsidRPr="004A59B1" w:rsidRDefault="00FF48C2" w:rsidP="009C1193">
      <w:pPr>
        <w:keepNext/>
        <w:widowControl w:val="0"/>
        <w:tabs>
          <w:tab w:val="clear" w:pos="567"/>
        </w:tabs>
        <w:spacing w:line="240" w:lineRule="auto"/>
        <w:ind w:left="567" w:hanging="567"/>
        <w:rPr>
          <w:color w:val="000000"/>
          <w:szCs w:val="22"/>
          <w:lang w:val="it-IT"/>
        </w:rPr>
      </w:pPr>
      <w:r w:rsidRPr="004A59B1">
        <w:rPr>
          <w:b/>
          <w:color w:val="000000"/>
          <w:szCs w:val="22"/>
          <w:lang w:val="it-IT"/>
        </w:rPr>
        <w:t>4.4</w:t>
      </w:r>
      <w:r w:rsidRPr="004A59B1">
        <w:rPr>
          <w:b/>
          <w:color w:val="000000"/>
          <w:szCs w:val="22"/>
          <w:lang w:val="it-IT"/>
        </w:rPr>
        <w:tab/>
        <w:t>Posebna opozorila in previdnostni ukrepi</w:t>
      </w:r>
    </w:p>
    <w:p w14:paraId="52979DF1" w14:textId="77777777" w:rsidR="00FF48C2" w:rsidRPr="004A59B1" w:rsidRDefault="00FF48C2" w:rsidP="009C1193">
      <w:pPr>
        <w:pStyle w:val="EndnoteText"/>
        <w:keepNext/>
        <w:widowControl w:val="0"/>
        <w:tabs>
          <w:tab w:val="clear" w:pos="567"/>
        </w:tabs>
        <w:rPr>
          <w:color w:val="000000"/>
          <w:szCs w:val="22"/>
          <w:lang w:val="it-IT"/>
        </w:rPr>
      </w:pPr>
    </w:p>
    <w:p w14:paraId="52979DF2" w14:textId="77777777" w:rsidR="00FF48C2" w:rsidRPr="004A59B1" w:rsidRDefault="00FF48C2" w:rsidP="009C1193">
      <w:pPr>
        <w:pStyle w:val="EndnoteText"/>
        <w:widowControl w:val="0"/>
        <w:tabs>
          <w:tab w:val="clear" w:pos="567"/>
        </w:tabs>
        <w:rPr>
          <w:color w:val="000000"/>
          <w:szCs w:val="22"/>
          <w:lang w:val="it-IT"/>
        </w:rPr>
      </w:pPr>
      <w:r w:rsidRPr="004A59B1">
        <w:rPr>
          <w:color w:val="000000"/>
          <w:szCs w:val="22"/>
          <w:lang w:val="it-IT"/>
        </w:rPr>
        <w:t>Ob sočasni uporabi zdravila Glivec z drugimi zdravili obstaja možnost njihovega medsebojnega delovanja. Previdnost je potrebna p</w:t>
      </w:r>
      <w:r w:rsidRPr="004A59B1">
        <w:rPr>
          <w:color w:val="000000"/>
          <w:szCs w:val="22"/>
          <w:lang w:val="sl-SI"/>
        </w:rPr>
        <w:t xml:space="preserve">ri uporabi zdravila Glivec z zaviralci proteaze, azolnimi antimikotiki, določenimi makrolidi (glejte poglavje 4.5), s substrati CYP3A4 z ozkim terapevtskim oknom (na primer s </w:t>
      </w:r>
      <w:r w:rsidRPr="008F282C">
        <w:rPr>
          <w:color w:val="000000"/>
          <w:szCs w:val="22"/>
          <w:lang w:val="it-IT"/>
        </w:rPr>
        <w:t>ciklosporinom</w:t>
      </w:r>
      <w:r w:rsidRPr="004A59B1">
        <w:rPr>
          <w:color w:val="000000"/>
          <w:szCs w:val="22"/>
          <w:lang w:val="sl-SI"/>
        </w:rPr>
        <w:t xml:space="preserve">, pimozidom, takrolimusom, sirolimusom, ergotaminom, diergotaminom, fentanilom, alfentanilom, terfenadinom, bortezomibom, docetakselom, kinidinom) ali </w:t>
      </w:r>
      <w:r w:rsidRPr="004A59B1">
        <w:rPr>
          <w:lang w:val="it-IT"/>
        </w:rPr>
        <w:t>z varfarinom in drugimi derivati kumarina (glejte poglavje 4.5).</w:t>
      </w:r>
    </w:p>
    <w:p w14:paraId="52979DF3" w14:textId="77777777" w:rsidR="00FF48C2" w:rsidRPr="004A59B1" w:rsidRDefault="00FF48C2" w:rsidP="009C1193">
      <w:pPr>
        <w:pStyle w:val="EndnoteText"/>
        <w:widowControl w:val="0"/>
        <w:tabs>
          <w:tab w:val="clear" w:pos="567"/>
          <w:tab w:val="left" w:pos="7655"/>
        </w:tabs>
        <w:rPr>
          <w:color w:val="000000"/>
          <w:szCs w:val="22"/>
          <w:lang w:val="it-IT"/>
        </w:rPr>
      </w:pPr>
    </w:p>
    <w:p w14:paraId="52979DF4" w14:textId="77777777" w:rsidR="00FF48C2" w:rsidRPr="004A59B1" w:rsidRDefault="00FF48C2" w:rsidP="009C1193">
      <w:pPr>
        <w:pStyle w:val="EndnoteText"/>
        <w:widowControl w:val="0"/>
        <w:tabs>
          <w:tab w:val="clear" w:pos="567"/>
          <w:tab w:val="left" w:pos="7655"/>
        </w:tabs>
        <w:rPr>
          <w:color w:val="000000"/>
          <w:szCs w:val="22"/>
          <w:lang w:val="it-IT"/>
        </w:rPr>
      </w:pPr>
      <w:r w:rsidRPr="004A59B1">
        <w:rPr>
          <w:color w:val="000000"/>
          <w:szCs w:val="22"/>
          <w:lang w:val="it-IT"/>
        </w:rPr>
        <w:t xml:space="preserve">Sočasna uporaba imatiniba in zdravil, ki inducirajo CYP3A4 (na primer deksametazon, fenitoin, karbamazepin, rifampicin, fenobarbital ali </w:t>
      </w:r>
      <w:r w:rsidRPr="004A59B1">
        <w:rPr>
          <w:i/>
          <w:color w:val="000000"/>
          <w:szCs w:val="22"/>
          <w:lang w:val="it-IT"/>
        </w:rPr>
        <w:t>Hypericum perforatum</w:t>
      </w:r>
      <w:r w:rsidRPr="004A59B1">
        <w:rPr>
          <w:color w:val="000000"/>
          <w:szCs w:val="22"/>
          <w:lang w:val="it-IT"/>
        </w:rPr>
        <w:t>, znan tudi kot šentjanževka), lahko pomembno zmanjša izpostavljenost zdravilu Glivec, kar potencialno poveča tveganje za neuspešnost zdravljenja. Zato se je treba sočasni uporabi močnih induktorjev CYP3A4 in imatiniba izogibati (glejte poglavje 4.5).</w:t>
      </w:r>
    </w:p>
    <w:p w14:paraId="52979DF5" w14:textId="77777777" w:rsidR="00FF48C2" w:rsidRPr="004A59B1" w:rsidRDefault="00FF48C2" w:rsidP="009C1193">
      <w:pPr>
        <w:pStyle w:val="EndnoteText"/>
        <w:widowControl w:val="0"/>
        <w:tabs>
          <w:tab w:val="clear" w:pos="567"/>
          <w:tab w:val="left" w:pos="7655"/>
        </w:tabs>
        <w:rPr>
          <w:color w:val="000000"/>
          <w:szCs w:val="22"/>
          <w:lang w:val="it-IT"/>
        </w:rPr>
      </w:pPr>
    </w:p>
    <w:p w14:paraId="52979DF6" w14:textId="77777777" w:rsidR="00FF48C2" w:rsidRPr="004A59B1" w:rsidRDefault="00FF48C2" w:rsidP="009C1193">
      <w:pPr>
        <w:pStyle w:val="EndnoteText"/>
        <w:keepNext/>
        <w:widowControl w:val="0"/>
        <w:tabs>
          <w:tab w:val="clear" w:pos="567"/>
          <w:tab w:val="left" w:pos="7655"/>
        </w:tabs>
        <w:rPr>
          <w:color w:val="000000"/>
          <w:szCs w:val="22"/>
          <w:u w:val="single"/>
          <w:lang w:val="it-IT"/>
        </w:rPr>
      </w:pPr>
      <w:r w:rsidRPr="004A59B1">
        <w:rPr>
          <w:color w:val="000000"/>
          <w:szCs w:val="22"/>
          <w:u w:val="single"/>
          <w:lang w:val="it-IT"/>
        </w:rPr>
        <w:t>Hipotiroidizem</w:t>
      </w:r>
    </w:p>
    <w:p w14:paraId="52979DF7" w14:textId="77777777" w:rsidR="00FF48C2" w:rsidRPr="004A59B1" w:rsidRDefault="00FF48C2" w:rsidP="009C1193">
      <w:pPr>
        <w:pStyle w:val="EndnoteText"/>
        <w:widowControl w:val="0"/>
        <w:tabs>
          <w:tab w:val="clear" w:pos="567"/>
          <w:tab w:val="left" w:pos="7655"/>
        </w:tabs>
        <w:rPr>
          <w:color w:val="000000"/>
          <w:szCs w:val="22"/>
          <w:lang w:val="it-IT"/>
        </w:rPr>
      </w:pPr>
      <w:r w:rsidRPr="004A59B1">
        <w:rPr>
          <w:color w:val="000000"/>
          <w:szCs w:val="22"/>
          <w:lang w:val="it-IT"/>
        </w:rPr>
        <w:t xml:space="preserve">Pri bolnikih, ki so med zdravljenjem z zdravilom Glivec prejemali nadomestno zdravljenje z levotiroksinom po tiroidektomiji, so poročali o kliničnih primerih hipotiroidizma </w:t>
      </w:r>
      <w:r w:rsidRPr="004A59B1">
        <w:rPr>
          <w:iCs/>
          <w:color w:val="000000"/>
          <w:szCs w:val="24"/>
          <w:lang w:val="it-IT"/>
        </w:rPr>
        <w:t>(glejte poglavje 4.5)</w:t>
      </w:r>
      <w:r w:rsidRPr="004A59B1">
        <w:rPr>
          <w:color w:val="000000"/>
          <w:szCs w:val="22"/>
          <w:lang w:val="it-IT"/>
        </w:rPr>
        <w:t>. Pri takih bolnikih je treba skrbno spremljati vrednosti tiroideo stimulirajočega hormona (TSH).</w:t>
      </w:r>
    </w:p>
    <w:p w14:paraId="52979DF8" w14:textId="77777777" w:rsidR="00FF48C2" w:rsidRPr="004A59B1" w:rsidRDefault="00FF48C2" w:rsidP="009C1193">
      <w:pPr>
        <w:pStyle w:val="EndnoteText"/>
        <w:widowControl w:val="0"/>
        <w:tabs>
          <w:tab w:val="clear" w:pos="567"/>
          <w:tab w:val="left" w:pos="7655"/>
        </w:tabs>
        <w:rPr>
          <w:color w:val="000000"/>
          <w:szCs w:val="22"/>
          <w:lang w:val="it-IT"/>
        </w:rPr>
      </w:pPr>
    </w:p>
    <w:p w14:paraId="52979DF9" w14:textId="77777777" w:rsidR="00FF48C2" w:rsidRPr="004A59B1" w:rsidRDefault="00FF48C2" w:rsidP="009C1193">
      <w:pPr>
        <w:pStyle w:val="EndnoteText"/>
        <w:keepNext/>
        <w:widowControl w:val="0"/>
        <w:tabs>
          <w:tab w:val="clear" w:pos="567"/>
          <w:tab w:val="left" w:pos="7655"/>
        </w:tabs>
        <w:rPr>
          <w:color w:val="000000"/>
          <w:szCs w:val="22"/>
          <w:u w:val="single"/>
          <w:lang w:val="it-IT"/>
        </w:rPr>
      </w:pPr>
      <w:r w:rsidRPr="004A59B1">
        <w:rPr>
          <w:color w:val="000000"/>
          <w:szCs w:val="22"/>
          <w:u w:val="single"/>
          <w:lang w:val="it-IT"/>
        </w:rPr>
        <w:t>Hepatotoksičnost</w:t>
      </w:r>
    </w:p>
    <w:p w14:paraId="52979DFA" w14:textId="77777777" w:rsidR="00FF48C2" w:rsidRPr="004A59B1" w:rsidRDefault="00FF48C2" w:rsidP="009C1193">
      <w:pPr>
        <w:pStyle w:val="EndnoteText"/>
        <w:widowControl w:val="0"/>
        <w:tabs>
          <w:tab w:val="clear" w:pos="567"/>
        </w:tabs>
        <w:rPr>
          <w:color w:val="000000"/>
          <w:szCs w:val="22"/>
          <w:lang w:val="it-IT"/>
        </w:rPr>
      </w:pPr>
      <w:r w:rsidRPr="004A59B1">
        <w:rPr>
          <w:color w:val="000000"/>
          <w:szCs w:val="22"/>
          <w:lang w:val="it-IT"/>
        </w:rPr>
        <w:t>Presnova zdravila Glivec poteka predvsem v jetrih in le 13 % zdravila Glivec se izloča skozi ledvice. Pri bolnikih z disfunkcijo jeter (blago, zmerno ali težko) je treba skrbno spremljati periferno krvno sliko in jetrne encime (glejte poglavja 4.2, 4.8 in 5.2). Upoštevati je treba, da imajo lahko bolniki z GIST metastaze v jetrih, ki lahko povzročijo okvaro jeter.</w:t>
      </w:r>
    </w:p>
    <w:p w14:paraId="52979DFB" w14:textId="77777777" w:rsidR="00FF48C2" w:rsidRPr="004A59B1" w:rsidRDefault="00FF48C2" w:rsidP="009C1193">
      <w:pPr>
        <w:pStyle w:val="EndnoteText"/>
        <w:widowControl w:val="0"/>
        <w:tabs>
          <w:tab w:val="clear" w:pos="567"/>
        </w:tabs>
        <w:rPr>
          <w:color w:val="000000"/>
          <w:lang w:val="it-IT"/>
        </w:rPr>
      </w:pPr>
    </w:p>
    <w:p w14:paraId="52979DFC" w14:textId="77777777" w:rsidR="00FF48C2" w:rsidRPr="004A59B1" w:rsidRDefault="00FF48C2" w:rsidP="009C1193">
      <w:pPr>
        <w:pStyle w:val="EndnoteText"/>
        <w:widowControl w:val="0"/>
        <w:tabs>
          <w:tab w:val="clear" w:pos="567"/>
        </w:tabs>
        <w:rPr>
          <w:color w:val="000000"/>
          <w:szCs w:val="22"/>
          <w:lang w:val="it-IT"/>
        </w:rPr>
      </w:pPr>
      <w:r w:rsidRPr="004A59B1">
        <w:rPr>
          <w:color w:val="000000"/>
          <w:szCs w:val="22"/>
          <w:lang w:val="it-IT" w:eastAsia="es-ES"/>
        </w:rPr>
        <w:t xml:space="preserve">Pri uporabi imatiniba so opažali primere poškodbe jeter, vključno z odpovedjo in nekrozo jeter. Pri uporabi </w:t>
      </w:r>
      <w:r w:rsidRPr="004A59B1">
        <w:rPr>
          <w:color w:val="000000"/>
          <w:lang w:val="it-IT"/>
        </w:rPr>
        <w:t>imatiniba v kombinaciji z visokoodmernimi kemoterapevtskimi shemami so ugotavljali zvečanje obsega resnih neželenih učinkov na jetrih. Kadar se imatinib uporablja v kombinaciji s kemoterapevtskimi shemami, pri katerih je znana povezava z motnjami delovanja jeter, je treba skrbno spremljati delovanje jeter (glejte poglavji 4.5 in 4.8).</w:t>
      </w:r>
    </w:p>
    <w:p w14:paraId="52979DFD" w14:textId="77777777" w:rsidR="00FF48C2" w:rsidRPr="004A59B1" w:rsidRDefault="00FF48C2" w:rsidP="009C1193">
      <w:pPr>
        <w:pStyle w:val="EndnoteText"/>
        <w:widowControl w:val="0"/>
        <w:tabs>
          <w:tab w:val="clear" w:pos="567"/>
        </w:tabs>
        <w:rPr>
          <w:color w:val="000000"/>
          <w:szCs w:val="22"/>
          <w:lang w:val="it-IT"/>
        </w:rPr>
      </w:pPr>
    </w:p>
    <w:p w14:paraId="52979DFE" w14:textId="77777777" w:rsidR="00FF48C2" w:rsidRPr="004A59B1" w:rsidRDefault="00FF48C2" w:rsidP="009C1193">
      <w:pPr>
        <w:pStyle w:val="EndnoteText"/>
        <w:keepNext/>
        <w:widowControl w:val="0"/>
        <w:tabs>
          <w:tab w:val="clear" w:pos="567"/>
        </w:tabs>
        <w:rPr>
          <w:color w:val="000000"/>
          <w:szCs w:val="22"/>
          <w:u w:val="single"/>
          <w:lang w:val="it-IT"/>
        </w:rPr>
      </w:pPr>
      <w:r w:rsidRPr="004A59B1">
        <w:rPr>
          <w:color w:val="000000"/>
          <w:szCs w:val="22"/>
          <w:u w:val="single"/>
          <w:lang w:val="it-IT"/>
        </w:rPr>
        <w:t>Retenca tekočine</w:t>
      </w:r>
    </w:p>
    <w:p w14:paraId="52979DFF" w14:textId="77777777" w:rsidR="00FF48C2" w:rsidRPr="004A59B1" w:rsidRDefault="00FF48C2" w:rsidP="009C1193">
      <w:pPr>
        <w:pStyle w:val="EndnoteText"/>
        <w:widowControl w:val="0"/>
        <w:tabs>
          <w:tab w:val="clear" w:pos="567"/>
        </w:tabs>
        <w:rPr>
          <w:color w:val="000000"/>
          <w:szCs w:val="22"/>
          <w:lang w:val="pl-PL"/>
        </w:rPr>
      </w:pPr>
      <w:r w:rsidRPr="004A59B1">
        <w:rPr>
          <w:color w:val="000000"/>
          <w:szCs w:val="22"/>
          <w:lang w:val="it-IT"/>
        </w:rPr>
        <w:t xml:space="preserve">Pri približno 2,5 % bolnikov z na novo diagnosticirano KML, ki so jemali zdravilo Glivec, so poročali o pojavih </w:t>
      </w:r>
      <w:r w:rsidR="006A40E1" w:rsidRPr="004A59B1">
        <w:rPr>
          <w:color w:val="000000"/>
          <w:szCs w:val="22"/>
          <w:lang w:val="it-IT"/>
        </w:rPr>
        <w:t xml:space="preserve">hude </w:t>
      </w:r>
      <w:r w:rsidRPr="004A59B1">
        <w:rPr>
          <w:color w:val="000000"/>
          <w:szCs w:val="22"/>
          <w:lang w:val="it-IT"/>
        </w:rPr>
        <w:t xml:space="preserve">retence tekočine (plevralni izliv, edemi, pljučni edem, ascites, površinski edem). Zato je zelo priporočljivo bolnike redno tehtati. Nepričakovano hitro naraščanje telesne mase je treba skrbno raziskati in izvajati ustrezne podporne in terapevtske ukrepe, če je potrebno. V kliničnih preskušanjih so bili ti učinki pogostejši pri starejših ljudeh in pri bolnikih z anamnezo bolezni srca. </w:t>
      </w:r>
      <w:r w:rsidRPr="004A59B1">
        <w:rPr>
          <w:color w:val="000000"/>
          <w:szCs w:val="22"/>
          <w:lang w:val="pl-PL"/>
        </w:rPr>
        <w:t>Zato je pri bolnikih z motnjami delovanja srca potrebna previdnost.</w:t>
      </w:r>
    </w:p>
    <w:p w14:paraId="52979E00" w14:textId="77777777" w:rsidR="00FF48C2" w:rsidRPr="004A59B1" w:rsidRDefault="00FF48C2" w:rsidP="009C1193">
      <w:pPr>
        <w:pStyle w:val="EndnoteText"/>
        <w:widowControl w:val="0"/>
        <w:tabs>
          <w:tab w:val="clear" w:pos="567"/>
        </w:tabs>
        <w:rPr>
          <w:color w:val="000000"/>
          <w:szCs w:val="22"/>
          <w:lang w:val="pl-PL"/>
        </w:rPr>
      </w:pPr>
    </w:p>
    <w:p w14:paraId="52979E01" w14:textId="77777777" w:rsidR="00FF48C2" w:rsidRPr="004A59B1" w:rsidRDefault="00FF48C2" w:rsidP="009C1193">
      <w:pPr>
        <w:pStyle w:val="EndnoteText"/>
        <w:keepNext/>
        <w:widowControl w:val="0"/>
        <w:tabs>
          <w:tab w:val="clear" w:pos="567"/>
        </w:tabs>
        <w:rPr>
          <w:color w:val="000000"/>
          <w:szCs w:val="22"/>
          <w:u w:val="single"/>
          <w:lang w:val="pl-PL"/>
        </w:rPr>
      </w:pPr>
      <w:r w:rsidRPr="004A59B1">
        <w:rPr>
          <w:color w:val="000000"/>
          <w:szCs w:val="22"/>
          <w:u w:val="single"/>
          <w:lang w:val="pl-PL"/>
        </w:rPr>
        <w:t>Srčni bolniki</w:t>
      </w:r>
    </w:p>
    <w:p w14:paraId="52979E02" w14:textId="77777777" w:rsidR="00FF48C2" w:rsidRPr="004A59B1" w:rsidRDefault="00FF48C2" w:rsidP="009C1193">
      <w:pPr>
        <w:pStyle w:val="EndnoteText"/>
        <w:widowControl w:val="0"/>
        <w:tabs>
          <w:tab w:val="clear" w:pos="567"/>
        </w:tabs>
        <w:rPr>
          <w:color w:val="000000"/>
          <w:lang w:val="pl-PL"/>
        </w:rPr>
      </w:pPr>
      <w:r w:rsidRPr="004A59B1">
        <w:rPr>
          <w:color w:val="000000"/>
          <w:lang w:val="pl-PL"/>
        </w:rPr>
        <w:t>Srčne bolnike, bolnike z dejavniki tveganja za srčno popuščanje ali bolnike z anamnezo ledvične odpovedi je potrebno skrbno opazovati. Bolnika z znaki ali simptomi, ki kažejo na srčno popuščanje ali odpoved ledvic, je treba pregledati in zdraviti.</w:t>
      </w:r>
    </w:p>
    <w:p w14:paraId="52979E03" w14:textId="77777777" w:rsidR="00FF48C2" w:rsidRPr="004A59B1" w:rsidRDefault="00FF48C2" w:rsidP="009C1193">
      <w:pPr>
        <w:pStyle w:val="Text"/>
        <w:widowControl w:val="0"/>
        <w:spacing w:before="0"/>
        <w:jc w:val="left"/>
        <w:rPr>
          <w:color w:val="000000"/>
          <w:sz w:val="22"/>
          <w:szCs w:val="22"/>
          <w:lang w:val="pl-PL"/>
        </w:rPr>
      </w:pPr>
    </w:p>
    <w:p w14:paraId="52979E04" w14:textId="77777777" w:rsidR="00FF48C2" w:rsidRPr="004A59B1" w:rsidRDefault="00FF48C2" w:rsidP="009C1193">
      <w:pPr>
        <w:pStyle w:val="EndnoteText"/>
        <w:widowControl w:val="0"/>
        <w:tabs>
          <w:tab w:val="clear" w:pos="567"/>
        </w:tabs>
        <w:rPr>
          <w:color w:val="000000"/>
          <w:szCs w:val="22"/>
          <w:lang w:val="pl-PL"/>
        </w:rPr>
      </w:pPr>
      <w:r w:rsidRPr="004A59B1">
        <w:rPr>
          <w:color w:val="000000"/>
          <w:szCs w:val="22"/>
          <w:lang w:val="pl-PL"/>
        </w:rPr>
        <w:t xml:space="preserve">Pri bolnikih s hipereozinofilnim sindromom </w:t>
      </w:r>
      <w:r w:rsidRPr="004A59B1">
        <w:rPr>
          <w:snapToGrid w:val="0"/>
          <w:color w:val="000000"/>
          <w:szCs w:val="22"/>
          <w:lang w:val="pl-PL" w:eastAsia="de-DE"/>
        </w:rPr>
        <w:t>(HES) z okultno infiltracijo HES celic v srčni mišici je v posameznih primerih v povezavi z degranulacijo HES celic ob uvedbi zdravljenja z imatinibom prišlo do kardiogenega šoka/disfunkcije levega prekata.</w:t>
      </w:r>
      <w:r w:rsidRPr="004A59B1">
        <w:rPr>
          <w:color w:val="000000"/>
          <w:szCs w:val="22"/>
          <w:lang w:val="pl-PL"/>
        </w:rPr>
        <w:t xml:space="preserve"> Stanje je opisano kot reverzibilno ob uporabi steroidov s sistemskim delovanjem, podpori krvnemu obtoku in začasni odtegnitvi imatiniba. Ker so občasno poročali o s srcem povezanih neželenih dogodkih z imatinibom, je treba pri populaciji bolnikov s HES/CEL pred uvedbo zdravljenja pretehtati razmerje med koristjo in tveganjem.</w:t>
      </w:r>
    </w:p>
    <w:p w14:paraId="52979E05" w14:textId="77777777" w:rsidR="00FF48C2" w:rsidRPr="004A59B1" w:rsidRDefault="00FF48C2" w:rsidP="009C1193">
      <w:pPr>
        <w:pStyle w:val="EndnoteText"/>
        <w:widowControl w:val="0"/>
        <w:tabs>
          <w:tab w:val="clear" w:pos="567"/>
        </w:tabs>
        <w:rPr>
          <w:color w:val="000000"/>
          <w:szCs w:val="22"/>
          <w:lang w:val="pl-PL"/>
        </w:rPr>
      </w:pPr>
    </w:p>
    <w:p w14:paraId="52979E06" w14:textId="77777777" w:rsidR="00FF48C2" w:rsidRPr="004A59B1" w:rsidRDefault="00FF48C2" w:rsidP="009C1193">
      <w:pPr>
        <w:pStyle w:val="EndnoteText"/>
        <w:widowControl w:val="0"/>
        <w:tabs>
          <w:tab w:val="clear" w:pos="567"/>
        </w:tabs>
        <w:rPr>
          <w:color w:val="000000"/>
          <w:szCs w:val="22"/>
          <w:lang w:val="pl-PL"/>
        </w:rPr>
      </w:pPr>
      <w:r w:rsidRPr="004A59B1">
        <w:rPr>
          <w:snapToGrid w:val="0"/>
          <w:color w:val="000000"/>
          <w:szCs w:val="22"/>
          <w:lang w:val="pl-PL" w:eastAsia="de-DE"/>
        </w:rPr>
        <w:t xml:space="preserve">Mielodisplastične/mieloproliferativne bolezni s preureditvijo gena za PDGFR so lahko povezane z </w:t>
      </w:r>
      <w:r w:rsidR="006A40E1" w:rsidRPr="004A59B1">
        <w:rPr>
          <w:snapToGrid w:val="0"/>
          <w:color w:val="000000"/>
          <w:szCs w:val="22"/>
          <w:lang w:val="pl-PL" w:eastAsia="de-DE"/>
        </w:rPr>
        <w:t xml:space="preserve">velikimi </w:t>
      </w:r>
      <w:r w:rsidRPr="004A59B1">
        <w:rPr>
          <w:snapToGrid w:val="0"/>
          <w:color w:val="000000"/>
          <w:szCs w:val="22"/>
          <w:lang w:val="pl-PL" w:eastAsia="de-DE"/>
        </w:rPr>
        <w:t xml:space="preserve">koncentracijami eozinofilcev. Zato je pri bolnikih s HES/CEL in bolnikih z </w:t>
      </w:r>
      <w:r w:rsidR="006A40E1" w:rsidRPr="004A59B1">
        <w:rPr>
          <w:snapToGrid w:val="0"/>
          <w:color w:val="000000"/>
          <w:szCs w:val="22"/>
          <w:lang w:val="pl-PL" w:eastAsia="de-DE"/>
        </w:rPr>
        <w:t xml:space="preserve">velikimi </w:t>
      </w:r>
      <w:r w:rsidRPr="004A59B1">
        <w:rPr>
          <w:snapToGrid w:val="0"/>
          <w:color w:val="000000"/>
          <w:szCs w:val="22"/>
          <w:lang w:val="pl-PL" w:eastAsia="de-DE"/>
        </w:rPr>
        <w:t>koncentracijami eozinofilcev v povezavi z MDS/MPD</w:t>
      </w:r>
      <w:r w:rsidRPr="004A59B1">
        <w:rPr>
          <w:color w:val="000000"/>
          <w:szCs w:val="22"/>
          <w:lang w:val="pl-PL"/>
        </w:rPr>
        <w:t xml:space="preserve"> pred uporabo imatiniba potrebno razmisliti o pregledu pri specialistu kardiologu, izvedbi ehokardiograma in določitvi serumskega troponina. V primeru nenormalnega izvida katere od teh preiskav je potrebno razmisliti o kontrolnem pregledu pri kardiologu in sočasni profilaktični uporabi steroidov s sistemskim delovanjem (1</w:t>
      </w:r>
      <w:r w:rsidRPr="004A59B1">
        <w:rPr>
          <w:color w:val="000000"/>
          <w:szCs w:val="22"/>
          <w:lang w:val="pl-PL"/>
        </w:rPr>
        <w:noBreakHyphen/>
        <w:t>2 mg/kg) ob uvedbi zdravljenja z imatinibom, v obdobju enega do dveh tednov.</w:t>
      </w:r>
    </w:p>
    <w:p w14:paraId="52979E07" w14:textId="77777777" w:rsidR="00FF48C2" w:rsidRPr="004A59B1" w:rsidRDefault="00FF48C2" w:rsidP="009C1193">
      <w:pPr>
        <w:pStyle w:val="EndnoteText"/>
        <w:widowControl w:val="0"/>
        <w:tabs>
          <w:tab w:val="clear" w:pos="567"/>
        </w:tabs>
        <w:rPr>
          <w:color w:val="000000"/>
          <w:szCs w:val="22"/>
          <w:lang w:val="pl-PL"/>
        </w:rPr>
      </w:pPr>
    </w:p>
    <w:p w14:paraId="52979E08" w14:textId="77777777" w:rsidR="00FF48C2" w:rsidRPr="004A59B1" w:rsidRDefault="00FF48C2" w:rsidP="009C1193">
      <w:pPr>
        <w:pStyle w:val="EndnoteText"/>
        <w:keepNext/>
        <w:widowControl w:val="0"/>
        <w:tabs>
          <w:tab w:val="clear" w:pos="567"/>
        </w:tabs>
        <w:rPr>
          <w:color w:val="000000"/>
          <w:szCs w:val="22"/>
          <w:u w:val="single"/>
          <w:lang w:val="pl-PL"/>
        </w:rPr>
      </w:pPr>
      <w:r w:rsidRPr="004A59B1">
        <w:rPr>
          <w:color w:val="000000"/>
          <w:szCs w:val="22"/>
          <w:u w:val="single"/>
          <w:lang w:val="pl-PL"/>
        </w:rPr>
        <w:t>Gastrointestinalne krvavitve</w:t>
      </w:r>
    </w:p>
    <w:p w14:paraId="52979E09" w14:textId="77777777" w:rsidR="00FF48C2" w:rsidRPr="004A59B1" w:rsidRDefault="00FF48C2" w:rsidP="009C1193">
      <w:pPr>
        <w:pStyle w:val="EndnoteText"/>
        <w:widowControl w:val="0"/>
        <w:tabs>
          <w:tab w:val="clear" w:pos="567"/>
        </w:tabs>
        <w:rPr>
          <w:strike/>
          <w:color w:val="000000"/>
          <w:szCs w:val="22"/>
          <w:lang w:val="pl-PL"/>
        </w:rPr>
      </w:pPr>
      <w:r w:rsidRPr="004A59B1">
        <w:rPr>
          <w:color w:val="000000"/>
          <w:szCs w:val="22"/>
          <w:lang w:val="pl-PL"/>
        </w:rPr>
        <w:t>V študiji pri bolnikih z neresektabilnimi in/ali metastatskimi</w:t>
      </w:r>
      <w:r w:rsidRPr="004A59B1" w:rsidDel="006C7E4C">
        <w:rPr>
          <w:color w:val="000000"/>
          <w:szCs w:val="22"/>
          <w:lang w:val="pl-PL"/>
        </w:rPr>
        <w:t xml:space="preserve"> </w:t>
      </w:r>
      <w:r w:rsidRPr="004A59B1">
        <w:rPr>
          <w:color w:val="000000"/>
          <w:szCs w:val="22"/>
          <w:lang w:val="pl-PL"/>
        </w:rPr>
        <w:t>GIST so poročali tako o gastrointestinalnih kot o intratumorskih krvavitvah (glejte poglavje 4.8</w:t>
      </w:r>
      <w:r w:rsidRPr="004A59B1">
        <w:rPr>
          <w:snapToGrid w:val="0"/>
          <w:color w:val="000000"/>
          <w:szCs w:val="22"/>
          <w:lang w:val="pl-PL"/>
        </w:rPr>
        <w:t xml:space="preserve">). </w:t>
      </w:r>
      <w:r w:rsidRPr="004A59B1">
        <w:rPr>
          <w:color w:val="000000"/>
          <w:szCs w:val="22"/>
          <w:lang w:val="pl-PL"/>
        </w:rPr>
        <w:t>Na podlagi razpoložljivih podatkov niso ugotovili nikakršnih predispozicijskih dejavnikov (na primer velikost tumorja, lokacija tumorja, motnje koagulacije), ki bi pri bolnikih z GIST povečali tveganje katere od teh dveh vrst krvavitev</w:t>
      </w:r>
      <w:r w:rsidRPr="004A59B1">
        <w:rPr>
          <w:snapToGrid w:val="0"/>
          <w:color w:val="000000"/>
          <w:szCs w:val="22"/>
          <w:lang w:val="pl-PL"/>
        </w:rPr>
        <w:t xml:space="preserve">. </w:t>
      </w:r>
      <w:r w:rsidRPr="004A59B1">
        <w:rPr>
          <w:color w:val="000000"/>
          <w:szCs w:val="22"/>
          <w:lang w:val="pl-PL"/>
        </w:rPr>
        <w:t>Ker sta povečana vaskularnost in nagnjenje h krvavitvam del narave in kliničnega poteka GIST, je treba pri vseh bolnikih uporabiti standardne prakse in postopke za spremljanje in zdravljenje krvavitev</w:t>
      </w:r>
      <w:r w:rsidRPr="004A59B1">
        <w:rPr>
          <w:snapToGrid w:val="0"/>
          <w:color w:val="000000"/>
          <w:szCs w:val="22"/>
          <w:lang w:val="pl-PL"/>
        </w:rPr>
        <w:t>.</w:t>
      </w:r>
    </w:p>
    <w:p w14:paraId="52979E0A" w14:textId="77777777" w:rsidR="006A40E1" w:rsidRPr="004A59B1" w:rsidRDefault="006A40E1" w:rsidP="009C1193">
      <w:pPr>
        <w:pStyle w:val="EndnoteText"/>
        <w:widowControl w:val="0"/>
        <w:tabs>
          <w:tab w:val="clear" w:pos="567"/>
        </w:tabs>
        <w:rPr>
          <w:lang w:val="pl-PL"/>
        </w:rPr>
      </w:pPr>
    </w:p>
    <w:p w14:paraId="52979E0B" w14:textId="77777777" w:rsidR="006A40E1" w:rsidRPr="004A59B1" w:rsidRDefault="006A40E1" w:rsidP="009C1193">
      <w:pPr>
        <w:pStyle w:val="EndnoteText"/>
        <w:widowControl w:val="0"/>
        <w:tabs>
          <w:tab w:val="clear" w:pos="567"/>
        </w:tabs>
        <w:rPr>
          <w:strike/>
          <w:color w:val="000000"/>
          <w:szCs w:val="22"/>
          <w:lang w:val="pl-PL"/>
        </w:rPr>
      </w:pPr>
      <w:r w:rsidRPr="004A59B1">
        <w:rPr>
          <w:lang w:val="pl-PL"/>
        </w:rPr>
        <w:t xml:space="preserve">Poleg tega so v okviru izkušenj v obdobju trženja zdravila pri bolnikih s KML, ALL in drugimi boleznimi poročali o žilnih ektazijah antruma želodca (GAVE - </w:t>
      </w:r>
      <w:r w:rsidRPr="004A59B1">
        <w:rPr>
          <w:i/>
          <w:lang w:val="pl-PL"/>
        </w:rPr>
        <w:t>gastric antral vascular ectasia</w:t>
      </w:r>
      <w:r w:rsidRPr="004A59B1">
        <w:rPr>
          <w:lang w:val="pl-PL"/>
        </w:rPr>
        <w:t>), redkem vzroku gastrointestinalne krvavitve (glejte poglavje 4.8). Če je treba, velja razmisliti o prekinitvi zdravljenja z zdravilom Glivec.</w:t>
      </w:r>
    </w:p>
    <w:p w14:paraId="52979E0C" w14:textId="77777777" w:rsidR="00FF48C2" w:rsidRPr="004A59B1" w:rsidRDefault="00FF48C2" w:rsidP="009C1193">
      <w:pPr>
        <w:pStyle w:val="EndnoteText"/>
        <w:widowControl w:val="0"/>
        <w:tabs>
          <w:tab w:val="clear" w:pos="567"/>
        </w:tabs>
        <w:rPr>
          <w:snapToGrid w:val="0"/>
          <w:color w:val="000000"/>
          <w:szCs w:val="22"/>
          <w:lang w:val="pl-PL"/>
        </w:rPr>
      </w:pPr>
    </w:p>
    <w:p w14:paraId="52979E0D" w14:textId="77777777" w:rsidR="00FF48C2" w:rsidRPr="004A59B1" w:rsidRDefault="00FF48C2" w:rsidP="009C1193">
      <w:pPr>
        <w:pStyle w:val="EndnoteText"/>
        <w:keepNext/>
        <w:widowControl w:val="0"/>
        <w:tabs>
          <w:tab w:val="clear" w:pos="567"/>
        </w:tabs>
        <w:rPr>
          <w:snapToGrid w:val="0"/>
          <w:color w:val="000000"/>
          <w:szCs w:val="22"/>
          <w:u w:val="single"/>
          <w:lang w:val="pl-PL"/>
        </w:rPr>
      </w:pPr>
      <w:r w:rsidRPr="004A59B1">
        <w:rPr>
          <w:snapToGrid w:val="0"/>
          <w:color w:val="000000"/>
          <w:szCs w:val="22"/>
          <w:u w:val="single"/>
          <w:lang w:val="pl-PL"/>
        </w:rPr>
        <w:t>Sindrom tumorske lize</w:t>
      </w:r>
    </w:p>
    <w:p w14:paraId="52979E0E" w14:textId="77777777" w:rsidR="00FF48C2" w:rsidRPr="00850486" w:rsidRDefault="00FF48C2" w:rsidP="009C1193">
      <w:pPr>
        <w:pStyle w:val="EndnoteText"/>
        <w:widowControl w:val="0"/>
        <w:tabs>
          <w:tab w:val="clear" w:pos="567"/>
        </w:tabs>
        <w:rPr>
          <w:strike/>
          <w:szCs w:val="22"/>
          <w:lang w:val="pl-PL"/>
        </w:rPr>
      </w:pPr>
      <w:r w:rsidRPr="004A59B1">
        <w:rPr>
          <w:snapToGrid w:val="0"/>
          <w:color w:val="000000"/>
          <w:szCs w:val="22"/>
          <w:lang w:val="pl-PL"/>
        </w:rPr>
        <w:t xml:space="preserve">Zaradi možnosti, da pride do sindroma tumorske lize, je pred začetkom zdravljenja z zdravilom Glivec priporočeno odpraviti klinično pomembno dehidriranost in </w:t>
      </w:r>
      <w:r w:rsidR="006A40E1" w:rsidRPr="004A59B1">
        <w:rPr>
          <w:snapToGrid w:val="0"/>
          <w:color w:val="000000"/>
          <w:szCs w:val="22"/>
          <w:lang w:val="pl-PL"/>
        </w:rPr>
        <w:t xml:space="preserve">veliko </w:t>
      </w:r>
      <w:r w:rsidRPr="004A59B1">
        <w:rPr>
          <w:snapToGrid w:val="0"/>
          <w:color w:val="000000"/>
          <w:szCs w:val="22"/>
          <w:lang w:val="pl-PL"/>
        </w:rPr>
        <w:t xml:space="preserve">koncentracijo sečne kisline (glejte </w:t>
      </w:r>
      <w:r w:rsidRPr="00850486">
        <w:rPr>
          <w:snapToGrid w:val="0"/>
          <w:szCs w:val="22"/>
          <w:lang w:val="pl-PL"/>
        </w:rPr>
        <w:t>poglavje 4.8).</w:t>
      </w:r>
    </w:p>
    <w:p w14:paraId="52979E0F" w14:textId="77777777" w:rsidR="00FF48C2" w:rsidRPr="00850486" w:rsidRDefault="00FF48C2" w:rsidP="009C1193">
      <w:pPr>
        <w:pStyle w:val="EndnoteText"/>
        <w:widowControl w:val="0"/>
        <w:tabs>
          <w:tab w:val="clear" w:pos="567"/>
        </w:tabs>
        <w:rPr>
          <w:strike/>
          <w:szCs w:val="22"/>
          <w:lang w:val="pl-PL"/>
        </w:rPr>
      </w:pPr>
    </w:p>
    <w:p w14:paraId="52979E10" w14:textId="77777777" w:rsidR="00DD0545" w:rsidRPr="002E00F3" w:rsidRDefault="00DD0545" w:rsidP="009C1193">
      <w:pPr>
        <w:pStyle w:val="EndnoteText"/>
        <w:keepNext/>
        <w:widowControl w:val="0"/>
        <w:tabs>
          <w:tab w:val="clear" w:pos="567"/>
        </w:tabs>
        <w:rPr>
          <w:szCs w:val="22"/>
          <w:lang w:val="pl-PL"/>
        </w:rPr>
      </w:pPr>
      <w:r w:rsidRPr="00850486">
        <w:rPr>
          <w:snapToGrid w:val="0"/>
          <w:szCs w:val="22"/>
          <w:u w:val="single"/>
          <w:lang w:val="pl-PL"/>
        </w:rPr>
        <w:t>Reaktivacija hepatitisa B</w:t>
      </w:r>
    </w:p>
    <w:p w14:paraId="52979E11" w14:textId="77777777" w:rsidR="00DD0545" w:rsidRPr="00850486" w:rsidRDefault="00DD0545" w:rsidP="009C1193">
      <w:pPr>
        <w:pStyle w:val="EndnoteText"/>
        <w:widowControl w:val="0"/>
        <w:tabs>
          <w:tab w:val="clear" w:pos="567"/>
        </w:tabs>
        <w:rPr>
          <w:snapToGrid w:val="0"/>
          <w:szCs w:val="22"/>
          <w:lang w:val="pl-PL"/>
        </w:rPr>
      </w:pPr>
      <w:r w:rsidRPr="00850486">
        <w:rPr>
          <w:snapToGrid w:val="0"/>
          <w:szCs w:val="22"/>
          <w:lang w:val="pl-PL"/>
        </w:rPr>
        <w:t>Reaktivacija hepatitisa B pri bolnikih, ki so kronični prenašalci tega virusa, se je pojavila, potem ko so ti bolniki prejeli zaviralce BCR-ABL tirozin-kinaze. V nekaterih primerih je prišlo do akutne odpovedi jeter ali fulminantnega hepatitisa in posledično do presaditve jeter ali smrtnega izida.</w:t>
      </w:r>
    </w:p>
    <w:p w14:paraId="52979E12" w14:textId="77777777" w:rsidR="00DD0545" w:rsidRPr="00850486" w:rsidRDefault="00DD0545" w:rsidP="009C1193">
      <w:pPr>
        <w:pStyle w:val="EndnoteText"/>
        <w:widowControl w:val="0"/>
        <w:tabs>
          <w:tab w:val="clear" w:pos="567"/>
        </w:tabs>
        <w:rPr>
          <w:snapToGrid w:val="0"/>
          <w:szCs w:val="22"/>
          <w:lang w:val="pl-PL"/>
        </w:rPr>
      </w:pPr>
    </w:p>
    <w:p w14:paraId="52979E13" w14:textId="77777777" w:rsidR="00DD0545" w:rsidRDefault="00DD0545" w:rsidP="009C1193">
      <w:pPr>
        <w:pStyle w:val="EndnoteText"/>
        <w:widowControl w:val="0"/>
        <w:tabs>
          <w:tab w:val="clear" w:pos="567"/>
        </w:tabs>
        <w:rPr>
          <w:snapToGrid w:val="0"/>
          <w:szCs w:val="22"/>
          <w:lang w:val="pl-PL"/>
        </w:rPr>
      </w:pPr>
      <w:r w:rsidRPr="00850486">
        <w:rPr>
          <w:snapToGrid w:val="0"/>
          <w:szCs w:val="22"/>
          <w:lang w:val="pl-PL"/>
        </w:rPr>
        <w:t>Bolnike je treba pred začetkom zdravljenja z zdravilom Glivec testirati glede okužbe z virusom hepatitisa B. Pri bolnikih s pozitivno serologijo na hepatitis B (vključno z bolniki z aktivno boleznijo) in bolnikih, pri katerih se med zdravljenjem test glede okužbe z virusom hepatitisa B izkaže za pozitivnega, se je treba pred začetkom zdravljenja posvetovati s strokovnjaki za obolenja jeter in zdravljenje hepatitisa B. Pri prenašalcih virusa hepatitisa B, pri katerih je potrebno zdravljenje z zdravilom Glivec, je treba med zdravljenjem in nekaj mesecev po njegovem zaključku skrbno spremljati pojav znakov in simptomov aktivne okužbe z virusom hepatitisa B (glejte poglavje</w:t>
      </w:r>
      <w:r w:rsidR="00850486">
        <w:rPr>
          <w:snapToGrid w:val="0"/>
          <w:szCs w:val="22"/>
          <w:lang w:val="pl-PL"/>
        </w:rPr>
        <w:t> </w:t>
      </w:r>
      <w:r w:rsidRPr="00850486">
        <w:rPr>
          <w:snapToGrid w:val="0"/>
          <w:szCs w:val="22"/>
          <w:lang w:val="pl-PL"/>
        </w:rPr>
        <w:t>4.8).</w:t>
      </w:r>
    </w:p>
    <w:p w14:paraId="52979E14" w14:textId="77777777" w:rsidR="0036505C" w:rsidRDefault="0036505C" w:rsidP="009C1193">
      <w:pPr>
        <w:pStyle w:val="EndnoteText"/>
        <w:widowControl w:val="0"/>
        <w:tabs>
          <w:tab w:val="clear" w:pos="567"/>
        </w:tabs>
        <w:rPr>
          <w:snapToGrid w:val="0"/>
          <w:szCs w:val="22"/>
          <w:lang w:val="pl-PL"/>
        </w:rPr>
      </w:pPr>
    </w:p>
    <w:p w14:paraId="52979E15" w14:textId="77777777" w:rsidR="0036505C" w:rsidRDefault="0036505C" w:rsidP="009C1193">
      <w:pPr>
        <w:pStyle w:val="EndnoteText"/>
        <w:keepNext/>
        <w:widowControl w:val="0"/>
        <w:tabs>
          <w:tab w:val="clear" w:pos="567"/>
        </w:tabs>
        <w:rPr>
          <w:snapToGrid w:val="0"/>
          <w:color w:val="000000"/>
          <w:szCs w:val="22"/>
          <w:u w:val="single"/>
          <w:lang w:val="pl-PL"/>
        </w:rPr>
      </w:pPr>
      <w:r w:rsidRPr="00592C94">
        <w:rPr>
          <w:snapToGrid w:val="0"/>
          <w:color w:val="000000"/>
          <w:szCs w:val="22"/>
          <w:u w:val="single"/>
          <w:lang w:val="pl-PL"/>
        </w:rPr>
        <w:t>Fototoksičnost</w:t>
      </w:r>
    </w:p>
    <w:p w14:paraId="52979E16" w14:textId="77777777" w:rsidR="0036505C" w:rsidRPr="00850486" w:rsidRDefault="0036505C" w:rsidP="009C1193">
      <w:pPr>
        <w:pStyle w:val="EndnoteText"/>
        <w:widowControl w:val="0"/>
        <w:tabs>
          <w:tab w:val="clear" w:pos="567"/>
        </w:tabs>
        <w:rPr>
          <w:snapToGrid w:val="0"/>
          <w:szCs w:val="22"/>
          <w:lang w:val="pl-PL"/>
        </w:rPr>
      </w:pPr>
      <w:r>
        <w:rPr>
          <w:color w:val="000000"/>
          <w:szCs w:val="22"/>
          <w:lang w:val="pl-PL"/>
        </w:rPr>
        <w:t>Zdravljenje z imatinibom je lahko povezano s pojavom fototoksičnosti, zato se je treba izogibati izpostavljenosti direktni sončni svetlobi oziroma jo čimbolj omejiti. Bolnikom je treba naročiti, naj se poslužujejo ukrepov, kot so zaščita z oblačili in uporaba zaščitne kreme z visokim zaščitnim faktorjem (SPF – sun protection factor).</w:t>
      </w:r>
    </w:p>
    <w:p w14:paraId="52979E17" w14:textId="77777777" w:rsidR="00DD0545" w:rsidRPr="00850486" w:rsidRDefault="00DD0545" w:rsidP="009C1193">
      <w:pPr>
        <w:pStyle w:val="EndnoteText"/>
        <w:widowControl w:val="0"/>
        <w:tabs>
          <w:tab w:val="clear" w:pos="567"/>
        </w:tabs>
        <w:rPr>
          <w:strike/>
          <w:szCs w:val="22"/>
          <w:lang w:val="pl-PL"/>
        </w:rPr>
      </w:pPr>
    </w:p>
    <w:p w14:paraId="52979E18" w14:textId="77777777" w:rsidR="00995A46" w:rsidRDefault="00995A46" w:rsidP="009C1193">
      <w:pPr>
        <w:pStyle w:val="EndnoteText"/>
        <w:keepNext/>
        <w:widowControl w:val="0"/>
        <w:tabs>
          <w:tab w:val="clear" w:pos="567"/>
          <w:tab w:val="left" w:pos="7655"/>
        </w:tabs>
        <w:rPr>
          <w:color w:val="000000"/>
          <w:szCs w:val="22"/>
          <w:u w:val="single"/>
          <w:lang w:val="pl-PL"/>
        </w:rPr>
      </w:pPr>
      <w:r>
        <w:rPr>
          <w:color w:val="000000"/>
          <w:szCs w:val="22"/>
          <w:u w:val="single"/>
          <w:lang w:val="pl-PL"/>
        </w:rPr>
        <w:t>Trombotična mikroangiopatija</w:t>
      </w:r>
    </w:p>
    <w:p w14:paraId="52979E19" w14:textId="77777777" w:rsidR="00995A46" w:rsidRPr="008A59A4" w:rsidRDefault="00995A46" w:rsidP="009C1193">
      <w:pPr>
        <w:widowControl w:val="0"/>
        <w:spacing w:line="240" w:lineRule="auto"/>
        <w:rPr>
          <w:color w:val="000000"/>
          <w:szCs w:val="22"/>
          <w:lang w:val="pl-PL"/>
        </w:rPr>
      </w:pPr>
      <w:r>
        <w:rPr>
          <w:color w:val="000000"/>
          <w:szCs w:val="22"/>
          <w:lang w:val="pl-PL"/>
        </w:rPr>
        <w:t>Zaviralce tirozin kinaze BCR-ABL povezujejo z razvojem trombotične mikroangiopatije, o posameznih primerih so poročali tudi pri uporabi zdravila Glivec (glejte poglavje</w:t>
      </w:r>
      <w:r w:rsidR="008A59A4">
        <w:rPr>
          <w:color w:val="000000"/>
          <w:szCs w:val="22"/>
          <w:lang w:val="pl-PL"/>
        </w:rPr>
        <w:t> </w:t>
      </w:r>
      <w:r>
        <w:rPr>
          <w:color w:val="000000"/>
          <w:szCs w:val="22"/>
          <w:lang w:val="pl-PL"/>
        </w:rPr>
        <w:t xml:space="preserve">4.8). Če se pri </w:t>
      </w:r>
      <w:r>
        <w:rPr>
          <w:color w:val="000000"/>
          <w:szCs w:val="22"/>
          <w:lang w:val="pl-PL"/>
        </w:rPr>
        <w:lastRenderedPageBreak/>
        <w:t>bolniku, ki prejema zdravilo Glivec, pojavijo laboratorijski ali klinični znaki trombotične mikroangiopatije</w:t>
      </w:r>
      <w:r w:rsidR="00171B81">
        <w:rPr>
          <w:color w:val="000000"/>
          <w:szCs w:val="22"/>
          <w:lang w:val="pl-PL"/>
        </w:rPr>
        <w:t>,</w:t>
      </w:r>
      <w:r>
        <w:rPr>
          <w:color w:val="000000"/>
          <w:szCs w:val="22"/>
          <w:lang w:val="pl-PL"/>
        </w:rPr>
        <w:t xml:space="preserve"> je treba zdravljenje prekiniti in izvesti temeljito oceno pojava trombotične mikroangiopatije, vključno z aktivnostjo </w:t>
      </w:r>
      <w:r w:rsidRPr="008A59A4">
        <w:rPr>
          <w:color w:val="000000"/>
          <w:szCs w:val="22"/>
          <w:lang w:val="pl-PL"/>
        </w:rPr>
        <w:t>ADAMTS13 in določanjem protiteles proti ADAMTS13. V primeru, da je koncentracija protiteles proti ADAMTS13 zvišana, aktivnost ADAMTS13 pa nizka, se zdravljenja z zdravilom Glivec ne sme nadaljevati.</w:t>
      </w:r>
    </w:p>
    <w:p w14:paraId="52979E1A" w14:textId="77777777" w:rsidR="00995A46" w:rsidRPr="008A59A4" w:rsidRDefault="00995A46" w:rsidP="009C1193">
      <w:pPr>
        <w:widowControl w:val="0"/>
        <w:spacing w:line="240" w:lineRule="auto"/>
        <w:rPr>
          <w:color w:val="000000"/>
          <w:szCs w:val="22"/>
          <w:lang w:val="pl-PL"/>
        </w:rPr>
      </w:pPr>
    </w:p>
    <w:p w14:paraId="52979E1B" w14:textId="77777777" w:rsidR="00FF48C2" w:rsidRPr="00850486" w:rsidRDefault="00FF48C2" w:rsidP="009C1193">
      <w:pPr>
        <w:keepNext/>
        <w:widowControl w:val="0"/>
        <w:spacing w:line="240" w:lineRule="auto"/>
        <w:rPr>
          <w:szCs w:val="22"/>
          <w:u w:val="single"/>
          <w:lang w:val="pl-PL"/>
        </w:rPr>
      </w:pPr>
      <w:r w:rsidRPr="00850486">
        <w:rPr>
          <w:szCs w:val="22"/>
          <w:u w:val="single"/>
          <w:lang w:val="pl-PL"/>
        </w:rPr>
        <w:t>Laboratorijske preiskave</w:t>
      </w:r>
    </w:p>
    <w:p w14:paraId="52979E1C" w14:textId="77777777" w:rsidR="00FF48C2" w:rsidRPr="004A59B1" w:rsidRDefault="00FF48C2" w:rsidP="009C1193">
      <w:pPr>
        <w:pStyle w:val="EndnoteText"/>
        <w:widowControl w:val="0"/>
        <w:tabs>
          <w:tab w:val="clear" w:pos="567"/>
        </w:tabs>
        <w:rPr>
          <w:color w:val="000000"/>
          <w:szCs w:val="22"/>
          <w:lang w:val="pl-PL"/>
        </w:rPr>
      </w:pPr>
      <w:r w:rsidRPr="00850486">
        <w:rPr>
          <w:szCs w:val="22"/>
          <w:lang w:val="pl-PL"/>
        </w:rPr>
        <w:t>Med zdravljenjem z zdravilom Glivec je treba redno opravljati kompletne hemograme. Zdravljenje</w:t>
      </w:r>
      <w:r w:rsidRPr="004A59B1">
        <w:rPr>
          <w:color w:val="000000"/>
          <w:szCs w:val="22"/>
          <w:lang w:val="pl-PL"/>
        </w:rPr>
        <w:t xml:space="preserve"> bolnikov s KML z zdravilom Glivec je povezano z nevtropenijo ali s trombocitopenijo. Vendar je pojavljanje teh citopenij verjetno v zvezi s stadijem bolezni, ki jo zdravimo. Pogostejše so pri bolnikih s pospešeno fazo KML ali blastno krizo kot pri bolnikih s kronično fazo KML. Zdravljenje z zdravilom Glivec lahko prekinemo ali odmerek zmanjšamo, kot je priporočeno v poglavju 4.2.</w:t>
      </w:r>
    </w:p>
    <w:p w14:paraId="52979E1D" w14:textId="77777777" w:rsidR="00FF48C2" w:rsidRPr="004A59B1" w:rsidRDefault="00FF48C2" w:rsidP="009C1193">
      <w:pPr>
        <w:pStyle w:val="EndnoteText"/>
        <w:widowControl w:val="0"/>
        <w:tabs>
          <w:tab w:val="clear" w:pos="567"/>
        </w:tabs>
        <w:rPr>
          <w:color w:val="000000"/>
          <w:szCs w:val="22"/>
          <w:lang w:val="pl-PL"/>
        </w:rPr>
      </w:pPr>
    </w:p>
    <w:p w14:paraId="52979E1E" w14:textId="77777777" w:rsidR="00FF48C2" w:rsidRPr="004A59B1" w:rsidRDefault="00FF48C2" w:rsidP="009C1193">
      <w:pPr>
        <w:pStyle w:val="EndnoteText"/>
        <w:widowControl w:val="0"/>
        <w:tabs>
          <w:tab w:val="clear" w:pos="567"/>
        </w:tabs>
        <w:rPr>
          <w:color w:val="000000"/>
          <w:szCs w:val="22"/>
          <w:lang w:val="pl-PL"/>
        </w:rPr>
      </w:pPr>
      <w:r w:rsidRPr="004A59B1">
        <w:rPr>
          <w:color w:val="000000"/>
          <w:szCs w:val="22"/>
          <w:lang w:val="pl-PL"/>
        </w:rPr>
        <w:t>Delovanje jeter (aminotransferaze, bilirubin, alkalna fosfataza) je treba pri bolnikih, ki dobivajo zdravilo Glivec, redno spremljati.</w:t>
      </w:r>
    </w:p>
    <w:p w14:paraId="52979E1F" w14:textId="77777777" w:rsidR="00FF48C2" w:rsidRPr="004A59B1" w:rsidRDefault="00FF48C2" w:rsidP="009C1193">
      <w:pPr>
        <w:pStyle w:val="EndnoteText"/>
        <w:widowControl w:val="0"/>
        <w:tabs>
          <w:tab w:val="clear" w:pos="567"/>
        </w:tabs>
        <w:rPr>
          <w:color w:val="000000"/>
          <w:szCs w:val="22"/>
          <w:lang w:val="pl-PL"/>
        </w:rPr>
      </w:pPr>
    </w:p>
    <w:p w14:paraId="52979E20" w14:textId="77777777" w:rsidR="00FF48C2" w:rsidRPr="004A59B1" w:rsidRDefault="00FF48C2" w:rsidP="009C1193">
      <w:pPr>
        <w:pStyle w:val="EndnoteText"/>
        <w:widowControl w:val="0"/>
        <w:tabs>
          <w:tab w:val="clear" w:pos="567"/>
        </w:tabs>
        <w:rPr>
          <w:color w:val="000000"/>
          <w:szCs w:val="22"/>
          <w:lang w:val="pl-PL"/>
        </w:rPr>
      </w:pPr>
      <w:r w:rsidRPr="004A59B1">
        <w:rPr>
          <w:color w:val="000000"/>
          <w:lang w:val="pl-PL"/>
        </w:rPr>
        <w:t>Kaže, da je pri bolnikih z okvarjenim delovanjem ledvic izpostavljenost imatinibu v plazmi višja kot pri bolnikih z normalnim delovanjem ledvic, verjetno zato, ker je pri teh bolnikih zvišana vrednost alfa kislega glikoproteina (AGP</w:t>
      </w:r>
      <w:r w:rsidR="00D32388" w:rsidRPr="004A59B1">
        <w:rPr>
          <w:color w:val="000000"/>
          <w:lang w:val="pl-PL"/>
        </w:rPr>
        <w:t xml:space="preserve"> </w:t>
      </w:r>
      <w:r w:rsidRPr="004A59B1">
        <w:rPr>
          <w:color w:val="000000"/>
          <w:lang w:val="pl-PL"/>
        </w:rPr>
        <w:t>-</w:t>
      </w:r>
      <w:r w:rsidR="00D32388" w:rsidRPr="004A59B1">
        <w:rPr>
          <w:color w:val="000000"/>
          <w:lang w:val="pl-PL"/>
        </w:rPr>
        <w:t xml:space="preserve"> </w:t>
      </w:r>
      <w:r w:rsidRPr="00304E94">
        <w:rPr>
          <w:i/>
          <w:color w:val="000000"/>
          <w:lang w:val="pl-PL"/>
        </w:rPr>
        <w:t>alpha-acid glycoprotein</w:t>
      </w:r>
      <w:r w:rsidRPr="004A59B1">
        <w:rPr>
          <w:color w:val="000000"/>
          <w:lang w:val="pl-PL"/>
        </w:rPr>
        <w:t xml:space="preserve">) v plazmi, proteina, ki veže imatinib. Bolniki z okvarjenim delovanjem ledvic </w:t>
      </w:r>
      <w:r w:rsidRPr="004A59B1">
        <w:rPr>
          <w:color w:val="000000"/>
          <w:szCs w:val="22"/>
          <w:lang w:val="pl-PL"/>
        </w:rPr>
        <w:t>naj prejmejo najmanjši priporočeni začetni odmerek</w:t>
      </w:r>
      <w:r w:rsidRPr="004A59B1">
        <w:rPr>
          <w:color w:val="000000"/>
          <w:lang w:val="pl-PL"/>
        </w:rPr>
        <w:t xml:space="preserve">. Pri zdravljenju bolnikov </w:t>
      </w:r>
      <w:r w:rsidRPr="004A59B1">
        <w:rPr>
          <w:color w:val="000000"/>
          <w:szCs w:val="22"/>
          <w:lang w:val="pl-PL"/>
        </w:rPr>
        <w:t>s hudo okvarjenim delovanjem ledvic je potrebna previdnost. Odmerek je mogoče</w:t>
      </w:r>
      <w:r w:rsidR="006A40E1" w:rsidRPr="004A59B1">
        <w:rPr>
          <w:color w:val="000000"/>
          <w:szCs w:val="22"/>
          <w:lang w:val="pl-PL"/>
        </w:rPr>
        <w:t xml:space="preserve"> zmanjšati</w:t>
      </w:r>
      <w:r w:rsidRPr="004A59B1">
        <w:rPr>
          <w:color w:val="000000"/>
          <w:szCs w:val="22"/>
          <w:lang w:val="pl-PL"/>
        </w:rPr>
        <w:t xml:space="preserve">, če ga bolnik ne prenaša dobro </w:t>
      </w:r>
      <w:r w:rsidRPr="004A59B1">
        <w:rPr>
          <w:color w:val="000000"/>
          <w:lang w:val="pl-PL"/>
        </w:rPr>
        <w:t>(glejte poglavji 4.2 in 5.2).</w:t>
      </w:r>
    </w:p>
    <w:p w14:paraId="52979E21" w14:textId="77777777" w:rsidR="00FF48C2" w:rsidRDefault="00FF48C2" w:rsidP="009C1193">
      <w:pPr>
        <w:pStyle w:val="EndnoteText"/>
        <w:widowControl w:val="0"/>
        <w:tabs>
          <w:tab w:val="clear" w:pos="567"/>
        </w:tabs>
        <w:rPr>
          <w:color w:val="000000"/>
          <w:szCs w:val="22"/>
          <w:lang w:val="pl-PL"/>
        </w:rPr>
      </w:pPr>
    </w:p>
    <w:p w14:paraId="52979E22" w14:textId="77777777" w:rsidR="00DA3C2F" w:rsidRPr="004A59B1" w:rsidRDefault="00DA3C2F" w:rsidP="009C1193">
      <w:pPr>
        <w:pStyle w:val="EndnoteText"/>
        <w:widowControl w:val="0"/>
        <w:tabs>
          <w:tab w:val="clear" w:pos="567"/>
        </w:tabs>
        <w:rPr>
          <w:color w:val="000000"/>
          <w:szCs w:val="22"/>
          <w:lang w:val="pl-PL"/>
        </w:rPr>
      </w:pPr>
      <w:r>
        <w:rPr>
          <w:color w:val="000000"/>
          <w:szCs w:val="22"/>
          <w:lang w:val="pl-PL"/>
        </w:rPr>
        <w:t xml:space="preserve">Dolgotrajno zdravljenje z imatinibom je lahko povezano s klinično pomembnim zmanjšanjem ledvične funkcije. Delovanje ledvic je zato treba oceniti pred začetkom zdravljenja z imatinibom in ga nato skrbno spremljati tekom zdravljenja, še posebno pozorno je treba spremljati bolnike z dejavniki tveganja za poslabšanje ledvične funkcije. Če </w:t>
      </w:r>
      <w:r w:rsidR="009E4374">
        <w:rPr>
          <w:color w:val="000000"/>
          <w:szCs w:val="22"/>
          <w:lang w:val="pl-PL"/>
        </w:rPr>
        <w:t xml:space="preserve">je </w:t>
      </w:r>
      <w:r>
        <w:rPr>
          <w:color w:val="000000"/>
          <w:szCs w:val="22"/>
          <w:lang w:val="pl-PL"/>
        </w:rPr>
        <w:t>ugotov</w:t>
      </w:r>
      <w:r w:rsidR="009E4374">
        <w:rPr>
          <w:color w:val="000000"/>
          <w:szCs w:val="22"/>
          <w:lang w:val="pl-PL"/>
        </w:rPr>
        <w:t>ljeno</w:t>
      </w:r>
      <w:r>
        <w:rPr>
          <w:color w:val="000000"/>
          <w:szCs w:val="22"/>
          <w:lang w:val="pl-PL"/>
        </w:rPr>
        <w:t xml:space="preserve"> poslabšanje ledvične funkcije, je treb</w:t>
      </w:r>
      <w:r w:rsidR="009E4374">
        <w:rPr>
          <w:color w:val="000000"/>
          <w:szCs w:val="22"/>
          <w:lang w:val="pl-PL"/>
        </w:rPr>
        <w:t>a</w:t>
      </w:r>
      <w:r>
        <w:rPr>
          <w:color w:val="000000"/>
          <w:szCs w:val="22"/>
          <w:lang w:val="pl-PL"/>
        </w:rPr>
        <w:t xml:space="preserve"> uvesti ustrezne ukrepe in predpisati zdravljenje v skladu s standardnimi smernicami zdravljenja.</w:t>
      </w:r>
    </w:p>
    <w:p w14:paraId="52979E23" w14:textId="77777777" w:rsidR="00DA3C2F" w:rsidRPr="004A59B1" w:rsidRDefault="00DA3C2F" w:rsidP="009C1193">
      <w:pPr>
        <w:pStyle w:val="EndnoteText"/>
        <w:widowControl w:val="0"/>
        <w:tabs>
          <w:tab w:val="clear" w:pos="567"/>
        </w:tabs>
        <w:rPr>
          <w:color w:val="000000"/>
          <w:szCs w:val="22"/>
          <w:lang w:val="pl-PL"/>
        </w:rPr>
      </w:pPr>
    </w:p>
    <w:p w14:paraId="52979E24" w14:textId="77777777" w:rsidR="00FF48C2" w:rsidRPr="004A59B1" w:rsidRDefault="00FF48C2" w:rsidP="009C1193">
      <w:pPr>
        <w:pStyle w:val="TOC6"/>
        <w:keepNext/>
        <w:widowControl w:val="0"/>
        <w:rPr>
          <w:lang w:val="pl-PL"/>
        </w:rPr>
      </w:pPr>
      <w:r w:rsidRPr="004A59B1">
        <w:rPr>
          <w:lang w:val="pl-PL"/>
        </w:rPr>
        <w:t>Pediatrična populacija</w:t>
      </w:r>
    </w:p>
    <w:p w14:paraId="52979E25" w14:textId="77777777" w:rsidR="00FF48C2" w:rsidRPr="004A59B1" w:rsidRDefault="00FF48C2" w:rsidP="009C1193">
      <w:pPr>
        <w:pStyle w:val="EndnoteText"/>
        <w:widowControl w:val="0"/>
        <w:tabs>
          <w:tab w:val="clear" w:pos="567"/>
        </w:tabs>
        <w:rPr>
          <w:color w:val="000000"/>
          <w:szCs w:val="22"/>
          <w:lang w:val="pl-PL"/>
        </w:rPr>
      </w:pPr>
      <w:r w:rsidRPr="004A59B1">
        <w:rPr>
          <w:szCs w:val="22"/>
          <w:lang w:val="pl-PL" w:bidi="kn-IN"/>
        </w:rPr>
        <w:t xml:space="preserve">Pri otrocih in mladostnikih pred puberteto, ki so prejemali imatinib, so poročali o posameznih primerih zaostajanja v rasti. </w:t>
      </w:r>
      <w:r w:rsidR="00706434">
        <w:rPr>
          <w:szCs w:val="22"/>
          <w:lang w:val="pl-PL" w:bidi="kn-IN"/>
        </w:rPr>
        <w:t xml:space="preserve">V opazovalni študiji pri pediatrični populaciji s kronično mieloično levkemijo so </w:t>
      </w:r>
      <w:r w:rsidR="00A81EFF">
        <w:rPr>
          <w:szCs w:val="22"/>
          <w:lang w:val="pl-PL" w:bidi="kn-IN"/>
        </w:rPr>
        <w:t xml:space="preserve">po 12 in 24 mesecih zdravljenja </w:t>
      </w:r>
      <w:r w:rsidR="00706434">
        <w:rPr>
          <w:szCs w:val="22"/>
          <w:lang w:val="pl-PL" w:bidi="kn-IN"/>
        </w:rPr>
        <w:t xml:space="preserve">poročali o </w:t>
      </w:r>
      <w:r w:rsidR="00D4501A">
        <w:rPr>
          <w:szCs w:val="22"/>
          <w:lang w:val="pl-PL" w:bidi="kn-IN"/>
        </w:rPr>
        <w:t>statistično značilnem</w:t>
      </w:r>
      <w:r w:rsidR="00706434">
        <w:rPr>
          <w:szCs w:val="22"/>
          <w:lang w:val="pl-PL" w:bidi="kn-IN"/>
        </w:rPr>
        <w:t xml:space="preserve"> zmanjšanju </w:t>
      </w:r>
      <w:r w:rsidR="00D4501A">
        <w:rPr>
          <w:szCs w:val="22"/>
          <w:lang w:val="pl-PL" w:bidi="kn-IN"/>
        </w:rPr>
        <w:t xml:space="preserve">(klinična pomembnost tega zmanjšanja ni znana) </w:t>
      </w:r>
      <w:r w:rsidR="00706434">
        <w:rPr>
          <w:szCs w:val="22"/>
          <w:lang w:val="pl-PL" w:bidi="kn-IN"/>
        </w:rPr>
        <w:t xml:space="preserve">v vrednostih standardnega odklona mediane </w:t>
      </w:r>
      <w:r w:rsidR="00D4501A">
        <w:rPr>
          <w:szCs w:val="22"/>
          <w:lang w:val="pl-PL" w:bidi="kn-IN"/>
        </w:rPr>
        <w:t>telesne višine</w:t>
      </w:r>
      <w:r w:rsidR="00706434">
        <w:rPr>
          <w:szCs w:val="22"/>
          <w:lang w:val="pl-PL" w:bidi="kn-IN"/>
        </w:rPr>
        <w:t xml:space="preserve"> pri dveh manjših podskupinah, ne glede na spolno dozorelost in spol. P</w:t>
      </w:r>
      <w:r w:rsidRPr="004A59B1">
        <w:rPr>
          <w:szCs w:val="22"/>
          <w:lang w:val="pl-PL" w:bidi="kn-IN"/>
        </w:rPr>
        <w:t xml:space="preserve">ri otrocih, ki prejemajo imatinib, </w:t>
      </w:r>
      <w:r w:rsidR="00706434">
        <w:rPr>
          <w:szCs w:val="22"/>
          <w:lang w:val="pl-PL" w:bidi="kn-IN"/>
        </w:rPr>
        <w:t xml:space="preserve">je </w:t>
      </w:r>
      <w:r w:rsidRPr="004A59B1">
        <w:rPr>
          <w:szCs w:val="22"/>
          <w:lang w:val="pl-PL" w:bidi="kn-IN"/>
        </w:rPr>
        <w:t xml:space="preserve">priporočeno natančno spremljanje njihove rasti </w:t>
      </w:r>
      <w:r w:rsidRPr="004A59B1">
        <w:rPr>
          <w:szCs w:val="22"/>
          <w:lang w:val="pl-PL"/>
        </w:rPr>
        <w:t>(glejte poglavje 4.8).</w:t>
      </w:r>
    </w:p>
    <w:p w14:paraId="52979E26" w14:textId="77777777" w:rsidR="00FF48C2" w:rsidRPr="004A59B1" w:rsidRDefault="00FF48C2" w:rsidP="009C1193">
      <w:pPr>
        <w:pStyle w:val="EndnoteText"/>
        <w:widowControl w:val="0"/>
        <w:tabs>
          <w:tab w:val="clear" w:pos="567"/>
        </w:tabs>
        <w:rPr>
          <w:color w:val="000000"/>
          <w:szCs w:val="22"/>
          <w:lang w:val="pl-PL"/>
        </w:rPr>
      </w:pPr>
    </w:p>
    <w:p w14:paraId="52979E27" w14:textId="77777777" w:rsidR="00FF48C2" w:rsidRPr="004A59B1" w:rsidRDefault="00FF48C2" w:rsidP="009C1193">
      <w:pPr>
        <w:keepNext/>
        <w:widowControl w:val="0"/>
        <w:tabs>
          <w:tab w:val="clear" w:pos="567"/>
        </w:tabs>
        <w:spacing w:line="240" w:lineRule="auto"/>
        <w:ind w:left="567" w:hanging="567"/>
        <w:rPr>
          <w:color w:val="000000"/>
          <w:szCs w:val="22"/>
          <w:lang w:val="pl-PL"/>
        </w:rPr>
      </w:pPr>
      <w:r w:rsidRPr="004A59B1">
        <w:rPr>
          <w:b/>
          <w:color w:val="000000"/>
          <w:szCs w:val="22"/>
          <w:lang w:val="pl-PL"/>
        </w:rPr>
        <w:t>4.5</w:t>
      </w:r>
      <w:r w:rsidRPr="004A59B1">
        <w:rPr>
          <w:b/>
          <w:color w:val="000000"/>
          <w:szCs w:val="22"/>
          <w:lang w:val="pl-PL"/>
        </w:rPr>
        <w:tab/>
        <w:t>Medsebojno delovanje z drugimi zdravili in druge oblike interakcij</w:t>
      </w:r>
    </w:p>
    <w:p w14:paraId="52979E28" w14:textId="77777777" w:rsidR="00FF48C2" w:rsidRPr="004A59B1" w:rsidRDefault="00FF48C2" w:rsidP="009C1193">
      <w:pPr>
        <w:pStyle w:val="EndnoteText"/>
        <w:keepNext/>
        <w:widowControl w:val="0"/>
        <w:tabs>
          <w:tab w:val="clear" w:pos="567"/>
        </w:tabs>
        <w:rPr>
          <w:color w:val="000000"/>
          <w:szCs w:val="22"/>
          <w:lang w:val="pl-PL"/>
        </w:rPr>
      </w:pPr>
    </w:p>
    <w:p w14:paraId="52979E29" w14:textId="77777777" w:rsidR="00FF48C2" w:rsidRPr="00F43F6C" w:rsidRDefault="00FF48C2" w:rsidP="009C1193">
      <w:pPr>
        <w:pStyle w:val="TextChar"/>
        <w:keepNext/>
        <w:widowControl w:val="0"/>
        <w:spacing w:before="0"/>
        <w:jc w:val="left"/>
        <w:rPr>
          <w:color w:val="000000"/>
          <w:sz w:val="22"/>
          <w:szCs w:val="22"/>
          <w:u w:val="single"/>
          <w:lang w:val="pl-PL"/>
        </w:rPr>
      </w:pPr>
      <w:r w:rsidRPr="00F43F6C">
        <w:rPr>
          <w:color w:val="000000"/>
          <w:sz w:val="22"/>
          <w:szCs w:val="22"/>
          <w:u w:val="single"/>
          <w:lang w:val="pl-PL"/>
        </w:rPr>
        <w:t xml:space="preserve">Učinkovine, ki lahko </w:t>
      </w:r>
      <w:r w:rsidRPr="00F43F6C">
        <w:rPr>
          <w:b/>
          <w:color w:val="000000"/>
          <w:sz w:val="22"/>
          <w:szCs w:val="22"/>
          <w:u w:val="single"/>
          <w:lang w:val="pl-PL"/>
        </w:rPr>
        <w:t>zvišajo</w:t>
      </w:r>
      <w:r w:rsidRPr="00F43F6C">
        <w:rPr>
          <w:color w:val="000000"/>
          <w:sz w:val="22"/>
          <w:szCs w:val="22"/>
          <w:u w:val="single"/>
          <w:lang w:val="pl-PL"/>
        </w:rPr>
        <w:t xml:space="preserve"> plazemske koncentracije imatiniba:</w:t>
      </w:r>
    </w:p>
    <w:p w14:paraId="52979E2A" w14:textId="77777777" w:rsidR="00FF48C2" w:rsidRPr="004A59B1" w:rsidRDefault="00FF48C2" w:rsidP="009C1193">
      <w:pPr>
        <w:pStyle w:val="TextChar"/>
        <w:widowControl w:val="0"/>
        <w:spacing w:before="0"/>
        <w:jc w:val="left"/>
        <w:rPr>
          <w:color w:val="000000"/>
          <w:sz w:val="22"/>
          <w:szCs w:val="22"/>
          <w:lang w:val="sl-SI"/>
        </w:rPr>
      </w:pPr>
      <w:r w:rsidRPr="00F43F6C">
        <w:rPr>
          <w:color w:val="000000"/>
          <w:sz w:val="22"/>
          <w:szCs w:val="22"/>
          <w:lang w:val="sl-SI"/>
        </w:rPr>
        <w:t>Snovi, ki zavirajo aktivnost</w:t>
      </w:r>
      <w:r w:rsidRPr="004A59B1">
        <w:rPr>
          <w:color w:val="000000"/>
          <w:sz w:val="22"/>
          <w:szCs w:val="22"/>
          <w:lang w:val="sl-SI"/>
        </w:rPr>
        <w:t xml:space="preserve"> izoencima CYP3A4 citokroma P450 (na primer zaviralci proteaze, kot so indinavir, lopinavir/ritonavir, ritonavir, sakvinavir, telaprevir, nelfinavir, boceprevir; azolni antimikotiki vključno s ketokonazolom, itrokonazolom, posakonazolom, vorikonazolom; določenimi makrolidi kot so eritromicin, klaritromicin in telitromicin), bi lahko zmanjševale presnovo in zviševale koncentracije imatiniba. Pri zdravih osebah se je izpostavljenost imatinibu značilno povečala (povprečna C</w:t>
      </w:r>
      <w:r w:rsidRPr="004A59B1">
        <w:rPr>
          <w:color w:val="000000"/>
          <w:sz w:val="22"/>
          <w:szCs w:val="22"/>
          <w:vertAlign w:val="subscript"/>
          <w:lang w:val="sl-SI"/>
        </w:rPr>
        <w:t>max</w:t>
      </w:r>
      <w:r w:rsidRPr="004A59B1">
        <w:rPr>
          <w:color w:val="000000"/>
          <w:sz w:val="22"/>
          <w:szCs w:val="22"/>
          <w:lang w:val="sl-SI"/>
        </w:rPr>
        <w:t xml:space="preserve"> in AUC imatiniba sta se povečali za 26 % oziroma 40 %), kadar je bil uporabljen z enim samim odmerkom ketokonazola (zaviralec CYP3A4). Pri uporabi zdravila Glivec z zaviralci skupine CYP3A4 je potrebna previdnost.</w:t>
      </w:r>
    </w:p>
    <w:p w14:paraId="52979E2B" w14:textId="77777777" w:rsidR="00FF48C2" w:rsidRPr="004A59B1" w:rsidRDefault="00FF48C2" w:rsidP="009C1193">
      <w:pPr>
        <w:pStyle w:val="TextChar"/>
        <w:widowControl w:val="0"/>
        <w:spacing w:before="0"/>
        <w:jc w:val="left"/>
        <w:rPr>
          <w:color w:val="000000"/>
          <w:sz w:val="22"/>
          <w:szCs w:val="22"/>
          <w:lang w:val="sl-SI"/>
        </w:rPr>
      </w:pPr>
    </w:p>
    <w:p w14:paraId="52979E2C" w14:textId="77777777" w:rsidR="00FF48C2" w:rsidRPr="004A59B1" w:rsidRDefault="00FF48C2" w:rsidP="009C1193">
      <w:pPr>
        <w:pStyle w:val="TextChar"/>
        <w:keepNext/>
        <w:widowControl w:val="0"/>
        <w:spacing w:before="0"/>
        <w:jc w:val="left"/>
        <w:rPr>
          <w:color w:val="000000"/>
          <w:sz w:val="22"/>
          <w:szCs w:val="22"/>
          <w:u w:val="single"/>
          <w:lang w:val="sl-SI"/>
        </w:rPr>
      </w:pPr>
      <w:r w:rsidRPr="004A59B1">
        <w:rPr>
          <w:color w:val="000000"/>
          <w:sz w:val="22"/>
          <w:szCs w:val="22"/>
          <w:u w:val="single"/>
          <w:lang w:val="sl-SI"/>
        </w:rPr>
        <w:t xml:space="preserve">Učinkovine, ki lahko </w:t>
      </w:r>
      <w:r w:rsidRPr="004A59B1">
        <w:rPr>
          <w:b/>
          <w:color w:val="000000"/>
          <w:sz w:val="22"/>
          <w:szCs w:val="22"/>
          <w:u w:val="single"/>
          <w:lang w:val="sl-SI"/>
        </w:rPr>
        <w:t>znižajo</w:t>
      </w:r>
      <w:r w:rsidRPr="004A59B1">
        <w:rPr>
          <w:color w:val="000000"/>
          <w:sz w:val="22"/>
          <w:szCs w:val="22"/>
          <w:u w:val="single"/>
          <w:lang w:val="sl-SI"/>
        </w:rPr>
        <w:t xml:space="preserve"> plazemske koncentracije imatiniba:</w:t>
      </w:r>
    </w:p>
    <w:p w14:paraId="52979E2D" w14:textId="77777777" w:rsidR="00FF48C2" w:rsidRPr="004A59B1" w:rsidRDefault="00FF48C2" w:rsidP="009C1193">
      <w:pPr>
        <w:pStyle w:val="TextChar"/>
        <w:widowControl w:val="0"/>
        <w:spacing w:before="0"/>
        <w:jc w:val="left"/>
        <w:rPr>
          <w:color w:val="000000"/>
          <w:sz w:val="22"/>
          <w:szCs w:val="22"/>
          <w:lang w:val="sl-SI"/>
        </w:rPr>
      </w:pPr>
      <w:r w:rsidRPr="004A59B1">
        <w:rPr>
          <w:color w:val="000000"/>
          <w:sz w:val="22"/>
          <w:szCs w:val="22"/>
          <w:lang w:val="sl-SI"/>
        </w:rPr>
        <w:t xml:space="preserve">Snovi, ki inducirajo aktivnost CYP3A4 (na primer deksametazon, fenitoin, karbamazepin, rifampicin, fenobarbital, fosfenitoin, primidon ali </w:t>
      </w:r>
      <w:r w:rsidRPr="004A59B1">
        <w:rPr>
          <w:i/>
          <w:color w:val="000000"/>
          <w:sz w:val="22"/>
          <w:szCs w:val="22"/>
          <w:lang w:val="sl-SI"/>
        </w:rPr>
        <w:t>Hypericum perforatum</w:t>
      </w:r>
      <w:r w:rsidRPr="004A59B1">
        <w:rPr>
          <w:color w:val="000000"/>
          <w:sz w:val="22"/>
          <w:szCs w:val="22"/>
          <w:lang w:val="sl-SI"/>
        </w:rPr>
        <w:t>, znan tudi pod imenom šentjanževka), lahko znatno zmanjša izpostavljenost zdravilu Glivec in s tem potencialno poveča tveganje za neuspešnost zdravljenja. Predzdravljenje z večkratnimi odmerki rifampicina 600 mg, ki jim je sledil en 400</w:t>
      </w:r>
      <w:r w:rsidRPr="004A59B1">
        <w:rPr>
          <w:color w:val="000000"/>
          <w:sz w:val="22"/>
          <w:szCs w:val="22"/>
          <w:lang w:val="sl-SI"/>
        </w:rPr>
        <w:noBreakHyphen/>
        <w:t>miligramski odmerek zdravila Glivec, je povzročilo zmanjšanje C</w:t>
      </w:r>
      <w:r w:rsidRPr="004A59B1">
        <w:rPr>
          <w:color w:val="000000"/>
          <w:sz w:val="22"/>
          <w:szCs w:val="22"/>
          <w:vertAlign w:val="subscript"/>
          <w:lang w:val="sl-SI"/>
        </w:rPr>
        <w:t>max</w:t>
      </w:r>
      <w:r w:rsidRPr="004A59B1">
        <w:rPr>
          <w:color w:val="000000"/>
          <w:sz w:val="22"/>
          <w:szCs w:val="22"/>
          <w:lang w:val="sl-SI"/>
        </w:rPr>
        <w:t xml:space="preserve"> oziroma AUC</w:t>
      </w:r>
      <w:r w:rsidRPr="004A59B1">
        <w:rPr>
          <w:color w:val="000000"/>
          <w:sz w:val="22"/>
          <w:szCs w:val="22"/>
          <w:vertAlign w:val="subscript"/>
          <w:lang w:val="sl-SI"/>
        </w:rPr>
        <w:t>(0-∞)</w:t>
      </w:r>
      <w:r w:rsidRPr="004A59B1">
        <w:rPr>
          <w:color w:val="000000"/>
          <w:sz w:val="22"/>
          <w:szCs w:val="22"/>
          <w:lang w:val="sl-SI"/>
        </w:rPr>
        <w:t xml:space="preserve"> za vsaj 54 % oziroma 74 % zadevnih vrednosti brez zdravljenja z rifampicinom. Podobne rezultate so opažali pri bolnikih z malignim gliomom, ki so jih zdravili z zdravilom Glivec, sočasno pa so jemali tudi </w:t>
      </w:r>
      <w:r w:rsidRPr="004A59B1">
        <w:rPr>
          <w:color w:val="000000"/>
          <w:sz w:val="22"/>
          <w:szCs w:val="22"/>
          <w:lang w:val="sl-SI"/>
        </w:rPr>
        <w:lastRenderedPageBreak/>
        <w:t>antiepileptična zdravila, ki inducirajo encime. Taka zdravila so karbamazepin, okskarbazepin in fenitoin. Pri teh bolnikih se je AUC imatiniba v plazmi zmanjšal za 73 % v primerjavi z bolniki, ki niso jemali antiepileptičnih zdravil, ki inducirajo encime. Sočasni uporabi rifampicina ali drugih močnih induktorjev CYP3A4 in imatiniba se je treba izogibati.</w:t>
      </w:r>
    </w:p>
    <w:p w14:paraId="52979E2E" w14:textId="77777777" w:rsidR="00FF48C2" w:rsidRPr="004A59B1" w:rsidRDefault="00FF48C2" w:rsidP="009C1193">
      <w:pPr>
        <w:pStyle w:val="TextChar"/>
        <w:widowControl w:val="0"/>
        <w:spacing w:before="0"/>
        <w:jc w:val="left"/>
        <w:rPr>
          <w:color w:val="000000"/>
          <w:sz w:val="22"/>
          <w:szCs w:val="22"/>
          <w:lang w:val="sl-SI"/>
        </w:rPr>
      </w:pPr>
    </w:p>
    <w:p w14:paraId="52979E2F" w14:textId="77777777" w:rsidR="00FF48C2" w:rsidRPr="004A59B1" w:rsidRDefault="00FF48C2" w:rsidP="009C1193">
      <w:pPr>
        <w:keepNext/>
        <w:widowControl w:val="0"/>
        <w:spacing w:line="240" w:lineRule="auto"/>
        <w:rPr>
          <w:color w:val="000000"/>
          <w:szCs w:val="22"/>
          <w:lang w:val="sl-SI"/>
        </w:rPr>
      </w:pPr>
      <w:r w:rsidRPr="004A59B1">
        <w:rPr>
          <w:b/>
          <w:color w:val="000000"/>
          <w:szCs w:val="22"/>
          <w:lang w:val="sl-SI"/>
        </w:rPr>
        <w:t>Učinkovine, katerih plazemske koncentracije lahko zdravilo Glivec spremeni</w:t>
      </w:r>
    </w:p>
    <w:p w14:paraId="52979E30" w14:textId="77777777" w:rsidR="00FF48C2" w:rsidRPr="004A59B1" w:rsidRDefault="00FF48C2" w:rsidP="009C1193">
      <w:pPr>
        <w:pStyle w:val="TextChar"/>
        <w:widowControl w:val="0"/>
        <w:spacing w:before="0"/>
        <w:jc w:val="left"/>
        <w:rPr>
          <w:color w:val="000000"/>
          <w:sz w:val="22"/>
          <w:szCs w:val="22"/>
          <w:lang w:val="sl-SI"/>
        </w:rPr>
      </w:pPr>
      <w:r w:rsidRPr="004A59B1">
        <w:rPr>
          <w:color w:val="000000"/>
          <w:sz w:val="22"/>
          <w:szCs w:val="22"/>
          <w:lang w:val="sl-SI"/>
        </w:rPr>
        <w:t>Imatinib povečuje povprečn</w:t>
      </w:r>
      <w:r w:rsidR="006A40E1" w:rsidRPr="004A59B1">
        <w:rPr>
          <w:color w:val="000000"/>
          <w:sz w:val="22"/>
          <w:szCs w:val="22"/>
          <w:lang w:val="sl-SI"/>
        </w:rPr>
        <w:t>i</w:t>
      </w:r>
      <w:r w:rsidRPr="004A59B1">
        <w:rPr>
          <w:color w:val="000000"/>
          <w:sz w:val="22"/>
          <w:szCs w:val="22"/>
          <w:lang w:val="sl-SI"/>
        </w:rPr>
        <w:t xml:space="preserve"> C</w:t>
      </w:r>
      <w:r w:rsidRPr="004A59B1">
        <w:rPr>
          <w:color w:val="000000"/>
          <w:sz w:val="22"/>
          <w:szCs w:val="22"/>
          <w:vertAlign w:val="subscript"/>
          <w:lang w:val="sl-SI"/>
        </w:rPr>
        <w:t>max</w:t>
      </w:r>
      <w:r w:rsidRPr="004A59B1">
        <w:rPr>
          <w:color w:val="000000"/>
          <w:sz w:val="22"/>
          <w:szCs w:val="22"/>
          <w:lang w:val="sl-SI"/>
        </w:rPr>
        <w:t xml:space="preserve"> in AUC simvastatina (substrat CYP3A4) 2-krat oziroma 3,5-krat, kar kaže na to, da imatinib zavira CYP3A4. Zato je pri uporabi zdravila Glivec skupaj s substrati CYP3A4 z ozko terapevtsko širino (na primer s ciklosporinom, pimozidom, takrolimusom, sirolimusom, ergotaminom, diergotamino</w:t>
      </w:r>
      <w:r w:rsidR="006A40E1" w:rsidRPr="004A59B1">
        <w:rPr>
          <w:color w:val="000000"/>
          <w:sz w:val="22"/>
          <w:szCs w:val="22"/>
          <w:lang w:val="sl-SI"/>
        </w:rPr>
        <w:t>m</w:t>
      </w:r>
      <w:r w:rsidRPr="004A59B1">
        <w:rPr>
          <w:color w:val="000000"/>
          <w:sz w:val="22"/>
          <w:szCs w:val="22"/>
          <w:lang w:val="sl-SI"/>
        </w:rPr>
        <w:t xml:space="preserve">, fentanilom, alfentanilom, terfenadinom, bortezomibom, docetakselom in kinidinom) priporočljiva previdnost. Zdravilo Glivec lahko </w:t>
      </w:r>
      <w:r w:rsidR="006A40E1" w:rsidRPr="004A59B1">
        <w:rPr>
          <w:color w:val="000000"/>
          <w:sz w:val="22"/>
          <w:szCs w:val="22"/>
          <w:lang w:val="sl-SI"/>
        </w:rPr>
        <w:t xml:space="preserve">zveča </w:t>
      </w:r>
      <w:r w:rsidRPr="004A59B1">
        <w:rPr>
          <w:color w:val="000000"/>
          <w:sz w:val="22"/>
          <w:szCs w:val="22"/>
          <w:lang w:val="sl-SI"/>
        </w:rPr>
        <w:t xml:space="preserve">plazemske koncentracije drugih zdravil, ki jih presnavlja CYP3A4 (na primer triazolo-benzodiazepinov, dihidropiridinskih </w:t>
      </w:r>
      <w:r w:rsidR="006A40E1" w:rsidRPr="004A59B1">
        <w:rPr>
          <w:color w:val="000000"/>
          <w:sz w:val="22"/>
          <w:szCs w:val="22"/>
          <w:lang w:val="sl-SI"/>
        </w:rPr>
        <w:t xml:space="preserve">zaviralcev </w:t>
      </w:r>
      <w:r w:rsidRPr="004A59B1">
        <w:rPr>
          <w:color w:val="000000"/>
          <w:sz w:val="22"/>
          <w:szCs w:val="22"/>
          <w:lang w:val="sl-SI"/>
        </w:rPr>
        <w:t>kalcijevih kanalčkov, nekaterih zaviralcev reduktaze HMG-CoA, tj. statinov, itn.).</w:t>
      </w:r>
    </w:p>
    <w:p w14:paraId="52979E31" w14:textId="77777777" w:rsidR="00FF48C2" w:rsidRPr="004A59B1" w:rsidRDefault="00FF48C2" w:rsidP="009C1193">
      <w:pPr>
        <w:pStyle w:val="TextChar"/>
        <w:widowControl w:val="0"/>
        <w:spacing w:before="0"/>
        <w:jc w:val="left"/>
        <w:rPr>
          <w:color w:val="000000"/>
          <w:sz w:val="22"/>
          <w:szCs w:val="22"/>
          <w:lang w:val="sl-SI"/>
        </w:rPr>
      </w:pPr>
    </w:p>
    <w:p w14:paraId="52979E32" w14:textId="77777777" w:rsidR="00FF48C2" w:rsidRPr="004A59B1" w:rsidRDefault="00FF48C2" w:rsidP="009C1193">
      <w:pPr>
        <w:pStyle w:val="TextChar"/>
        <w:widowControl w:val="0"/>
        <w:spacing w:before="0"/>
        <w:jc w:val="left"/>
        <w:rPr>
          <w:color w:val="000000"/>
          <w:sz w:val="22"/>
          <w:szCs w:val="22"/>
          <w:lang w:val="sl-SI"/>
        </w:rPr>
      </w:pPr>
      <w:r w:rsidRPr="004A59B1">
        <w:rPr>
          <w:color w:val="000000"/>
          <w:sz w:val="22"/>
          <w:szCs w:val="22"/>
          <w:lang w:val="sl-SI"/>
        </w:rPr>
        <w:t>Zaradi znanega povečanega tveganja za krvavitve v povezavi z uporabo imatiniba (na primer hemoragija) naj bolniki, pri katerih je potrebna antikoagulantna terapija, dobivajo nizkomolekularni ali standardni heparin namesto kumarinskih derivatov, kot je varfarin.</w:t>
      </w:r>
    </w:p>
    <w:p w14:paraId="52979E33" w14:textId="77777777" w:rsidR="00FF48C2" w:rsidRPr="004A59B1" w:rsidRDefault="00FF48C2" w:rsidP="009C1193">
      <w:pPr>
        <w:pStyle w:val="TextChar"/>
        <w:widowControl w:val="0"/>
        <w:spacing w:before="0"/>
        <w:rPr>
          <w:color w:val="000000"/>
          <w:sz w:val="22"/>
          <w:szCs w:val="22"/>
          <w:lang w:val="sl-SI"/>
        </w:rPr>
      </w:pPr>
    </w:p>
    <w:p w14:paraId="52979E34" w14:textId="77777777" w:rsidR="00FF48C2" w:rsidRPr="004A59B1" w:rsidRDefault="00FF48C2" w:rsidP="009C1193">
      <w:pPr>
        <w:pStyle w:val="TextChar"/>
        <w:widowControl w:val="0"/>
        <w:spacing w:before="0"/>
        <w:jc w:val="left"/>
        <w:rPr>
          <w:color w:val="000000"/>
          <w:sz w:val="22"/>
          <w:szCs w:val="22"/>
          <w:lang w:val="sl-SI"/>
        </w:rPr>
      </w:pPr>
      <w:r w:rsidRPr="004A59B1">
        <w:rPr>
          <w:i/>
          <w:color w:val="000000"/>
          <w:sz w:val="22"/>
          <w:szCs w:val="22"/>
          <w:lang w:val="sl-SI"/>
        </w:rPr>
        <w:t>In vitro</w:t>
      </w:r>
      <w:r w:rsidRPr="004A59B1">
        <w:rPr>
          <w:color w:val="000000"/>
          <w:sz w:val="22"/>
          <w:szCs w:val="22"/>
          <w:lang w:val="sl-SI"/>
        </w:rPr>
        <w:t xml:space="preserve"> zdravilo Glivec zavira aktivnost izoencima CYP2D6 citokroma P450 pri koncentracijah, ki so podobne tistim, ki vplivajo na aktivnost CYP3A4. Imatinib je v odmerku 400 mg dvakrat </w:t>
      </w:r>
      <w:r w:rsidR="006A40E1" w:rsidRPr="004A59B1">
        <w:rPr>
          <w:color w:val="000000"/>
          <w:sz w:val="22"/>
          <w:szCs w:val="22"/>
          <w:lang w:val="sl-SI"/>
        </w:rPr>
        <w:t xml:space="preserve">na dan </w:t>
      </w:r>
      <w:r w:rsidRPr="004A59B1">
        <w:rPr>
          <w:color w:val="000000"/>
          <w:sz w:val="22"/>
          <w:szCs w:val="22"/>
          <w:lang w:val="sl-SI"/>
        </w:rPr>
        <w:t>zaviral presnovo metoprolola s CYP2D6, tako da sta se C</w:t>
      </w:r>
      <w:r w:rsidRPr="004A59B1">
        <w:rPr>
          <w:color w:val="000000"/>
          <w:sz w:val="22"/>
          <w:szCs w:val="22"/>
          <w:vertAlign w:val="subscript"/>
          <w:lang w:val="sl-SI"/>
        </w:rPr>
        <w:t>max</w:t>
      </w:r>
      <w:r w:rsidRPr="004A59B1">
        <w:rPr>
          <w:color w:val="000000"/>
          <w:sz w:val="22"/>
          <w:szCs w:val="22"/>
          <w:lang w:val="sl-SI"/>
        </w:rPr>
        <w:t xml:space="preserve"> in AUC metoprolola povečal</w:t>
      </w:r>
      <w:r w:rsidR="006A40E1" w:rsidRPr="004A59B1">
        <w:rPr>
          <w:color w:val="000000"/>
          <w:sz w:val="22"/>
          <w:szCs w:val="22"/>
          <w:lang w:val="sl-SI"/>
        </w:rPr>
        <w:t>i</w:t>
      </w:r>
      <w:r w:rsidRPr="004A59B1">
        <w:rPr>
          <w:color w:val="000000"/>
          <w:sz w:val="22"/>
          <w:szCs w:val="22"/>
          <w:lang w:val="sl-SI"/>
        </w:rPr>
        <w:t xml:space="preserve"> za približno 23 % (90 % IZ [1,16</w:t>
      </w:r>
      <w:r w:rsidRPr="004A59B1">
        <w:rPr>
          <w:color w:val="000000"/>
          <w:sz w:val="22"/>
          <w:szCs w:val="22"/>
          <w:lang w:val="sl-SI"/>
        </w:rPr>
        <w:noBreakHyphen/>
        <w:t xml:space="preserve">1,30]). Kaže, da pri sočasni uporabi imatiniba s substrati CYP2D6 prilagajanje odmerkov ni potrebno, vendar pa je potrebna previdnost pri substratih CYP2D6 z ozkim terapevtskim oknom, kot je metoprolol. Pri bolnikih, ki se zdravijo z metoprololom, je treba razmisliti o kliničnem </w:t>
      </w:r>
      <w:r w:rsidR="006A40E1" w:rsidRPr="004A59B1">
        <w:rPr>
          <w:color w:val="000000"/>
          <w:sz w:val="22"/>
          <w:szCs w:val="22"/>
          <w:lang w:val="sl-SI"/>
        </w:rPr>
        <w:t>spremljanju</w:t>
      </w:r>
      <w:r w:rsidRPr="004A59B1">
        <w:rPr>
          <w:color w:val="000000"/>
          <w:sz w:val="22"/>
          <w:szCs w:val="22"/>
          <w:lang w:val="sl-SI"/>
        </w:rPr>
        <w:t>.</w:t>
      </w:r>
    </w:p>
    <w:p w14:paraId="52979E35" w14:textId="77777777" w:rsidR="00FF48C2" w:rsidRPr="004A59B1" w:rsidRDefault="00FF48C2" w:rsidP="009C1193">
      <w:pPr>
        <w:pStyle w:val="TextChar"/>
        <w:widowControl w:val="0"/>
        <w:spacing w:before="0"/>
        <w:jc w:val="left"/>
        <w:rPr>
          <w:color w:val="000000"/>
          <w:sz w:val="22"/>
          <w:szCs w:val="22"/>
          <w:lang w:val="sl-SI"/>
        </w:rPr>
      </w:pPr>
    </w:p>
    <w:p w14:paraId="52979E36" w14:textId="77777777" w:rsidR="00FF48C2" w:rsidRPr="004A59B1" w:rsidRDefault="00FF48C2" w:rsidP="009C1193">
      <w:pPr>
        <w:pStyle w:val="TextChar"/>
        <w:widowControl w:val="0"/>
        <w:spacing w:before="0"/>
        <w:jc w:val="left"/>
        <w:rPr>
          <w:color w:val="000000"/>
          <w:sz w:val="22"/>
          <w:szCs w:val="22"/>
          <w:lang w:val="sl-SI"/>
        </w:rPr>
      </w:pPr>
      <w:r w:rsidRPr="004A59B1">
        <w:rPr>
          <w:i/>
          <w:color w:val="000000"/>
          <w:sz w:val="22"/>
          <w:szCs w:val="22"/>
          <w:lang w:val="sl-SI"/>
        </w:rPr>
        <w:t>In vitro</w:t>
      </w:r>
      <w:r w:rsidRPr="004A59B1">
        <w:rPr>
          <w:color w:val="000000"/>
          <w:sz w:val="22"/>
          <w:szCs w:val="22"/>
          <w:lang w:val="sl-SI"/>
        </w:rPr>
        <w:t xml:space="preserve"> zdravilo Glivec zavira paracetamol O-glukuronidacijo z vrednostjo Ki 58,5 mikromolov/l. Tega zaviranja</w:t>
      </w:r>
      <w:r w:rsidRPr="004A59B1">
        <w:rPr>
          <w:i/>
          <w:color w:val="000000"/>
          <w:sz w:val="22"/>
          <w:szCs w:val="22"/>
          <w:lang w:val="sl-SI"/>
        </w:rPr>
        <w:t xml:space="preserve"> </w:t>
      </w:r>
      <w:r w:rsidRPr="004A59B1">
        <w:rPr>
          <w:color w:val="000000"/>
          <w:sz w:val="22"/>
          <w:szCs w:val="22"/>
          <w:lang w:val="sl-SI"/>
        </w:rPr>
        <w:t>po uporabi zdravila Glivec 400 mg in paracetamola 1000 mg</w:t>
      </w:r>
      <w:r w:rsidRPr="004A59B1">
        <w:rPr>
          <w:i/>
          <w:color w:val="000000"/>
          <w:sz w:val="22"/>
          <w:szCs w:val="22"/>
          <w:lang w:val="sl-SI"/>
        </w:rPr>
        <w:t xml:space="preserve"> in vivo</w:t>
      </w:r>
      <w:r w:rsidRPr="004A59B1">
        <w:rPr>
          <w:color w:val="000000"/>
          <w:sz w:val="22"/>
          <w:szCs w:val="22"/>
          <w:lang w:val="sl-SI"/>
        </w:rPr>
        <w:t xml:space="preserve"> niso opažali. </w:t>
      </w:r>
      <w:r w:rsidR="006A40E1" w:rsidRPr="004A59B1">
        <w:rPr>
          <w:color w:val="000000"/>
          <w:sz w:val="22"/>
          <w:szCs w:val="22"/>
          <w:lang w:val="sl-SI"/>
        </w:rPr>
        <w:t xml:space="preserve">Večjih </w:t>
      </w:r>
      <w:r w:rsidRPr="004A59B1">
        <w:rPr>
          <w:color w:val="000000"/>
          <w:sz w:val="22"/>
          <w:szCs w:val="22"/>
          <w:lang w:val="sl-SI"/>
        </w:rPr>
        <w:t>odmerkov zdravila Glivec in paracetamola niso proučevali.</w:t>
      </w:r>
    </w:p>
    <w:p w14:paraId="52979E37" w14:textId="77777777" w:rsidR="00FF48C2" w:rsidRPr="004A59B1" w:rsidRDefault="00FF48C2" w:rsidP="009C1193">
      <w:pPr>
        <w:pStyle w:val="TextChar"/>
        <w:widowControl w:val="0"/>
        <w:spacing w:before="0"/>
        <w:jc w:val="left"/>
        <w:rPr>
          <w:color w:val="000000"/>
          <w:sz w:val="22"/>
          <w:szCs w:val="22"/>
          <w:lang w:val="sl-SI"/>
        </w:rPr>
      </w:pPr>
    </w:p>
    <w:p w14:paraId="52979E38" w14:textId="77777777" w:rsidR="00FF48C2" w:rsidRPr="004A59B1" w:rsidRDefault="00FF48C2" w:rsidP="009C1193">
      <w:pPr>
        <w:pStyle w:val="TextChar"/>
        <w:widowControl w:val="0"/>
        <w:spacing w:before="0"/>
        <w:jc w:val="left"/>
        <w:rPr>
          <w:color w:val="000000"/>
          <w:sz w:val="22"/>
          <w:szCs w:val="22"/>
          <w:lang w:val="sl-SI"/>
        </w:rPr>
      </w:pPr>
      <w:r w:rsidRPr="004A59B1">
        <w:rPr>
          <w:color w:val="000000"/>
          <w:sz w:val="22"/>
          <w:szCs w:val="22"/>
          <w:lang w:val="sl-SI"/>
        </w:rPr>
        <w:t xml:space="preserve">Zato je pri sočasni uporabi </w:t>
      </w:r>
      <w:r w:rsidR="006A40E1" w:rsidRPr="004A59B1">
        <w:rPr>
          <w:color w:val="000000"/>
          <w:sz w:val="22"/>
          <w:szCs w:val="22"/>
          <w:lang w:val="sl-SI"/>
        </w:rPr>
        <w:t xml:space="preserve">velikih </w:t>
      </w:r>
      <w:r w:rsidRPr="004A59B1">
        <w:rPr>
          <w:color w:val="000000"/>
          <w:sz w:val="22"/>
          <w:szCs w:val="22"/>
          <w:lang w:val="sl-SI"/>
        </w:rPr>
        <w:t>odmerkov zdravila Glivec in paracetamola potrebna previdnost.</w:t>
      </w:r>
    </w:p>
    <w:p w14:paraId="52979E39" w14:textId="77777777" w:rsidR="00FF48C2" w:rsidRPr="004A59B1" w:rsidRDefault="00FF48C2" w:rsidP="009C1193">
      <w:pPr>
        <w:pStyle w:val="TextChar"/>
        <w:widowControl w:val="0"/>
        <w:spacing w:before="0"/>
        <w:jc w:val="left"/>
        <w:rPr>
          <w:color w:val="000000"/>
          <w:sz w:val="22"/>
          <w:szCs w:val="22"/>
          <w:lang w:val="sl-SI"/>
        </w:rPr>
      </w:pPr>
    </w:p>
    <w:p w14:paraId="52979E3A" w14:textId="77777777" w:rsidR="00FF48C2" w:rsidRPr="004A59B1" w:rsidRDefault="00FF48C2" w:rsidP="009C1193">
      <w:pPr>
        <w:widowControl w:val="0"/>
        <w:rPr>
          <w:color w:val="000000"/>
          <w:szCs w:val="22"/>
          <w:lang w:val="sl-SI"/>
        </w:rPr>
      </w:pPr>
      <w:r w:rsidRPr="004A59B1">
        <w:rPr>
          <w:color w:val="000000"/>
          <w:szCs w:val="22"/>
          <w:lang w:val="sl-SI"/>
        </w:rPr>
        <w:t xml:space="preserve">Pri bolnikih, ki so po tiroidektomiji prejemali levotiroksin, je lahko ob sočasni uporabi zdravila Glivec izpostavljenost levotiroksinu v plazmi zmanjšana </w:t>
      </w:r>
      <w:r w:rsidRPr="004A59B1">
        <w:rPr>
          <w:iCs/>
          <w:color w:val="000000"/>
          <w:szCs w:val="24"/>
          <w:lang w:val="sl-SI"/>
        </w:rPr>
        <w:t>(glejte poglavje 4.4)</w:t>
      </w:r>
      <w:r w:rsidRPr="004A59B1">
        <w:rPr>
          <w:color w:val="000000"/>
          <w:szCs w:val="22"/>
          <w:lang w:val="sl-SI"/>
        </w:rPr>
        <w:t>. Zato je potrebna previdnost. Vendar pa trenutno mehanizem opažene interakcije ni znan.</w:t>
      </w:r>
    </w:p>
    <w:p w14:paraId="52979E3B" w14:textId="77777777" w:rsidR="00FF48C2" w:rsidRPr="004A59B1" w:rsidRDefault="00FF48C2" w:rsidP="009C1193">
      <w:pPr>
        <w:pStyle w:val="EndnoteText"/>
        <w:widowControl w:val="0"/>
        <w:tabs>
          <w:tab w:val="clear" w:pos="567"/>
        </w:tabs>
        <w:rPr>
          <w:color w:val="000000"/>
          <w:lang w:val="sl-SI"/>
        </w:rPr>
      </w:pPr>
    </w:p>
    <w:p w14:paraId="52979E3C" w14:textId="77777777" w:rsidR="00FF48C2" w:rsidRPr="004A59B1" w:rsidRDefault="00FF48C2" w:rsidP="009C1193">
      <w:pPr>
        <w:pStyle w:val="EndnoteText"/>
        <w:widowControl w:val="0"/>
        <w:tabs>
          <w:tab w:val="clear" w:pos="567"/>
        </w:tabs>
        <w:rPr>
          <w:color w:val="000000"/>
          <w:lang w:val="sl-SI"/>
        </w:rPr>
      </w:pPr>
      <w:r w:rsidRPr="004A59B1">
        <w:rPr>
          <w:color w:val="000000"/>
          <w:lang w:val="sl-SI"/>
        </w:rPr>
        <w:t>Kljub temu, da klinične izkušnje s sočasno uporabo zdravila Glivec in kemoterapije pri bolnikih s Ph+ ALL obstajajo (glejte poglavje 5.1), pa interakcije med imatinibom in posameznimi kemoterapevtskimi shemami niso dobro opredeljene. Lahko pride do večje izraženosti neželenih dogodkov imatiniba, kot so toksičnost za jetra, mielosupresija ali drugi. Poročali so, da bi bila lahko sočasna uporaba L</w:t>
      </w:r>
      <w:r w:rsidRPr="004A59B1">
        <w:rPr>
          <w:color w:val="000000"/>
          <w:lang w:val="sl-SI"/>
        </w:rPr>
        <w:noBreakHyphen/>
        <w:t>asparaginaze povezana z bolj izraženo toksičnostjo za jetra (glejte poglavje 4.8). Zato je pri uporabi zdravila Glivec v kombinaciji potrebna posebna previdnost.</w:t>
      </w:r>
    </w:p>
    <w:p w14:paraId="52979E3D" w14:textId="77777777" w:rsidR="00FF48C2" w:rsidRPr="004A59B1" w:rsidRDefault="00FF48C2" w:rsidP="009C1193">
      <w:pPr>
        <w:pStyle w:val="EndnoteText"/>
        <w:widowControl w:val="0"/>
        <w:tabs>
          <w:tab w:val="clear" w:pos="567"/>
        </w:tabs>
        <w:rPr>
          <w:color w:val="000000"/>
          <w:szCs w:val="22"/>
          <w:lang w:val="sl-SI"/>
        </w:rPr>
      </w:pPr>
    </w:p>
    <w:p w14:paraId="52979E3E" w14:textId="77777777" w:rsidR="00FF48C2" w:rsidRPr="004A59B1" w:rsidRDefault="00FF48C2" w:rsidP="009C1193">
      <w:pPr>
        <w:keepNext/>
        <w:widowControl w:val="0"/>
        <w:tabs>
          <w:tab w:val="clear" w:pos="567"/>
        </w:tabs>
        <w:spacing w:line="240" w:lineRule="auto"/>
        <w:ind w:left="567" w:hanging="567"/>
        <w:rPr>
          <w:color w:val="000000"/>
          <w:szCs w:val="22"/>
          <w:lang w:val="sl-SI"/>
        </w:rPr>
      </w:pPr>
      <w:r w:rsidRPr="004A59B1">
        <w:rPr>
          <w:b/>
          <w:color w:val="000000"/>
          <w:szCs w:val="22"/>
          <w:lang w:val="sl-SI"/>
        </w:rPr>
        <w:t>4.6</w:t>
      </w:r>
      <w:r w:rsidRPr="004A59B1">
        <w:rPr>
          <w:b/>
          <w:color w:val="000000"/>
          <w:szCs w:val="22"/>
          <w:lang w:val="sl-SI"/>
        </w:rPr>
        <w:tab/>
        <w:t>Plodnost, nosečnost in dojenje</w:t>
      </w:r>
    </w:p>
    <w:p w14:paraId="52979E3F" w14:textId="77777777" w:rsidR="00FF48C2" w:rsidRPr="004A59B1" w:rsidRDefault="00FF48C2" w:rsidP="009C1193">
      <w:pPr>
        <w:pStyle w:val="EndnoteText"/>
        <w:keepNext/>
        <w:widowControl w:val="0"/>
        <w:rPr>
          <w:color w:val="000000"/>
          <w:szCs w:val="22"/>
          <w:lang w:val="sl-SI"/>
        </w:rPr>
      </w:pPr>
    </w:p>
    <w:p w14:paraId="52979E40" w14:textId="77777777" w:rsidR="00FF48C2" w:rsidRPr="004A59B1" w:rsidRDefault="00FF48C2" w:rsidP="009C1193">
      <w:pPr>
        <w:pStyle w:val="EndnoteText"/>
        <w:keepNext/>
        <w:widowControl w:val="0"/>
        <w:rPr>
          <w:color w:val="000000"/>
          <w:szCs w:val="22"/>
          <w:u w:val="single"/>
          <w:lang w:val="sl-SI"/>
        </w:rPr>
      </w:pPr>
      <w:r w:rsidRPr="004A59B1">
        <w:rPr>
          <w:color w:val="000000"/>
          <w:szCs w:val="22"/>
          <w:u w:val="single"/>
          <w:lang w:val="sl-SI"/>
        </w:rPr>
        <w:t>Ženske v rodni dobi</w:t>
      </w:r>
    </w:p>
    <w:p w14:paraId="52979E41" w14:textId="77777777" w:rsidR="00FF48C2" w:rsidRPr="004A59B1" w:rsidRDefault="00FF48C2" w:rsidP="009C1193">
      <w:pPr>
        <w:pStyle w:val="EndnoteText"/>
        <w:widowControl w:val="0"/>
        <w:rPr>
          <w:color w:val="000000"/>
          <w:szCs w:val="22"/>
          <w:lang w:val="sl-SI"/>
        </w:rPr>
      </w:pPr>
      <w:r w:rsidRPr="004A59B1">
        <w:rPr>
          <w:color w:val="000000"/>
          <w:szCs w:val="22"/>
          <w:lang w:val="sl-SI"/>
        </w:rPr>
        <w:t xml:space="preserve">Ženskam v rodni dobi je treba svetovati, naj med zdravljenjem </w:t>
      </w:r>
      <w:r w:rsidR="009A4AC1">
        <w:rPr>
          <w:color w:val="000000"/>
          <w:szCs w:val="22"/>
          <w:lang w:val="sl-SI"/>
        </w:rPr>
        <w:t xml:space="preserve">in še najmanj 15 dni po koncu zdravljenja z zdravilom Glivec </w:t>
      </w:r>
      <w:r w:rsidRPr="004A59B1">
        <w:rPr>
          <w:color w:val="000000"/>
          <w:szCs w:val="22"/>
          <w:lang w:val="sl-SI"/>
        </w:rPr>
        <w:t>uporabljajo učinkovito kontracepcijo.</w:t>
      </w:r>
    </w:p>
    <w:p w14:paraId="52979E42" w14:textId="77777777" w:rsidR="00FF48C2" w:rsidRPr="004A59B1" w:rsidRDefault="00FF48C2" w:rsidP="009C1193">
      <w:pPr>
        <w:pStyle w:val="EndnoteText"/>
        <w:widowControl w:val="0"/>
        <w:rPr>
          <w:color w:val="000000"/>
          <w:szCs w:val="22"/>
          <w:u w:val="single"/>
          <w:lang w:val="sl-SI"/>
        </w:rPr>
      </w:pPr>
    </w:p>
    <w:p w14:paraId="52979E43" w14:textId="77777777" w:rsidR="00FF48C2" w:rsidRPr="004A59B1" w:rsidRDefault="00FF48C2" w:rsidP="009C1193">
      <w:pPr>
        <w:pStyle w:val="EndnoteText"/>
        <w:keepNext/>
        <w:widowControl w:val="0"/>
        <w:rPr>
          <w:color w:val="000000"/>
          <w:szCs w:val="22"/>
          <w:u w:val="single"/>
          <w:lang w:val="sl-SI"/>
        </w:rPr>
      </w:pPr>
      <w:r w:rsidRPr="004A59B1">
        <w:rPr>
          <w:color w:val="000000"/>
          <w:szCs w:val="22"/>
          <w:u w:val="single"/>
          <w:lang w:val="sl-SI"/>
        </w:rPr>
        <w:t>Nosečnost</w:t>
      </w:r>
    </w:p>
    <w:p w14:paraId="52979E44" w14:textId="77777777" w:rsidR="00FF48C2" w:rsidRPr="004A59B1" w:rsidRDefault="006A40E1" w:rsidP="009C1193">
      <w:pPr>
        <w:pStyle w:val="EndnoteText"/>
        <w:widowControl w:val="0"/>
        <w:rPr>
          <w:color w:val="000000"/>
          <w:szCs w:val="22"/>
          <w:lang w:val="sl-SI"/>
        </w:rPr>
      </w:pPr>
      <w:r w:rsidRPr="004A59B1">
        <w:rPr>
          <w:noProof/>
          <w:color w:val="000000"/>
          <w:szCs w:val="22"/>
          <w:lang w:val="sl-SI"/>
        </w:rPr>
        <w:t>Podatkov o uporabi imatiniba pri nosečnicah je malo</w:t>
      </w:r>
      <w:r w:rsidR="00FF48C2" w:rsidRPr="004A59B1">
        <w:rPr>
          <w:color w:val="000000"/>
          <w:szCs w:val="22"/>
          <w:lang w:val="sl-SI"/>
        </w:rPr>
        <w:t xml:space="preserve">. </w:t>
      </w:r>
      <w:r w:rsidR="00312170">
        <w:rPr>
          <w:color w:val="000000"/>
          <w:szCs w:val="22"/>
          <w:lang w:val="sl-SI"/>
        </w:rPr>
        <w:t xml:space="preserve">V obdobju trženja zdravila so poročali o spontanih splavih in prirojenih nepravilnostih pri dojenčkih </w:t>
      </w:r>
      <w:r w:rsidR="00312170" w:rsidRPr="00531CB5">
        <w:rPr>
          <w:color w:val="000000"/>
          <w:szCs w:val="22"/>
          <w:lang w:val="sl-SI"/>
        </w:rPr>
        <w:t>mater,</w:t>
      </w:r>
      <w:r w:rsidR="00312170" w:rsidRPr="00312170">
        <w:rPr>
          <w:color w:val="000000"/>
          <w:szCs w:val="22"/>
          <w:lang w:val="sl-SI"/>
        </w:rPr>
        <w:t xml:space="preserve"> ki so </w:t>
      </w:r>
      <w:r w:rsidR="00312170" w:rsidRPr="00531CB5">
        <w:rPr>
          <w:color w:val="000000"/>
          <w:szCs w:val="22"/>
          <w:lang w:val="sl-SI"/>
        </w:rPr>
        <w:t>med nosečnostjo</w:t>
      </w:r>
      <w:r w:rsidR="00312170">
        <w:rPr>
          <w:color w:val="000000"/>
          <w:szCs w:val="22"/>
          <w:lang w:val="sl-SI"/>
        </w:rPr>
        <w:t xml:space="preserve"> prejemale zdravilo Glivec. Š</w:t>
      </w:r>
      <w:r w:rsidR="00FF48C2" w:rsidRPr="004A59B1">
        <w:rPr>
          <w:color w:val="000000"/>
          <w:szCs w:val="22"/>
          <w:lang w:val="sl-SI"/>
        </w:rPr>
        <w:t xml:space="preserve">tudije na živalih </w:t>
      </w:r>
      <w:r w:rsidR="00312170">
        <w:rPr>
          <w:color w:val="000000"/>
          <w:szCs w:val="22"/>
          <w:lang w:val="sl-SI"/>
        </w:rPr>
        <w:t xml:space="preserve">so </w:t>
      </w:r>
      <w:r w:rsidR="00FF48C2" w:rsidRPr="004A59B1">
        <w:rPr>
          <w:color w:val="000000"/>
          <w:szCs w:val="22"/>
          <w:lang w:val="sl-SI"/>
        </w:rPr>
        <w:t xml:space="preserve">pokazale </w:t>
      </w:r>
      <w:r w:rsidRPr="004A59B1">
        <w:rPr>
          <w:color w:val="000000"/>
          <w:szCs w:val="22"/>
          <w:lang w:val="sl-SI"/>
        </w:rPr>
        <w:t xml:space="preserve">škodljiv </w:t>
      </w:r>
      <w:r w:rsidR="00FF48C2" w:rsidRPr="004A59B1">
        <w:rPr>
          <w:noProof/>
          <w:color w:val="000000"/>
          <w:szCs w:val="22"/>
          <w:lang w:val="sl-SI"/>
        </w:rPr>
        <w:t xml:space="preserve">vpliv na sposobnost razmnoževanja </w:t>
      </w:r>
      <w:r w:rsidR="00FF48C2" w:rsidRPr="004A59B1">
        <w:rPr>
          <w:color w:val="000000"/>
          <w:szCs w:val="22"/>
          <w:lang w:val="sl-SI"/>
        </w:rPr>
        <w:t>(</w:t>
      </w:r>
      <w:r w:rsidR="00FF48C2" w:rsidRPr="004A59B1">
        <w:rPr>
          <w:noProof/>
          <w:color w:val="000000"/>
          <w:szCs w:val="22"/>
          <w:lang w:val="sl-SI"/>
        </w:rPr>
        <w:t>glejte poglavje 5.3</w:t>
      </w:r>
      <w:r w:rsidR="00FF48C2" w:rsidRPr="004A59B1">
        <w:rPr>
          <w:color w:val="000000"/>
          <w:szCs w:val="22"/>
          <w:lang w:val="sl-SI"/>
        </w:rPr>
        <w:t>)</w:t>
      </w:r>
      <w:r w:rsidRPr="004A59B1">
        <w:rPr>
          <w:color w:val="000000"/>
          <w:szCs w:val="22"/>
          <w:lang w:val="sl-SI"/>
        </w:rPr>
        <w:t>,</w:t>
      </w:r>
      <w:r w:rsidR="00FF48C2" w:rsidRPr="004A59B1">
        <w:rPr>
          <w:color w:val="000000"/>
          <w:szCs w:val="22"/>
          <w:lang w:val="sl-SI"/>
        </w:rPr>
        <w:t xml:space="preserve"> možno tveganje za plod </w:t>
      </w:r>
      <w:r w:rsidRPr="004A59B1">
        <w:rPr>
          <w:color w:val="000000"/>
          <w:szCs w:val="22"/>
          <w:lang w:val="sl-SI"/>
        </w:rPr>
        <w:t xml:space="preserve">pa </w:t>
      </w:r>
      <w:r w:rsidR="00FF48C2" w:rsidRPr="004A59B1">
        <w:rPr>
          <w:color w:val="000000"/>
          <w:szCs w:val="22"/>
          <w:lang w:val="sl-SI"/>
        </w:rPr>
        <w:t>ni znano. Zdravila Glivec ne smete uporabljati</w:t>
      </w:r>
      <w:r w:rsidR="00312170">
        <w:rPr>
          <w:color w:val="000000"/>
          <w:szCs w:val="22"/>
          <w:lang w:val="sl-SI"/>
        </w:rPr>
        <w:t xml:space="preserve"> </w:t>
      </w:r>
      <w:r w:rsidR="00FF48C2" w:rsidRPr="004A59B1">
        <w:rPr>
          <w:color w:val="000000"/>
          <w:szCs w:val="22"/>
          <w:lang w:val="sl-SI"/>
        </w:rPr>
        <w:t>pri nosečnicah, razen če je nujno potrebno. Če se uporablja med nosečnostjo, je treba bolnico poučiti o možnih nevarnostih za plod.</w:t>
      </w:r>
    </w:p>
    <w:p w14:paraId="52979E45" w14:textId="77777777" w:rsidR="00FF48C2" w:rsidRPr="004A59B1" w:rsidRDefault="00FF48C2" w:rsidP="009C1193">
      <w:pPr>
        <w:pStyle w:val="EndnoteText"/>
        <w:widowControl w:val="0"/>
        <w:rPr>
          <w:color w:val="000000"/>
          <w:szCs w:val="22"/>
          <w:lang w:val="sl-SI"/>
        </w:rPr>
      </w:pPr>
    </w:p>
    <w:p w14:paraId="52979E46" w14:textId="77777777" w:rsidR="00FF48C2" w:rsidRPr="004A59B1" w:rsidRDefault="00FF48C2" w:rsidP="009C1193">
      <w:pPr>
        <w:pStyle w:val="EndnoteText"/>
        <w:keepNext/>
        <w:widowControl w:val="0"/>
        <w:rPr>
          <w:color w:val="000000"/>
          <w:szCs w:val="22"/>
          <w:lang w:val="sl-SI"/>
        </w:rPr>
      </w:pPr>
      <w:r w:rsidRPr="004A59B1">
        <w:rPr>
          <w:color w:val="000000"/>
          <w:szCs w:val="22"/>
          <w:u w:val="single"/>
          <w:lang w:val="sl-SI"/>
        </w:rPr>
        <w:t>Dojenje</w:t>
      </w:r>
    </w:p>
    <w:p w14:paraId="52979E47" w14:textId="144D71BB" w:rsidR="00FF48C2" w:rsidRPr="004A59B1" w:rsidRDefault="00FF48C2" w:rsidP="009C1193">
      <w:pPr>
        <w:pStyle w:val="EndnoteText"/>
        <w:widowControl w:val="0"/>
        <w:rPr>
          <w:color w:val="000000"/>
          <w:lang w:val="sl-SI"/>
        </w:rPr>
      </w:pPr>
      <w:r w:rsidRPr="004A59B1">
        <w:rPr>
          <w:color w:val="000000"/>
          <w:szCs w:val="22"/>
          <w:lang w:val="sl-SI"/>
        </w:rPr>
        <w:t>Podatkov o prehajanju imatiniba v materino mleko pri človeku ni veliko. Študij</w:t>
      </w:r>
      <w:r w:rsidR="006A40E1" w:rsidRPr="004A59B1">
        <w:rPr>
          <w:color w:val="000000"/>
          <w:szCs w:val="22"/>
          <w:lang w:val="sl-SI"/>
        </w:rPr>
        <w:t>i</w:t>
      </w:r>
      <w:r w:rsidRPr="004A59B1">
        <w:rPr>
          <w:color w:val="000000"/>
          <w:szCs w:val="22"/>
          <w:lang w:val="sl-SI"/>
        </w:rPr>
        <w:t xml:space="preserve"> pri dveh doječih materah s</w:t>
      </w:r>
      <w:r w:rsidR="006A40E1" w:rsidRPr="004A59B1">
        <w:rPr>
          <w:color w:val="000000"/>
          <w:szCs w:val="22"/>
          <w:lang w:val="sl-SI"/>
        </w:rPr>
        <w:t>ta</w:t>
      </w:r>
      <w:r w:rsidRPr="004A59B1">
        <w:rPr>
          <w:color w:val="000000"/>
          <w:szCs w:val="22"/>
          <w:lang w:val="sl-SI"/>
        </w:rPr>
        <w:t xml:space="preserve"> pokazal</w:t>
      </w:r>
      <w:r w:rsidR="006A40E1" w:rsidRPr="004A59B1">
        <w:rPr>
          <w:color w:val="000000"/>
          <w:szCs w:val="22"/>
          <w:lang w:val="sl-SI"/>
        </w:rPr>
        <w:t>i</w:t>
      </w:r>
      <w:r w:rsidRPr="004A59B1">
        <w:rPr>
          <w:color w:val="000000"/>
          <w:szCs w:val="22"/>
          <w:lang w:val="sl-SI"/>
        </w:rPr>
        <w:t>, da se t</w:t>
      </w:r>
      <w:r w:rsidRPr="004A59B1">
        <w:rPr>
          <w:color w:val="000000"/>
          <w:lang w:val="sl-SI"/>
        </w:rPr>
        <w:t xml:space="preserve">ako imatinib kot njegov aktivni presnovek pri človeku lahko izločata v materino mleko. Pri proučevanju prehajanja pri eni doječi materi so za imatinib določili razmerje med koncentracijama v mleku in plazmi 0,5, za njegov presnovek pa 0,9, kar kaže, da se presnovek v večji meri izloča v materinem mleku kot imatinib. Pri seštevku koncentracij imatiniba in njegovega presnovka je pri največji zaužiti količini materinega mleka na dan mogoče pričakoviti nizko skupno izpostavljenost dojenčka zdravilu in presnovku (~10 % terapevtskega odmerka). </w:t>
      </w:r>
      <w:r w:rsidR="009A4AC1">
        <w:rPr>
          <w:color w:val="000000"/>
          <w:lang w:val="sl-SI"/>
        </w:rPr>
        <w:t>Ker pa</w:t>
      </w:r>
      <w:r w:rsidRPr="004A59B1">
        <w:rPr>
          <w:color w:val="000000"/>
          <w:lang w:val="sl-SI"/>
        </w:rPr>
        <w:t xml:space="preserve"> učinki izpostavljenosti dojenčka </w:t>
      </w:r>
      <w:r w:rsidR="006A40E1" w:rsidRPr="004A59B1">
        <w:rPr>
          <w:color w:val="000000"/>
          <w:lang w:val="sl-SI"/>
        </w:rPr>
        <w:t>majhnim</w:t>
      </w:r>
      <w:r w:rsidRPr="004A59B1">
        <w:rPr>
          <w:color w:val="000000"/>
          <w:lang w:val="sl-SI"/>
        </w:rPr>
        <w:t xml:space="preserve"> odmerkom imatiniba niso znani, ženske ne smejo dojiti</w:t>
      </w:r>
      <w:r w:rsidR="009A4AC1">
        <w:rPr>
          <w:color w:val="000000"/>
          <w:lang w:val="sl-SI"/>
        </w:rPr>
        <w:t xml:space="preserve"> </w:t>
      </w:r>
      <w:r w:rsidR="009A4AC1" w:rsidRPr="004A59B1">
        <w:rPr>
          <w:color w:val="000000"/>
          <w:szCs w:val="22"/>
          <w:lang w:val="sl-SI"/>
        </w:rPr>
        <w:t xml:space="preserve">med zdravljenjem </w:t>
      </w:r>
      <w:r w:rsidR="009A4AC1">
        <w:rPr>
          <w:color w:val="000000"/>
          <w:szCs w:val="22"/>
          <w:lang w:val="sl-SI"/>
        </w:rPr>
        <w:t>in še najmanj 15 dni po koncu zdravljenja z zdravilom Glivec</w:t>
      </w:r>
      <w:r w:rsidRPr="004A59B1">
        <w:rPr>
          <w:color w:val="000000"/>
          <w:lang w:val="sl-SI"/>
        </w:rPr>
        <w:t>.</w:t>
      </w:r>
    </w:p>
    <w:p w14:paraId="52979E48" w14:textId="77777777" w:rsidR="00FF48C2" w:rsidRPr="004A59B1" w:rsidRDefault="00FF48C2" w:rsidP="009C1193">
      <w:pPr>
        <w:pStyle w:val="EndnoteText"/>
        <w:widowControl w:val="0"/>
        <w:rPr>
          <w:color w:val="000000"/>
          <w:lang w:val="sl-SI"/>
        </w:rPr>
      </w:pPr>
    </w:p>
    <w:p w14:paraId="52979E49" w14:textId="77777777" w:rsidR="00FF48C2" w:rsidRPr="004A59B1" w:rsidRDefault="00FF48C2" w:rsidP="009C1193">
      <w:pPr>
        <w:pStyle w:val="EndnoteText"/>
        <w:keepNext/>
        <w:widowControl w:val="0"/>
        <w:rPr>
          <w:color w:val="000000"/>
          <w:u w:val="single"/>
          <w:lang w:val="sl-SI"/>
        </w:rPr>
      </w:pPr>
      <w:r w:rsidRPr="004A59B1">
        <w:rPr>
          <w:color w:val="000000"/>
          <w:u w:val="single"/>
          <w:lang w:val="sl-SI"/>
        </w:rPr>
        <w:t>Plodnost</w:t>
      </w:r>
    </w:p>
    <w:p w14:paraId="52979E4A" w14:textId="77777777" w:rsidR="00FF48C2" w:rsidRPr="004A59B1" w:rsidRDefault="00FF48C2" w:rsidP="009C1193">
      <w:pPr>
        <w:pStyle w:val="EndnoteText"/>
        <w:widowControl w:val="0"/>
        <w:rPr>
          <w:color w:val="000000"/>
          <w:szCs w:val="22"/>
          <w:lang w:val="sl-SI"/>
        </w:rPr>
      </w:pPr>
      <w:r w:rsidRPr="004A59B1">
        <w:rPr>
          <w:color w:val="000000"/>
          <w:szCs w:val="22"/>
          <w:lang w:val="sl-SI"/>
        </w:rPr>
        <w:t>Predklinične štud</w:t>
      </w:r>
      <w:r w:rsidR="009A4AC1">
        <w:rPr>
          <w:color w:val="000000"/>
          <w:szCs w:val="22"/>
          <w:lang w:val="sl-SI"/>
        </w:rPr>
        <w:t>i</w:t>
      </w:r>
      <w:r w:rsidRPr="004A59B1">
        <w:rPr>
          <w:color w:val="000000"/>
          <w:szCs w:val="22"/>
          <w:lang w:val="sl-SI"/>
        </w:rPr>
        <w:t>je niso pokazale vpliva na plodnost pri podganjih samcih in samicah</w:t>
      </w:r>
      <w:r w:rsidR="009A4AC1">
        <w:rPr>
          <w:color w:val="000000"/>
          <w:szCs w:val="22"/>
          <w:lang w:val="sl-SI"/>
        </w:rPr>
        <w:t>, je pa bil opažen vpliv na nekatere parametre reprodukcije</w:t>
      </w:r>
      <w:r w:rsidRPr="004A59B1">
        <w:rPr>
          <w:color w:val="000000"/>
          <w:szCs w:val="22"/>
          <w:lang w:val="sl-SI"/>
        </w:rPr>
        <w:t xml:space="preserve"> (glejte poglavje 5.3). Pri ljudeh niso opravili študij z bolniki, ki prejemajo zdravilo Glivec, da bi preučili vpliv zdravila na plodnost in na gametogenezo. Bolniki, ki jih skrbi glede njihove plodnosti v času zdravljenja z zdravilom Glivec, naj se posvetujejo s svojim zdravnikom.</w:t>
      </w:r>
    </w:p>
    <w:p w14:paraId="52979E4B" w14:textId="77777777" w:rsidR="00FF48C2" w:rsidRPr="004A59B1" w:rsidRDefault="00FF48C2" w:rsidP="009C1193">
      <w:pPr>
        <w:pStyle w:val="EndnoteText"/>
        <w:widowControl w:val="0"/>
        <w:rPr>
          <w:color w:val="000000"/>
          <w:szCs w:val="22"/>
          <w:lang w:val="sl-SI"/>
        </w:rPr>
      </w:pPr>
    </w:p>
    <w:p w14:paraId="52979E4C" w14:textId="77777777" w:rsidR="00FF48C2" w:rsidRPr="004A59B1" w:rsidRDefault="00FF48C2" w:rsidP="009C1193">
      <w:pPr>
        <w:keepNext/>
        <w:widowControl w:val="0"/>
        <w:tabs>
          <w:tab w:val="clear" w:pos="567"/>
        </w:tabs>
        <w:spacing w:line="240" w:lineRule="auto"/>
        <w:ind w:left="567" w:hanging="567"/>
        <w:rPr>
          <w:color w:val="000000"/>
          <w:szCs w:val="22"/>
          <w:lang w:val="sl-SI"/>
        </w:rPr>
      </w:pPr>
      <w:r w:rsidRPr="004A59B1">
        <w:rPr>
          <w:b/>
          <w:color w:val="000000"/>
          <w:szCs w:val="22"/>
          <w:lang w:val="sl-SI"/>
        </w:rPr>
        <w:t>4.7</w:t>
      </w:r>
      <w:r w:rsidRPr="004A59B1">
        <w:rPr>
          <w:b/>
          <w:color w:val="000000"/>
          <w:szCs w:val="22"/>
          <w:lang w:val="sl-SI"/>
        </w:rPr>
        <w:tab/>
        <w:t>Vpliv na sposobnost vožnje in upravljanja stroj</w:t>
      </w:r>
      <w:r w:rsidR="00F43F6C">
        <w:rPr>
          <w:b/>
          <w:color w:val="000000"/>
          <w:szCs w:val="22"/>
          <w:lang w:val="sl-SI"/>
        </w:rPr>
        <w:t>ev</w:t>
      </w:r>
    </w:p>
    <w:p w14:paraId="52979E4D" w14:textId="77777777" w:rsidR="00FF48C2" w:rsidRPr="004A59B1" w:rsidRDefault="00FF48C2" w:rsidP="009C1193">
      <w:pPr>
        <w:pStyle w:val="EndnoteText"/>
        <w:keepNext/>
        <w:widowControl w:val="0"/>
        <w:tabs>
          <w:tab w:val="clear" w:pos="567"/>
        </w:tabs>
        <w:rPr>
          <w:color w:val="000000"/>
          <w:szCs w:val="22"/>
          <w:lang w:val="sl-SI"/>
        </w:rPr>
      </w:pPr>
    </w:p>
    <w:p w14:paraId="52979E4E" w14:textId="77777777" w:rsidR="00FF48C2" w:rsidRPr="004A59B1" w:rsidRDefault="00FF48C2" w:rsidP="009C1193">
      <w:pPr>
        <w:pStyle w:val="EndnoteText"/>
        <w:widowControl w:val="0"/>
        <w:tabs>
          <w:tab w:val="clear" w:pos="567"/>
        </w:tabs>
        <w:rPr>
          <w:snapToGrid w:val="0"/>
          <w:color w:val="000000"/>
          <w:szCs w:val="22"/>
          <w:lang w:val="sl-SI"/>
        </w:rPr>
      </w:pPr>
      <w:r w:rsidRPr="004A59B1">
        <w:rPr>
          <w:color w:val="000000"/>
          <w:szCs w:val="22"/>
          <w:lang w:val="sl-SI"/>
        </w:rPr>
        <w:t xml:space="preserve">Bolnikom je treba razložiti, da lahko med zdravljenjem z imatinibom doživijo neželene učinke, na primer vrtoglavost, meglen vid ali </w:t>
      </w:r>
      <w:r w:rsidR="006A40E1" w:rsidRPr="004A59B1">
        <w:rPr>
          <w:color w:val="000000"/>
          <w:szCs w:val="22"/>
          <w:lang w:val="sl-SI"/>
        </w:rPr>
        <w:t>somnolenca</w:t>
      </w:r>
      <w:r w:rsidRPr="004A59B1">
        <w:rPr>
          <w:color w:val="000000"/>
          <w:szCs w:val="22"/>
          <w:lang w:val="sl-SI"/>
        </w:rPr>
        <w:t>. Zato je treba bolnikom, ki vozijo avto ali uporabljajo stroje, priporočiti previdnost</w:t>
      </w:r>
      <w:r w:rsidRPr="004A59B1">
        <w:rPr>
          <w:snapToGrid w:val="0"/>
          <w:color w:val="000000"/>
          <w:szCs w:val="22"/>
          <w:lang w:val="sl-SI"/>
        </w:rPr>
        <w:t>.</w:t>
      </w:r>
    </w:p>
    <w:p w14:paraId="52979E4F" w14:textId="77777777" w:rsidR="00FF48C2" w:rsidRPr="004A59B1" w:rsidRDefault="00FF48C2" w:rsidP="009C1193">
      <w:pPr>
        <w:pStyle w:val="EndnoteText"/>
        <w:widowControl w:val="0"/>
        <w:tabs>
          <w:tab w:val="clear" w:pos="567"/>
        </w:tabs>
        <w:rPr>
          <w:color w:val="000000"/>
          <w:szCs w:val="22"/>
          <w:lang w:val="sl-SI"/>
        </w:rPr>
      </w:pPr>
    </w:p>
    <w:p w14:paraId="52979E50" w14:textId="77777777" w:rsidR="00FF48C2" w:rsidRPr="004A59B1" w:rsidRDefault="00FF48C2" w:rsidP="009C1193">
      <w:pPr>
        <w:keepNext/>
        <w:widowControl w:val="0"/>
        <w:tabs>
          <w:tab w:val="clear" w:pos="567"/>
        </w:tabs>
        <w:spacing w:line="240" w:lineRule="auto"/>
        <w:ind w:left="567" w:hanging="567"/>
        <w:rPr>
          <w:b/>
          <w:color w:val="000000"/>
          <w:szCs w:val="22"/>
          <w:lang w:val="sl-SI"/>
        </w:rPr>
      </w:pPr>
      <w:r w:rsidRPr="004A59B1">
        <w:rPr>
          <w:b/>
          <w:color w:val="000000"/>
          <w:szCs w:val="22"/>
          <w:lang w:val="sl-SI"/>
        </w:rPr>
        <w:t>4.8</w:t>
      </w:r>
      <w:r w:rsidRPr="004A59B1">
        <w:rPr>
          <w:b/>
          <w:color w:val="000000"/>
          <w:szCs w:val="22"/>
          <w:lang w:val="sl-SI"/>
        </w:rPr>
        <w:tab/>
        <w:t>Neželeni učinki</w:t>
      </w:r>
    </w:p>
    <w:p w14:paraId="52979E51" w14:textId="77777777" w:rsidR="00FF48C2" w:rsidRPr="004A59B1" w:rsidRDefault="00FF48C2" w:rsidP="009C1193">
      <w:pPr>
        <w:keepNext/>
        <w:widowControl w:val="0"/>
        <w:tabs>
          <w:tab w:val="clear" w:pos="567"/>
        </w:tabs>
        <w:spacing w:line="240" w:lineRule="auto"/>
        <w:rPr>
          <w:color w:val="000000"/>
          <w:szCs w:val="22"/>
          <w:lang w:val="sl-SI"/>
        </w:rPr>
      </w:pPr>
    </w:p>
    <w:p w14:paraId="52979E52" w14:textId="77777777" w:rsidR="00FF48C2" w:rsidRPr="004A59B1" w:rsidRDefault="00FF48C2" w:rsidP="009C1193">
      <w:pPr>
        <w:pStyle w:val="TextChar"/>
        <w:widowControl w:val="0"/>
        <w:spacing w:before="0"/>
        <w:jc w:val="left"/>
        <w:rPr>
          <w:color w:val="000000"/>
          <w:sz w:val="22"/>
          <w:szCs w:val="22"/>
          <w:lang w:val="sl-SI"/>
        </w:rPr>
      </w:pPr>
      <w:r w:rsidRPr="004A59B1">
        <w:rPr>
          <w:color w:val="000000"/>
          <w:sz w:val="22"/>
          <w:szCs w:val="22"/>
          <w:lang w:val="sl-SI"/>
        </w:rPr>
        <w:t>Bolniki z napredovalimi stadiji malignih bolezni imajo lahko številna sočasna medicinska stanja, ki lahko zakrijejo in ovirajo oceno vzročnosti neželenih reakcij zaradi različnih simptomov, povezanih z osnovno boleznijo, njenim napredovanjem in sočasnim dajanjem številnih zdravil.</w:t>
      </w:r>
    </w:p>
    <w:p w14:paraId="52979E53" w14:textId="77777777" w:rsidR="00FF48C2" w:rsidRPr="004A59B1" w:rsidRDefault="00FF48C2" w:rsidP="009C1193">
      <w:pPr>
        <w:pStyle w:val="TextChar"/>
        <w:widowControl w:val="0"/>
        <w:spacing w:before="0"/>
        <w:jc w:val="left"/>
        <w:rPr>
          <w:color w:val="000000"/>
          <w:sz w:val="22"/>
          <w:szCs w:val="22"/>
          <w:lang w:val="sl-SI"/>
        </w:rPr>
      </w:pPr>
    </w:p>
    <w:p w14:paraId="52979E54" w14:textId="77777777" w:rsidR="00FF48C2" w:rsidRPr="004A59B1" w:rsidRDefault="00FF48C2" w:rsidP="009C1193">
      <w:pPr>
        <w:pStyle w:val="TextChar"/>
        <w:widowControl w:val="0"/>
        <w:spacing w:before="0"/>
        <w:jc w:val="left"/>
        <w:rPr>
          <w:color w:val="000000"/>
          <w:sz w:val="22"/>
          <w:szCs w:val="22"/>
          <w:lang w:val="sl-SI"/>
        </w:rPr>
      </w:pPr>
      <w:r w:rsidRPr="004A59B1">
        <w:rPr>
          <w:color w:val="000000"/>
          <w:sz w:val="22"/>
          <w:szCs w:val="22"/>
          <w:lang w:val="sl-SI"/>
        </w:rPr>
        <w:t>V kliničnih preskušanjih pri KML so prekinitev dajanja zdravila zaradi neželenih reakcij, povezanih z zdravilom, zabeležili pri 2,4 % na novo diagnosticiranih bolnikov, 4 % bolnikov v pozni kronični fazi po neuspelem zdravljenju z interferonom, 4 % bolnikov v pospešeni fazi po neuspelem zdravljenju z interferonom in 5 % bolnikov v blastni krizi po neuspelem zdravljenju z interferonom. Pri GIST so preskušano zdravilo ukinili zaradi neželenih reakcij, povezanih z zdravilom, pri 4 % bolnikov.</w:t>
      </w:r>
    </w:p>
    <w:p w14:paraId="52979E55" w14:textId="77777777" w:rsidR="00FF48C2" w:rsidRPr="004A59B1" w:rsidRDefault="00FF48C2" w:rsidP="009C1193">
      <w:pPr>
        <w:pStyle w:val="TextChar"/>
        <w:widowControl w:val="0"/>
        <w:spacing w:before="0"/>
        <w:jc w:val="left"/>
        <w:rPr>
          <w:color w:val="000000"/>
          <w:sz w:val="22"/>
          <w:szCs w:val="22"/>
          <w:lang w:val="sl-SI"/>
        </w:rPr>
      </w:pPr>
    </w:p>
    <w:p w14:paraId="52979E56" w14:textId="77777777" w:rsidR="00FF48C2" w:rsidRPr="004A59B1" w:rsidRDefault="00FF48C2" w:rsidP="009C1193">
      <w:pPr>
        <w:pStyle w:val="TextChar"/>
        <w:widowControl w:val="0"/>
        <w:spacing w:before="0"/>
        <w:jc w:val="left"/>
        <w:rPr>
          <w:color w:val="000000"/>
          <w:sz w:val="22"/>
          <w:szCs w:val="22"/>
          <w:lang w:val="sl-SI"/>
        </w:rPr>
      </w:pPr>
      <w:r w:rsidRPr="004A59B1">
        <w:rPr>
          <w:color w:val="000000"/>
          <w:sz w:val="22"/>
          <w:szCs w:val="22"/>
          <w:lang w:val="sl-SI"/>
        </w:rPr>
        <w:t>Neželene reakcije so bile podobne pri vseh indikacijah, z dvema izjemama. Pri bolnikih s KML je bila izrazitejša mielosupresija kot pri bolnikih z GIST, kar je verjetno posledica osnovne bolezni. V študiji pri bolnikih z neresektabilnimi in/ali metastatskimi GIST je imelo 7 (5 %) bolnikov gastrointestinalne krvavitve CTC stopnje 3/4 (3 bolniki), intratumorske krvavitve (3 bolniki) ali obe vrsti krvavitev (1 bolnik</w:t>
      </w:r>
      <w:r w:rsidRPr="004A59B1">
        <w:rPr>
          <w:snapToGrid w:val="0"/>
          <w:color w:val="000000"/>
          <w:sz w:val="22"/>
          <w:szCs w:val="22"/>
          <w:lang w:val="sl-SI"/>
        </w:rPr>
        <w:t xml:space="preserve">). </w:t>
      </w:r>
      <w:r w:rsidRPr="004A59B1">
        <w:rPr>
          <w:color w:val="000000"/>
          <w:sz w:val="22"/>
          <w:szCs w:val="22"/>
          <w:lang w:val="sl-SI"/>
        </w:rPr>
        <w:t>Vir gastrointestinalnih krvavitev so bile morda lokacije gastrointestinalnih tumorjev (glejte poglavje 4.</w:t>
      </w:r>
      <w:r w:rsidRPr="004A59B1">
        <w:rPr>
          <w:snapToGrid w:val="0"/>
          <w:color w:val="000000"/>
          <w:sz w:val="22"/>
          <w:szCs w:val="22"/>
          <w:lang w:val="sl-SI"/>
        </w:rPr>
        <w:t xml:space="preserve">4). </w:t>
      </w:r>
      <w:r w:rsidRPr="004A59B1">
        <w:rPr>
          <w:color w:val="000000"/>
          <w:sz w:val="22"/>
          <w:szCs w:val="22"/>
          <w:lang w:val="sl-SI"/>
        </w:rPr>
        <w:t>Gastrointestinalne in tumorske krvavitve so lahko resne in včasih smrtne. Z zdravilom povezane neželene reakcije, o katerih so najpogosteje poročali (≥ 10 %), so bile blaga navzea, bruhanje, driska, bolečine v trebuhu, utrujenost, mialgija, mišični krči in izpuščaj. Površinski edemi so bili v vseh študijah pogosti, opisali so jih predvsem kot periorbitalne ali kot edeme spodnjih udov. Vendar so bili ti edemi redko težki in jih lahko zdravimo z diuretiki, drugimi podpornimi ukrepi ali z zmanjšanjem odmerka zdravila Glivec.</w:t>
      </w:r>
    </w:p>
    <w:p w14:paraId="52979E57" w14:textId="77777777" w:rsidR="00FF48C2" w:rsidRPr="004A59B1" w:rsidRDefault="00FF48C2" w:rsidP="009C1193">
      <w:pPr>
        <w:pStyle w:val="TextChar"/>
        <w:widowControl w:val="0"/>
        <w:spacing w:before="0"/>
        <w:jc w:val="left"/>
        <w:rPr>
          <w:color w:val="000000"/>
          <w:sz w:val="22"/>
          <w:szCs w:val="22"/>
          <w:lang w:val="sl-SI"/>
        </w:rPr>
      </w:pPr>
    </w:p>
    <w:p w14:paraId="52979E58" w14:textId="77777777" w:rsidR="00FF48C2" w:rsidRPr="004A59B1" w:rsidRDefault="00FF48C2" w:rsidP="009C1193">
      <w:pPr>
        <w:pStyle w:val="TextChar"/>
        <w:widowControl w:val="0"/>
        <w:spacing w:before="0"/>
        <w:jc w:val="left"/>
        <w:rPr>
          <w:color w:val="000000"/>
          <w:sz w:val="22"/>
          <w:szCs w:val="22"/>
          <w:lang w:val="sl-SI"/>
        </w:rPr>
      </w:pPr>
      <w:r w:rsidRPr="004A59B1">
        <w:rPr>
          <w:color w:val="000000"/>
          <w:sz w:val="22"/>
          <w:szCs w:val="22"/>
          <w:lang w:val="sl-SI"/>
        </w:rPr>
        <w:t>Kadar so imatinib uporabljali v kombinaciji z visokoodmerno kemoterapevtsko shemo pri bolnikih s Ph+ ALL, je prišlo do prehodne toksičnosti za jetra v obliki zvišanja aminotransferaz in hiperbilirubinemije. Baza podatkov do zdaj sporočenih neželenih dogodkov pri otrocih je majhna, vendar se podatki v njej ujemajo z varnostnimi lastnostmi zdravila pri odraslih bolnikih s Ph+ ALL. Čeprav je baza podatkov za otroke s Ph+ ALL zelo majhna, zaenkrat niso odkrili nobenih novih pomislekov glede varnosti.</w:t>
      </w:r>
    </w:p>
    <w:p w14:paraId="52979E59" w14:textId="77777777" w:rsidR="00FF48C2" w:rsidRPr="004A59B1" w:rsidRDefault="00FF48C2" w:rsidP="009C1193">
      <w:pPr>
        <w:pStyle w:val="TextChar"/>
        <w:widowControl w:val="0"/>
        <w:spacing w:before="0"/>
        <w:jc w:val="left"/>
        <w:rPr>
          <w:color w:val="000000"/>
          <w:sz w:val="22"/>
          <w:szCs w:val="22"/>
          <w:lang w:val="sl-SI"/>
        </w:rPr>
      </w:pPr>
    </w:p>
    <w:p w14:paraId="52979E5A" w14:textId="77777777" w:rsidR="00FF48C2" w:rsidRPr="004A59B1" w:rsidRDefault="00FF48C2" w:rsidP="009C1193">
      <w:pPr>
        <w:pStyle w:val="TextChar"/>
        <w:widowControl w:val="0"/>
        <w:spacing w:before="0"/>
        <w:jc w:val="left"/>
        <w:rPr>
          <w:color w:val="000000"/>
          <w:sz w:val="22"/>
          <w:szCs w:val="22"/>
          <w:lang w:val="sl-SI"/>
        </w:rPr>
      </w:pPr>
      <w:r w:rsidRPr="004A59B1">
        <w:rPr>
          <w:color w:val="000000"/>
          <w:sz w:val="22"/>
          <w:szCs w:val="22"/>
          <w:lang w:val="sl-SI"/>
        </w:rPr>
        <w:t xml:space="preserve">Različne neželene reakcije, na primer plevralni izliv, ascites, pljučni edem in hitro naraščanje telesne </w:t>
      </w:r>
      <w:r w:rsidRPr="004A59B1">
        <w:rPr>
          <w:color w:val="000000"/>
          <w:sz w:val="22"/>
          <w:szCs w:val="22"/>
          <w:lang w:val="sl-SI"/>
        </w:rPr>
        <w:lastRenderedPageBreak/>
        <w:t>mase, bodisi s površinskimi edemi bodisi brez njih, imenujemo s skupnim izrazom “retenca tekočine”. Te reakcije lahko navadno zdravimo z začasno ukinitvijo zdravila Glivec, z diuretiki in drugimi ustreznimi podpornimi negovalnimi ukrepi. Vendar so nekatere od teh reakcij lahko resne ali smrtno nevarne.Več bolnikov z blastno krizo je namreč umrlo z zapleteno klinično anamnezo plevralnega izliva, kongestivnega popuščanja srca in ledvične odpovedi. V pediatričnih kliničnih preskušanjih ni bilo posebnih ugotovitev o varnosti.</w:t>
      </w:r>
    </w:p>
    <w:p w14:paraId="52979E5B" w14:textId="77777777" w:rsidR="00FF48C2" w:rsidRPr="004A59B1" w:rsidRDefault="00FF48C2" w:rsidP="009C1193">
      <w:pPr>
        <w:pStyle w:val="TextChar"/>
        <w:widowControl w:val="0"/>
        <w:spacing w:before="0"/>
        <w:jc w:val="left"/>
        <w:rPr>
          <w:color w:val="000000"/>
          <w:sz w:val="22"/>
          <w:szCs w:val="22"/>
          <w:lang w:val="sl-SI"/>
        </w:rPr>
      </w:pPr>
    </w:p>
    <w:p w14:paraId="52979E5C" w14:textId="77777777" w:rsidR="00FF48C2" w:rsidRPr="004A59B1" w:rsidRDefault="00FF48C2" w:rsidP="009C1193">
      <w:pPr>
        <w:pStyle w:val="TextChar"/>
        <w:keepNext/>
        <w:widowControl w:val="0"/>
        <w:spacing w:before="0"/>
        <w:jc w:val="left"/>
        <w:rPr>
          <w:b/>
          <w:color w:val="000000"/>
          <w:sz w:val="22"/>
          <w:szCs w:val="22"/>
          <w:lang w:val="sl-SI"/>
        </w:rPr>
      </w:pPr>
      <w:r w:rsidRPr="004A59B1">
        <w:rPr>
          <w:b/>
          <w:color w:val="000000"/>
          <w:sz w:val="22"/>
          <w:szCs w:val="22"/>
          <w:lang w:val="sl-SI"/>
        </w:rPr>
        <w:t>Neželeni učinki</w:t>
      </w:r>
    </w:p>
    <w:p w14:paraId="52979E5D" w14:textId="77777777" w:rsidR="00FF48C2" w:rsidRPr="004A59B1" w:rsidRDefault="00FF48C2" w:rsidP="009C1193">
      <w:pPr>
        <w:pStyle w:val="TextChar"/>
        <w:widowControl w:val="0"/>
        <w:spacing w:before="0"/>
        <w:jc w:val="left"/>
        <w:rPr>
          <w:color w:val="000000"/>
          <w:sz w:val="22"/>
          <w:szCs w:val="22"/>
          <w:lang w:val="sl-SI"/>
        </w:rPr>
      </w:pPr>
      <w:r w:rsidRPr="004A59B1">
        <w:rPr>
          <w:color w:val="000000"/>
          <w:sz w:val="22"/>
          <w:szCs w:val="22"/>
          <w:lang w:val="sl-SI"/>
        </w:rPr>
        <w:t>Neželeni učinki, o katerih so poročali več kot enkrat, so navedeni spodaj po organskih sistemih in po pogostnosti. Kategorije pogostnosti so opredeljene z naslednjim dogovorom: zelo pogosti (≥1/10), pogosti (≥1/100 do &lt;1/10), občasni (≥1/1.000 do &lt;1/100), redki (≥1/10.000 do &lt;1/1.000), zelo redki (&lt;1/10.000), neznana (ni mogoče oceniti iz razpoložljivih podatkov).</w:t>
      </w:r>
    </w:p>
    <w:p w14:paraId="52979E5E" w14:textId="77777777" w:rsidR="00FF48C2" w:rsidRPr="004A59B1" w:rsidRDefault="00FF48C2" w:rsidP="009C1193">
      <w:pPr>
        <w:widowControl w:val="0"/>
        <w:tabs>
          <w:tab w:val="clear" w:pos="567"/>
        </w:tabs>
        <w:spacing w:line="240" w:lineRule="auto"/>
        <w:ind w:left="567" w:hanging="567"/>
        <w:rPr>
          <w:noProof/>
          <w:color w:val="000000"/>
          <w:szCs w:val="22"/>
          <w:lang w:val="sl-SI"/>
        </w:rPr>
      </w:pPr>
    </w:p>
    <w:p w14:paraId="52979E5F" w14:textId="77777777" w:rsidR="00FF48C2" w:rsidRPr="004A59B1" w:rsidRDefault="00FF48C2" w:rsidP="009C1193">
      <w:pPr>
        <w:widowControl w:val="0"/>
        <w:tabs>
          <w:tab w:val="clear" w:pos="567"/>
        </w:tabs>
        <w:spacing w:line="240" w:lineRule="auto"/>
        <w:rPr>
          <w:noProof/>
          <w:color w:val="000000"/>
          <w:szCs w:val="22"/>
          <w:lang w:val="sl-SI"/>
        </w:rPr>
      </w:pPr>
      <w:r w:rsidRPr="004A59B1">
        <w:rPr>
          <w:noProof/>
          <w:color w:val="000000"/>
          <w:szCs w:val="22"/>
          <w:lang w:val="sl-SI"/>
        </w:rPr>
        <w:t>V razvrstitvah pogostnosti so neželeni učinki navedeni po pogostnosti, najpogostejši najprej.</w:t>
      </w:r>
    </w:p>
    <w:p w14:paraId="52979E60" w14:textId="77777777" w:rsidR="00FF48C2" w:rsidRPr="004A59B1" w:rsidRDefault="00FF48C2" w:rsidP="009C1193">
      <w:pPr>
        <w:pStyle w:val="Heading4"/>
        <w:keepNext w:val="0"/>
        <w:widowControl w:val="0"/>
        <w:spacing w:line="240" w:lineRule="auto"/>
        <w:jc w:val="left"/>
        <w:rPr>
          <w:b w:val="0"/>
          <w:noProof w:val="0"/>
          <w:color w:val="000000"/>
          <w:szCs w:val="22"/>
          <w:lang w:val="sl-SI"/>
        </w:rPr>
      </w:pPr>
    </w:p>
    <w:p w14:paraId="52979E61" w14:textId="77777777" w:rsidR="00FF48C2" w:rsidRPr="004A59B1" w:rsidRDefault="00FF48C2" w:rsidP="009C1193">
      <w:pPr>
        <w:widowControl w:val="0"/>
        <w:rPr>
          <w:color w:val="000000"/>
          <w:lang w:val="sl-SI"/>
        </w:rPr>
      </w:pPr>
      <w:r w:rsidRPr="004A59B1">
        <w:rPr>
          <w:color w:val="000000"/>
          <w:szCs w:val="24"/>
          <w:lang w:val="sl-SI" w:eastAsia="ja-JP"/>
        </w:rPr>
        <w:t xml:space="preserve">V preglednici 1 </w:t>
      </w:r>
      <w:r w:rsidR="006A40E1" w:rsidRPr="004A59B1">
        <w:rPr>
          <w:color w:val="000000"/>
          <w:szCs w:val="24"/>
          <w:lang w:val="sl-SI" w:eastAsia="ja-JP"/>
        </w:rPr>
        <w:t xml:space="preserve">so </w:t>
      </w:r>
      <w:r w:rsidRPr="004A59B1">
        <w:rPr>
          <w:color w:val="000000"/>
          <w:szCs w:val="24"/>
          <w:lang w:val="sl-SI" w:eastAsia="ja-JP"/>
        </w:rPr>
        <w:t>navedeni neželeni učinki in njihove pogostnosti.</w:t>
      </w:r>
    </w:p>
    <w:p w14:paraId="52979E62" w14:textId="77777777" w:rsidR="00FF48C2" w:rsidRPr="004A59B1" w:rsidRDefault="00FF48C2" w:rsidP="009C1193">
      <w:pPr>
        <w:widowControl w:val="0"/>
        <w:rPr>
          <w:color w:val="000000"/>
          <w:lang w:val="sl-SI"/>
        </w:rPr>
      </w:pPr>
    </w:p>
    <w:p w14:paraId="52979E63" w14:textId="77777777" w:rsidR="00FF48C2" w:rsidRPr="004A59B1" w:rsidRDefault="00FF48C2" w:rsidP="009C1193">
      <w:pPr>
        <w:keepNext/>
        <w:widowControl w:val="0"/>
        <w:tabs>
          <w:tab w:val="clear" w:pos="567"/>
          <w:tab w:val="left" w:pos="1134"/>
        </w:tabs>
        <w:rPr>
          <w:b/>
          <w:color w:val="000000"/>
          <w:lang w:val="sl-SI"/>
        </w:rPr>
      </w:pPr>
      <w:r w:rsidRPr="004A59B1">
        <w:rPr>
          <w:b/>
          <w:color w:val="000000"/>
          <w:lang w:val="sl-SI"/>
        </w:rPr>
        <w:t>Preglednica 1</w:t>
      </w:r>
      <w:r w:rsidRPr="004A59B1">
        <w:rPr>
          <w:b/>
          <w:color w:val="000000"/>
          <w:lang w:val="sl-SI"/>
        </w:rPr>
        <w:tab/>
      </w:r>
      <w:r w:rsidR="006A40E1" w:rsidRPr="004A59B1">
        <w:rPr>
          <w:b/>
          <w:color w:val="000000"/>
          <w:lang w:val="sl-SI"/>
        </w:rPr>
        <w:t>Preglednica neželenih učinkov</w:t>
      </w:r>
    </w:p>
    <w:p w14:paraId="52979E64" w14:textId="77777777" w:rsidR="00FF48C2" w:rsidRPr="004A59B1" w:rsidRDefault="00FF48C2" w:rsidP="009C1193">
      <w:pPr>
        <w:keepNext/>
        <w:widowControl w:val="0"/>
        <w:tabs>
          <w:tab w:val="clear" w:pos="567"/>
          <w:tab w:val="left" w:pos="1134"/>
        </w:tabs>
        <w:rPr>
          <w:bCs/>
          <w:color w:val="000000"/>
          <w:lang w:val="sl-SI"/>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FF48C2" w:rsidRPr="004A59B1" w14:paraId="52979E66" w14:textId="77777777" w:rsidTr="000A6242">
        <w:trPr>
          <w:cantSplit/>
        </w:trPr>
        <w:tc>
          <w:tcPr>
            <w:tcW w:w="9322" w:type="dxa"/>
            <w:gridSpan w:val="2"/>
          </w:tcPr>
          <w:p w14:paraId="52979E65" w14:textId="77777777" w:rsidR="00FF48C2" w:rsidRPr="004A59B1" w:rsidRDefault="00FF48C2" w:rsidP="009C1193">
            <w:pPr>
              <w:keepNext/>
              <w:widowControl w:val="0"/>
              <w:rPr>
                <w:color w:val="000000"/>
              </w:rPr>
            </w:pPr>
            <w:r w:rsidRPr="004A59B1">
              <w:rPr>
                <w:b/>
                <w:color w:val="000000"/>
                <w:szCs w:val="22"/>
                <w:lang w:val="fr-FR"/>
              </w:rPr>
              <w:t>Infekcijske in parazitske bolezni</w:t>
            </w:r>
          </w:p>
        </w:tc>
      </w:tr>
      <w:tr w:rsidR="00FF48C2" w:rsidRPr="004A59B1" w14:paraId="52979E69" w14:textId="77777777" w:rsidTr="000A6242">
        <w:trPr>
          <w:cantSplit/>
        </w:trPr>
        <w:tc>
          <w:tcPr>
            <w:tcW w:w="2235" w:type="dxa"/>
          </w:tcPr>
          <w:p w14:paraId="52979E67" w14:textId="77777777" w:rsidR="00FF48C2" w:rsidRPr="004A59B1" w:rsidRDefault="00FF48C2" w:rsidP="009C1193">
            <w:pPr>
              <w:keepNext/>
              <w:widowControl w:val="0"/>
              <w:rPr>
                <w:color w:val="000000"/>
              </w:rPr>
            </w:pPr>
            <w:r w:rsidRPr="004A59B1">
              <w:rPr>
                <w:i/>
                <w:color w:val="000000"/>
                <w:szCs w:val="22"/>
              </w:rPr>
              <w:t>občasni</w:t>
            </w:r>
            <w:r w:rsidRPr="004A59B1">
              <w:rPr>
                <w:color w:val="000000"/>
                <w:szCs w:val="22"/>
              </w:rPr>
              <w:t>:</w:t>
            </w:r>
          </w:p>
        </w:tc>
        <w:tc>
          <w:tcPr>
            <w:tcW w:w="7087" w:type="dxa"/>
          </w:tcPr>
          <w:p w14:paraId="52979E68" w14:textId="77777777" w:rsidR="00FF48C2" w:rsidRPr="004A59B1" w:rsidRDefault="00FF48C2" w:rsidP="009C1193">
            <w:pPr>
              <w:keepNext/>
              <w:widowControl w:val="0"/>
              <w:rPr>
                <w:color w:val="000000"/>
                <w:szCs w:val="22"/>
              </w:rPr>
            </w:pPr>
            <w:r w:rsidRPr="004A59B1">
              <w:rPr>
                <w:color w:val="000000"/>
                <w:szCs w:val="22"/>
              </w:rPr>
              <w:t>herpes zoster, herpes simpleks, nazofaringitis, pljučnica</w:t>
            </w:r>
            <w:r w:rsidRPr="004A59B1">
              <w:rPr>
                <w:color w:val="000000"/>
                <w:szCs w:val="22"/>
                <w:vertAlign w:val="superscript"/>
              </w:rPr>
              <w:t>1</w:t>
            </w:r>
            <w:r w:rsidRPr="004A59B1">
              <w:rPr>
                <w:color w:val="000000"/>
                <w:szCs w:val="22"/>
              </w:rPr>
              <w:t>, sinuzitis, flegmona, okužba zgornjih dihal, gripa, okužba sečil, gastroenteritis, sepsa</w:t>
            </w:r>
          </w:p>
        </w:tc>
      </w:tr>
      <w:tr w:rsidR="00FF48C2" w:rsidRPr="004A59B1" w14:paraId="52979E6C" w14:textId="77777777" w:rsidTr="000A6242">
        <w:trPr>
          <w:cantSplit/>
        </w:trPr>
        <w:tc>
          <w:tcPr>
            <w:tcW w:w="2235" w:type="dxa"/>
          </w:tcPr>
          <w:p w14:paraId="52979E6A" w14:textId="77777777" w:rsidR="00FF48C2" w:rsidRPr="004A59B1" w:rsidRDefault="00FF48C2" w:rsidP="009C1193">
            <w:pPr>
              <w:keepNext/>
              <w:widowControl w:val="0"/>
              <w:rPr>
                <w:color w:val="000000"/>
              </w:rPr>
            </w:pPr>
            <w:r w:rsidRPr="004A59B1">
              <w:rPr>
                <w:i/>
                <w:color w:val="000000"/>
                <w:szCs w:val="22"/>
              </w:rPr>
              <w:t>redki</w:t>
            </w:r>
            <w:r w:rsidRPr="004A59B1">
              <w:rPr>
                <w:color w:val="000000"/>
                <w:szCs w:val="22"/>
              </w:rPr>
              <w:t>:</w:t>
            </w:r>
          </w:p>
        </w:tc>
        <w:tc>
          <w:tcPr>
            <w:tcW w:w="7087" w:type="dxa"/>
          </w:tcPr>
          <w:p w14:paraId="52979E6B" w14:textId="77777777" w:rsidR="00FF48C2" w:rsidRPr="004A59B1" w:rsidRDefault="00FF48C2" w:rsidP="009C1193">
            <w:pPr>
              <w:keepNext/>
              <w:widowControl w:val="0"/>
              <w:rPr>
                <w:color w:val="000000"/>
              </w:rPr>
            </w:pPr>
            <w:r w:rsidRPr="004A59B1">
              <w:rPr>
                <w:color w:val="000000"/>
                <w:szCs w:val="22"/>
              </w:rPr>
              <w:t>glivične okužbe</w:t>
            </w:r>
          </w:p>
        </w:tc>
      </w:tr>
      <w:tr w:rsidR="00DD0545" w:rsidRPr="004A59B1" w14:paraId="52979E6F" w14:textId="77777777" w:rsidTr="000A6242">
        <w:trPr>
          <w:cantSplit/>
        </w:trPr>
        <w:tc>
          <w:tcPr>
            <w:tcW w:w="2235" w:type="dxa"/>
          </w:tcPr>
          <w:p w14:paraId="52979E6D" w14:textId="77777777" w:rsidR="00DD0545" w:rsidRPr="004A59B1" w:rsidRDefault="00DD0545" w:rsidP="009C1193">
            <w:pPr>
              <w:widowControl w:val="0"/>
              <w:rPr>
                <w:i/>
                <w:color w:val="000000"/>
                <w:szCs w:val="22"/>
              </w:rPr>
            </w:pPr>
            <w:r w:rsidRPr="004A59B1">
              <w:rPr>
                <w:i/>
                <w:color w:val="000000"/>
                <w:szCs w:val="22"/>
              </w:rPr>
              <w:t>pogostnost neznana:</w:t>
            </w:r>
          </w:p>
        </w:tc>
        <w:tc>
          <w:tcPr>
            <w:tcW w:w="7087" w:type="dxa"/>
          </w:tcPr>
          <w:p w14:paraId="52979E6E" w14:textId="77777777" w:rsidR="00DD0545" w:rsidRPr="004A59B1" w:rsidRDefault="00DD0545" w:rsidP="009C1193">
            <w:pPr>
              <w:widowControl w:val="0"/>
              <w:rPr>
                <w:color w:val="000000"/>
                <w:szCs w:val="22"/>
              </w:rPr>
            </w:pPr>
            <w:r w:rsidRPr="00AC42B3">
              <w:rPr>
                <w:color w:val="000000"/>
                <w:szCs w:val="22"/>
              </w:rPr>
              <w:t>reaktivacija hepatitisa B</w:t>
            </w:r>
            <w:r w:rsidRPr="004A59B1">
              <w:rPr>
                <w:color w:val="000000"/>
                <w:szCs w:val="22"/>
                <w:lang w:val="fi-FI"/>
              </w:rPr>
              <w:t>*</w:t>
            </w:r>
          </w:p>
        </w:tc>
      </w:tr>
      <w:tr w:rsidR="00FF48C2" w:rsidRPr="004A59B1" w14:paraId="52979E71" w14:textId="77777777" w:rsidTr="000A6242">
        <w:trPr>
          <w:cantSplit/>
        </w:trPr>
        <w:tc>
          <w:tcPr>
            <w:tcW w:w="9322" w:type="dxa"/>
            <w:gridSpan w:val="2"/>
          </w:tcPr>
          <w:p w14:paraId="52979E70" w14:textId="77777777" w:rsidR="00FF48C2" w:rsidRPr="004A59B1" w:rsidRDefault="00FF48C2" w:rsidP="009C1193">
            <w:pPr>
              <w:keepNext/>
              <w:widowControl w:val="0"/>
              <w:rPr>
                <w:color w:val="000000"/>
                <w:szCs w:val="22"/>
              </w:rPr>
            </w:pPr>
            <w:r w:rsidRPr="004A59B1">
              <w:rPr>
                <w:b/>
                <w:color w:val="000000"/>
                <w:szCs w:val="22"/>
              </w:rPr>
              <w:t>Benigne, maligne in neopredeljene novotvorbe (vključno s cistami in polipi)</w:t>
            </w:r>
          </w:p>
        </w:tc>
      </w:tr>
      <w:tr w:rsidR="00FF48C2" w:rsidRPr="004A59B1" w14:paraId="52979E74" w14:textId="77777777" w:rsidTr="000A6242">
        <w:trPr>
          <w:cantSplit/>
        </w:trPr>
        <w:tc>
          <w:tcPr>
            <w:tcW w:w="2235" w:type="dxa"/>
          </w:tcPr>
          <w:p w14:paraId="52979E72" w14:textId="77777777" w:rsidR="00FF48C2" w:rsidRPr="004A59B1" w:rsidRDefault="00FF48C2" w:rsidP="009C1193">
            <w:pPr>
              <w:keepNext/>
              <w:widowControl w:val="0"/>
              <w:rPr>
                <w:i/>
                <w:color w:val="000000"/>
                <w:szCs w:val="22"/>
              </w:rPr>
            </w:pPr>
            <w:r w:rsidRPr="004A59B1">
              <w:rPr>
                <w:i/>
                <w:color w:val="000000"/>
                <w:szCs w:val="22"/>
              </w:rPr>
              <w:t>redki:</w:t>
            </w:r>
          </w:p>
        </w:tc>
        <w:tc>
          <w:tcPr>
            <w:tcW w:w="7087" w:type="dxa"/>
          </w:tcPr>
          <w:p w14:paraId="52979E73" w14:textId="77777777" w:rsidR="00FF48C2" w:rsidRPr="004A59B1" w:rsidRDefault="00FF48C2" w:rsidP="009C1193">
            <w:pPr>
              <w:keepNext/>
              <w:widowControl w:val="0"/>
              <w:rPr>
                <w:color w:val="000000"/>
                <w:szCs w:val="22"/>
              </w:rPr>
            </w:pPr>
            <w:r w:rsidRPr="004A59B1">
              <w:rPr>
                <w:color w:val="000000"/>
                <w:szCs w:val="22"/>
              </w:rPr>
              <w:t>sindrom tumorske lize</w:t>
            </w:r>
          </w:p>
        </w:tc>
      </w:tr>
      <w:tr w:rsidR="006A40E1" w:rsidRPr="004A59B1" w14:paraId="52979E77" w14:textId="77777777" w:rsidTr="000A6242">
        <w:trPr>
          <w:cantSplit/>
        </w:trPr>
        <w:tc>
          <w:tcPr>
            <w:tcW w:w="2235" w:type="dxa"/>
          </w:tcPr>
          <w:p w14:paraId="52979E75" w14:textId="77777777" w:rsidR="006A40E1" w:rsidRPr="004A59B1" w:rsidRDefault="006A40E1" w:rsidP="009C1193">
            <w:pPr>
              <w:widowControl w:val="0"/>
              <w:rPr>
                <w:i/>
                <w:color w:val="000000"/>
                <w:szCs w:val="22"/>
              </w:rPr>
            </w:pPr>
            <w:r w:rsidRPr="004A59B1">
              <w:rPr>
                <w:i/>
                <w:color w:val="000000"/>
                <w:szCs w:val="22"/>
              </w:rPr>
              <w:t>pogostnost neznana:</w:t>
            </w:r>
          </w:p>
        </w:tc>
        <w:tc>
          <w:tcPr>
            <w:tcW w:w="7087" w:type="dxa"/>
          </w:tcPr>
          <w:p w14:paraId="52979E76" w14:textId="77777777" w:rsidR="006A40E1" w:rsidRPr="004A59B1" w:rsidRDefault="006A40E1" w:rsidP="009C1193">
            <w:pPr>
              <w:widowControl w:val="0"/>
              <w:rPr>
                <w:color w:val="000000"/>
                <w:szCs w:val="22"/>
              </w:rPr>
            </w:pPr>
            <w:r w:rsidRPr="004A59B1">
              <w:rPr>
                <w:color w:val="000000"/>
                <w:szCs w:val="22"/>
                <w:lang w:val="fi-FI"/>
              </w:rPr>
              <w:t>krvavitev iz tumorja/nekroza tumorja*</w:t>
            </w:r>
          </w:p>
        </w:tc>
      </w:tr>
      <w:tr w:rsidR="006A40E1" w:rsidRPr="004A59B1" w14:paraId="52979E79" w14:textId="77777777" w:rsidTr="000A6242">
        <w:trPr>
          <w:cantSplit/>
        </w:trPr>
        <w:tc>
          <w:tcPr>
            <w:tcW w:w="9322" w:type="dxa"/>
            <w:gridSpan w:val="2"/>
          </w:tcPr>
          <w:p w14:paraId="52979E78" w14:textId="77777777" w:rsidR="006A40E1" w:rsidRPr="004A59B1" w:rsidRDefault="006A40E1" w:rsidP="009C1193">
            <w:pPr>
              <w:keepNext/>
              <w:widowControl w:val="0"/>
              <w:rPr>
                <w:b/>
                <w:color w:val="000000"/>
                <w:szCs w:val="22"/>
                <w:lang w:val="it-IT"/>
              </w:rPr>
            </w:pPr>
            <w:r w:rsidRPr="004A59B1">
              <w:rPr>
                <w:b/>
                <w:color w:val="000000"/>
                <w:szCs w:val="22"/>
              </w:rPr>
              <w:t>Bolezni imunskega sistema</w:t>
            </w:r>
          </w:p>
        </w:tc>
      </w:tr>
      <w:tr w:rsidR="006A40E1" w:rsidRPr="004A59B1" w14:paraId="52979E7C" w14:textId="77777777" w:rsidTr="000A6242">
        <w:trPr>
          <w:cantSplit/>
        </w:trPr>
        <w:tc>
          <w:tcPr>
            <w:tcW w:w="2235" w:type="dxa"/>
          </w:tcPr>
          <w:p w14:paraId="52979E7A" w14:textId="77777777" w:rsidR="006A40E1" w:rsidRPr="004A59B1" w:rsidRDefault="006A40E1" w:rsidP="009C1193">
            <w:pPr>
              <w:widowControl w:val="0"/>
              <w:rPr>
                <w:i/>
                <w:color w:val="000000"/>
                <w:szCs w:val="22"/>
              </w:rPr>
            </w:pPr>
            <w:r w:rsidRPr="004A59B1">
              <w:rPr>
                <w:i/>
                <w:color w:val="000000"/>
                <w:szCs w:val="22"/>
              </w:rPr>
              <w:t>pogostnost neznana:</w:t>
            </w:r>
          </w:p>
        </w:tc>
        <w:tc>
          <w:tcPr>
            <w:tcW w:w="7087" w:type="dxa"/>
          </w:tcPr>
          <w:p w14:paraId="52979E7B" w14:textId="77777777" w:rsidR="006A40E1" w:rsidRPr="004A59B1" w:rsidRDefault="006A40E1" w:rsidP="009C1193">
            <w:pPr>
              <w:widowControl w:val="0"/>
              <w:rPr>
                <w:color w:val="000000"/>
                <w:szCs w:val="22"/>
              </w:rPr>
            </w:pPr>
            <w:r w:rsidRPr="004A59B1">
              <w:rPr>
                <w:color w:val="000000"/>
                <w:szCs w:val="22"/>
                <w:lang w:val="fi-FI"/>
              </w:rPr>
              <w:t>anafilaktični šok*</w:t>
            </w:r>
          </w:p>
        </w:tc>
      </w:tr>
      <w:tr w:rsidR="006A40E1" w:rsidRPr="003B6568" w14:paraId="52979E7E" w14:textId="77777777" w:rsidTr="000A6242">
        <w:trPr>
          <w:cantSplit/>
        </w:trPr>
        <w:tc>
          <w:tcPr>
            <w:tcW w:w="9322" w:type="dxa"/>
            <w:gridSpan w:val="2"/>
          </w:tcPr>
          <w:p w14:paraId="52979E7D" w14:textId="77777777" w:rsidR="006A40E1" w:rsidRPr="004A59B1" w:rsidRDefault="006A40E1" w:rsidP="009C1193">
            <w:pPr>
              <w:keepNext/>
              <w:widowControl w:val="0"/>
              <w:rPr>
                <w:color w:val="000000"/>
                <w:lang w:val="it-IT"/>
              </w:rPr>
            </w:pPr>
            <w:r w:rsidRPr="004A59B1">
              <w:rPr>
                <w:b/>
                <w:color w:val="000000"/>
                <w:szCs w:val="22"/>
                <w:lang w:val="it-IT"/>
              </w:rPr>
              <w:t>Bolezni krvi in limfatičnega sistema</w:t>
            </w:r>
          </w:p>
        </w:tc>
      </w:tr>
      <w:tr w:rsidR="006A40E1" w:rsidRPr="004A59B1" w14:paraId="52979E81" w14:textId="77777777" w:rsidTr="000A6242">
        <w:trPr>
          <w:cantSplit/>
        </w:trPr>
        <w:tc>
          <w:tcPr>
            <w:tcW w:w="2235" w:type="dxa"/>
          </w:tcPr>
          <w:p w14:paraId="52979E7F" w14:textId="77777777" w:rsidR="006A40E1" w:rsidRPr="004A59B1" w:rsidRDefault="006A40E1" w:rsidP="009C1193">
            <w:pPr>
              <w:keepNext/>
              <w:widowControl w:val="0"/>
              <w:rPr>
                <w:color w:val="000000"/>
              </w:rPr>
            </w:pPr>
            <w:r w:rsidRPr="004A59B1">
              <w:rPr>
                <w:i/>
                <w:color w:val="000000"/>
                <w:szCs w:val="22"/>
              </w:rPr>
              <w:t>zelo pogosti:</w:t>
            </w:r>
          </w:p>
        </w:tc>
        <w:tc>
          <w:tcPr>
            <w:tcW w:w="7087" w:type="dxa"/>
          </w:tcPr>
          <w:p w14:paraId="52979E80" w14:textId="77777777" w:rsidR="006A40E1" w:rsidRPr="004A59B1" w:rsidRDefault="006A40E1" w:rsidP="009C1193">
            <w:pPr>
              <w:keepNext/>
              <w:widowControl w:val="0"/>
              <w:rPr>
                <w:color w:val="000000"/>
              </w:rPr>
            </w:pPr>
            <w:r w:rsidRPr="004A59B1">
              <w:rPr>
                <w:color w:val="000000"/>
                <w:szCs w:val="22"/>
              </w:rPr>
              <w:t>nevtropenija, trombocitopenija, anemija</w:t>
            </w:r>
          </w:p>
        </w:tc>
      </w:tr>
      <w:tr w:rsidR="006A40E1" w:rsidRPr="004A59B1" w14:paraId="52979E84" w14:textId="77777777" w:rsidTr="000A6242">
        <w:trPr>
          <w:cantSplit/>
        </w:trPr>
        <w:tc>
          <w:tcPr>
            <w:tcW w:w="2235" w:type="dxa"/>
          </w:tcPr>
          <w:p w14:paraId="52979E82" w14:textId="77777777" w:rsidR="006A40E1" w:rsidRPr="004A59B1" w:rsidRDefault="006A40E1" w:rsidP="009C1193">
            <w:pPr>
              <w:keepNext/>
              <w:widowControl w:val="0"/>
              <w:rPr>
                <w:color w:val="000000"/>
              </w:rPr>
            </w:pPr>
            <w:r w:rsidRPr="004A59B1">
              <w:rPr>
                <w:i/>
                <w:color w:val="000000"/>
                <w:szCs w:val="22"/>
              </w:rPr>
              <w:t>pogosti</w:t>
            </w:r>
            <w:r w:rsidRPr="004A59B1">
              <w:rPr>
                <w:color w:val="000000"/>
                <w:szCs w:val="22"/>
              </w:rPr>
              <w:t>:</w:t>
            </w:r>
          </w:p>
        </w:tc>
        <w:tc>
          <w:tcPr>
            <w:tcW w:w="7087" w:type="dxa"/>
          </w:tcPr>
          <w:p w14:paraId="52979E83" w14:textId="77777777" w:rsidR="006A40E1" w:rsidRPr="004A59B1" w:rsidRDefault="006A40E1" w:rsidP="009C1193">
            <w:pPr>
              <w:keepNext/>
              <w:widowControl w:val="0"/>
              <w:rPr>
                <w:color w:val="000000"/>
              </w:rPr>
            </w:pPr>
            <w:r w:rsidRPr="004A59B1">
              <w:rPr>
                <w:color w:val="000000"/>
                <w:szCs w:val="22"/>
              </w:rPr>
              <w:t>pancitopenija, febrilna nevtropenija</w:t>
            </w:r>
          </w:p>
        </w:tc>
      </w:tr>
      <w:tr w:rsidR="006A40E1" w:rsidRPr="004A59B1" w14:paraId="52979E87" w14:textId="77777777" w:rsidTr="000A6242">
        <w:trPr>
          <w:cantSplit/>
        </w:trPr>
        <w:tc>
          <w:tcPr>
            <w:tcW w:w="2235" w:type="dxa"/>
          </w:tcPr>
          <w:p w14:paraId="52979E85" w14:textId="77777777" w:rsidR="006A40E1" w:rsidRPr="004A59B1" w:rsidRDefault="006A40E1" w:rsidP="009C1193">
            <w:pPr>
              <w:keepNext/>
              <w:widowControl w:val="0"/>
              <w:rPr>
                <w:color w:val="000000"/>
              </w:rPr>
            </w:pPr>
            <w:r w:rsidRPr="004A59B1">
              <w:rPr>
                <w:i/>
                <w:color w:val="000000"/>
                <w:szCs w:val="22"/>
              </w:rPr>
              <w:t>občasni</w:t>
            </w:r>
            <w:r w:rsidRPr="004A59B1">
              <w:rPr>
                <w:color w:val="000000"/>
                <w:szCs w:val="22"/>
              </w:rPr>
              <w:t>:</w:t>
            </w:r>
          </w:p>
        </w:tc>
        <w:tc>
          <w:tcPr>
            <w:tcW w:w="7087" w:type="dxa"/>
          </w:tcPr>
          <w:p w14:paraId="52979E86" w14:textId="77777777" w:rsidR="006A40E1" w:rsidRPr="004A59B1" w:rsidRDefault="006A40E1" w:rsidP="009C1193">
            <w:pPr>
              <w:keepNext/>
              <w:widowControl w:val="0"/>
              <w:rPr>
                <w:color w:val="000000"/>
                <w:lang w:val="pl-PL"/>
              </w:rPr>
            </w:pPr>
            <w:r w:rsidRPr="004A59B1">
              <w:rPr>
                <w:color w:val="000000"/>
                <w:szCs w:val="22"/>
                <w:lang w:val="pl-PL"/>
              </w:rPr>
              <w:t>trombocitemija, limfopenija, depresija kostnega mozga, eozinofilija, limfadenopatija</w:t>
            </w:r>
          </w:p>
        </w:tc>
      </w:tr>
      <w:tr w:rsidR="006A40E1" w:rsidRPr="004A59B1" w14:paraId="52979E8A" w14:textId="77777777" w:rsidTr="000A6242">
        <w:trPr>
          <w:cantSplit/>
        </w:trPr>
        <w:tc>
          <w:tcPr>
            <w:tcW w:w="2235" w:type="dxa"/>
          </w:tcPr>
          <w:p w14:paraId="52979E88" w14:textId="77777777" w:rsidR="006A40E1" w:rsidRPr="004A59B1" w:rsidRDefault="006A40E1" w:rsidP="009C1193">
            <w:pPr>
              <w:widowControl w:val="0"/>
              <w:rPr>
                <w:i/>
                <w:color w:val="000000"/>
              </w:rPr>
            </w:pPr>
            <w:r w:rsidRPr="004A59B1">
              <w:rPr>
                <w:i/>
                <w:color w:val="000000"/>
                <w:szCs w:val="22"/>
              </w:rPr>
              <w:t>redki:</w:t>
            </w:r>
          </w:p>
        </w:tc>
        <w:tc>
          <w:tcPr>
            <w:tcW w:w="7087" w:type="dxa"/>
          </w:tcPr>
          <w:p w14:paraId="52979E89" w14:textId="77777777" w:rsidR="006A40E1" w:rsidRPr="004A59B1" w:rsidRDefault="006A40E1" w:rsidP="009C1193">
            <w:pPr>
              <w:widowControl w:val="0"/>
              <w:rPr>
                <w:color w:val="000000"/>
              </w:rPr>
            </w:pPr>
            <w:r w:rsidRPr="004A59B1">
              <w:rPr>
                <w:color w:val="000000"/>
              </w:rPr>
              <w:t>hemolitična anemija</w:t>
            </w:r>
            <w:r w:rsidR="00EA7EBB">
              <w:rPr>
                <w:color w:val="000000"/>
              </w:rPr>
              <w:t xml:space="preserve">, </w:t>
            </w:r>
            <w:r w:rsidR="00EA7EBB" w:rsidRPr="00BE6923">
              <w:rPr>
                <w:color w:val="000000"/>
                <w:u w:val="single"/>
              </w:rPr>
              <w:t>t</w:t>
            </w:r>
            <w:r w:rsidR="00EA7EBB" w:rsidRPr="00BE6923">
              <w:rPr>
                <w:color w:val="000000"/>
                <w:szCs w:val="22"/>
                <w:u w:val="single"/>
                <w:lang w:val="pl-PL"/>
              </w:rPr>
              <w:t>rombotična mikroangiopatija</w:t>
            </w:r>
          </w:p>
        </w:tc>
      </w:tr>
      <w:tr w:rsidR="006A40E1" w:rsidRPr="004A59B1" w14:paraId="52979E8C" w14:textId="77777777" w:rsidTr="000A6242">
        <w:trPr>
          <w:cantSplit/>
        </w:trPr>
        <w:tc>
          <w:tcPr>
            <w:tcW w:w="9322" w:type="dxa"/>
            <w:gridSpan w:val="2"/>
          </w:tcPr>
          <w:p w14:paraId="52979E8B" w14:textId="77777777" w:rsidR="006A40E1" w:rsidRPr="004A59B1" w:rsidRDefault="006A40E1" w:rsidP="009C1193">
            <w:pPr>
              <w:keepNext/>
              <w:widowControl w:val="0"/>
              <w:rPr>
                <w:color w:val="000000"/>
                <w:szCs w:val="22"/>
              </w:rPr>
            </w:pPr>
            <w:r w:rsidRPr="004A59B1">
              <w:rPr>
                <w:b/>
                <w:color w:val="000000"/>
                <w:szCs w:val="22"/>
              </w:rPr>
              <w:t>Presnovne in prehranske motnje</w:t>
            </w:r>
          </w:p>
        </w:tc>
      </w:tr>
      <w:tr w:rsidR="006A40E1" w:rsidRPr="004A59B1" w14:paraId="52979E8F" w14:textId="77777777" w:rsidTr="000A6242">
        <w:trPr>
          <w:cantSplit/>
        </w:trPr>
        <w:tc>
          <w:tcPr>
            <w:tcW w:w="2235" w:type="dxa"/>
          </w:tcPr>
          <w:p w14:paraId="52979E8D" w14:textId="77777777" w:rsidR="006A40E1" w:rsidRPr="004A59B1" w:rsidRDefault="006A40E1" w:rsidP="009C1193">
            <w:pPr>
              <w:keepNext/>
              <w:widowControl w:val="0"/>
              <w:rPr>
                <w:i/>
                <w:color w:val="000000"/>
                <w:szCs w:val="22"/>
              </w:rPr>
            </w:pPr>
            <w:r w:rsidRPr="004A59B1">
              <w:rPr>
                <w:i/>
                <w:color w:val="000000"/>
                <w:szCs w:val="22"/>
              </w:rPr>
              <w:t>pogosti</w:t>
            </w:r>
            <w:r w:rsidRPr="004A59B1">
              <w:rPr>
                <w:color w:val="000000"/>
                <w:szCs w:val="22"/>
              </w:rPr>
              <w:t>:</w:t>
            </w:r>
          </w:p>
        </w:tc>
        <w:tc>
          <w:tcPr>
            <w:tcW w:w="7087" w:type="dxa"/>
          </w:tcPr>
          <w:p w14:paraId="52979E8E" w14:textId="77777777" w:rsidR="006A40E1" w:rsidRPr="004A59B1" w:rsidRDefault="006A40E1" w:rsidP="009C1193">
            <w:pPr>
              <w:keepNext/>
              <w:widowControl w:val="0"/>
              <w:rPr>
                <w:color w:val="000000"/>
                <w:szCs w:val="22"/>
              </w:rPr>
            </w:pPr>
            <w:r w:rsidRPr="004A59B1">
              <w:rPr>
                <w:color w:val="000000"/>
                <w:szCs w:val="22"/>
              </w:rPr>
              <w:t>anoreksija</w:t>
            </w:r>
          </w:p>
        </w:tc>
      </w:tr>
      <w:tr w:rsidR="006A40E1" w:rsidRPr="004A59B1" w14:paraId="52979E92" w14:textId="77777777" w:rsidTr="000A6242">
        <w:trPr>
          <w:cantSplit/>
        </w:trPr>
        <w:tc>
          <w:tcPr>
            <w:tcW w:w="2235" w:type="dxa"/>
          </w:tcPr>
          <w:p w14:paraId="52979E90" w14:textId="77777777" w:rsidR="006A40E1" w:rsidRPr="004A59B1" w:rsidRDefault="006A40E1" w:rsidP="009C1193">
            <w:pPr>
              <w:keepNext/>
              <w:widowControl w:val="0"/>
              <w:rPr>
                <w:i/>
                <w:color w:val="000000"/>
                <w:szCs w:val="22"/>
              </w:rPr>
            </w:pPr>
            <w:r w:rsidRPr="004A59B1">
              <w:rPr>
                <w:i/>
                <w:color w:val="000000"/>
                <w:szCs w:val="22"/>
              </w:rPr>
              <w:t>občasni</w:t>
            </w:r>
            <w:r w:rsidRPr="004A59B1">
              <w:rPr>
                <w:color w:val="000000"/>
                <w:szCs w:val="22"/>
              </w:rPr>
              <w:t>:</w:t>
            </w:r>
          </w:p>
        </w:tc>
        <w:tc>
          <w:tcPr>
            <w:tcW w:w="7087" w:type="dxa"/>
          </w:tcPr>
          <w:p w14:paraId="52979E91" w14:textId="77777777" w:rsidR="006A40E1" w:rsidRPr="004A59B1" w:rsidRDefault="006A40E1" w:rsidP="009C1193">
            <w:pPr>
              <w:keepNext/>
              <w:widowControl w:val="0"/>
              <w:rPr>
                <w:color w:val="000000"/>
                <w:szCs w:val="22"/>
              </w:rPr>
            </w:pPr>
            <w:r w:rsidRPr="004A59B1">
              <w:rPr>
                <w:color w:val="000000"/>
                <w:szCs w:val="22"/>
              </w:rPr>
              <w:t>hipokaliemija, povečan apetit, hipofosfatemija, zmanjšan apetit, dehidracija, protin, hiperurikemija, hiperkalciemija, hiperglikemija, hiponatriemija</w:t>
            </w:r>
          </w:p>
        </w:tc>
      </w:tr>
      <w:tr w:rsidR="006A40E1" w:rsidRPr="004A59B1" w14:paraId="52979E95" w14:textId="77777777" w:rsidTr="000A6242">
        <w:trPr>
          <w:cantSplit/>
        </w:trPr>
        <w:tc>
          <w:tcPr>
            <w:tcW w:w="2235" w:type="dxa"/>
          </w:tcPr>
          <w:p w14:paraId="52979E93" w14:textId="77777777" w:rsidR="006A40E1" w:rsidRPr="004A59B1" w:rsidRDefault="006A40E1" w:rsidP="009C1193">
            <w:pPr>
              <w:widowControl w:val="0"/>
              <w:rPr>
                <w:i/>
                <w:color w:val="000000"/>
                <w:szCs w:val="22"/>
              </w:rPr>
            </w:pPr>
            <w:r w:rsidRPr="004A59B1">
              <w:rPr>
                <w:i/>
                <w:color w:val="000000"/>
                <w:szCs w:val="22"/>
              </w:rPr>
              <w:t>redki:</w:t>
            </w:r>
          </w:p>
        </w:tc>
        <w:tc>
          <w:tcPr>
            <w:tcW w:w="7087" w:type="dxa"/>
          </w:tcPr>
          <w:p w14:paraId="52979E94" w14:textId="77777777" w:rsidR="006A40E1" w:rsidRPr="004A59B1" w:rsidRDefault="006A40E1" w:rsidP="009C1193">
            <w:pPr>
              <w:widowControl w:val="0"/>
              <w:rPr>
                <w:color w:val="000000"/>
                <w:szCs w:val="22"/>
                <w:lang w:val="pt-PT"/>
              </w:rPr>
            </w:pPr>
            <w:r w:rsidRPr="004A59B1">
              <w:rPr>
                <w:color w:val="000000"/>
                <w:szCs w:val="22"/>
              </w:rPr>
              <w:t>hiperkaliemija, hipomagneziemija</w:t>
            </w:r>
          </w:p>
        </w:tc>
      </w:tr>
      <w:tr w:rsidR="006A40E1" w:rsidRPr="004A59B1" w14:paraId="52979E97" w14:textId="77777777" w:rsidTr="000A6242">
        <w:trPr>
          <w:cantSplit/>
        </w:trPr>
        <w:tc>
          <w:tcPr>
            <w:tcW w:w="9322" w:type="dxa"/>
            <w:gridSpan w:val="2"/>
          </w:tcPr>
          <w:p w14:paraId="52979E96" w14:textId="77777777" w:rsidR="006A40E1" w:rsidRPr="004A59B1" w:rsidRDefault="006A40E1" w:rsidP="009C1193">
            <w:pPr>
              <w:keepNext/>
              <w:widowControl w:val="0"/>
              <w:rPr>
                <w:color w:val="000000"/>
                <w:szCs w:val="22"/>
              </w:rPr>
            </w:pPr>
            <w:r w:rsidRPr="004A59B1">
              <w:rPr>
                <w:b/>
                <w:color w:val="000000"/>
                <w:szCs w:val="22"/>
              </w:rPr>
              <w:t>Psihiatrične motnje</w:t>
            </w:r>
          </w:p>
        </w:tc>
      </w:tr>
      <w:tr w:rsidR="006A40E1" w:rsidRPr="004A59B1" w14:paraId="52979E9A" w14:textId="77777777" w:rsidTr="000A6242">
        <w:trPr>
          <w:cantSplit/>
        </w:trPr>
        <w:tc>
          <w:tcPr>
            <w:tcW w:w="2235" w:type="dxa"/>
          </w:tcPr>
          <w:p w14:paraId="52979E98" w14:textId="77777777" w:rsidR="006A40E1" w:rsidRPr="004A59B1" w:rsidRDefault="006A40E1" w:rsidP="009C1193">
            <w:pPr>
              <w:keepNext/>
              <w:widowControl w:val="0"/>
              <w:rPr>
                <w:i/>
                <w:color w:val="000000"/>
                <w:szCs w:val="22"/>
              </w:rPr>
            </w:pPr>
            <w:r w:rsidRPr="004A59B1">
              <w:rPr>
                <w:i/>
                <w:color w:val="000000"/>
                <w:szCs w:val="22"/>
              </w:rPr>
              <w:t>pogosti</w:t>
            </w:r>
            <w:r w:rsidRPr="004A59B1">
              <w:rPr>
                <w:color w:val="000000"/>
                <w:szCs w:val="22"/>
              </w:rPr>
              <w:t>:</w:t>
            </w:r>
          </w:p>
        </w:tc>
        <w:tc>
          <w:tcPr>
            <w:tcW w:w="7087" w:type="dxa"/>
          </w:tcPr>
          <w:p w14:paraId="52979E99" w14:textId="77777777" w:rsidR="006A40E1" w:rsidRPr="004A59B1" w:rsidRDefault="006A40E1" w:rsidP="009C1193">
            <w:pPr>
              <w:keepNext/>
              <w:widowControl w:val="0"/>
              <w:rPr>
                <w:color w:val="000000"/>
                <w:szCs w:val="22"/>
              </w:rPr>
            </w:pPr>
            <w:r w:rsidRPr="004A59B1">
              <w:rPr>
                <w:color w:val="000000"/>
                <w:szCs w:val="22"/>
              </w:rPr>
              <w:t>nespečnost</w:t>
            </w:r>
          </w:p>
        </w:tc>
      </w:tr>
      <w:tr w:rsidR="006A40E1" w:rsidRPr="004A59B1" w14:paraId="52979E9D" w14:textId="77777777" w:rsidTr="000A6242">
        <w:trPr>
          <w:cantSplit/>
        </w:trPr>
        <w:tc>
          <w:tcPr>
            <w:tcW w:w="2235" w:type="dxa"/>
          </w:tcPr>
          <w:p w14:paraId="52979E9B" w14:textId="77777777" w:rsidR="006A40E1" w:rsidRPr="004A59B1" w:rsidRDefault="006A40E1" w:rsidP="009C1193">
            <w:pPr>
              <w:keepNext/>
              <w:widowControl w:val="0"/>
              <w:rPr>
                <w:i/>
                <w:color w:val="000000"/>
                <w:szCs w:val="22"/>
              </w:rPr>
            </w:pPr>
            <w:r w:rsidRPr="004A59B1">
              <w:rPr>
                <w:i/>
                <w:color w:val="000000"/>
                <w:szCs w:val="22"/>
              </w:rPr>
              <w:t>občasni:</w:t>
            </w:r>
          </w:p>
        </w:tc>
        <w:tc>
          <w:tcPr>
            <w:tcW w:w="7087" w:type="dxa"/>
          </w:tcPr>
          <w:p w14:paraId="52979E9C" w14:textId="77777777" w:rsidR="006A40E1" w:rsidRPr="004A59B1" w:rsidRDefault="006A40E1" w:rsidP="009C1193">
            <w:pPr>
              <w:keepNext/>
              <w:widowControl w:val="0"/>
              <w:rPr>
                <w:color w:val="000000"/>
                <w:szCs w:val="22"/>
              </w:rPr>
            </w:pPr>
            <w:r w:rsidRPr="004A59B1">
              <w:rPr>
                <w:color w:val="000000"/>
                <w:szCs w:val="22"/>
              </w:rPr>
              <w:t>depresija, zmanjšan libido, anksioznost</w:t>
            </w:r>
          </w:p>
        </w:tc>
      </w:tr>
      <w:tr w:rsidR="006A40E1" w:rsidRPr="004A59B1" w14:paraId="52979EA0" w14:textId="77777777" w:rsidTr="000A6242">
        <w:trPr>
          <w:cantSplit/>
        </w:trPr>
        <w:tc>
          <w:tcPr>
            <w:tcW w:w="2235" w:type="dxa"/>
          </w:tcPr>
          <w:p w14:paraId="52979E9E" w14:textId="77777777" w:rsidR="006A40E1" w:rsidRPr="004A59B1" w:rsidRDefault="006A40E1" w:rsidP="009C1193">
            <w:pPr>
              <w:widowControl w:val="0"/>
              <w:rPr>
                <w:i/>
                <w:color w:val="000000"/>
                <w:szCs w:val="22"/>
              </w:rPr>
            </w:pPr>
            <w:r w:rsidRPr="004A59B1">
              <w:rPr>
                <w:i/>
                <w:color w:val="000000"/>
                <w:szCs w:val="22"/>
              </w:rPr>
              <w:t>redki:</w:t>
            </w:r>
          </w:p>
        </w:tc>
        <w:tc>
          <w:tcPr>
            <w:tcW w:w="7087" w:type="dxa"/>
          </w:tcPr>
          <w:p w14:paraId="52979E9F" w14:textId="77777777" w:rsidR="006A40E1" w:rsidRPr="004A59B1" w:rsidRDefault="006A40E1" w:rsidP="009C1193">
            <w:pPr>
              <w:widowControl w:val="0"/>
              <w:rPr>
                <w:color w:val="000000"/>
                <w:szCs w:val="22"/>
              </w:rPr>
            </w:pPr>
            <w:r w:rsidRPr="004A59B1">
              <w:rPr>
                <w:color w:val="000000"/>
                <w:szCs w:val="22"/>
              </w:rPr>
              <w:t>zmedenost</w:t>
            </w:r>
          </w:p>
        </w:tc>
      </w:tr>
      <w:tr w:rsidR="006A40E1" w:rsidRPr="004A59B1" w14:paraId="52979EA2" w14:textId="77777777" w:rsidTr="000A6242">
        <w:trPr>
          <w:cantSplit/>
        </w:trPr>
        <w:tc>
          <w:tcPr>
            <w:tcW w:w="9322" w:type="dxa"/>
            <w:gridSpan w:val="2"/>
          </w:tcPr>
          <w:p w14:paraId="52979EA1" w14:textId="77777777" w:rsidR="006A40E1" w:rsidRPr="004A59B1" w:rsidRDefault="006A40E1" w:rsidP="009C1193">
            <w:pPr>
              <w:keepNext/>
              <w:widowControl w:val="0"/>
              <w:rPr>
                <w:color w:val="000000"/>
              </w:rPr>
            </w:pPr>
            <w:r w:rsidRPr="004A59B1">
              <w:rPr>
                <w:b/>
                <w:color w:val="000000"/>
                <w:szCs w:val="22"/>
              </w:rPr>
              <w:t>Bolezni živčevja</w:t>
            </w:r>
          </w:p>
        </w:tc>
      </w:tr>
      <w:tr w:rsidR="006A40E1" w:rsidRPr="004A59B1" w14:paraId="52979EA5" w14:textId="77777777" w:rsidTr="000A6242">
        <w:trPr>
          <w:cantSplit/>
        </w:trPr>
        <w:tc>
          <w:tcPr>
            <w:tcW w:w="2235" w:type="dxa"/>
          </w:tcPr>
          <w:p w14:paraId="52979EA3" w14:textId="77777777" w:rsidR="006A40E1" w:rsidRPr="004A59B1" w:rsidRDefault="006A40E1" w:rsidP="009C1193">
            <w:pPr>
              <w:keepNext/>
              <w:widowControl w:val="0"/>
              <w:rPr>
                <w:color w:val="000000"/>
              </w:rPr>
            </w:pPr>
            <w:r w:rsidRPr="004A59B1">
              <w:rPr>
                <w:i/>
                <w:color w:val="000000"/>
                <w:szCs w:val="22"/>
              </w:rPr>
              <w:t>zelo pogosti:</w:t>
            </w:r>
          </w:p>
        </w:tc>
        <w:tc>
          <w:tcPr>
            <w:tcW w:w="7087" w:type="dxa"/>
          </w:tcPr>
          <w:p w14:paraId="52979EA4" w14:textId="77777777" w:rsidR="006A40E1" w:rsidRPr="004A59B1" w:rsidRDefault="006A40E1" w:rsidP="009C1193">
            <w:pPr>
              <w:keepNext/>
              <w:widowControl w:val="0"/>
              <w:rPr>
                <w:color w:val="000000"/>
              </w:rPr>
            </w:pPr>
            <w:r w:rsidRPr="004A59B1">
              <w:rPr>
                <w:color w:val="000000"/>
                <w:szCs w:val="22"/>
              </w:rPr>
              <w:t>glavobol</w:t>
            </w:r>
            <w:r w:rsidRPr="004A59B1">
              <w:rPr>
                <w:color w:val="000000"/>
                <w:szCs w:val="22"/>
                <w:vertAlign w:val="superscript"/>
              </w:rPr>
              <w:t>2</w:t>
            </w:r>
          </w:p>
        </w:tc>
      </w:tr>
      <w:tr w:rsidR="006A40E1" w:rsidRPr="004A59B1" w14:paraId="52979EA8" w14:textId="77777777" w:rsidTr="000A6242">
        <w:trPr>
          <w:cantSplit/>
        </w:trPr>
        <w:tc>
          <w:tcPr>
            <w:tcW w:w="2235" w:type="dxa"/>
          </w:tcPr>
          <w:p w14:paraId="52979EA6" w14:textId="77777777" w:rsidR="006A40E1" w:rsidRPr="004A59B1" w:rsidRDefault="006A40E1" w:rsidP="009C1193">
            <w:pPr>
              <w:keepNext/>
              <w:widowControl w:val="0"/>
              <w:rPr>
                <w:color w:val="000000"/>
              </w:rPr>
            </w:pPr>
            <w:r w:rsidRPr="004A59B1">
              <w:rPr>
                <w:i/>
                <w:color w:val="000000"/>
                <w:szCs w:val="22"/>
              </w:rPr>
              <w:t>pogosti</w:t>
            </w:r>
            <w:r w:rsidRPr="004A59B1">
              <w:rPr>
                <w:color w:val="000000"/>
                <w:szCs w:val="22"/>
              </w:rPr>
              <w:t>:</w:t>
            </w:r>
          </w:p>
        </w:tc>
        <w:tc>
          <w:tcPr>
            <w:tcW w:w="7087" w:type="dxa"/>
          </w:tcPr>
          <w:p w14:paraId="52979EA7" w14:textId="77777777" w:rsidR="006A40E1" w:rsidRPr="004A59B1" w:rsidRDefault="006A40E1" w:rsidP="009C1193">
            <w:pPr>
              <w:keepNext/>
              <w:widowControl w:val="0"/>
              <w:rPr>
                <w:color w:val="000000"/>
                <w:szCs w:val="22"/>
              </w:rPr>
            </w:pPr>
            <w:r w:rsidRPr="004A59B1">
              <w:rPr>
                <w:color w:val="000000"/>
                <w:szCs w:val="22"/>
              </w:rPr>
              <w:t>vrtoglavost, parestezije, motnje okušanja, hipestezije</w:t>
            </w:r>
          </w:p>
        </w:tc>
      </w:tr>
      <w:tr w:rsidR="006A40E1" w:rsidRPr="004A59B1" w14:paraId="52979EAB" w14:textId="77777777" w:rsidTr="000A6242">
        <w:trPr>
          <w:cantSplit/>
        </w:trPr>
        <w:tc>
          <w:tcPr>
            <w:tcW w:w="2235" w:type="dxa"/>
          </w:tcPr>
          <w:p w14:paraId="52979EA9" w14:textId="77777777" w:rsidR="006A40E1" w:rsidRPr="004A59B1" w:rsidRDefault="006A40E1" w:rsidP="009C1193">
            <w:pPr>
              <w:keepNext/>
              <w:widowControl w:val="0"/>
              <w:rPr>
                <w:color w:val="000000"/>
              </w:rPr>
            </w:pPr>
            <w:r w:rsidRPr="004A59B1">
              <w:rPr>
                <w:i/>
                <w:color w:val="000000"/>
                <w:szCs w:val="22"/>
              </w:rPr>
              <w:t>občasni</w:t>
            </w:r>
            <w:r w:rsidRPr="004A59B1">
              <w:rPr>
                <w:color w:val="000000"/>
                <w:szCs w:val="22"/>
              </w:rPr>
              <w:t>:</w:t>
            </w:r>
          </w:p>
        </w:tc>
        <w:tc>
          <w:tcPr>
            <w:tcW w:w="7087" w:type="dxa"/>
          </w:tcPr>
          <w:p w14:paraId="52979EAA" w14:textId="77777777" w:rsidR="006A40E1" w:rsidRPr="004A59B1" w:rsidRDefault="006A40E1" w:rsidP="009C1193">
            <w:pPr>
              <w:keepNext/>
              <w:widowControl w:val="0"/>
              <w:rPr>
                <w:color w:val="000000"/>
              </w:rPr>
            </w:pPr>
            <w:r w:rsidRPr="004A59B1">
              <w:rPr>
                <w:color w:val="000000"/>
                <w:szCs w:val="22"/>
              </w:rPr>
              <w:t xml:space="preserve">migrena, somnolenca, sinkopa, periferna nevropatija, motnje spomina, </w:t>
            </w:r>
            <w:r w:rsidRPr="004A59B1">
              <w:rPr>
                <w:rStyle w:val="CommentReference"/>
                <w:color w:val="000000"/>
                <w:sz w:val="22"/>
                <w:szCs w:val="22"/>
              </w:rPr>
              <w:t>išias,</w:t>
            </w:r>
            <w:r w:rsidRPr="004A59B1">
              <w:rPr>
                <w:color w:val="000000"/>
                <w:szCs w:val="22"/>
              </w:rPr>
              <w:t xml:space="preserve"> sindrom nemirnih nog, tremor, možganska krvavitev</w:t>
            </w:r>
          </w:p>
        </w:tc>
      </w:tr>
      <w:tr w:rsidR="006A40E1" w:rsidRPr="004A59B1" w14:paraId="52979EAE" w14:textId="77777777" w:rsidTr="000A6242">
        <w:trPr>
          <w:cantSplit/>
        </w:trPr>
        <w:tc>
          <w:tcPr>
            <w:tcW w:w="2235" w:type="dxa"/>
          </w:tcPr>
          <w:p w14:paraId="52979EAC" w14:textId="77777777" w:rsidR="006A40E1" w:rsidRPr="004A59B1" w:rsidRDefault="006A40E1" w:rsidP="009C1193">
            <w:pPr>
              <w:keepNext/>
              <w:widowControl w:val="0"/>
              <w:rPr>
                <w:color w:val="000000"/>
              </w:rPr>
            </w:pPr>
            <w:r w:rsidRPr="004A59B1">
              <w:rPr>
                <w:i/>
                <w:color w:val="000000"/>
                <w:szCs w:val="22"/>
              </w:rPr>
              <w:t>redki:</w:t>
            </w:r>
          </w:p>
        </w:tc>
        <w:tc>
          <w:tcPr>
            <w:tcW w:w="7087" w:type="dxa"/>
          </w:tcPr>
          <w:p w14:paraId="52979EAD" w14:textId="77777777" w:rsidR="006A40E1" w:rsidRPr="004A59B1" w:rsidRDefault="006A40E1" w:rsidP="009C1193">
            <w:pPr>
              <w:keepNext/>
              <w:widowControl w:val="0"/>
              <w:rPr>
                <w:color w:val="000000"/>
                <w:szCs w:val="22"/>
              </w:rPr>
            </w:pPr>
            <w:r w:rsidRPr="004A59B1">
              <w:rPr>
                <w:color w:val="000000"/>
                <w:szCs w:val="22"/>
              </w:rPr>
              <w:t>zvišan intrakranialni tlak, konvulzije, optični nevritis</w:t>
            </w:r>
          </w:p>
        </w:tc>
      </w:tr>
      <w:tr w:rsidR="006A40E1" w:rsidRPr="004A59B1" w14:paraId="52979EB1" w14:textId="77777777" w:rsidTr="000A6242">
        <w:trPr>
          <w:cantSplit/>
        </w:trPr>
        <w:tc>
          <w:tcPr>
            <w:tcW w:w="2235" w:type="dxa"/>
          </w:tcPr>
          <w:p w14:paraId="52979EAF" w14:textId="77777777" w:rsidR="006A40E1" w:rsidRPr="004A59B1" w:rsidRDefault="006A40E1" w:rsidP="009C1193">
            <w:pPr>
              <w:widowControl w:val="0"/>
              <w:rPr>
                <w:i/>
                <w:color w:val="000000"/>
                <w:szCs w:val="22"/>
              </w:rPr>
            </w:pPr>
            <w:r w:rsidRPr="004A59B1">
              <w:rPr>
                <w:i/>
                <w:color w:val="000000"/>
                <w:szCs w:val="22"/>
              </w:rPr>
              <w:t>pogostnost neznana:</w:t>
            </w:r>
          </w:p>
        </w:tc>
        <w:tc>
          <w:tcPr>
            <w:tcW w:w="7087" w:type="dxa"/>
          </w:tcPr>
          <w:p w14:paraId="52979EB0" w14:textId="77777777" w:rsidR="006A40E1" w:rsidRPr="004A59B1" w:rsidRDefault="006A40E1" w:rsidP="009C1193">
            <w:pPr>
              <w:widowControl w:val="0"/>
              <w:rPr>
                <w:color w:val="000000"/>
                <w:szCs w:val="22"/>
              </w:rPr>
            </w:pPr>
            <w:r w:rsidRPr="004A59B1">
              <w:rPr>
                <w:color w:val="000000"/>
                <w:szCs w:val="22"/>
              </w:rPr>
              <w:t>možganski edem*</w:t>
            </w:r>
          </w:p>
        </w:tc>
      </w:tr>
      <w:tr w:rsidR="006A40E1" w:rsidRPr="004A59B1" w14:paraId="52979EB3" w14:textId="77777777" w:rsidTr="000A6242">
        <w:trPr>
          <w:cantSplit/>
        </w:trPr>
        <w:tc>
          <w:tcPr>
            <w:tcW w:w="9322" w:type="dxa"/>
            <w:gridSpan w:val="2"/>
          </w:tcPr>
          <w:p w14:paraId="52979EB2" w14:textId="77777777" w:rsidR="006A40E1" w:rsidRPr="004A59B1" w:rsidRDefault="006A40E1" w:rsidP="009C1193">
            <w:pPr>
              <w:keepNext/>
              <w:widowControl w:val="0"/>
              <w:rPr>
                <w:color w:val="000000"/>
              </w:rPr>
            </w:pPr>
            <w:r w:rsidRPr="004A59B1">
              <w:rPr>
                <w:b/>
                <w:color w:val="000000"/>
                <w:szCs w:val="22"/>
              </w:rPr>
              <w:lastRenderedPageBreak/>
              <w:t>Očesne bolezni</w:t>
            </w:r>
          </w:p>
        </w:tc>
      </w:tr>
      <w:tr w:rsidR="006A40E1" w:rsidRPr="004A59B1" w14:paraId="52979EB6" w14:textId="77777777" w:rsidTr="000A6242">
        <w:trPr>
          <w:cantSplit/>
        </w:trPr>
        <w:tc>
          <w:tcPr>
            <w:tcW w:w="2235" w:type="dxa"/>
          </w:tcPr>
          <w:p w14:paraId="52979EB4" w14:textId="77777777" w:rsidR="006A40E1" w:rsidRPr="004A59B1" w:rsidRDefault="006A40E1" w:rsidP="009C1193">
            <w:pPr>
              <w:keepNext/>
              <w:widowControl w:val="0"/>
              <w:rPr>
                <w:color w:val="000000"/>
              </w:rPr>
            </w:pPr>
            <w:r w:rsidRPr="004A59B1">
              <w:rPr>
                <w:i/>
                <w:color w:val="000000"/>
                <w:szCs w:val="22"/>
              </w:rPr>
              <w:t>pogosti</w:t>
            </w:r>
            <w:r w:rsidRPr="004A59B1">
              <w:rPr>
                <w:color w:val="000000"/>
                <w:szCs w:val="22"/>
              </w:rPr>
              <w:t>:</w:t>
            </w:r>
          </w:p>
        </w:tc>
        <w:tc>
          <w:tcPr>
            <w:tcW w:w="7087" w:type="dxa"/>
          </w:tcPr>
          <w:p w14:paraId="52979EB5" w14:textId="77777777" w:rsidR="006A40E1" w:rsidRPr="004A59B1" w:rsidRDefault="006A40E1" w:rsidP="009C1193">
            <w:pPr>
              <w:keepNext/>
              <w:widowControl w:val="0"/>
              <w:rPr>
                <w:color w:val="000000"/>
              </w:rPr>
            </w:pPr>
            <w:r w:rsidRPr="004A59B1">
              <w:rPr>
                <w:color w:val="000000"/>
                <w:szCs w:val="22"/>
              </w:rPr>
              <w:t>edem vek, povečano solzenje, veznična krvavitev, vnetje veznice, suhe oči, zamegljen vid</w:t>
            </w:r>
          </w:p>
        </w:tc>
      </w:tr>
      <w:tr w:rsidR="006A40E1" w:rsidRPr="004A59B1" w14:paraId="52979EB9" w14:textId="77777777" w:rsidTr="000A6242">
        <w:trPr>
          <w:cantSplit/>
        </w:trPr>
        <w:tc>
          <w:tcPr>
            <w:tcW w:w="2235" w:type="dxa"/>
          </w:tcPr>
          <w:p w14:paraId="52979EB7" w14:textId="77777777" w:rsidR="006A40E1" w:rsidRPr="004A59B1" w:rsidRDefault="006A40E1" w:rsidP="009C1193">
            <w:pPr>
              <w:keepNext/>
              <w:widowControl w:val="0"/>
              <w:rPr>
                <w:color w:val="000000"/>
              </w:rPr>
            </w:pPr>
            <w:r w:rsidRPr="004A59B1">
              <w:rPr>
                <w:i/>
                <w:color w:val="000000"/>
                <w:szCs w:val="22"/>
              </w:rPr>
              <w:t>občasni</w:t>
            </w:r>
            <w:r w:rsidRPr="004A59B1">
              <w:rPr>
                <w:color w:val="000000"/>
                <w:szCs w:val="22"/>
              </w:rPr>
              <w:t>:</w:t>
            </w:r>
          </w:p>
        </w:tc>
        <w:tc>
          <w:tcPr>
            <w:tcW w:w="7087" w:type="dxa"/>
          </w:tcPr>
          <w:p w14:paraId="52979EB8" w14:textId="77777777" w:rsidR="006A40E1" w:rsidRPr="004A59B1" w:rsidRDefault="006A40E1" w:rsidP="009C1193">
            <w:pPr>
              <w:keepNext/>
              <w:widowControl w:val="0"/>
              <w:rPr>
                <w:color w:val="000000"/>
              </w:rPr>
            </w:pPr>
            <w:r w:rsidRPr="004A59B1">
              <w:rPr>
                <w:color w:val="000000"/>
                <w:szCs w:val="22"/>
              </w:rPr>
              <w:t>draženje očesa, bolečine v očesu, orbitalni edem, krvavitev v beločnico, krvavitev v mrežnico, vnetje veke, makularni edem</w:t>
            </w:r>
          </w:p>
        </w:tc>
      </w:tr>
      <w:tr w:rsidR="006A40E1" w:rsidRPr="003B6568" w14:paraId="52979EBC" w14:textId="77777777" w:rsidTr="000A6242">
        <w:trPr>
          <w:cantSplit/>
        </w:trPr>
        <w:tc>
          <w:tcPr>
            <w:tcW w:w="2235" w:type="dxa"/>
          </w:tcPr>
          <w:p w14:paraId="52979EBA" w14:textId="77777777" w:rsidR="006A40E1" w:rsidRPr="004A59B1" w:rsidRDefault="006A40E1" w:rsidP="009C1193">
            <w:pPr>
              <w:keepNext/>
              <w:widowControl w:val="0"/>
              <w:rPr>
                <w:color w:val="000000"/>
              </w:rPr>
            </w:pPr>
            <w:r w:rsidRPr="004A59B1">
              <w:rPr>
                <w:i/>
                <w:color w:val="000000"/>
                <w:szCs w:val="22"/>
              </w:rPr>
              <w:t>redki:</w:t>
            </w:r>
          </w:p>
        </w:tc>
        <w:tc>
          <w:tcPr>
            <w:tcW w:w="7087" w:type="dxa"/>
          </w:tcPr>
          <w:p w14:paraId="52979EBB" w14:textId="77777777" w:rsidR="006A40E1" w:rsidRPr="004A59B1" w:rsidRDefault="006A40E1" w:rsidP="009C1193">
            <w:pPr>
              <w:keepNext/>
              <w:widowControl w:val="0"/>
              <w:rPr>
                <w:color w:val="000000"/>
                <w:lang w:val="de-CH"/>
              </w:rPr>
            </w:pPr>
            <w:r w:rsidRPr="004A59B1">
              <w:rPr>
                <w:color w:val="000000"/>
                <w:szCs w:val="22"/>
                <w:lang w:val="de-CH"/>
              </w:rPr>
              <w:t>katarakta, glavkom, edem papile vidnega živca</w:t>
            </w:r>
          </w:p>
        </w:tc>
      </w:tr>
      <w:tr w:rsidR="006A40E1" w:rsidRPr="004A59B1" w14:paraId="52979EBF" w14:textId="77777777" w:rsidTr="000A6242">
        <w:trPr>
          <w:cantSplit/>
        </w:trPr>
        <w:tc>
          <w:tcPr>
            <w:tcW w:w="2235" w:type="dxa"/>
          </w:tcPr>
          <w:p w14:paraId="52979EBD" w14:textId="77777777" w:rsidR="006A40E1" w:rsidRPr="004A59B1" w:rsidRDefault="006A40E1" w:rsidP="009C1193">
            <w:pPr>
              <w:widowControl w:val="0"/>
              <w:rPr>
                <w:i/>
                <w:color w:val="000000"/>
                <w:szCs w:val="22"/>
              </w:rPr>
            </w:pPr>
            <w:r w:rsidRPr="004A59B1">
              <w:rPr>
                <w:i/>
                <w:color w:val="000000"/>
                <w:szCs w:val="22"/>
              </w:rPr>
              <w:t>pogostnost neznana:</w:t>
            </w:r>
          </w:p>
        </w:tc>
        <w:tc>
          <w:tcPr>
            <w:tcW w:w="7087" w:type="dxa"/>
          </w:tcPr>
          <w:p w14:paraId="52979EBE" w14:textId="77777777" w:rsidR="006A40E1" w:rsidRPr="004A59B1" w:rsidRDefault="006A40E1" w:rsidP="009C1193">
            <w:pPr>
              <w:widowControl w:val="0"/>
              <w:rPr>
                <w:color w:val="000000"/>
                <w:szCs w:val="22"/>
                <w:lang w:val="de-CH"/>
              </w:rPr>
            </w:pPr>
            <w:r w:rsidRPr="004A59B1">
              <w:rPr>
                <w:color w:val="000000"/>
                <w:szCs w:val="22"/>
              </w:rPr>
              <w:t>krvavitev v steklovino*</w:t>
            </w:r>
          </w:p>
        </w:tc>
      </w:tr>
      <w:tr w:rsidR="006A40E1" w:rsidRPr="004A59B1" w14:paraId="52979EC1" w14:textId="77777777" w:rsidTr="000A6242">
        <w:trPr>
          <w:cantSplit/>
        </w:trPr>
        <w:tc>
          <w:tcPr>
            <w:tcW w:w="9322" w:type="dxa"/>
            <w:gridSpan w:val="2"/>
          </w:tcPr>
          <w:p w14:paraId="52979EC0" w14:textId="77777777" w:rsidR="006A40E1" w:rsidRPr="002227FB" w:rsidRDefault="006A40E1" w:rsidP="009C1193">
            <w:pPr>
              <w:keepNext/>
              <w:widowControl w:val="0"/>
              <w:rPr>
                <w:color w:val="000000"/>
              </w:rPr>
            </w:pPr>
            <w:r w:rsidRPr="002227FB">
              <w:rPr>
                <w:b/>
                <w:color w:val="000000"/>
                <w:szCs w:val="22"/>
              </w:rPr>
              <w:t>Ušesne bolezni, vključno z motnjami labirinta</w:t>
            </w:r>
          </w:p>
        </w:tc>
      </w:tr>
      <w:tr w:rsidR="006A40E1" w:rsidRPr="004A59B1" w14:paraId="52979EC4" w14:textId="77777777" w:rsidTr="000A6242">
        <w:trPr>
          <w:cantSplit/>
        </w:trPr>
        <w:tc>
          <w:tcPr>
            <w:tcW w:w="2235" w:type="dxa"/>
          </w:tcPr>
          <w:p w14:paraId="52979EC2" w14:textId="77777777" w:rsidR="006A40E1" w:rsidRPr="004A59B1" w:rsidRDefault="006A40E1" w:rsidP="009C1193">
            <w:pPr>
              <w:widowControl w:val="0"/>
              <w:rPr>
                <w:color w:val="000000"/>
              </w:rPr>
            </w:pPr>
            <w:r w:rsidRPr="004A59B1">
              <w:rPr>
                <w:i/>
                <w:color w:val="000000"/>
                <w:szCs w:val="22"/>
              </w:rPr>
              <w:t>občasni</w:t>
            </w:r>
            <w:r w:rsidRPr="004A59B1">
              <w:rPr>
                <w:color w:val="000000"/>
                <w:szCs w:val="22"/>
              </w:rPr>
              <w:t>:</w:t>
            </w:r>
          </w:p>
        </w:tc>
        <w:tc>
          <w:tcPr>
            <w:tcW w:w="7087" w:type="dxa"/>
          </w:tcPr>
          <w:p w14:paraId="52979EC3" w14:textId="77777777" w:rsidR="006A40E1" w:rsidRPr="004A59B1" w:rsidRDefault="006A40E1" w:rsidP="009C1193">
            <w:pPr>
              <w:widowControl w:val="0"/>
              <w:rPr>
                <w:color w:val="000000"/>
              </w:rPr>
            </w:pPr>
            <w:r w:rsidRPr="004A59B1">
              <w:rPr>
                <w:color w:val="000000"/>
                <w:szCs w:val="22"/>
              </w:rPr>
              <w:t>vrtoglavica, zvonjenje v ušesih, izguba sluha</w:t>
            </w:r>
          </w:p>
        </w:tc>
      </w:tr>
      <w:tr w:rsidR="006A40E1" w:rsidRPr="004A59B1" w14:paraId="52979EC6" w14:textId="77777777" w:rsidTr="000A6242">
        <w:trPr>
          <w:cantSplit/>
        </w:trPr>
        <w:tc>
          <w:tcPr>
            <w:tcW w:w="9322" w:type="dxa"/>
            <w:gridSpan w:val="2"/>
          </w:tcPr>
          <w:p w14:paraId="52979EC5" w14:textId="77777777" w:rsidR="006A40E1" w:rsidRPr="004A59B1" w:rsidRDefault="006A40E1" w:rsidP="009C1193">
            <w:pPr>
              <w:keepNext/>
              <w:widowControl w:val="0"/>
              <w:rPr>
                <w:color w:val="000000"/>
              </w:rPr>
            </w:pPr>
            <w:r w:rsidRPr="004A59B1">
              <w:rPr>
                <w:b/>
                <w:color w:val="000000"/>
                <w:szCs w:val="22"/>
                <w:lang w:val="it-IT"/>
              </w:rPr>
              <w:t>Srčne bolezni</w:t>
            </w:r>
          </w:p>
        </w:tc>
      </w:tr>
      <w:tr w:rsidR="006A40E1" w:rsidRPr="004A59B1" w14:paraId="52979EC9" w14:textId="77777777" w:rsidTr="000A6242">
        <w:trPr>
          <w:cantSplit/>
        </w:trPr>
        <w:tc>
          <w:tcPr>
            <w:tcW w:w="2235" w:type="dxa"/>
          </w:tcPr>
          <w:p w14:paraId="52979EC7" w14:textId="77777777" w:rsidR="006A40E1" w:rsidRPr="004A59B1" w:rsidRDefault="006A40E1" w:rsidP="009C1193">
            <w:pPr>
              <w:keepNext/>
              <w:widowControl w:val="0"/>
              <w:rPr>
                <w:color w:val="000000"/>
              </w:rPr>
            </w:pPr>
            <w:r w:rsidRPr="004A59B1">
              <w:rPr>
                <w:i/>
                <w:color w:val="000000"/>
                <w:szCs w:val="22"/>
              </w:rPr>
              <w:t>občasni</w:t>
            </w:r>
            <w:r w:rsidRPr="004A59B1">
              <w:rPr>
                <w:color w:val="000000"/>
                <w:szCs w:val="22"/>
              </w:rPr>
              <w:t>:</w:t>
            </w:r>
          </w:p>
        </w:tc>
        <w:tc>
          <w:tcPr>
            <w:tcW w:w="7087" w:type="dxa"/>
          </w:tcPr>
          <w:p w14:paraId="52979EC8" w14:textId="77777777" w:rsidR="006A40E1" w:rsidRPr="004A59B1" w:rsidRDefault="006A40E1" w:rsidP="009C1193">
            <w:pPr>
              <w:keepNext/>
              <w:widowControl w:val="0"/>
              <w:rPr>
                <w:color w:val="000000"/>
              </w:rPr>
            </w:pPr>
            <w:r w:rsidRPr="004A59B1">
              <w:rPr>
                <w:color w:val="000000"/>
                <w:szCs w:val="22"/>
              </w:rPr>
              <w:t>palpitacije, tahikardija, kongestivno popuščanje srca</w:t>
            </w:r>
            <w:r w:rsidRPr="004A59B1">
              <w:rPr>
                <w:color w:val="000000"/>
                <w:szCs w:val="22"/>
                <w:vertAlign w:val="superscript"/>
              </w:rPr>
              <w:t>3</w:t>
            </w:r>
            <w:r w:rsidRPr="004A59B1">
              <w:rPr>
                <w:color w:val="000000"/>
                <w:szCs w:val="22"/>
              </w:rPr>
              <w:t>, pljučni edem</w:t>
            </w:r>
          </w:p>
        </w:tc>
      </w:tr>
      <w:tr w:rsidR="006A40E1" w:rsidRPr="004A59B1" w14:paraId="52979ECC" w14:textId="77777777" w:rsidTr="000A6242">
        <w:trPr>
          <w:cantSplit/>
        </w:trPr>
        <w:tc>
          <w:tcPr>
            <w:tcW w:w="2235" w:type="dxa"/>
          </w:tcPr>
          <w:p w14:paraId="52979ECA" w14:textId="77777777" w:rsidR="006A40E1" w:rsidRPr="004A59B1" w:rsidRDefault="006A40E1" w:rsidP="009C1193">
            <w:pPr>
              <w:keepNext/>
              <w:widowControl w:val="0"/>
              <w:rPr>
                <w:color w:val="000000"/>
              </w:rPr>
            </w:pPr>
            <w:r w:rsidRPr="004A59B1">
              <w:rPr>
                <w:i/>
                <w:color w:val="000000"/>
                <w:szCs w:val="22"/>
              </w:rPr>
              <w:t>redki:</w:t>
            </w:r>
          </w:p>
        </w:tc>
        <w:tc>
          <w:tcPr>
            <w:tcW w:w="7087" w:type="dxa"/>
          </w:tcPr>
          <w:p w14:paraId="52979ECB" w14:textId="77777777" w:rsidR="006A40E1" w:rsidRPr="004A59B1" w:rsidRDefault="006A40E1" w:rsidP="009C1193">
            <w:pPr>
              <w:keepNext/>
              <w:widowControl w:val="0"/>
              <w:rPr>
                <w:color w:val="000000"/>
              </w:rPr>
            </w:pPr>
            <w:r w:rsidRPr="004A59B1">
              <w:rPr>
                <w:color w:val="000000"/>
                <w:szCs w:val="22"/>
              </w:rPr>
              <w:t>aritmija, atrijska fibrilacija, zastoj srca, miokardni infarkt, angina pektoris, perikardialni izliv</w:t>
            </w:r>
          </w:p>
        </w:tc>
      </w:tr>
      <w:tr w:rsidR="006A40E1" w:rsidRPr="004A59B1" w14:paraId="52979ECF" w14:textId="77777777" w:rsidTr="000A6242">
        <w:trPr>
          <w:cantSplit/>
        </w:trPr>
        <w:tc>
          <w:tcPr>
            <w:tcW w:w="2235" w:type="dxa"/>
          </w:tcPr>
          <w:p w14:paraId="52979ECD" w14:textId="77777777" w:rsidR="006A40E1" w:rsidRPr="004A59B1" w:rsidRDefault="006A40E1" w:rsidP="009C1193">
            <w:pPr>
              <w:widowControl w:val="0"/>
              <w:rPr>
                <w:i/>
                <w:color w:val="000000"/>
                <w:szCs w:val="22"/>
              </w:rPr>
            </w:pPr>
            <w:r w:rsidRPr="004A59B1">
              <w:rPr>
                <w:i/>
                <w:color w:val="000000"/>
                <w:szCs w:val="22"/>
              </w:rPr>
              <w:t>pogostnost neznana:</w:t>
            </w:r>
          </w:p>
        </w:tc>
        <w:tc>
          <w:tcPr>
            <w:tcW w:w="7087" w:type="dxa"/>
          </w:tcPr>
          <w:p w14:paraId="52979ECE" w14:textId="77777777" w:rsidR="006A40E1" w:rsidRPr="004A59B1" w:rsidRDefault="006A40E1" w:rsidP="009C1193">
            <w:pPr>
              <w:widowControl w:val="0"/>
              <w:rPr>
                <w:color w:val="000000"/>
                <w:szCs w:val="22"/>
              </w:rPr>
            </w:pPr>
            <w:r w:rsidRPr="004A59B1">
              <w:rPr>
                <w:color w:val="000000"/>
                <w:szCs w:val="22"/>
              </w:rPr>
              <w:t>perikarditis*, tamponada srca*</w:t>
            </w:r>
          </w:p>
        </w:tc>
      </w:tr>
      <w:tr w:rsidR="006A40E1" w:rsidRPr="004A59B1" w14:paraId="52979ED1" w14:textId="77777777" w:rsidTr="000A6242">
        <w:trPr>
          <w:cantSplit/>
        </w:trPr>
        <w:tc>
          <w:tcPr>
            <w:tcW w:w="9322" w:type="dxa"/>
            <w:gridSpan w:val="2"/>
          </w:tcPr>
          <w:p w14:paraId="52979ED0" w14:textId="77777777" w:rsidR="006A40E1" w:rsidRPr="004A59B1" w:rsidRDefault="006A40E1" w:rsidP="009C1193">
            <w:pPr>
              <w:keepNext/>
              <w:widowControl w:val="0"/>
              <w:rPr>
                <w:color w:val="000000"/>
                <w:szCs w:val="22"/>
                <w:vertAlign w:val="superscript"/>
              </w:rPr>
            </w:pPr>
            <w:r w:rsidRPr="004A59B1">
              <w:rPr>
                <w:b/>
                <w:color w:val="000000"/>
                <w:szCs w:val="22"/>
              </w:rPr>
              <w:t>Žilne bolezni</w:t>
            </w:r>
            <w:r w:rsidRPr="004A59B1">
              <w:rPr>
                <w:b/>
                <w:color w:val="000000"/>
                <w:szCs w:val="22"/>
                <w:vertAlign w:val="superscript"/>
              </w:rPr>
              <w:t>4</w:t>
            </w:r>
          </w:p>
        </w:tc>
      </w:tr>
      <w:tr w:rsidR="006A40E1" w:rsidRPr="004A59B1" w14:paraId="52979ED4" w14:textId="77777777" w:rsidTr="000A6242">
        <w:trPr>
          <w:cantSplit/>
        </w:trPr>
        <w:tc>
          <w:tcPr>
            <w:tcW w:w="2235" w:type="dxa"/>
          </w:tcPr>
          <w:p w14:paraId="52979ED2" w14:textId="77777777" w:rsidR="006A40E1" w:rsidRPr="004A59B1" w:rsidRDefault="006A40E1" w:rsidP="009C1193">
            <w:pPr>
              <w:keepNext/>
              <w:widowControl w:val="0"/>
              <w:rPr>
                <w:i/>
                <w:color w:val="000000"/>
                <w:szCs w:val="22"/>
              </w:rPr>
            </w:pPr>
            <w:r w:rsidRPr="004A59B1">
              <w:rPr>
                <w:i/>
                <w:color w:val="000000"/>
                <w:szCs w:val="22"/>
              </w:rPr>
              <w:t>pogosti</w:t>
            </w:r>
            <w:r w:rsidRPr="004A59B1">
              <w:rPr>
                <w:color w:val="000000"/>
                <w:szCs w:val="22"/>
              </w:rPr>
              <w:t>:</w:t>
            </w:r>
          </w:p>
        </w:tc>
        <w:tc>
          <w:tcPr>
            <w:tcW w:w="7087" w:type="dxa"/>
          </w:tcPr>
          <w:p w14:paraId="52979ED3" w14:textId="77777777" w:rsidR="006A40E1" w:rsidRPr="004A59B1" w:rsidRDefault="006A40E1" w:rsidP="009C1193">
            <w:pPr>
              <w:keepNext/>
              <w:widowControl w:val="0"/>
              <w:rPr>
                <w:color w:val="000000"/>
                <w:szCs w:val="22"/>
              </w:rPr>
            </w:pPr>
            <w:r w:rsidRPr="004A59B1">
              <w:rPr>
                <w:color w:val="000000"/>
                <w:szCs w:val="22"/>
              </w:rPr>
              <w:t>navali rdečice, krvavitev</w:t>
            </w:r>
          </w:p>
        </w:tc>
      </w:tr>
      <w:tr w:rsidR="006A40E1" w:rsidRPr="004A59B1" w14:paraId="52979ED7" w14:textId="77777777" w:rsidTr="000A6242">
        <w:trPr>
          <w:cantSplit/>
        </w:trPr>
        <w:tc>
          <w:tcPr>
            <w:tcW w:w="2235" w:type="dxa"/>
          </w:tcPr>
          <w:p w14:paraId="52979ED5" w14:textId="77777777" w:rsidR="006A40E1" w:rsidRPr="004A59B1" w:rsidDel="00655175" w:rsidRDefault="006A40E1" w:rsidP="009C1193">
            <w:pPr>
              <w:keepNext/>
              <w:widowControl w:val="0"/>
              <w:rPr>
                <w:i/>
                <w:color w:val="000000"/>
                <w:szCs w:val="22"/>
              </w:rPr>
            </w:pPr>
            <w:r w:rsidRPr="004A59B1">
              <w:rPr>
                <w:i/>
                <w:color w:val="000000"/>
                <w:szCs w:val="22"/>
              </w:rPr>
              <w:t>občasni:</w:t>
            </w:r>
          </w:p>
        </w:tc>
        <w:tc>
          <w:tcPr>
            <w:tcW w:w="7087" w:type="dxa"/>
          </w:tcPr>
          <w:p w14:paraId="52979ED6" w14:textId="77777777" w:rsidR="006A40E1" w:rsidRPr="004A59B1" w:rsidDel="00655175" w:rsidRDefault="006A40E1" w:rsidP="009C1193">
            <w:pPr>
              <w:keepNext/>
              <w:widowControl w:val="0"/>
              <w:rPr>
                <w:color w:val="000000"/>
                <w:szCs w:val="22"/>
              </w:rPr>
            </w:pPr>
            <w:r w:rsidRPr="004A59B1">
              <w:rPr>
                <w:color w:val="000000"/>
                <w:szCs w:val="22"/>
              </w:rPr>
              <w:t>hipertenzija, hematom, subduralni hematom, hladni distalni deli udov, hipotenzija, Raynaudov fenomen</w:t>
            </w:r>
          </w:p>
        </w:tc>
      </w:tr>
      <w:tr w:rsidR="006A40E1" w:rsidRPr="004A59B1" w14:paraId="52979EDA" w14:textId="77777777" w:rsidTr="000A6242">
        <w:trPr>
          <w:cantSplit/>
        </w:trPr>
        <w:tc>
          <w:tcPr>
            <w:tcW w:w="2235" w:type="dxa"/>
          </w:tcPr>
          <w:p w14:paraId="52979ED8" w14:textId="77777777" w:rsidR="006A40E1" w:rsidRPr="004A59B1" w:rsidRDefault="006A40E1" w:rsidP="009C1193">
            <w:pPr>
              <w:widowControl w:val="0"/>
              <w:rPr>
                <w:i/>
                <w:color w:val="000000"/>
                <w:szCs w:val="22"/>
              </w:rPr>
            </w:pPr>
            <w:r w:rsidRPr="004A59B1">
              <w:rPr>
                <w:i/>
                <w:color w:val="000000"/>
                <w:szCs w:val="22"/>
              </w:rPr>
              <w:t>pogostnost neznana:</w:t>
            </w:r>
          </w:p>
        </w:tc>
        <w:tc>
          <w:tcPr>
            <w:tcW w:w="7087" w:type="dxa"/>
          </w:tcPr>
          <w:p w14:paraId="52979ED9" w14:textId="77777777" w:rsidR="006A40E1" w:rsidRPr="004A59B1" w:rsidRDefault="006A40E1" w:rsidP="009C1193">
            <w:pPr>
              <w:widowControl w:val="0"/>
              <w:rPr>
                <w:color w:val="000000"/>
                <w:szCs w:val="22"/>
              </w:rPr>
            </w:pPr>
            <w:r w:rsidRPr="004A59B1">
              <w:rPr>
                <w:color w:val="000000"/>
                <w:szCs w:val="22"/>
              </w:rPr>
              <w:t>tromboza/embolija*</w:t>
            </w:r>
          </w:p>
        </w:tc>
      </w:tr>
      <w:tr w:rsidR="006A40E1" w:rsidRPr="004A59B1" w14:paraId="52979EDC" w14:textId="77777777" w:rsidTr="000A6242">
        <w:trPr>
          <w:cantSplit/>
        </w:trPr>
        <w:tc>
          <w:tcPr>
            <w:tcW w:w="9322" w:type="dxa"/>
            <w:gridSpan w:val="2"/>
          </w:tcPr>
          <w:p w14:paraId="52979EDB" w14:textId="77777777" w:rsidR="006A40E1" w:rsidRPr="004A59B1" w:rsidRDefault="006A40E1" w:rsidP="009C1193">
            <w:pPr>
              <w:keepNext/>
              <w:widowControl w:val="0"/>
              <w:rPr>
                <w:color w:val="000000"/>
                <w:szCs w:val="22"/>
                <w:lang w:val="it-IT"/>
              </w:rPr>
            </w:pPr>
            <w:r w:rsidRPr="004A59B1">
              <w:rPr>
                <w:b/>
                <w:color w:val="000000"/>
                <w:szCs w:val="22"/>
                <w:lang w:val="it-IT"/>
              </w:rPr>
              <w:t>Bolezni dihal, prsnega koša in mediastinalnega prostora</w:t>
            </w:r>
          </w:p>
        </w:tc>
      </w:tr>
      <w:tr w:rsidR="006A40E1" w:rsidRPr="004A59B1" w14:paraId="52979EDF" w14:textId="77777777" w:rsidTr="000A6242">
        <w:trPr>
          <w:cantSplit/>
        </w:trPr>
        <w:tc>
          <w:tcPr>
            <w:tcW w:w="2235" w:type="dxa"/>
          </w:tcPr>
          <w:p w14:paraId="52979EDD" w14:textId="77777777" w:rsidR="006A40E1" w:rsidRPr="004A59B1" w:rsidRDefault="006A40E1" w:rsidP="009C1193">
            <w:pPr>
              <w:keepNext/>
              <w:widowControl w:val="0"/>
              <w:rPr>
                <w:color w:val="000000"/>
              </w:rPr>
            </w:pPr>
            <w:r w:rsidRPr="004A59B1">
              <w:rPr>
                <w:i/>
                <w:color w:val="000000"/>
                <w:szCs w:val="22"/>
              </w:rPr>
              <w:t>pogosti</w:t>
            </w:r>
            <w:r w:rsidRPr="004A59B1">
              <w:rPr>
                <w:color w:val="000000"/>
                <w:szCs w:val="22"/>
              </w:rPr>
              <w:t>:</w:t>
            </w:r>
          </w:p>
        </w:tc>
        <w:tc>
          <w:tcPr>
            <w:tcW w:w="7087" w:type="dxa"/>
          </w:tcPr>
          <w:p w14:paraId="52979EDE" w14:textId="77777777" w:rsidR="006A40E1" w:rsidRPr="004A59B1" w:rsidRDefault="006A40E1" w:rsidP="009C1193">
            <w:pPr>
              <w:keepNext/>
              <w:widowControl w:val="0"/>
              <w:rPr>
                <w:color w:val="000000"/>
              </w:rPr>
            </w:pPr>
            <w:r w:rsidRPr="004A59B1">
              <w:rPr>
                <w:color w:val="000000"/>
                <w:szCs w:val="22"/>
              </w:rPr>
              <w:t>dispneja, krvavitev iz nosu, kašelj</w:t>
            </w:r>
          </w:p>
        </w:tc>
      </w:tr>
      <w:tr w:rsidR="006A40E1" w:rsidRPr="004A59B1" w14:paraId="52979EE2" w14:textId="77777777" w:rsidTr="000A6242">
        <w:trPr>
          <w:cantSplit/>
        </w:trPr>
        <w:tc>
          <w:tcPr>
            <w:tcW w:w="2235" w:type="dxa"/>
          </w:tcPr>
          <w:p w14:paraId="52979EE0" w14:textId="77777777" w:rsidR="006A40E1" w:rsidRPr="004A59B1" w:rsidRDefault="006A40E1" w:rsidP="009C1193">
            <w:pPr>
              <w:keepNext/>
              <w:widowControl w:val="0"/>
              <w:rPr>
                <w:color w:val="000000"/>
              </w:rPr>
            </w:pPr>
            <w:r w:rsidRPr="004A59B1">
              <w:rPr>
                <w:i/>
                <w:color w:val="000000"/>
                <w:szCs w:val="22"/>
              </w:rPr>
              <w:t>občasni</w:t>
            </w:r>
            <w:r w:rsidRPr="004A59B1">
              <w:rPr>
                <w:color w:val="000000"/>
                <w:szCs w:val="22"/>
              </w:rPr>
              <w:t>:</w:t>
            </w:r>
          </w:p>
        </w:tc>
        <w:tc>
          <w:tcPr>
            <w:tcW w:w="7087" w:type="dxa"/>
          </w:tcPr>
          <w:p w14:paraId="52979EE1" w14:textId="77777777" w:rsidR="006A40E1" w:rsidRPr="004A59B1" w:rsidRDefault="006A40E1" w:rsidP="009C1193">
            <w:pPr>
              <w:keepNext/>
              <w:widowControl w:val="0"/>
              <w:rPr>
                <w:color w:val="000000"/>
              </w:rPr>
            </w:pPr>
            <w:r w:rsidRPr="004A59B1">
              <w:rPr>
                <w:color w:val="000000"/>
                <w:szCs w:val="22"/>
              </w:rPr>
              <w:t>plevralni izliv</w:t>
            </w:r>
            <w:r w:rsidRPr="004A59B1">
              <w:rPr>
                <w:color w:val="000000"/>
                <w:szCs w:val="22"/>
                <w:vertAlign w:val="superscript"/>
              </w:rPr>
              <w:t>5</w:t>
            </w:r>
            <w:r w:rsidRPr="004A59B1">
              <w:rPr>
                <w:color w:val="000000"/>
                <w:szCs w:val="22"/>
              </w:rPr>
              <w:t>, bolečine v žrelu in grlu, vnetje žrela</w:t>
            </w:r>
          </w:p>
        </w:tc>
      </w:tr>
      <w:tr w:rsidR="006A40E1" w:rsidRPr="004A59B1" w14:paraId="52979EE5" w14:textId="77777777" w:rsidTr="000A6242">
        <w:trPr>
          <w:cantSplit/>
        </w:trPr>
        <w:tc>
          <w:tcPr>
            <w:tcW w:w="2235" w:type="dxa"/>
          </w:tcPr>
          <w:p w14:paraId="52979EE3" w14:textId="77777777" w:rsidR="006A40E1" w:rsidRPr="004A59B1" w:rsidRDefault="006A40E1" w:rsidP="009C1193">
            <w:pPr>
              <w:keepNext/>
              <w:widowControl w:val="0"/>
              <w:rPr>
                <w:color w:val="000000"/>
              </w:rPr>
            </w:pPr>
            <w:r w:rsidRPr="004A59B1">
              <w:rPr>
                <w:i/>
                <w:color w:val="000000"/>
                <w:szCs w:val="22"/>
              </w:rPr>
              <w:t>redki:</w:t>
            </w:r>
          </w:p>
        </w:tc>
        <w:tc>
          <w:tcPr>
            <w:tcW w:w="7087" w:type="dxa"/>
          </w:tcPr>
          <w:p w14:paraId="52979EE4" w14:textId="77777777" w:rsidR="006A40E1" w:rsidRPr="004A59B1" w:rsidRDefault="006A40E1" w:rsidP="009C1193">
            <w:pPr>
              <w:keepNext/>
              <w:widowControl w:val="0"/>
              <w:rPr>
                <w:color w:val="000000"/>
              </w:rPr>
            </w:pPr>
            <w:r w:rsidRPr="004A59B1">
              <w:rPr>
                <w:color w:val="000000"/>
                <w:szCs w:val="22"/>
              </w:rPr>
              <w:t>plevritična bolečina, pljučna fibroza, pljučna hipertenzija, pljučna krvavitev</w:t>
            </w:r>
          </w:p>
        </w:tc>
      </w:tr>
      <w:tr w:rsidR="006A40E1" w:rsidRPr="004A59B1" w14:paraId="52979EE8" w14:textId="77777777" w:rsidTr="000A6242">
        <w:trPr>
          <w:cantSplit/>
        </w:trPr>
        <w:tc>
          <w:tcPr>
            <w:tcW w:w="2235" w:type="dxa"/>
          </w:tcPr>
          <w:p w14:paraId="52979EE6" w14:textId="77777777" w:rsidR="006A40E1" w:rsidRPr="004A59B1" w:rsidRDefault="006A40E1" w:rsidP="009C1193">
            <w:pPr>
              <w:widowControl w:val="0"/>
              <w:rPr>
                <w:i/>
                <w:color w:val="000000"/>
                <w:szCs w:val="22"/>
              </w:rPr>
            </w:pPr>
            <w:r w:rsidRPr="004A59B1">
              <w:rPr>
                <w:i/>
                <w:color w:val="000000"/>
                <w:szCs w:val="22"/>
              </w:rPr>
              <w:t>pogostnost neznana:</w:t>
            </w:r>
          </w:p>
        </w:tc>
        <w:tc>
          <w:tcPr>
            <w:tcW w:w="7087" w:type="dxa"/>
          </w:tcPr>
          <w:p w14:paraId="52979EE7" w14:textId="77777777" w:rsidR="006A40E1" w:rsidRPr="004A59B1" w:rsidRDefault="006A40E1" w:rsidP="009C1193">
            <w:pPr>
              <w:widowControl w:val="0"/>
              <w:rPr>
                <w:color w:val="000000"/>
                <w:szCs w:val="22"/>
                <w:lang w:val="it-IT"/>
              </w:rPr>
            </w:pPr>
            <w:r w:rsidRPr="004A59B1">
              <w:rPr>
                <w:color w:val="000000"/>
                <w:szCs w:val="22"/>
                <w:lang w:val="it-IT"/>
              </w:rPr>
              <w:t>akutna respiratorna odpoved</w:t>
            </w:r>
            <w:r w:rsidRPr="004A59B1">
              <w:rPr>
                <w:color w:val="000000"/>
                <w:szCs w:val="22"/>
                <w:vertAlign w:val="superscript"/>
                <w:lang w:val="it-IT"/>
              </w:rPr>
              <w:t>1</w:t>
            </w:r>
            <w:r w:rsidR="00F43F6C">
              <w:rPr>
                <w:color w:val="000000"/>
                <w:szCs w:val="22"/>
                <w:vertAlign w:val="superscript"/>
                <w:lang w:val="it-IT"/>
              </w:rPr>
              <w:t>1</w:t>
            </w:r>
            <w:r w:rsidRPr="004A59B1">
              <w:rPr>
                <w:color w:val="000000"/>
                <w:szCs w:val="22"/>
                <w:lang w:val="it-IT"/>
              </w:rPr>
              <w:t>*, intersticijska pljučna bolezen*</w:t>
            </w:r>
          </w:p>
        </w:tc>
      </w:tr>
      <w:tr w:rsidR="006A40E1" w:rsidRPr="004A59B1" w14:paraId="52979EEA" w14:textId="77777777" w:rsidTr="000A6242">
        <w:trPr>
          <w:cantSplit/>
        </w:trPr>
        <w:tc>
          <w:tcPr>
            <w:tcW w:w="9322" w:type="dxa"/>
            <w:gridSpan w:val="2"/>
          </w:tcPr>
          <w:p w14:paraId="52979EE9" w14:textId="77777777" w:rsidR="006A40E1" w:rsidRPr="004A59B1" w:rsidRDefault="006A40E1" w:rsidP="009C1193">
            <w:pPr>
              <w:keepNext/>
              <w:widowControl w:val="0"/>
              <w:rPr>
                <w:color w:val="000000"/>
                <w:lang w:val="fr-FR"/>
              </w:rPr>
            </w:pPr>
            <w:r w:rsidRPr="004A59B1">
              <w:rPr>
                <w:b/>
                <w:color w:val="000000"/>
                <w:szCs w:val="22"/>
              </w:rPr>
              <w:t>Bolezni prebavil</w:t>
            </w:r>
          </w:p>
        </w:tc>
      </w:tr>
      <w:tr w:rsidR="006A40E1" w:rsidRPr="004A59B1" w14:paraId="52979EED" w14:textId="77777777" w:rsidTr="000A6242">
        <w:trPr>
          <w:cantSplit/>
        </w:trPr>
        <w:tc>
          <w:tcPr>
            <w:tcW w:w="2235" w:type="dxa"/>
          </w:tcPr>
          <w:p w14:paraId="52979EEB" w14:textId="77777777" w:rsidR="006A40E1" w:rsidRPr="004A59B1" w:rsidRDefault="006A40E1" w:rsidP="009C1193">
            <w:pPr>
              <w:keepNext/>
              <w:widowControl w:val="0"/>
              <w:rPr>
                <w:color w:val="000000"/>
              </w:rPr>
            </w:pPr>
            <w:r w:rsidRPr="004A59B1">
              <w:rPr>
                <w:i/>
                <w:color w:val="000000"/>
                <w:szCs w:val="22"/>
              </w:rPr>
              <w:t>zelo pogosti:</w:t>
            </w:r>
          </w:p>
        </w:tc>
        <w:tc>
          <w:tcPr>
            <w:tcW w:w="7087" w:type="dxa"/>
          </w:tcPr>
          <w:p w14:paraId="52979EEC" w14:textId="77777777" w:rsidR="006A40E1" w:rsidRPr="004A59B1" w:rsidRDefault="006A40E1" w:rsidP="009C1193">
            <w:pPr>
              <w:keepNext/>
              <w:widowControl w:val="0"/>
              <w:rPr>
                <w:color w:val="000000"/>
              </w:rPr>
            </w:pPr>
            <w:r w:rsidRPr="004A59B1">
              <w:rPr>
                <w:color w:val="000000"/>
                <w:szCs w:val="22"/>
              </w:rPr>
              <w:t>navzea, driska, bruhanje, dispepsija, bolečine v trebuhu</w:t>
            </w:r>
            <w:r w:rsidRPr="004A59B1">
              <w:rPr>
                <w:color w:val="000000"/>
                <w:szCs w:val="22"/>
                <w:vertAlign w:val="superscript"/>
              </w:rPr>
              <w:t>6</w:t>
            </w:r>
          </w:p>
        </w:tc>
      </w:tr>
      <w:tr w:rsidR="006A40E1" w:rsidRPr="004A59B1" w14:paraId="52979EF0" w14:textId="77777777" w:rsidTr="000A6242">
        <w:trPr>
          <w:cantSplit/>
        </w:trPr>
        <w:tc>
          <w:tcPr>
            <w:tcW w:w="2235" w:type="dxa"/>
          </w:tcPr>
          <w:p w14:paraId="52979EEE" w14:textId="77777777" w:rsidR="006A40E1" w:rsidRPr="004A59B1" w:rsidRDefault="006A40E1" w:rsidP="009C1193">
            <w:pPr>
              <w:keepNext/>
              <w:widowControl w:val="0"/>
              <w:rPr>
                <w:color w:val="000000"/>
              </w:rPr>
            </w:pPr>
            <w:r w:rsidRPr="004A59B1">
              <w:rPr>
                <w:i/>
                <w:color w:val="000000"/>
                <w:szCs w:val="22"/>
              </w:rPr>
              <w:t>pogosti</w:t>
            </w:r>
            <w:r w:rsidRPr="004A59B1">
              <w:rPr>
                <w:color w:val="000000"/>
                <w:szCs w:val="22"/>
              </w:rPr>
              <w:t>:</w:t>
            </w:r>
          </w:p>
        </w:tc>
        <w:tc>
          <w:tcPr>
            <w:tcW w:w="7087" w:type="dxa"/>
          </w:tcPr>
          <w:p w14:paraId="52979EEF" w14:textId="77777777" w:rsidR="006A40E1" w:rsidRPr="004A59B1" w:rsidRDefault="006A40E1" w:rsidP="009C1193">
            <w:pPr>
              <w:keepNext/>
              <w:widowControl w:val="0"/>
              <w:rPr>
                <w:color w:val="000000"/>
              </w:rPr>
            </w:pPr>
            <w:r w:rsidRPr="004A59B1">
              <w:rPr>
                <w:color w:val="000000"/>
                <w:szCs w:val="22"/>
              </w:rPr>
              <w:t>flatulenca, napihnjen trebuh, gastroezofagealni refluks, obstipacija, suha usta, gastritis</w:t>
            </w:r>
          </w:p>
        </w:tc>
      </w:tr>
      <w:tr w:rsidR="006A40E1" w:rsidRPr="004A59B1" w14:paraId="52979EF3" w14:textId="77777777" w:rsidTr="000A6242">
        <w:trPr>
          <w:cantSplit/>
        </w:trPr>
        <w:tc>
          <w:tcPr>
            <w:tcW w:w="2235" w:type="dxa"/>
          </w:tcPr>
          <w:p w14:paraId="52979EF1" w14:textId="77777777" w:rsidR="006A40E1" w:rsidRPr="004A59B1" w:rsidRDefault="006A40E1" w:rsidP="009C1193">
            <w:pPr>
              <w:keepNext/>
              <w:widowControl w:val="0"/>
              <w:rPr>
                <w:color w:val="000000"/>
              </w:rPr>
            </w:pPr>
            <w:r w:rsidRPr="004A59B1">
              <w:rPr>
                <w:i/>
                <w:color w:val="000000"/>
                <w:szCs w:val="22"/>
              </w:rPr>
              <w:t>občasni</w:t>
            </w:r>
            <w:r w:rsidRPr="004A59B1">
              <w:rPr>
                <w:color w:val="000000"/>
                <w:szCs w:val="22"/>
              </w:rPr>
              <w:t>:</w:t>
            </w:r>
          </w:p>
        </w:tc>
        <w:tc>
          <w:tcPr>
            <w:tcW w:w="7087" w:type="dxa"/>
          </w:tcPr>
          <w:p w14:paraId="52979EF2" w14:textId="77777777" w:rsidR="006A40E1" w:rsidRPr="004A59B1" w:rsidRDefault="006A40E1" w:rsidP="009C1193">
            <w:pPr>
              <w:keepNext/>
              <w:widowControl w:val="0"/>
              <w:rPr>
                <w:color w:val="000000"/>
              </w:rPr>
            </w:pPr>
            <w:r w:rsidRPr="004A59B1">
              <w:rPr>
                <w:color w:val="000000"/>
                <w:szCs w:val="22"/>
              </w:rPr>
              <w:t>stomatitis, razjede ustne sluznice, krvavitev iz prebavil</w:t>
            </w:r>
            <w:r w:rsidRPr="004A59B1">
              <w:rPr>
                <w:color w:val="000000"/>
                <w:szCs w:val="22"/>
                <w:vertAlign w:val="superscript"/>
              </w:rPr>
              <w:t>7</w:t>
            </w:r>
            <w:r w:rsidRPr="004A59B1">
              <w:rPr>
                <w:color w:val="000000"/>
                <w:szCs w:val="22"/>
              </w:rPr>
              <w:t>, spahovanje, melena, ezofagitis, ascites, želodčna razjeda, hematemeza, vnetje ustnice, disfagija, pankreatitis</w:t>
            </w:r>
          </w:p>
        </w:tc>
      </w:tr>
      <w:tr w:rsidR="006A40E1" w:rsidRPr="004A59B1" w14:paraId="52979EF6" w14:textId="77777777" w:rsidTr="000A6242">
        <w:trPr>
          <w:cantSplit/>
        </w:trPr>
        <w:tc>
          <w:tcPr>
            <w:tcW w:w="2235" w:type="dxa"/>
          </w:tcPr>
          <w:p w14:paraId="52979EF4" w14:textId="77777777" w:rsidR="006A40E1" w:rsidRPr="004A59B1" w:rsidRDefault="006A40E1" w:rsidP="009C1193">
            <w:pPr>
              <w:keepNext/>
              <w:widowControl w:val="0"/>
              <w:rPr>
                <w:color w:val="000000"/>
              </w:rPr>
            </w:pPr>
            <w:r w:rsidRPr="004A59B1">
              <w:rPr>
                <w:i/>
                <w:color w:val="000000"/>
                <w:szCs w:val="22"/>
              </w:rPr>
              <w:t>redki:</w:t>
            </w:r>
          </w:p>
        </w:tc>
        <w:tc>
          <w:tcPr>
            <w:tcW w:w="7087" w:type="dxa"/>
          </w:tcPr>
          <w:p w14:paraId="52979EF5" w14:textId="77777777" w:rsidR="006A40E1" w:rsidRPr="004A59B1" w:rsidRDefault="006A40E1" w:rsidP="009C1193">
            <w:pPr>
              <w:keepNext/>
              <w:widowControl w:val="0"/>
              <w:rPr>
                <w:snapToGrid w:val="0"/>
                <w:color w:val="000000"/>
                <w:szCs w:val="22"/>
              </w:rPr>
            </w:pPr>
            <w:r w:rsidRPr="004A59B1">
              <w:rPr>
                <w:color w:val="000000"/>
                <w:szCs w:val="22"/>
              </w:rPr>
              <w:t xml:space="preserve">kolitis, </w:t>
            </w:r>
            <w:r w:rsidRPr="004A59B1">
              <w:rPr>
                <w:snapToGrid w:val="0"/>
                <w:color w:val="000000"/>
                <w:szCs w:val="22"/>
              </w:rPr>
              <w:t>ileus, vnetna bolezen črevesa</w:t>
            </w:r>
          </w:p>
        </w:tc>
      </w:tr>
      <w:tr w:rsidR="0027622D" w:rsidRPr="004A59B1" w14:paraId="52979EF9" w14:textId="77777777" w:rsidTr="000A6242">
        <w:trPr>
          <w:cantSplit/>
        </w:trPr>
        <w:tc>
          <w:tcPr>
            <w:tcW w:w="2235" w:type="dxa"/>
          </w:tcPr>
          <w:p w14:paraId="52979EF7" w14:textId="77777777" w:rsidR="0027622D" w:rsidRPr="004A59B1" w:rsidRDefault="0027622D" w:rsidP="009C1193">
            <w:pPr>
              <w:widowControl w:val="0"/>
              <w:rPr>
                <w:i/>
                <w:color w:val="000000"/>
                <w:szCs w:val="22"/>
              </w:rPr>
            </w:pPr>
            <w:r w:rsidRPr="004A59B1">
              <w:rPr>
                <w:i/>
                <w:color w:val="000000"/>
                <w:szCs w:val="22"/>
              </w:rPr>
              <w:t>pogostnost neznana:</w:t>
            </w:r>
          </w:p>
        </w:tc>
        <w:tc>
          <w:tcPr>
            <w:tcW w:w="7087" w:type="dxa"/>
          </w:tcPr>
          <w:p w14:paraId="52979EF8" w14:textId="77777777" w:rsidR="0027622D" w:rsidRPr="004A59B1" w:rsidRDefault="0027622D" w:rsidP="009C1193">
            <w:pPr>
              <w:widowControl w:val="0"/>
              <w:rPr>
                <w:color w:val="000000"/>
                <w:szCs w:val="22"/>
              </w:rPr>
            </w:pPr>
            <w:r w:rsidRPr="004A59B1">
              <w:rPr>
                <w:color w:val="000000"/>
                <w:szCs w:val="22"/>
              </w:rPr>
              <w:t xml:space="preserve">ileus/zapora črevesja*, gastrointestinalna perforacija*, divertikulitis*, </w:t>
            </w:r>
            <w:r w:rsidRPr="004A59B1">
              <w:t>žilne ektazije antruma želodca (GAVE)*</w:t>
            </w:r>
          </w:p>
        </w:tc>
      </w:tr>
      <w:tr w:rsidR="0027622D" w:rsidRPr="003B6568" w14:paraId="52979EFB" w14:textId="77777777" w:rsidTr="000A6242">
        <w:trPr>
          <w:cantSplit/>
        </w:trPr>
        <w:tc>
          <w:tcPr>
            <w:tcW w:w="9322" w:type="dxa"/>
            <w:gridSpan w:val="2"/>
          </w:tcPr>
          <w:p w14:paraId="52979EFA" w14:textId="77777777" w:rsidR="0027622D" w:rsidRPr="002227FB" w:rsidRDefault="0027622D" w:rsidP="009C1193">
            <w:pPr>
              <w:keepNext/>
              <w:widowControl w:val="0"/>
              <w:rPr>
                <w:snapToGrid w:val="0"/>
                <w:color w:val="000000"/>
                <w:szCs w:val="22"/>
                <w:lang w:val="de-CH"/>
              </w:rPr>
            </w:pPr>
            <w:r w:rsidRPr="002227FB">
              <w:rPr>
                <w:b/>
                <w:color w:val="000000"/>
                <w:szCs w:val="22"/>
                <w:lang w:val="de-CH"/>
              </w:rPr>
              <w:t>Bolezni jeter, žolčnika in žolčevodov</w:t>
            </w:r>
          </w:p>
        </w:tc>
      </w:tr>
      <w:tr w:rsidR="0027622D" w:rsidRPr="004A59B1" w14:paraId="52979EFE" w14:textId="77777777" w:rsidTr="000A6242">
        <w:trPr>
          <w:cantSplit/>
        </w:trPr>
        <w:tc>
          <w:tcPr>
            <w:tcW w:w="2235" w:type="dxa"/>
          </w:tcPr>
          <w:p w14:paraId="52979EFC" w14:textId="77777777" w:rsidR="0027622D" w:rsidRPr="004A59B1" w:rsidRDefault="0027622D" w:rsidP="009C1193">
            <w:pPr>
              <w:keepNext/>
              <w:widowControl w:val="0"/>
              <w:rPr>
                <w:i/>
                <w:color w:val="000000"/>
                <w:szCs w:val="22"/>
              </w:rPr>
            </w:pPr>
            <w:r w:rsidRPr="004A59B1">
              <w:rPr>
                <w:i/>
                <w:color w:val="000000"/>
                <w:szCs w:val="22"/>
              </w:rPr>
              <w:t>pogosti</w:t>
            </w:r>
            <w:r w:rsidRPr="004A59B1">
              <w:rPr>
                <w:color w:val="000000"/>
                <w:szCs w:val="22"/>
              </w:rPr>
              <w:t>:</w:t>
            </w:r>
          </w:p>
        </w:tc>
        <w:tc>
          <w:tcPr>
            <w:tcW w:w="7087" w:type="dxa"/>
          </w:tcPr>
          <w:p w14:paraId="52979EFD" w14:textId="77777777" w:rsidR="0027622D" w:rsidRPr="004A59B1" w:rsidRDefault="0027622D" w:rsidP="009C1193">
            <w:pPr>
              <w:keepNext/>
              <w:widowControl w:val="0"/>
              <w:rPr>
                <w:color w:val="000000"/>
                <w:szCs w:val="22"/>
              </w:rPr>
            </w:pPr>
            <w:r w:rsidRPr="004A59B1">
              <w:rPr>
                <w:color w:val="000000"/>
                <w:szCs w:val="22"/>
              </w:rPr>
              <w:t>zvišani jetrni encimi</w:t>
            </w:r>
          </w:p>
        </w:tc>
      </w:tr>
      <w:tr w:rsidR="0027622D" w:rsidRPr="004A59B1" w14:paraId="52979F01" w14:textId="77777777" w:rsidTr="000A6242">
        <w:trPr>
          <w:cantSplit/>
        </w:trPr>
        <w:tc>
          <w:tcPr>
            <w:tcW w:w="2235" w:type="dxa"/>
          </w:tcPr>
          <w:p w14:paraId="52979EFF" w14:textId="77777777" w:rsidR="0027622D" w:rsidRPr="004A59B1" w:rsidRDefault="0027622D" w:rsidP="009C1193">
            <w:pPr>
              <w:keepNext/>
              <w:widowControl w:val="0"/>
              <w:rPr>
                <w:i/>
                <w:color w:val="000000"/>
                <w:szCs w:val="22"/>
              </w:rPr>
            </w:pPr>
            <w:r w:rsidRPr="004A59B1">
              <w:rPr>
                <w:i/>
                <w:color w:val="000000"/>
                <w:szCs w:val="22"/>
              </w:rPr>
              <w:t>občasni:</w:t>
            </w:r>
          </w:p>
        </w:tc>
        <w:tc>
          <w:tcPr>
            <w:tcW w:w="7087" w:type="dxa"/>
          </w:tcPr>
          <w:p w14:paraId="52979F00" w14:textId="77777777" w:rsidR="0027622D" w:rsidRPr="004A59B1" w:rsidRDefault="0027622D" w:rsidP="009C1193">
            <w:pPr>
              <w:keepNext/>
              <w:widowControl w:val="0"/>
              <w:rPr>
                <w:color w:val="000000"/>
                <w:szCs w:val="22"/>
              </w:rPr>
            </w:pPr>
            <w:r w:rsidRPr="004A59B1">
              <w:rPr>
                <w:color w:val="000000"/>
                <w:szCs w:val="22"/>
              </w:rPr>
              <w:t>hiperbilirubinemija, hepatitis, ikterus</w:t>
            </w:r>
          </w:p>
        </w:tc>
      </w:tr>
      <w:tr w:rsidR="0027622D" w:rsidRPr="004A59B1" w14:paraId="52979F04" w14:textId="77777777" w:rsidTr="000A6242">
        <w:trPr>
          <w:cantSplit/>
        </w:trPr>
        <w:tc>
          <w:tcPr>
            <w:tcW w:w="2235" w:type="dxa"/>
          </w:tcPr>
          <w:p w14:paraId="52979F02" w14:textId="77777777" w:rsidR="0027622D" w:rsidRPr="004A59B1" w:rsidRDefault="0027622D" w:rsidP="009C1193">
            <w:pPr>
              <w:widowControl w:val="0"/>
              <w:rPr>
                <w:i/>
                <w:color w:val="000000"/>
                <w:szCs w:val="22"/>
              </w:rPr>
            </w:pPr>
            <w:r w:rsidRPr="004A59B1">
              <w:rPr>
                <w:i/>
                <w:color w:val="000000"/>
                <w:szCs w:val="22"/>
              </w:rPr>
              <w:t>redki:</w:t>
            </w:r>
          </w:p>
        </w:tc>
        <w:tc>
          <w:tcPr>
            <w:tcW w:w="7087" w:type="dxa"/>
          </w:tcPr>
          <w:p w14:paraId="52979F03" w14:textId="77777777" w:rsidR="0027622D" w:rsidRPr="004A59B1" w:rsidRDefault="0027622D" w:rsidP="009C1193">
            <w:pPr>
              <w:widowControl w:val="0"/>
              <w:rPr>
                <w:color w:val="000000"/>
                <w:szCs w:val="22"/>
              </w:rPr>
            </w:pPr>
            <w:r w:rsidRPr="004A59B1">
              <w:rPr>
                <w:color w:val="000000"/>
                <w:szCs w:val="22"/>
              </w:rPr>
              <w:t>odpoved jeter</w:t>
            </w:r>
            <w:r w:rsidRPr="004A59B1">
              <w:rPr>
                <w:color w:val="000000"/>
                <w:szCs w:val="22"/>
                <w:vertAlign w:val="superscript"/>
              </w:rPr>
              <w:t>8</w:t>
            </w:r>
            <w:r w:rsidRPr="004A59B1">
              <w:rPr>
                <w:color w:val="000000"/>
                <w:szCs w:val="22"/>
              </w:rPr>
              <w:t>, nekroza jeter</w:t>
            </w:r>
          </w:p>
        </w:tc>
      </w:tr>
      <w:tr w:rsidR="0027622D" w:rsidRPr="004A59B1" w14:paraId="52979F06" w14:textId="77777777" w:rsidTr="000A6242">
        <w:trPr>
          <w:cantSplit/>
        </w:trPr>
        <w:tc>
          <w:tcPr>
            <w:tcW w:w="9322" w:type="dxa"/>
            <w:gridSpan w:val="2"/>
          </w:tcPr>
          <w:p w14:paraId="52979F05" w14:textId="77777777" w:rsidR="0027622D" w:rsidRPr="004A59B1" w:rsidRDefault="0027622D" w:rsidP="009C1193">
            <w:pPr>
              <w:keepNext/>
              <w:widowControl w:val="0"/>
              <w:rPr>
                <w:color w:val="000000"/>
              </w:rPr>
            </w:pPr>
            <w:r w:rsidRPr="004A59B1">
              <w:rPr>
                <w:b/>
                <w:color w:val="000000"/>
                <w:szCs w:val="22"/>
              </w:rPr>
              <w:t>Bolezni kože in podkožja</w:t>
            </w:r>
          </w:p>
        </w:tc>
      </w:tr>
      <w:tr w:rsidR="0027622D" w:rsidRPr="004A59B1" w14:paraId="52979F09" w14:textId="77777777" w:rsidTr="000A6242">
        <w:trPr>
          <w:cantSplit/>
        </w:trPr>
        <w:tc>
          <w:tcPr>
            <w:tcW w:w="2235" w:type="dxa"/>
          </w:tcPr>
          <w:p w14:paraId="52979F07" w14:textId="77777777" w:rsidR="0027622D" w:rsidRPr="004A59B1" w:rsidRDefault="0027622D" w:rsidP="009C1193">
            <w:pPr>
              <w:keepNext/>
              <w:widowControl w:val="0"/>
              <w:rPr>
                <w:color w:val="000000"/>
              </w:rPr>
            </w:pPr>
            <w:r w:rsidRPr="004A59B1">
              <w:rPr>
                <w:i/>
                <w:color w:val="000000"/>
                <w:szCs w:val="22"/>
              </w:rPr>
              <w:t>zelo pogosti:</w:t>
            </w:r>
          </w:p>
        </w:tc>
        <w:tc>
          <w:tcPr>
            <w:tcW w:w="7087" w:type="dxa"/>
          </w:tcPr>
          <w:p w14:paraId="52979F08" w14:textId="77777777" w:rsidR="0027622D" w:rsidRPr="004A59B1" w:rsidRDefault="0027622D" w:rsidP="009C1193">
            <w:pPr>
              <w:keepNext/>
              <w:widowControl w:val="0"/>
              <w:rPr>
                <w:color w:val="000000"/>
              </w:rPr>
            </w:pPr>
            <w:r w:rsidRPr="004A59B1">
              <w:rPr>
                <w:color w:val="000000"/>
                <w:szCs w:val="22"/>
              </w:rPr>
              <w:t>periorbitalni edemi, dermatitis/ekcem/izpuščaj</w:t>
            </w:r>
          </w:p>
        </w:tc>
      </w:tr>
      <w:tr w:rsidR="0027622D" w:rsidRPr="004A59B1" w14:paraId="52979F0C" w14:textId="77777777" w:rsidTr="000A6242">
        <w:trPr>
          <w:cantSplit/>
        </w:trPr>
        <w:tc>
          <w:tcPr>
            <w:tcW w:w="2235" w:type="dxa"/>
          </w:tcPr>
          <w:p w14:paraId="52979F0A" w14:textId="77777777" w:rsidR="0027622D" w:rsidRPr="004A59B1" w:rsidRDefault="0027622D" w:rsidP="009C1193">
            <w:pPr>
              <w:keepNext/>
              <w:widowControl w:val="0"/>
              <w:rPr>
                <w:color w:val="000000"/>
              </w:rPr>
            </w:pPr>
            <w:r w:rsidRPr="004A59B1">
              <w:rPr>
                <w:i/>
                <w:color w:val="000000"/>
                <w:szCs w:val="22"/>
              </w:rPr>
              <w:t>pogosti</w:t>
            </w:r>
            <w:r w:rsidRPr="004A59B1">
              <w:rPr>
                <w:color w:val="000000"/>
                <w:szCs w:val="22"/>
              </w:rPr>
              <w:t>:</w:t>
            </w:r>
          </w:p>
        </w:tc>
        <w:tc>
          <w:tcPr>
            <w:tcW w:w="7087" w:type="dxa"/>
          </w:tcPr>
          <w:p w14:paraId="52979F0B" w14:textId="77777777" w:rsidR="0027622D" w:rsidRPr="004A59B1" w:rsidRDefault="0027622D" w:rsidP="009C1193">
            <w:pPr>
              <w:keepNext/>
              <w:widowControl w:val="0"/>
              <w:rPr>
                <w:color w:val="000000"/>
                <w:lang w:val="pt-BR"/>
              </w:rPr>
            </w:pPr>
            <w:r w:rsidRPr="004A59B1">
              <w:rPr>
                <w:color w:val="000000"/>
                <w:szCs w:val="22"/>
                <w:lang w:val="pt-PT"/>
              </w:rPr>
              <w:t>pruritus, edem obraza, suha koža, eritem, alopecija, nočno potenje, fotosenzitivna reakcija</w:t>
            </w:r>
          </w:p>
        </w:tc>
      </w:tr>
      <w:tr w:rsidR="0027622D" w:rsidRPr="004A59B1" w14:paraId="52979F0F" w14:textId="77777777" w:rsidTr="000A6242">
        <w:trPr>
          <w:cantSplit/>
        </w:trPr>
        <w:tc>
          <w:tcPr>
            <w:tcW w:w="2235" w:type="dxa"/>
          </w:tcPr>
          <w:p w14:paraId="52979F0D" w14:textId="77777777" w:rsidR="0027622D" w:rsidRPr="004A59B1" w:rsidRDefault="0027622D" w:rsidP="009C1193">
            <w:pPr>
              <w:keepNext/>
              <w:widowControl w:val="0"/>
              <w:rPr>
                <w:color w:val="000000"/>
              </w:rPr>
            </w:pPr>
            <w:r w:rsidRPr="004A59B1">
              <w:rPr>
                <w:i/>
                <w:color w:val="000000"/>
                <w:szCs w:val="22"/>
              </w:rPr>
              <w:t>občasni</w:t>
            </w:r>
            <w:r w:rsidRPr="004A59B1">
              <w:rPr>
                <w:color w:val="000000"/>
                <w:szCs w:val="22"/>
              </w:rPr>
              <w:t>:</w:t>
            </w:r>
          </w:p>
        </w:tc>
        <w:tc>
          <w:tcPr>
            <w:tcW w:w="7087" w:type="dxa"/>
          </w:tcPr>
          <w:p w14:paraId="52979F0E" w14:textId="77777777" w:rsidR="0027622D" w:rsidRPr="004A59B1" w:rsidRDefault="0027622D" w:rsidP="009C1193">
            <w:pPr>
              <w:keepNext/>
              <w:widowControl w:val="0"/>
              <w:rPr>
                <w:color w:val="000000"/>
                <w:szCs w:val="22"/>
              </w:rPr>
            </w:pPr>
            <w:r w:rsidRPr="004A59B1">
              <w:rPr>
                <w:color w:val="000000"/>
                <w:szCs w:val="22"/>
              </w:rPr>
              <w:t>gnojen izpuščaj, kontuzije, povečano potenje, urtikarija, ekhimoza, nagnjenost k podplutbam, hipotrihoza, hipopigmentacija kože, eksfoliativni dermatitis, lomljenje nohtov, folikulitis, petehije, psoriaza, purpura, hiperpigmentacija kože, bulozne erupcije</w:t>
            </w:r>
          </w:p>
        </w:tc>
      </w:tr>
      <w:tr w:rsidR="0027622D" w:rsidRPr="004A59B1" w14:paraId="52979F12" w14:textId="77777777" w:rsidTr="000A6242">
        <w:trPr>
          <w:cantSplit/>
        </w:trPr>
        <w:tc>
          <w:tcPr>
            <w:tcW w:w="2235" w:type="dxa"/>
          </w:tcPr>
          <w:p w14:paraId="52979F10" w14:textId="77777777" w:rsidR="0027622D" w:rsidRPr="004A59B1" w:rsidRDefault="0027622D" w:rsidP="009C1193">
            <w:pPr>
              <w:keepNext/>
              <w:widowControl w:val="0"/>
              <w:rPr>
                <w:color w:val="000000"/>
              </w:rPr>
            </w:pPr>
            <w:r w:rsidRPr="004A59B1">
              <w:rPr>
                <w:i/>
                <w:color w:val="000000"/>
                <w:szCs w:val="22"/>
              </w:rPr>
              <w:t>redki:</w:t>
            </w:r>
          </w:p>
        </w:tc>
        <w:tc>
          <w:tcPr>
            <w:tcW w:w="7087" w:type="dxa"/>
          </w:tcPr>
          <w:p w14:paraId="52979F11" w14:textId="77777777" w:rsidR="0027622D" w:rsidRPr="004A59B1" w:rsidRDefault="0027622D" w:rsidP="009C1193">
            <w:pPr>
              <w:keepNext/>
              <w:widowControl w:val="0"/>
              <w:rPr>
                <w:color w:val="000000"/>
              </w:rPr>
            </w:pPr>
            <w:r w:rsidRPr="004A59B1">
              <w:rPr>
                <w:color w:val="000000"/>
                <w:szCs w:val="22"/>
              </w:rPr>
              <w:t>akutna febrilna nevtrofilna dermatoza (Sweetov sindrom), sprememba barve nohtov, angionevrotični edem, mehurčkast izpuščaj, multiformni eritem, levkocitoklastični vaskulitis, Stevens-Johnsonov sindrom, akutna generalizirana eksantemska pustuloza (AGEP)</w:t>
            </w:r>
          </w:p>
        </w:tc>
      </w:tr>
      <w:tr w:rsidR="0027622D" w:rsidRPr="004A59B1" w14:paraId="52979F15" w14:textId="77777777" w:rsidTr="000A6242">
        <w:trPr>
          <w:cantSplit/>
        </w:trPr>
        <w:tc>
          <w:tcPr>
            <w:tcW w:w="2235" w:type="dxa"/>
          </w:tcPr>
          <w:p w14:paraId="52979F13" w14:textId="77777777" w:rsidR="0027622D" w:rsidRPr="004A59B1" w:rsidRDefault="0027622D" w:rsidP="009C1193">
            <w:pPr>
              <w:widowControl w:val="0"/>
              <w:rPr>
                <w:i/>
                <w:color w:val="000000"/>
                <w:szCs w:val="22"/>
              </w:rPr>
            </w:pPr>
            <w:r w:rsidRPr="004A59B1">
              <w:rPr>
                <w:i/>
                <w:color w:val="000000"/>
                <w:szCs w:val="22"/>
              </w:rPr>
              <w:t>pogostnost neznana:</w:t>
            </w:r>
          </w:p>
        </w:tc>
        <w:tc>
          <w:tcPr>
            <w:tcW w:w="7087" w:type="dxa"/>
          </w:tcPr>
          <w:p w14:paraId="52979F14" w14:textId="77777777" w:rsidR="0027622D" w:rsidRPr="004A59B1" w:rsidRDefault="0027622D" w:rsidP="009C1193">
            <w:pPr>
              <w:widowControl w:val="0"/>
              <w:rPr>
                <w:color w:val="000000"/>
                <w:szCs w:val="22"/>
              </w:rPr>
            </w:pPr>
            <w:r w:rsidRPr="004A59B1">
              <w:rPr>
                <w:color w:val="000000"/>
                <w:szCs w:val="22"/>
              </w:rPr>
              <w:t xml:space="preserve">sindrom palmoplantarne eritrodisestezije*, lihenoidna keratoza*, lichen planus*, toksična epidermalna nekroliza*, izpuščaj zaradi zdravila z eozinofilijo in sistemskimi simptomi (DRESS - </w:t>
            </w:r>
            <w:r w:rsidRPr="004A59B1">
              <w:rPr>
                <w:i/>
                <w:color w:val="000000"/>
                <w:szCs w:val="22"/>
              </w:rPr>
              <w:t>drug rash with eosinophilia and systemic symptoms</w:t>
            </w:r>
            <w:r w:rsidRPr="004A59B1">
              <w:rPr>
                <w:color w:val="000000"/>
                <w:szCs w:val="22"/>
              </w:rPr>
              <w:t>)*</w:t>
            </w:r>
            <w:r w:rsidR="00E25BBA">
              <w:rPr>
                <w:color w:val="000000"/>
                <w:szCs w:val="22"/>
              </w:rPr>
              <w:t>, psevdoporfirija</w:t>
            </w:r>
            <w:r w:rsidR="00E25BBA" w:rsidRPr="004A59B1">
              <w:rPr>
                <w:color w:val="000000"/>
                <w:szCs w:val="22"/>
              </w:rPr>
              <w:t>*</w:t>
            </w:r>
          </w:p>
        </w:tc>
      </w:tr>
      <w:tr w:rsidR="0027622D" w:rsidRPr="003B6568" w14:paraId="52979F17" w14:textId="77777777" w:rsidTr="000A6242">
        <w:trPr>
          <w:cantSplit/>
        </w:trPr>
        <w:tc>
          <w:tcPr>
            <w:tcW w:w="9322" w:type="dxa"/>
            <w:gridSpan w:val="2"/>
          </w:tcPr>
          <w:p w14:paraId="52979F16" w14:textId="77777777" w:rsidR="0027622D" w:rsidRPr="004A59B1" w:rsidRDefault="0027622D" w:rsidP="009C1193">
            <w:pPr>
              <w:keepNext/>
              <w:widowControl w:val="0"/>
              <w:rPr>
                <w:color w:val="000000"/>
                <w:szCs w:val="22"/>
                <w:lang w:val="it-IT"/>
              </w:rPr>
            </w:pPr>
            <w:r w:rsidRPr="004A59B1">
              <w:rPr>
                <w:b/>
                <w:color w:val="000000"/>
                <w:szCs w:val="22"/>
                <w:lang w:val="it-IT"/>
              </w:rPr>
              <w:lastRenderedPageBreak/>
              <w:t>Bolezni mišično-skeletnega sistema in vezivnega tkiva</w:t>
            </w:r>
          </w:p>
        </w:tc>
      </w:tr>
      <w:tr w:rsidR="0027622D" w:rsidRPr="004A59B1" w14:paraId="52979F1A" w14:textId="77777777" w:rsidTr="000A6242">
        <w:trPr>
          <w:cantSplit/>
        </w:trPr>
        <w:tc>
          <w:tcPr>
            <w:tcW w:w="2235" w:type="dxa"/>
          </w:tcPr>
          <w:p w14:paraId="52979F18" w14:textId="77777777" w:rsidR="0027622D" w:rsidRPr="004A59B1" w:rsidRDefault="0027622D" w:rsidP="009C1193">
            <w:pPr>
              <w:keepNext/>
              <w:widowControl w:val="0"/>
              <w:rPr>
                <w:i/>
                <w:color w:val="000000"/>
                <w:szCs w:val="22"/>
              </w:rPr>
            </w:pPr>
            <w:r w:rsidRPr="004A59B1">
              <w:rPr>
                <w:i/>
                <w:color w:val="000000"/>
                <w:szCs w:val="22"/>
              </w:rPr>
              <w:t>zelo pogosti:</w:t>
            </w:r>
          </w:p>
        </w:tc>
        <w:tc>
          <w:tcPr>
            <w:tcW w:w="7087" w:type="dxa"/>
          </w:tcPr>
          <w:p w14:paraId="52979F19" w14:textId="77777777" w:rsidR="0027622D" w:rsidRPr="004A59B1" w:rsidRDefault="0027622D" w:rsidP="009C1193">
            <w:pPr>
              <w:keepNext/>
              <w:widowControl w:val="0"/>
              <w:rPr>
                <w:color w:val="000000"/>
                <w:szCs w:val="22"/>
              </w:rPr>
            </w:pPr>
            <w:r w:rsidRPr="004A59B1">
              <w:rPr>
                <w:color w:val="000000"/>
                <w:szCs w:val="22"/>
              </w:rPr>
              <w:t>mišični spazmi in krči, mišično-skeletne bolečine, vključno z mialgijo</w:t>
            </w:r>
            <w:r w:rsidR="00F43F6C" w:rsidRPr="004A59B1">
              <w:rPr>
                <w:color w:val="000000"/>
                <w:szCs w:val="22"/>
                <w:vertAlign w:val="superscript"/>
              </w:rPr>
              <w:t>9</w:t>
            </w:r>
            <w:r w:rsidRPr="004A59B1">
              <w:rPr>
                <w:color w:val="000000"/>
                <w:szCs w:val="22"/>
              </w:rPr>
              <w:t>, artralgijo in bolečinami v kosteh</w:t>
            </w:r>
            <w:r w:rsidR="00F43F6C">
              <w:rPr>
                <w:color w:val="000000"/>
                <w:szCs w:val="22"/>
                <w:vertAlign w:val="superscript"/>
              </w:rPr>
              <w:t>10</w:t>
            </w:r>
          </w:p>
        </w:tc>
      </w:tr>
      <w:tr w:rsidR="0027622D" w:rsidRPr="004A59B1" w14:paraId="52979F1D" w14:textId="77777777" w:rsidTr="000A6242">
        <w:trPr>
          <w:cantSplit/>
        </w:trPr>
        <w:tc>
          <w:tcPr>
            <w:tcW w:w="2235" w:type="dxa"/>
          </w:tcPr>
          <w:p w14:paraId="52979F1B" w14:textId="77777777" w:rsidR="0027622D" w:rsidRPr="004A59B1" w:rsidRDefault="0027622D" w:rsidP="009C1193">
            <w:pPr>
              <w:keepNext/>
              <w:widowControl w:val="0"/>
              <w:rPr>
                <w:i/>
                <w:color w:val="000000"/>
                <w:szCs w:val="22"/>
              </w:rPr>
            </w:pPr>
            <w:r w:rsidRPr="004A59B1">
              <w:rPr>
                <w:i/>
                <w:color w:val="000000"/>
                <w:szCs w:val="22"/>
              </w:rPr>
              <w:t>pogosti</w:t>
            </w:r>
            <w:r w:rsidRPr="004A59B1">
              <w:rPr>
                <w:color w:val="000000"/>
                <w:szCs w:val="22"/>
              </w:rPr>
              <w:t>:</w:t>
            </w:r>
          </w:p>
        </w:tc>
        <w:tc>
          <w:tcPr>
            <w:tcW w:w="7087" w:type="dxa"/>
          </w:tcPr>
          <w:p w14:paraId="52979F1C" w14:textId="77777777" w:rsidR="0027622D" w:rsidRPr="004A59B1" w:rsidRDefault="0027622D" w:rsidP="009C1193">
            <w:pPr>
              <w:keepNext/>
              <w:widowControl w:val="0"/>
              <w:rPr>
                <w:color w:val="000000"/>
                <w:szCs w:val="22"/>
                <w:lang w:val="pt-PT"/>
              </w:rPr>
            </w:pPr>
            <w:r w:rsidRPr="004A59B1">
              <w:rPr>
                <w:color w:val="000000"/>
                <w:szCs w:val="22"/>
              </w:rPr>
              <w:t>otekanje sklepov</w:t>
            </w:r>
          </w:p>
        </w:tc>
      </w:tr>
      <w:tr w:rsidR="0027622D" w:rsidRPr="004A59B1" w14:paraId="52979F20" w14:textId="77777777" w:rsidTr="000A6242">
        <w:trPr>
          <w:cantSplit/>
        </w:trPr>
        <w:tc>
          <w:tcPr>
            <w:tcW w:w="2235" w:type="dxa"/>
          </w:tcPr>
          <w:p w14:paraId="52979F1E" w14:textId="77777777" w:rsidR="0027622D" w:rsidRPr="004A59B1" w:rsidRDefault="0027622D" w:rsidP="009C1193">
            <w:pPr>
              <w:keepNext/>
              <w:widowControl w:val="0"/>
              <w:rPr>
                <w:i/>
                <w:color w:val="000000"/>
                <w:szCs w:val="22"/>
              </w:rPr>
            </w:pPr>
            <w:r w:rsidRPr="004A59B1">
              <w:rPr>
                <w:i/>
                <w:color w:val="000000"/>
                <w:szCs w:val="22"/>
              </w:rPr>
              <w:t>občasni</w:t>
            </w:r>
            <w:r w:rsidRPr="004A59B1">
              <w:rPr>
                <w:color w:val="000000"/>
                <w:szCs w:val="22"/>
              </w:rPr>
              <w:t>:</w:t>
            </w:r>
          </w:p>
        </w:tc>
        <w:tc>
          <w:tcPr>
            <w:tcW w:w="7087" w:type="dxa"/>
          </w:tcPr>
          <w:p w14:paraId="52979F1F" w14:textId="77777777" w:rsidR="0027622D" w:rsidRPr="004A59B1" w:rsidRDefault="0027622D" w:rsidP="009C1193">
            <w:pPr>
              <w:keepNext/>
              <w:widowControl w:val="0"/>
              <w:rPr>
                <w:color w:val="000000"/>
                <w:szCs w:val="22"/>
                <w:lang w:val="pt-PT"/>
              </w:rPr>
            </w:pPr>
            <w:r w:rsidRPr="004A59B1">
              <w:rPr>
                <w:color w:val="000000"/>
                <w:szCs w:val="22"/>
              </w:rPr>
              <w:t>okorelost sklepov in mišic</w:t>
            </w:r>
          </w:p>
        </w:tc>
      </w:tr>
      <w:tr w:rsidR="0027622D" w:rsidRPr="004A59B1" w14:paraId="52979F23" w14:textId="77777777" w:rsidTr="000A6242">
        <w:trPr>
          <w:cantSplit/>
        </w:trPr>
        <w:tc>
          <w:tcPr>
            <w:tcW w:w="2235" w:type="dxa"/>
          </w:tcPr>
          <w:p w14:paraId="52979F21" w14:textId="77777777" w:rsidR="0027622D" w:rsidRPr="004A59B1" w:rsidRDefault="0027622D" w:rsidP="009C1193">
            <w:pPr>
              <w:keepNext/>
              <w:widowControl w:val="0"/>
              <w:rPr>
                <w:i/>
                <w:color w:val="000000"/>
                <w:szCs w:val="22"/>
              </w:rPr>
            </w:pPr>
            <w:r w:rsidRPr="004A59B1">
              <w:rPr>
                <w:i/>
                <w:color w:val="000000"/>
                <w:szCs w:val="22"/>
              </w:rPr>
              <w:t>redki:</w:t>
            </w:r>
          </w:p>
        </w:tc>
        <w:tc>
          <w:tcPr>
            <w:tcW w:w="7087" w:type="dxa"/>
          </w:tcPr>
          <w:p w14:paraId="52979F22" w14:textId="77777777" w:rsidR="0027622D" w:rsidRPr="004A59B1" w:rsidRDefault="0027622D" w:rsidP="009C1193">
            <w:pPr>
              <w:keepNext/>
              <w:widowControl w:val="0"/>
              <w:rPr>
                <w:color w:val="000000"/>
                <w:szCs w:val="22"/>
              </w:rPr>
            </w:pPr>
            <w:r w:rsidRPr="004A59B1">
              <w:rPr>
                <w:bCs/>
                <w:color w:val="000000"/>
                <w:szCs w:val="22"/>
              </w:rPr>
              <w:t xml:space="preserve">oslabelost mišic, artritis, </w:t>
            </w:r>
            <w:r w:rsidRPr="004A59B1">
              <w:rPr>
                <w:color w:val="000000"/>
                <w:szCs w:val="22"/>
              </w:rPr>
              <w:t>rabdomioliza/miopatija</w:t>
            </w:r>
          </w:p>
        </w:tc>
      </w:tr>
      <w:tr w:rsidR="0027622D" w:rsidRPr="004A59B1" w14:paraId="52979F26" w14:textId="77777777" w:rsidTr="000A6242">
        <w:trPr>
          <w:cantSplit/>
        </w:trPr>
        <w:tc>
          <w:tcPr>
            <w:tcW w:w="2235" w:type="dxa"/>
          </w:tcPr>
          <w:p w14:paraId="52979F24" w14:textId="77777777" w:rsidR="0027622D" w:rsidRPr="004A59B1" w:rsidRDefault="0027622D" w:rsidP="009C1193">
            <w:pPr>
              <w:widowControl w:val="0"/>
              <w:rPr>
                <w:i/>
                <w:color w:val="000000"/>
                <w:szCs w:val="22"/>
              </w:rPr>
            </w:pPr>
            <w:r w:rsidRPr="004A59B1">
              <w:rPr>
                <w:i/>
                <w:color w:val="000000"/>
                <w:szCs w:val="22"/>
              </w:rPr>
              <w:t>pogostnost neznana:</w:t>
            </w:r>
          </w:p>
        </w:tc>
        <w:tc>
          <w:tcPr>
            <w:tcW w:w="7087" w:type="dxa"/>
          </w:tcPr>
          <w:p w14:paraId="52979F25" w14:textId="77777777" w:rsidR="0027622D" w:rsidRPr="004A59B1" w:rsidRDefault="0027622D" w:rsidP="009C1193">
            <w:pPr>
              <w:widowControl w:val="0"/>
              <w:rPr>
                <w:bCs/>
                <w:color w:val="000000"/>
                <w:szCs w:val="22"/>
              </w:rPr>
            </w:pPr>
            <w:r w:rsidRPr="004A59B1">
              <w:rPr>
                <w:color w:val="000000"/>
                <w:szCs w:val="22"/>
              </w:rPr>
              <w:t xml:space="preserve">avaskularna nekroza/nekroza kolka*, </w:t>
            </w:r>
            <w:r w:rsidRPr="004A59B1">
              <w:rPr>
                <w:color w:val="000000"/>
                <w:szCs w:val="22"/>
                <w:lang w:val="fi-FI"/>
              </w:rPr>
              <w:t>zaostajanje v rasti pri otrocih*</w:t>
            </w:r>
          </w:p>
        </w:tc>
      </w:tr>
      <w:tr w:rsidR="0027622D" w:rsidRPr="004A59B1" w14:paraId="52979F28" w14:textId="77777777" w:rsidTr="000A6242">
        <w:trPr>
          <w:cantSplit/>
        </w:trPr>
        <w:tc>
          <w:tcPr>
            <w:tcW w:w="9322" w:type="dxa"/>
            <w:gridSpan w:val="2"/>
          </w:tcPr>
          <w:p w14:paraId="52979F27" w14:textId="77777777" w:rsidR="0027622D" w:rsidRPr="004A59B1" w:rsidRDefault="0027622D" w:rsidP="009C1193">
            <w:pPr>
              <w:keepNext/>
              <w:widowControl w:val="0"/>
              <w:rPr>
                <w:b/>
                <w:color w:val="000000"/>
                <w:szCs w:val="22"/>
              </w:rPr>
            </w:pPr>
            <w:r w:rsidRPr="004A59B1">
              <w:rPr>
                <w:b/>
                <w:color w:val="000000"/>
                <w:szCs w:val="22"/>
              </w:rPr>
              <w:t>Bolezni sečil</w:t>
            </w:r>
          </w:p>
        </w:tc>
      </w:tr>
      <w:tr w:rsidR="0027622D" w:rsidRPr="004A59B1" w14:paraId="52979F2B" w14:textId="77777777" w:rsidTr="000A6242">
        <w:trPr>
          <w:cantSplit/>
        </w:trPr>
        <w:tc>
          <w:tcPr>
            <w:tcW w:w="2235" w:type="dxa"/>
          </w:tcPr>
          <w:p w14:paraId="52979F29" w14:textId="77777777" w:rsidR="0027622D" w:rsidRPr="004A59B1" w:rsidRDefault="0027622D" w:rsidP="009C1193">
            <w:pPr>
              <w:keepNext/>
              <w:widowControl w:val="0"/>
              <w:rPr>
                <w:color w:val="000000"/>
              </w:rPr>
            </w:pPr>
            <w:r w:rsidRPr="004A59B1">
              <w:rPr>
                <w:i/>
                <w:color w:val="000000"/>
                <w:szCs w:val="22"/>
              </w:rPr>
              <w:t>občasni</w:t>
            </w:r>
            <w:r w:rsidRPr="004A59B1">
              <w:rPr>
                <w:color w:val="000000"/>
                <w:szCs w:val="22"/>
              </w:rPr>
              <w:t>:</w:t>
            </w:r>
          </w:p>
        </w:tc>
        <w:tc>
          <w:tcPr>
            <w:tcW w:w="7087" w:type="dxa"/>
          </w:tcPr>
          <w:p w14:paraId="52979F2A" w14:textId="77777777" w:rsidR="0027622D" w:rsidRPr="004A59B1" w:rsidRDefault="0027622D" w:rsidP="009C1193">
            <w:pPr>
              <w:keepNext/>
              <w:widowControl w:val="0"/>
              <w:rPr>
                <w:color w:val="000000"/>
              </w:rPr>
            </w:pPr>
            <w:r w:rsidRPr="004A59B1">
              <w:rPr>
                <w:color w:val="000000"/>
                <w:szCs w:val="22"/>
              </w:rPr>
              <w:t>bolečina v ledvicah, hematurija, akutna odpoved ledvic, pogostejše odvajanje vode</w:t>
            </w:r>
          </w:p>
        </w:tc>
      </w:tr>
      <w:tr w:rsidR="00DA3C2F" w:rsidRPr="004A59B1" w14:paraId="52979F2E" w14:textId="77777777" w:rsidTr="000A6242">
        <w:trPr>
          <w:cantSplit/>
        </w:trPr>
        <w:tc>
          <w:tcPr>
            <w:tcW w:w="2235" w:type="dxa"/>
          </w:tcPr>
          <w:p w14:paraId="52979F2C" w14:textId="77777777" w:rsidR="00DA3C2F" w:rsidRPr="004A59B1" w:rsidRDefault="00DA3C2F" w:rsidP="009C1193">
            <w:pPr>
              <w:widowControl w:val="0"/>
              <w:rPr>
                <w:i/>
                <w:color w:val="000000"/>
                <w:szCs w:val="22"/>
              </w:rPr>
            </w:pPr>
            <w:r w:rsidRPr="004A59B1">
              <w:rPr>
                <w:i/>
                <w:color w:val="000000"/>
                <w:szCs w:val="22"/>
              </w:rPr>
              <w:t>pogostnost neznana:</w:t>
            </w:r>
          </w:p>
        </w:tc>
        <w:tc>
          <w:tcPr>
            <w:tcW w:w="7087" w:type="dxa"/>
          </w:tcPr>
          <w:p w14:paraId="52979F2D" w14:textId="77777777" w:rsidR="00DA3C2F" w:rsidRPr="004A59B1" w:rsidRDefault="00DA3C2F" w:rsidP="009C1193">
            <w:pPr>
              <w:widowControl w:val="0"/>
              <w:rPr>
                <w:color w:val="000000"/>
                <w:szCs w:val="22"/>
              </w:rPr>
            </w:pPr>
            <w:r>
              <w:rPr>
                <w:color w:val="000000"/>
                <w:szCs w:val="22"/>
              </w:rPr>
              <w:t>kronična ledvi</w:t>
            </w:r>
            <w:r w:rsidR="00BE30E2">
              <w:rPr>
                <w:color w:val="000000"/>
                <w:szCs w:val="22"/>
              </w:rPr>
              <w:t>čna bolezen</w:t>
            </w:r>
          </w:p>
        </w:tc>
      </w:tr>
      <w:tr w:rsidR="0027622D" w:rsidRPr="004A59B1" w14:paraId="52979F30" w14:textId="77777777" w:rsidTr="000A6242">
        <w:trPr>
          <w:cantSplit/>
        </w:trPr>
        <w:tc>
          <w:tcPr>
            <w:tcW w:w="9322" w:type="dxa"/>
            <w:gridSpan w:val="2"/>
          </w:tcPr>
          <w:p w14:paraId="52979F2F" w14:textId="77777777" w:rsidR="0027622D" w:rsidRPr="004A59B1" w:rsidRDefault="0027622D" w:rsidP="009C1193">
            <w:pPr>
              <w:keepNext/>
              <w:widowControl w:val="0"/>
              <w:rPr>
                <w:color w:val="000000"/>
                <w:szCs w:val="22"/>
              </w:rPr>
            </w:pPr>
            <w:r w:rsidRPr="004A59B1">
              <w:rPr>
                <w:b/>
                <w:color w:val="000000"/>
                <w:szCs w:val="22"/>
              </w:rPr>
              <w:t>Motnje reprodukcije in dojk</w:t>
            </w:r>
          </w:p>
        </w:tc>
      </w:tr>
      <w:tr w:rsidR="0027622D" w:rsidRPr="004A59B1" w14:paraId="52979F33" w14:textId="77777777" w:rsidTr="000A6242">
        <w:trPr>
          <w:cantSplit/>
        </w:trPr>
        <w:tc>
          <w:tcPr>
            <w:tcW w:w="2235" w:type="dxa"/>
          </w:tcPr>
          <w:p w14:paraId="52979F31" w14:textId="77777777" w:rsidR="0027622D" w:rsidRPr="004A59B1" w:rsidRDefault="0027622D" w:rsidP="009C1193">
            <w:pPr>
              <w:keepNext/>
              <w:widowControl w:val="0"/>
              <w:rPr>
                <w:i/>
                <w:color w:val="000000"/>
                <w:szCs w:val="22"/>
              </w:rPr>
            </w:pPr>
            <w:r w:rsidRPr="004A59B1">
              <w:rPr>
                <w:i/>
                <w:color w:val="000000"/>
                <w:szCs w:val="22"/>
              </w:rPr>
              <w:t>občasni:</w:t>
            </w:r>
          </w:p>
        </w:tc>
        <w:tc>
          <w:tcPr>
            <w:tcW w:w="7087" w:type="dxa"/>
          </w:tcPr>
          <w:p w14:paraId="52979F32" w14:textId="77777777" w:rsidR="0027622D" w:rsidRPr="004A59B1" w:rsidRDefault="0027622D" w:rsidP="009C1193">
            <w:pPr>
              <w:keepNext/>
              <w:widowControl w:val="0"/>
              <w:rPr>
                <w:color w:val="000000"/>
                <w:szCs w:val="22"/>
              </w:rPr>
            </w:pPr>
            <w:r w:rsidRPr="004A59B1">
              <w:rPr>
                <w:color w:val="000000"/>
                <w:szCs w:val="22"/>
              </w:rPr>
              <w:t>ginekomastija, erektilna disfunkcija, menoragija, neredne menstrualne krvavitve, motnje spolnih funkcij, boleče bradavice, povečanje dojk, edem skrotuma</w:t>
            </w:r>
          </w:p>
        </w:tc>
      </w:tr>
      <w:tr w:rsidR="0027622D" w:rsidRPr="004A59B1" w14:paraId="52979F36" w14:textId="77777777" w:rsidTr="000A6242">
        <w:trPr>
          <w:cantSplit/>
        </w:trPr>
        <w:tc>
          <w:tcPr>
            <w:tcW w:w="2235" w:type="dxa"/>
          </w:tcPr>
          <w:p w14:paraId="52979F34" w14:textId="77777777" w:rsidR="0027622D" w:rsidRPr="004A59B1" w:rsidRDefault="0027622D" w:rsidP="009C1193">
            <w:pPr>
              <w:widowControl w:val="0"/>
              <w:rPr>
                <w:i/>
                <w:color w:val="000000"/>
                <w:szCs w:val="22"/>
              </w:rPr>
            </w:pPr>
            <w:r w:rsidRPr="004A59B1">
              <w:rPr>
                <w:i/>
                <w:color w:val="000000"/>
                <w:szCs w:val="22"/>
              </w:rPr>
              <w:t>redki:</w:t>
            </w:r>
          </w:p>
        </w:tc>
        <w:tc>
          <w:tcPr>
            <w:tcW w:w="7087" w:type="dxa"/>
          </w:tcPr>
          <w:p w14:paraId="52979F35" w14:textId="77777777" w:rsidR="0027622D" w:rsidRPr="004A59B1" w:rsidRDefault="0027622D" w:rsidP="009C1193">
            <w:pPr>
              <w:widowControl w:val="0"/>
              <w:rPr>
                <w:color w:val="000000"/>
                <w:szCs w:val="22"/>
                <w:lang w:val="it-IT"/>
              </w:rPr>
            </w:pPr>
            <w:r w:rsidRPr="004A59B1">
              <w:rPr>
                <w:color w:val="000000"/>
                <w:szCs w:val="22"/>
                <w:lang w:val="it-IT"/>
              </w:rPr>
              <w:t>krvavitev v rumeno telesce/krvavitev v ovarijsko cisto</w:t>
            </w:r>
          </w:p>
        </w:tc>
      </w:tr>
      <w:tr w:rsidR="0027622D" w:rsidRPr="004A59B1" w14:paraId="52979F38" w14:textId="77777777" w:rsidTr="000A6242">
        <w:trPr>
          <w:cantSplit/>
        </w:trPr>
        <w:tc>
          <w:tcPr>
            <w:tcW w:w="9322" w:type="dxa"/>
            <w:gridSpan w:val="2"/>
          </w:tcPr>
          <w:p w14:paraId="52979F37" w14:textId="77777777" w:rsidR="0027622D" w:rsidRPr="004A59B1" w:rsidRDefault="0027622D" w:rsidP="009C1193">
            <w:pPr>
              <w:keepNext/>
              <w:widowControl w:val="0"/>
              <w:rPr>
                <w:color w:val="000000"/>
                <w:szCs w:val="22"/>
              </w:rPr>
            </w:pPr>
            <w:r w:rsidRPr="004A59B1">
              <w:rPr>
                <w:b/>
                <w:color w:val="000000"/>
                <w:szCs w:val="22"/>
              </w:rPr>
              <w:t>Splošne težave in spremembe na mestu aplikacije</w:t>
            </w:r>
          </w:p>
        </w:tc>
      </w:tr>
      <w:tr w:rsidR="0027622D" w:rsidRPr="003B6568" w14:paraId="52979F3B" w14:textId="77777777" w:rsidTr="000A6242">
        <w:trPr>
          <w:cantSplit/>
        </w:trPr>
        <w:tc>
          <w:tcPr>
            <w:tcW w:w="2235" w:type="dxa"/>
          </w:tcPr>
          <w:p w14:paraId="52979F39" w14:textId="77777777" w:rsidR="0027622D" w:rsidRPr="004A59B1" w:rsidRDefault="0027622D" w:rsidP="009C1193">
            <w:pPr>
              <w:keepNext/>
              <w:widowControl w:val="0"/>
              <w:rPr>
                <w:i/>
                <w:color w:val="000000"/>
                <w:szCs w:val="22"/>
              </w:rPr>
            </w:pPr>
            <w:r w:rsidRPr="004A59B1">
              <w:rPr>
                <w:i/>
                <w:color w:val="000000"/>
                <w:szCs w:val="22"/>
              </w:rPr>
              <w:t>zelo pogosti:</w:t>
            </w:r>
          </w:p>
        </w:tc>
        <w:tc>
          <w:tcPr>
            <w:tcW w:w="7087" w:type="dxa"/>
          </w:tcPr>
          <w:p w14:paraId="52979F3A" w14:textId="77777777" w:rsidR="0027622D" w:rsidRPr="003F2EE1" w:rsidRDefault="0027622D" w:rsidP="009C1193">
            <w:pPr>
              <w:keepNext/>
              <w:widowControl w:val="0"/>
              <w:rPr>
                <w:color w:val="000000"/>
                <w:szCs w:val="22"/>
                <w:lang w:val="de-CH"/>
              </w:rPr>
            </w:pPr>
            <w:r w:rsidRPr="003F2EE1">
              <w:rPr>
                <w:color w:val="000000"/>
                <w:szCs w:val="22"/>
                <w:lang w:val="de-CH"/>
              </w:rPr>
              <w:t>zastajanje tekočine in edemi, utrujenost</w:t>
            </w:r>
          </w:p>
        </w:tc>
      </w:tr>
      <w:tr w:rsidR="0027622D" w:rsidRPr="004A59B1" w14:paraId="52979F3E" w14:textId="77777777" w:rsidTr="000A6242">
        <w:trPr>
          <w:cantSplit/>
        </w:trPr>
        <w:tc>
          <w:tcPr>
            <w:tcW w:w="2235" w:type="dxa"/>
          </w:tcPr>
          <w:p w14:paraId="52979F3C" w14:textId="77777777" w:rsidR="0027622D" w:rsidRPr="004A59B1" w:rsidRDefault="0027622D" w:rsidP="009C1193">
            <w:pPr>
              <w:keepNext/>
              <w:widowControl w:val="0"/>
              <w:rPr>
                <w:i/>
                <w:color w:val="000000"/>
                <w:szCs w:val="22"/>
              </w:rPr>
            </w:pPr>
            <w:r w:rsidRPr="004A59B1">
              <w:rPr>
                <w:i/>
                <w:color w:val="000000"/>
                <w:szCs w:val="22"/>
              </w:rPr>
              <w:t>pogosti</w:t>
            </w:r>
            <w:r w:rsidRPr="004A59B1">
              <w:rPr>
                <w:color w:val="000000"/>
                <w:szCs w:val="22"/>
              </w:rPr>
              <w:t>:</w:t>
            </w:r>
          </w:p>
        </w:tc>
        <w:tc>
          <w:tcPr>
            <w:tcW w:w="7087" w:type="dxa"/>
          </w:tcPr>
          <w:p w14:paraId="52979F3D" w14:textId="77777777" w:rsidR="0027622D" w:rsidRPr="004A59B1" w:rsidRDefault="0027622D" w:rsidP="009C1193">
            <w:pPr>
              <w:keepNext/>
              <w:widowControl w:val="0"/>
              <w:rPr>
                <w:color w:val="000000"/>
                <w:szCs w:val="22"/>
              </w:rPr>
            </w:pPr>
            <w:r w:rsidRPr="004A59B1">
              <w:rPr>
                <w:color w:val="000000"/>
                <w:szCs w:val="22"/>
              </w:rPr>
              <w:t>oslabelost, zvišana telesna temperatura, anasarka, mrazenje, okorelost</w:t>
            </w:r>
          </w:p>
        </w:tc>
      </w:tr>
      <w:tr w:rsidR="0027622D" w:rsidRPr="004A59B1" w14:paraId="52979F41" w14:textId="77777777" w:rsidTr="000A6242">
        <w:trPr>
          <w:cantSplit/>
        </w:trPr>
        <w:tc>
          <w:tcPr>
            <w:tcW w:w="2235" w:type="dxa"/>
          </w:tcPr>
          <w:p w14:paraId="52979F3F" w14:textId="77777777" w:rsidR="0027622D" w:rsidRPr="004A59B1" w:rsidRDefault="0027622D" w:rsidP="009C1193">
            <w:pPr>
              <w:widowControl w:val="0"/>
              <w:rPr>
                <w:i/>
                <w:color w:val="000000"/>
                <w:szCs w:val="22"/>
              </w:rPr>
            </w:pPr>
            <w:r w:rsidRPr="004A59B1">
              <w:rPr>
                <w:i/>
                <w:color w:val="000000"/>
                <w:szCs w:val="22"/>
              </w:rPr>
              <w:t>občasni:</w:t>
            </w:r>
          </w:p>
        </w:tc>
        <w:tc>
          <w:tcPr>
            <w:tcW w:w="7087" w:type="dxa"/>
          </w:tcPr>
          <w:p w14:paraId="52979F40" w14:textId="77777777" w:rsidR="0027622D" w:rsidRPr="004A59B1" w:rsidRDefault="0027622D" w:rsidP="009C1193">
            <w:pPr>
              <w:widowControl w:val="0"/>
              <w:rPr>
                <w:color w:val="000000"/>
                <w:szCs w:val="22"/>
              </w:rPr>
            </w:pPr>
            <w:r w:rsidRPr="004A59B1">
              <w:rPr>
                <w:color w:val="000000"/>
                <w:szCs w:val="22"/>
              </w:rPr>
              <w:t>bolečine v prsnem košu, slabo počutje</w:t>
            </w:r>
          </w:p>
        </w:tc>
      </w:tr>
      <w:tr w:rsidR="0027622D" w:rsidRPr="004A59B1" w14:paraId="52979F43" w14:textId="77777777" w:rsidTr="000A6242">
        <w:trPr>
          <w:cantSplit/>
        </w:trPr>
        <w:tc>
          <w:tcPr>
            <w:tcW w:w="9322" w:type="dxa"/>
            <w:gridSpan w:val="2"/>
          </w:tcPr>
          <w:p w14:paraId="52979F42" w14:textId="77777777" w:rsidR="0027622D" w:rsidRPr="004A59B1" w:rsidRDefault="0027622D" w:rsidP="009C1193">
            <w:pPr>
              <w:keepNext/>
              <w:widowControl w:val="0"/>
              <w:rPr>
                <w:color w:val="000000"/>
              </w:rPr>
            </w:pPr>
            <w:r w:rsidRPr="004A59B1">
              <w:rPr>
                <w:b/>
                <w:color w:val="000000"/>
                <w:szCs w:val="22"/>
                <w:lang w:val="fr-FR"/>
              </w:rPr>
              <w:t>Preiskave</w:t>
            </w:r>
          </w:p>
        </w:tc>
      </w:tr>
      <w:tr w:rsidR="0027622D" w:rsidRPr="004A59B1" w14:paraId="52979F46" w14:textId="77777777" w:rsidTr="000A6242">
        <w:trPr>
          <w:cantSplit/>
        </w:trPr>
        <w:tc>
          <w:tcPr>
            <w:tcW w:w="2235" w:type="dxa"/>
          </w:tcPr>
          <w:p w14:paraId="52979F44" w14:textId="77777777" w:rsidR="0027622D" w:rsidRPr="004A59B1" w:rsidRDefault="0027622D" w:rsidP="009C1193">
            <w:pPr>
              <w:keepNext/>
              <w:widowControl w:val="0"/>
              <w:rPr>
                <w:color w:val="000000"/>
              </w:rPr>
            </w:pPr>
            <w:r w:rsidRPr="004A59B1">
              <w:rPr>
                <w:i/>
                <w:color w:val="000000"/>
                <w:szCs w:val="22"/>
              </w:rPr>
              <w:t>zelo pogosti:</w:t>
            </w:r>
          </w:p>
        </w:tc>
        <w:tc>
          <w:tcPr>
            <w:tcW w:w="7087" w:type="dxa"/>
          </w:tcPr>
          <w:p w14:paraId="52979F45" w14:textId="77777777" w:rsidR="0027622D" w:rsidRPr="004A59B1" w:rsidRDefault="0027622D" w:rsidP="009C1193">
            <w:pPr>
              <w:keepNext/>
              <w:widowControl w:val="0"/>
              <w:rPr>
                <w:color w:val="000000"/>
              </w:rPr>
            </w:pPr>
            <w:r w:rsidRPr="004A59B1">
              <w:rPr>
                <w:color w:val="000000"/>
                <w:szCs w:val="22"/>
              </w:rPr>
              <w:t>zvečanje telesne mase</w:t>
            </w:r>
          </w:p>
        </w:tc>
      </w:tr>
      <w:tr w:rsidR="0027622D" w:rsidRPr="004A59B1" w14:paraId="52979F49" w14:textId="77777777" w:rsidTr="000A6242">
        <w:trPr>
          <w:cantSplit/>
        </w:trPr>
        <w:tc>
          <w:tcPr>
            <w:tcW w:w="2235" w:type="dxa"/>
          </w:tcPr>
          <w:p w14:paraId="52979F47" w14:textId="77777777" w:rsidR="0027622D" w:rsidRPr="004A59B1" w:rsidRDefault="0027622D" w:rsidP="009C1193">
            <w:pPr>
              <w:keepNext/>
              <w:widowControl w:val="0"/>
              <w:rPr>
                <w:color w:val="000000"/>
              </w:rPr>
            </w:pPr>
            <w:r w:rsidRPr="004A59B1">
              <w:rPr>
                <w:i/>
                <w:color w:val="000000"/>
                <w:szCs w:val="22"/>
              </w:rPr>
              <w:t>pogosti</w:t>
            </w:r>
            <w:r w:rsidRPr="004A59B1">
              <w:rPr>
                <w:color w:val="000000"/>
                <w:szCs w:val="22"/>
              </w:rPr>
              <w:t>:</w:t>
            </w:r>
          </w:p>
        </w:tc>
        <w:tc>
          <w:tcPr>
            <w:tcW w:w="7087" w:type="dxa"/>
          </w:tcPr>
          <w:p w14:paraId="52979F48" w14:textId="77777777" w:rsidR="0027622D" w:rsidRPr="004A59B1" w:rsidRDefault="0027622D" w:rsidP="009C1193">
            <w:pPr>
              <w:keepNext/>
              <w:widowControl w:val="0"/>
              <w:rPr>
                <w:color w:val="000000"/>
              </w:rPr>
            </w:pPr>
            <w:r w:rsidRPr="004A59B1">
              <w:rPr>
                <w:color w:val="000000"/>
                <w:szCs w:val="22"/>
              </w:rPr>
              <w:t>zmanjšanje telesne mase</w:t>
            </w:r>
          </w:p>
        </w:tc>
      </w:tr>
      <w:tr w:rsidR="0027622D" w:rsidRPr="004A59B1" w14:paraId="52979F4C" w14:textId="77777777" w:rsidTr="000A6242">
        <w:trPr>
          <w:cantSplit/>
        </w:trPr>
        <w:tc>
          <w:tcPr>
            <w:tcW w:w="2235" w:type="dxa"/>
          </w:tcPr>
          <w:p w14:paraId="52979F4A" w14:textId="77777777" w:rsidR="0027622D" w:rsidRPr="004A59B1" w:rsidRDefault="0027622D" w:rsidP="009C1193">
            <w:pPr>
              <w:keepNext/>
              <w:widowControl w:val="0"/>
              <w:rPr>
                <w:color w:val="000000"/>
              </w:rPr>
            </w:pPr>
            <w:r w:rsidRPr="004A59B1">
              <w:rPr>
                <w:i/>
                <w:color w:val="000000"/>
                <w:szCs w:val="22"/>
              </w:rPr>
              <w:t>občasni</w:t>
            </w:r>
            <w:r w:rsidRPr="004A59B1">
              <w:rPr>
                <w:color w:val="000000"/>
                <w:szCs w:val="22"/>
              </w:rPr>
              <w:t>:</w:t>
            </w:r>
          </w:p>
        </w:tc>
        <w:tc>
          <w:tcPr>
            <w:tcW w:w="7087" w:type="dxa"/>
          </w:tcPr>
          <w:p w14:paraId="52979F4B" w14:textId="77777777" w:rsidR="0027622D" w:rsidRPr="004A59B1" w:rsidRDefault="0027622D" w:rsidP="009C1193">
            <w:pPr>
              <w:keepNext/>
              <w:widowControl w:val="0"/>
              <w:rPr>
                <w:color w:val="000000"/>
              </w:rPr>
            </w:pPr>
            <w:r w:rsidRPr="004A59B1">
              <w:rPr>
                <w:color w:val="000000"/>
                <w:szCs w:val="22"/>
              </w:rPr>
              <w:t>zvišana vrednost kreatinina v krvi, zvišana vrednost kreatin-kinaze v krvi, zvišana vrednost laktat-dehidrogenaze v krvi, zvišana vrednost alkalne fosfataze v krvi</w:t>
            </w:r>
          </w:p>
        </w:tc>
      </w:tr>
      <w:tr w:rsidR="0027622D" w:rsidRPr="004A59B1" w14:paraId="52979F4F" w14:textId="77777777" w:rsidTr="000A6242">
        <w:trPr>
          <w:cantSplit/>
        </w:trPr>
        <w:tc>
          <w:tcPr>
            <w:tcW w:w="2235" w:type="dxa"/>
          </w:tcPr>
          <w:p w14:paraId="52979F4D" w14:textId="77777777" w:rsidR="0027622D" w:rsidRPr="004A59B1" w:rsidRDefault="0027622D" w:rsidP="000A6242">
            <w:pPr>
              <w:keepNext/>
              <w:keepLines/>
              <w:widowControl w:val="0"/>
              <w:rPr>
                <w:i/>
                <w:color w:val="000000"/>
                <w:szCs w:val="22"/>
              </w:rPr>
            </w:pPr>
            <w:r w:rsidRPr="004A59B1">
              <w:rPr>
                <w:i/>
                <w:color w:val="000000"/>
                <w:szCs w:val="22"/>
              </w:rPr>
              <w:t>redki:</w:t>
            </w:r>
          </w:p>
        </w:tc>
        <w:tc>
          <w:tcPr>
            <w:tcW w:w="7087" w:type="dxa"/>
          </w:tcPr>
          <w:p w14:paraId="52979F4E" w14:textId="77777777" w:rsidR="0027622D" w:rsidRPr="004A59B1" w:rsidRDefault="0027622D" w:rsidP="000A6242">
            <w:pPr>
              <w:keepNext/>
              <w:keepLines/>
              <w:widowControl w:val="0"/>
              <w:rPr>
                <w:color w:val="000000"/>
                <w:szCs w:val="22"/>
              </w:rPr>
            </w:pPr>
            <w:r w:rsidRPr="004A59B1">
              <w:rPr>
                <w:color w:val="000000"/>
                <w:szCs w:val="22"/>
              </w:rPr>
              <w:t>zvišana vrednost amilaze v krvi</w:t>
            </w:r>
          </w:p>
        </w:tc>
      </w:tr>
    </w:tbl>
    <w:p w14:paraId="52979F50" w14:textId="77777777" w:rsidR="0027622D" w:rsidRPr="004A59B1" w:rsidRDefault="0027622D" w:rsidP="000A6242">
      <w:pPr>
        <w:keepNext/>
        <w:keepLines/>
        <w:widowControl w:val="0"/>
        <w:spacing w:line="240" w:lineRule="auto"/>
        <w:rPr>
          <w:color w:val="000000"/>
          <w:szCs w:val="22"/>
        </w:rPr>
      </w:pPr>
    </w:p>
    <w:p w14:paraId="52979F51" w14:textId="77777777" w:rsidR="0027622D" w:rsidRPr="004A59B1" w:rsidRDefault="0027622D" w:rsidP="000A6242">
      <w:pPr>
        <w:keepNext/>
        <w:keepLines/>
        <w:widowControl w:val="0"/>
        <w:tabs>
          <w:tab w:val="clear" w:pos="567"/>
        </w:tabs>
        <w:spacing w:line="240" w:lineRule="auto"/>
        <w:ind w:left="567" w:hanging="567"/>
        <w:rPr>
          <w:color w:val="000000"/>
          <w:szCs w:val="22"/>
          <w:lang w:eastAsia="ja-JP"/>
        </w:rPr>
      </w:pPr>
      <w:r w:rsidRPr="004A59B1">
        <w:rPr>
          <w:color w:val="000000"/>
          <w:szCs w:val="22"/>
        </w:rPr>
        <w:t>*</w:t>
      </w:r>
      <w:r w:rsidRPr="004A59B1">
        <w:rPr>
          <w:color w:val="000000"/>
          <w:szCs w:val="22"/>
        </w:rPr>
        <w:tab/>
      </w:r>
      <w:r w:rsidRPr="004A59B1">
        <w:rPr>
          <w:color w:val="000000"/>
          <w:szCs w:val="22"/>
          <w:lang w:eastAsia="ja-JP"/>
        </w:rPr>
        <w:t xml:space="preserve">O teh vrstah neželenih učinkov so poročali večinoma v okviru izkušenj </w:t>
      </w:r>
      <w:r w:rsidRPr="004A59B1">
        <w:rPr>
          <w:lang w:val="pl-PL"/>
        </w:rPr>
        <w:t xml:space="preserve">v obdobju trženja zdravila </w:t>
      </w:r>
      <w:r w:rsidRPr="004A59B1">
        <w:rPr>
          <w:color w:val="000000"/>
          <w:szCs w:val="22"/>
          <w:lang w:eastAsia="ja-JP"/>
        </w:rPr>
        <w:t>z zdravilom Glivec. To vključuje tako spontano sporočene primere kot tudi resne neželene učinke iz študij v teku, iz programov razširjene uporabe, študij klinične farmakologije in raziskovalnih študij neodobrenih indikacij. Ker so o teh neželenih učinkih poročali pri bolnikih iz populacij nedoločljive velikosti, ni vedno mogoče zanesljivo določiti pogostnosti teh neželenih učinkov oziroma ugotoviti njihove vzročne povezave z izpostavljenostjo imatinibu.</w:t>
      </w:r>
    </w:p>
    <w:p w14:paraId="52979F52" w14:textId="77777777" w:rsidR="00FF48C2" w:rsidRPr="004A59B1" w:rsidRDefault="00FF48C2" w:rsidP="000A6242">
      <w:pPr>
        <w:keepNext/>
        <w:keepLines/>
        <w:widowControl w:val="0"/>
        <w:tabs>
          <w:tab w:val="clear" w:pos="567"/>
        </w:tabs>
        <w:spacing w:line="240" w:lineRule="auto"/>
        <w:ind w:left="567" w:hanging="567"/>
        <w:rPr>
          <w:color w:val="000000"/>
          <w:szCs w:val="22"/>
        </w:rPr>
      </w:pPr>
      <w:r w:rsidRPr="004A59B1">
        <w:rPr>
          <w:color w:val="000000"/>
          <w:szCs w:val="22"/>
        </w:rPr>
        <w:t>1</w:t>
      </w:r>
      <w:r w:rsidRPr="004A59B1">
        <w:rPr>
          <w:color w:val="000000"/>
          <w:szCs w:val="22"/>
        </w:rPr>
        <w:tab/>
        <w:t>O pljučnici so najpogosteje poročali pri bolnikih s transformacijo KML in pri bolnikih z GIST.</w:t>
      </w:r>
    </w:p>
    <w:p w14:paraId="52979F53" w14:textId="77777777" w:rsidR="00FF48C2" w:rsidRPr="002227FB" w:rsidRDefault="00FF48C2" w:rsidP="000A6242">
      <w:pPr>
        <w:keepNext/>
        <w:keepLines/>
        <w:widowControl w:val="0"/>
        <w:tabs>
          <w:tab w:val="clear" w:pos="567"/>
        </w:tabs>
        <w:spacing w:line="240" w:lineRule="auto"/>
        <w:ind w:left="567" w:hanging="567"/>
        <w:rPr>
          <w:color w:val="000000"/>
          <w:szCs w:val="22"/>
          <w:lang w:val="de-CH"/>
        </w:rPr>
      </w:pPr>
      <w:r w:rsidRPr="002227FB">
        <w:rPr>
          <w:color w:val="000000"/>
          <w:szCs w:val="22"/>
          <w:lang w:val="de-CH"/>
        </w:rPr>
        <w:t>2</w:t>
      </w:r>
      <w:r w:rsidRPr="002227FB">
        <w:rPr>
          <w:color w:val="000000"/>
          <w:szCs w:val="22"/>
          <w:lang w:val="de-CH"/>
        </w:rPr>
        <w:tab/>
        <w:t>Glavobol je bil najpogostejši pri bolnikih z GIST.</w:t>
      </w:r>
    </w:p>
    <w:p w14:paraId="52979F54" w14:textId="77777777" w:rsidR="00FF48C2" w:rsidRPr="002227FB" w:rsidRDefault="00FF48C2" w:rsidP="000A6242">
      <w:pPr>
        <w:keepNext/>
        <w:keepLines/>
        <w:widowControl w:val="0"/>
        <w:tabs>
          <w:tab w:val="clear" w:pos="567"/>
        </w:tabs>
        <w:spacing w:line="240" w:lineRule="auto"/>
        <w:ind w:left="567" w:hanging="567"/>
        <w:rPr>
          <w:color w:val="000000"/>
          <w:szCs w:val="22"/>
          <w:lang w:val="de-CH"/>
        </w:rPr>
      </w:pPr>
      <w:r w:rsidRPr="002227FB">
        <w:rPr>
          <w:color w:val="000000"/>
          <w:szCs w:val="22"/>
          <w:lang w:val="de-CH"/>
        </w:rPr>
        <w:t>3</w:t>
      </w:r>
      <w:r w:rsidRPr="002227FB">
        <w:rPr>
          <w:color w:val="000000"/>
          <w:szCs w:val="22"/>
          <w:lang w:val="de-CH"/>
        </w:rPr>
        <w:tab/>
        <w:t>Dogodke v zvezi s srcem, vključno s kongestivnim srčnim popuščanjem, so na podlagi enote bolnik-leto pogosteje opažali pri bolnikih s transformacijo KML kot pri bolnikih s kroničnim potekom KML.</w:t>
      </w:r>
    </w:p>
    <w:p w14:paraId="52979F55" w14:textId="77777777" w:rsidR="00FF48C2" w:rsidRPr="002227FB" w:rsidRDefault="00FF48C2" w:rsidP="000A6242">
      <w:pPr>
        <w:keepNext/>
        <w:keepLines/>
        <w:widowControl w:val="0"/>
        <w:tabs>
          <w:tab w:val="clear" w:pos="567"/>
        </w:tabs>
        <w:spacing w:line="240" w:lineRule="auto"/>
        <w:ind w:left="567" w:hanging="567"/>
        <w:rPr>
          <w:color w:val="000000"/>
          <w:szCs w:val="22"/>
          <w:lang w:val="de-CH"/>
        </w:rPr>
      </w:pPr>
      <w:r w:rsidRPr="002227FB">
        <w:rPr>
          <w:color w:val="000000"/>
          <w:szCs w:val="22"/>
          <w:lang w:val="de-CH"/>
        </w:rPr>
        <w:t>4</w:t>
      </w:r>
      <w:r w:rsidRPr="002227FB">
        <w:rPr>
          <w:color w:val="000000"/>
          <w:szCs w:val="22"/>
          <w:lang w:val="de-CH"/>
        </w:rPr>
        <w:tab/>
        <w:t>Navali rdečice so bili najpogostejši pri bolnikih z GIST, krvavitve (hematomi in krvavitve) pa so bile najpogostejše pri bolnikih z GIST in s transformacijo KML (KML-AP in KML-BC).</w:t>
      </w:r>
    </w:p>
    <w:p w14:paraId="52979F56" w14:textId="77777777" w:rsidR="00FF48C2" w:rsidRPr="002227FB" w:rsidRDefault="00FF48C2" w:rsidP="000A6242">
      <w:pPr>
        <w:keepNext/>
        <w:keepLines/>
        <w:widowControl w:val="0"/>
        <w:tabs>
          <w:tab w:val="clear" w:pos="567"/>
        </w:tabs>
        <w:spacing w:line="240" w:lineRule="auto"/>
        <w:ind w:left="567" w:hanging="567"/>
        <w:rPr>
          <w:color w:val="000000"/>
          <w:szCs w:val="22"/>
          <w:lang w:val="de-CH"/>
        </w:rPr>
      </w:pPr>
      <w:r w:rsidRPr="002227FB">
        <w:rPr>
          <w:color w:val="000000"/>
          <w:szCs w:val="22"/>
          <w:lang w:val="de-CH"/>
        </w:rPr>
        <w:t>5</w:t>
      </w:r>
      <w:r w:rsidRPr="002227FB">
        <w:rPr>
          <w:color w:val="000000"/>
          <w:szCs w:val="22"/>
          <w:lang w:val="de-CH"/>
        </w:rPr>
        <w:tab/>
        <w:t>O plevralnem izlivu so pogosteje poročali pri bolnikih z GIST in bolnikih s transformacijo KML (kronična mieloična levkemija v pospešeni fazi: KML-AP in kronična mieloična levkemija v blastni krizi: KML-BC) kot pri bolnikih s kroničnim potekom KML.</w:t>
      </w:r>
    </w:p>
    <w:p w14:paraId="52979F57" w14:textId="77777777" w:rsidR="00FF48C2" w:rsidRPr="002227FB" w:rsidRDefault="00FF48C2" w:rsidP="000A6242">
      <w:pPr>
        <w:keepNext/>
        <w:keepLines/>
        <w:widowControl w:val="0"/>
        <w:tabs>
          <w:tab w:val="clear" w:pos="567"/>
        </w:tabs>
        <w:spacing w:line="240" w:lineRule="auto"/>
        <w:ind w:left="567" w:hanging="567"/>
        <w:rPr>
          <w:color w:val="000000"/>
          <w:szCs w:val="22"/>
          <w:lang w:val="de-CH"/>
        </w:rPr>
      </w:pPr>
      <w:r w:rsidRPr="002227FB">
        <w:rPr>
          <w:color w:val="000000"/>
          <w:szCs w:val="22"/>
          <w:lang w:val="de-CH"/>
        </w:rPr>
        <w:t>6+7</w:t>
      </w:r>
      <w:r w:rsidRPr="002227FB">
        <w:rPr>
          <w:color w:val="000000"/>
          <w:szCs w:val="22"/>
          <w:lang w:val="de-CH"/>
        </w:rPr>
        <w:tab/>
        <w:t>Bolečine v trebuhu in krvavitev iz prebavil so najpogosteje opažali pri bolnikih z GIST.</w:t>
      </w:r>
    </w:p>
    <w:p w14:paraId="52979F58" w14:textId="77777777" w:rsidR="00FF48C2" w:rsidRPr="002227FB" w:rsidRDefault="00FF48C2" w:rsidP="000A6242">
      <w:pPr>
        <w:keepNext/>
        <w:keepLines/>
        <w:widowControl w:val="0"/>
        <w:tabs>
          <w:tab w:val="clear" w:pos="567"/>
        </w:tabs>
        <w:spacing w:line="240" w:lineRule="auto"/>
        <w:ind w:left="567" w:hanging="567"/>
        <w:rPr>
          <w:color w:val="000000"/>
          <w:szCs w:val="22"/>
          <w:lang w:val="de-CH"/>
        </w:rPr>
      </w:pPr>
      <w:r w:rsidRPr="002227FB">
        <w:rPr>
          <w:color w:val="000000"/>
          <w:szCs w:val="22"/>
          <w:lang w:val="de-CH"/>
        </w:rPr>
        <w:t>8</w:t>
      </w:r>
      <w:r w:rsidRPr="002227FB">
        <w:rPr>
          <w:color w:val="000000"/>
          <w:szCs w:val="22"/>
          <w:lang w:val="de-CH"/>
        </w:rPr>
        <w:tab/>
        <w:t>Poročali so o nekaj primerih odpovedi jeter in nekroze jeter s smrtnim izidom.</w:t>
      </w:r>
    </w:p>
    <w:p w14:paraId="52979F59" w14:textId="77777777" w:rsidR="00E5033E" w:rsidRPr="002227FB" w:rsidRDefault="00E5033E" w:rsidP="000A6242">
      <w:pPr>
        <w:keepNext/>
        <w:keepLines/>
        <w:widowControl w:val="0"/>
        <w:tabs>
          <w:tab w:val="clear" w:pos="567"/>
        </w:tabs>
        <w:spacing w:line="240" w:lineRule="auto"/>
        <w:ind w:left="567" w:hanging="567"/>
        <w:rPr>
          <w:color w:val="000000"/>
          <w:szCs w:val="22"/>
          <w:lang w:val="de-CH"/>
        </w:rPr>
      </w:pPr>
      <w:r w:rsidRPr="002227FB">
        <w:rPr>
          <w:color w:val="000000"/>
          <w:szCs w:val="22"/>
          <w:lang w:val="de-CH"/>
        </w:rPr>
        <w:t>9</w:t>
      </w:r>
      <w:r w:rsidRPr="002227FB">
        <w:rPr>
          <w:color w:val="000000"/>
          <w:szCs w:val="22"/>
          <w:lang w:val="de-CH"/>
        </w:rPr>
        <w:tab/>
        <w:t>V obdobju trženja zdravila so opažali mišično-skeletne bolečine med zdravljenjem z imatinibom ali po prekinitvi zdravljenja.</w:t>
      </w:r>
    </w:p>
    <w:p w14:paraId="52979F5A" w14:textId="77777777" w:rsidR="00FF48C2" w:rsidRPr="002227FB" w:rsidRDefault="00E5033E" w:rsidP="000A6242">
      <w:pPr>
        <w:keepNext/>
        <w:keepLines/>
        <w:widowControl w:val="0"/>
        <w:tabs>
          <w:tab w:val="clear" w:pos="567"/>
        </w:tabs>
        <w:spacing w:line="240" w:lineRule="auto"/>
        <w:ind w:left="567" w:hanging="567"/>
        <w:rPr>
          <w:color w:val="000000"/>
          <w:szCs w:val="22"/>
          <w:lang w:val="de-CH"/>
        </w:rPr>
      </w:pPr>
      <w:r w:rsidRPr="002227FB">
        <w:rPr>
          <w:color w:val="000000"/>
          <w:szCs w:val="22"/>
          <w:lang w:val="de-CH"/>
        </w:rPr>
        <w:t>10</w:t>
      </w:r>
      <w:r w:rsidR="00FF48C2" w:rsidRPr="002227FB">
        <w:rPr>
          <w:color w:val="000000"/>
          <w:szCs w:val="22"/>
          <w:lang w:val="de-CH"/>
        </w:rPr>
        <w:tab/>
        <w:t>Mišično-skeletne bolečine in z njimi povezane dogodke so pogosteje opažali pri bolnikih s KML kot pri bolnikih z GIST.</w:t>
      </w:r>
    </w:p>
    <w:p w14:paraId="52979F5B" w14:textId="77777777" w:rsidR="0027622D" w:rsidRPr="002227FB" w:rsidRDefault="0027622D" w:rsidP="000A6242">
      <w:pPr>
        <w:keepNext/>
        <w:keepLines/>
        <w:widowControl w:val="0"/>
        <w:tabs>
          <w:tab w:val="clear" w:pos="567"/>
        </w:tabs>
        <w:spacing w:line="240" w:lineRule="auto"/>
        <w:ind w:left="567" w:hanging="567"/>
        <w:rPr>
          <w:color w:val="000000"/>
          <w:szCs w:val="22"/>
          <w:lang w:val="de-CH"/>
        </w:rPr>
      </w:pPr>
      <w:r w:rsidRPr="002227FB">
        <w:rPr>
          <w:color w:val="000000"/>
          <w:szCs w:val="22"/>
          <w:lang w:val="de-CH"/>
        </w:rPr>
        <w:t>1</w:t>
      </w:r>
      <w:r w:rsidR="00E5033E" w:rsidRPr="002227FB">
        <w:rPr>
          <w:color w:val="000000"/>
          <w:szCs w:val="22"/>
          <w:lang w:val="de-CH"/>
        </w:rPr>
        <w:t>1</w:t>
      </w:r>
      <w:r w:rsidRPr="002227FB">
        <w:rPr>
          <w:color w:val="000000"/>
          <w:szCs w:val="22"/>
          <w:lang w:val="de-CH"/>
        </w:rPr>
        <w:tab/>
      </w:r>
      <w:r w:rsidRPr="004A59B1">
        <w:rPr>
          <w:color w:val="000000"/>
          <w:szCs w:val="22"/>
          <w:lang w:val="fi-FI"/>
        </w:rPr>
        <w:t>Poročali so o primerih s smrtnim izidom pri bolnikih z napredovalo boleznijo, s hudimi okužbami, hudo nevtropenijo in z drugimi resnimi spremljajočimi stanji.</w:t>
      </w:r>
    </w:p>
    <w:p w14:paraId="52979F5C" w14:textId="77777777" w:rsidR="00FF48C2" w:rsidRPr="002227FB" w:rsidRDefault="00FF48C2" w:rsidP="009C1193">
      <w:pPr>
        <w:widowControl w:val="0"/>
        <w:spacing w:line="240" w:lineRule="auto"/>
        <w:rPr>
          <w:color w:val="000000"/>
          <w:szCs w:val="22"/>
          <w:lang w:val="de-CH"/>
        </w:rPr>
      </w:pPr>
    </w:p>
    <w:p w14:paraId="52979F5D" w14:textId="77777777" w:rsidR="00FF48C2" w:rsidRPr="004A59B1" w:rsidRDefault="00FF48C2" w:rsidP="009C1193">
      <w:pPr>
        <w:keepNext/>
        <w:widowControl w:val="0"/>
        <w:spacing w:line="240" w:lineRule="auto"/>
        <w:jc w:val="both"/>
        <w:rPr>
          <w:color w:val="000000"/>
          <w:szCs w:val="22"/>
          <w:u w:val="single"/>
          <w:lang w:val="fi-FI"/>
        </w:rPr>
      </w:pPr>
      <w:r w:rsidRPr="004A59B1">
        <w:rPr>
          <w:color w:val="000000"/>
          <w:szCs w:val="22"/>
          <w:u w:val="single"/>
          <w:lang w:val="fi-FI"/>
        </w:rPr>
        <w:lastRenderedPageBreak/>
        <w:t>Nenormalnosti pri laboratorijskih preiskavah</w:t>
      </w:r>
    </w:p>
    <w:p w14:paraId="52979F5E" w14:textId="77777777" w:rsidR="00FF48C2" w:rsidRPr="004A59B1" w:rsidRDefault="00FF48C2" w:rsidP="009C1193">
      <w:pPr>
        <w:keepNext/>
        <w:widowControl w:val="0"/>
        <w:spacing w:line="240" w:lineRule="auto"/>
        <w:jc w:val="both"/>
        <w:rPr>
          <w:i/>
          <w:color w:val="000000"/>
          <w:szCs w:val="22"/>
          <w:lang w:val="fi-FI"/>
        </w:rPr>
      </w:pPr>
      <w:r w:rsidRPr="004A59B1">
        <w:rPr>
          <w:i/>
          <w:color w:val="000000"/>
          <w:szCs w:val="22"/>
          <w:lang w:val="fi-FI"/>
        </w:rPr>
        <w:t>Hematologija</w:t>
      </w:r>
    </w:p>
    <w:p w14:paraId="52979F5F" w14:textId="77777777" w:rsidR="00FF48C2" w:rsidRPr="004A59B1" w:rsidRDefault="00FF48C2" w:rsidP="009C1193">
      <w:pPr>
        <w:pStyle w:val="Text"/>
        <w:widowControl w:val="0"/>
        <w:spacing w:before="0"/>
        <w:jc w:val="left"/>
        <w:rPr>
          <w:color w:val="000000"/>
          <w:lang w:val="fi-FI"/>
        </w:rPr>
      </w:pPr>
      <w:r w:rsidRPr="004A59B1">
        <w:rPr>
          <w:color w:val="000000"/>
          <w:sz w:val="22"/>
          <w:szCs w:val="22"/>
          <w:lang w:val="fi-FI"/>
        </w:rPr>
        <w:t xml:space="preserve">Pri KML so v vseh študijah redno ugotavljali citopenije, posebno nevtropenijo in trombocitopenijo. Podatki kažejo, da so lahko citopenije pogostejše pri velikih odmerkih </w:t>
      </w:r>
      <w:r w:rsidRPr="004A59B1">
        <w:rPr>
          <w:color w:val="000000"/>
          <w:sz w:val="22"/>
          <w:szCs w:val="22"/>
        </w:rPr>
        <w:sym w:font="Symbol" w:char="F0B3"/>
      </w:r>
      <w:r w:rsidRPr="004A59B1">
        <w:rPr>
          <w:color w:val="000000"/>
          <w:sz w:val="22"/>
          <w:szCs w:val="22"/>
          <w:lang w:val="fi-FI"/>
        </w:rPr>
        <w:t xml:space="preserve"> 750 mg (študija prve faze), vendar pa je pojavljanje citopenij tudi nedvomno odvisno od stadija bolezni. Nevtropenija 3. ali 4. stopnje (ANC </w:t>
      </w:r>
      <w:r w:rsidRPr="004A59B1">
        <w:rPr>
          <w:color w:val="000000"/>
          <w:sz w:val="22"/>
          <w:szCs w:val="22"/>
        </w:rPr>
        <w:sym w:font="Symbol" w:char="F03C"/>
      </w:r>
      <w:r w:rsidRPr="004A59B1">
        <w:rPr>
          <w:color w:val="000000"/>
          <w:sz w:val="22"/>
          <w:szCs w:val="22"/>
          <w:lang w:val="fi-FI"/>
        </w:rPr>
        <w:t> 1,0 x 10</w:t>
      </w:r>
      <w:r w:rsidRPr="004A59B1">
        <w:rPr>
          <w:color w:val="000000"/>
          <w:sz w:val="22"/>
          <w:szCs w:val="22"/>
          <w:vertAlign w:val="superscript"/>
          <w:lang w:val="fi-FI"/>
        </w:rPr>
        <w:t>9</w:t>
      </w:r>
      <w:r w:rsidRPr="004A59B1">
        <w:rPr>
          <w:color w:val="000000"/>
          <w:sz w:val="22"/>
          <w:szCs w:val="22"/>
          <w:lang w:val="fi-FI"/>
        </w:rPr>
        <w:t xml:space="preserve">/l) in trombocitopenija (koncentracija trombocitov </w:t>
      </w:r>
      <w:r w:rsidRPr="004A59B1">
        <w:rPr>
          <w:color w:val="000000"/>
          <w:sz w:val="22"/>
          <w:szCs w:val="22"/>
        </w:rPr>
        <w:sym w:font="Symbol" w:char="F03C"/>
      </w:r>
      <w:r w:rsidRPr="004A59B1">
        <w:rPr>
          <w:color w:val="000000"/>
          <w:sz w:val="22"/>
          <w:szCs w:val="22"/>
          <w:lang w:val="fi-FI"/>
        </w:rPr>
        <w:t> 50 x 10</w:t>
      </w:r>
      <w:r w:rsidRPr="004A59B1">
        <w:rPr>
          <w:color w:val="000000"/>
          <w:sz w:val="22"/>
          <w:szCs w:val="22"/>
          <w:vertAlign w:val="superscript"/>
          <w:lang w:val="fi-FI"/>
        </w:rPr>
        <w:t>9</w:t>
      </w:r>
      <w:r w:rsidRPr="004A59B1">
        <w:rPr>
          <w:color w:val="000000"/>
          <w:sz w:val="22"/>
          <w:szCs w:val="22"/>
          <w:lang w:val="fi-FI"/>
        </w:rPr>
        <w:t xml:space="preserve">/l) sta bili štirikrat do šestkrat pogostejši v blastni krizi in pospešeni fazi (nevtropenija 59–64 % in trombocitopenija 44–63 %) kot pri na novo diagnosticiranih bolnikih v kronični fazi KML (nevtropenija 16,7 % in trombocitopenija 8,9 %). V na novo diagnosticirani kronični fazi KML sta bili odkriti nevtropenija 4. stopnje (ANC </w:t>
      </w:r>
      <w:r w:rsidRPr="004A59B1">
        <w:rPr>
          <w:color w:val="000000"/>
          <w:sz w:val="22"/>
          <w:szCs w:val="22"/>
        </w:rPr>
        <w:sym w:font="Symbol" w:char="F03C"/>
      </w:r>
      <w:r w:rsidRPr="004A59B1">
        <w:rPr>
          <w:color w:val="000000"/>
          <w:sz w:val="22"/>
          <w:szCs w:val="22"/>
          <w:lang w:val="fi-FI"/>
        </w:rPr>
        <w:t> 0,5 x 10</w:t>
      </w:r>
      <w:r w:rsidRPr="004A59B1">
        <w:rPr>
          <w:color w:val="000000"/>
          <w:sz w:val="22"/>
          <w:szCs w:val="22"/>
          <w:vertAlign w:val="superscript"/>
          <w:lang w:val="fi-FI"/>
        </w:rPr>
        <w:t>9</w:t>
      </w:r>
      <w:r w:rsidRPr="004A59B1">
        <w:rPr>
          <w:color w:val="000000"/>
          <w:sz w:val="22"/>
          <w:szCs w:val="22"/>
          <w:lang w:val="fi-FI"/>
        </w:rPr>
        <w:t>/l) in trombocitopenija 4. stopnje (</w:t>
      </w:r>
      <w:r w:rsidRPr="004A59B1">
        <w:rPr>
          <w:color w:val="000000"/>
          <w:sz w:val="22"/>
          <w:szCs w:val="22"/>
        </w:rPr>
        <w:sym w:font="Symbol" w:char="F03C"/>
      </w:r>
      <w:r w:rsidRPr="004A59B1">
        <w:rPr>
          <w:color w:val="000000"/>
          <w:sz w:val="22"/>
          <w:szCs w:val="22"/>
          <w:lang w:val="fi-FI"/>
        </w:rPr>
        <w:t> 10 x 10</w:t>
      </w:r>
      <w:r w:rsidRPr="004A59B1">
        <w:rPr>
          <w:color w:val="000000"/>
          <w:sz w:val="22"/>
          <w:szCs w:val="22"/>
          <w:vertAlign w:val="superscript"/>
          <w:lang w:val="fi-FI"/>
        </w:rPr>
        <w:t>9</w:t>
      </w:r>
      <w:r w:rsidRPr="004A59B1">
        <w:rPr>
          <w:color w:val="000000"/>
          <w:sz w:val="22"/>
          <w:szCs w:val="22"/>
          <w:lang w:val="fi-FI"/>
        </w:rPr>
        <w:t xml:space="preserve">/l) pri 3,6 % oziroma </w:t>
      </w:r>
      <w:r w:rsidRPr="004A59B1">
        <w:rPr>
          <w:color w:val="000000"/>
          <w:sz w:val="22"/>
          <w:szCs w:val="22"/>
        </w:rPr>
        <w:sym w:font="Symbol" w:char="F03C"/>
      </w:r>
      <w:r w:rsidRPr="004A59B1">
        <w:rPr>
          <w:color w:val="000000"/>
          <w:sz w:val="22"/>
          <w:szCs w:val="22"/>
          <w:lang w:val="fi-FI"/>
        </w:rPr>
        <w:t xml:space="preserve"> 1 % bolnikov. </w:t>
      </w:r>
      <w:r w:rsidR="0027622D" w:rsidRPr="004A59B1">
        <w:rPr>
          <w:color w:val="000000"/>
          <w:sz w:val="22"/>
          <w:szCs w:val="22"/>
          <w:lang w:val="fi-FI"/>
        </w:rPr>
        <w:t xml:space="preserve">Mediano </w:t>
      </w:r>
      <w:r w:rsidRPr="004A59B1">
        <w:rPr>
          <w:color w:val="000000"/>
          <w:sz w:val="22"/>
          <w:szCs w:val="22"/>
          <w:lang w:val="fi-FI"/>
        </w:rPr>
        <w:t>trajanje nevtropeničnih oziroma trombocitopeničnih epizod je bilo navadno 2–3 tedne oziroma 3–4 tedne. Ti dogodki se lahko odpravljajo bodisi z zmanjšanjem odmerka bodisi z začasno prekinitvijo zdravljenja z zdravilom Glivec, v redkih primerih pa so lahko razlog za trajno prekinitev zdravljenja. Pri pediatričnih bolnikih s KML so izmed toksičnih učinkov najpogosteje opažali citopenije 3. ali 4. stopnje, ki vključuje nevtropenijo, trombocitopenijo in anemijo. Te se običajno pojavijo v prvih nekaj mesecih zdravljenja.</w:t>
      </w:r>
    </w:p>
    <w:p w14:paraId="52979F60" w14:textId="77777777" w:rsidR="00FF48C2" w:rsidRPr="004A59B1" w:rsidRDefault="00FF48C2" w:rsidP="009C1193">
      <w:pPr>
        <w:pStyle w:val="TextChar"/>
        <w:widowControl w:val="0"/>
        <w:spacing w:before="0"/>
        <w:jc w:val="left"/>
        <w:rPr>
          <w:color w:val="000000"/>
          <w:sz w:val="22"/>
          <w:szCs w:val="22"/>
          <w:lang w:val="fi-FI"/>
        </w:rPr>
      </w:pPr>
    </w:p>
    <w:p w14:paraId="52979F61" w14:textId="77777777" w:rsidR="00FF48C2" w:rsidRPr="004A59B1" w:rsidRDefault="00FF48C2" w:rsidP="009C1193">
      <w:pPr>
        <w:pStyle w:val="TextChar"/>
        <w:widowControl w:val="0"/>
        <w:spacing w:before="0"/>
        <w:jc w:val="left"/>
        <w:rPr>
          <w:color w:val="000000"/>
          <w:sz w:val="22"/>
          <w:szCs w:val="22"/>
          <w:lang w:val="fi-FI"/>
        </w:rPr>
      </w:pPr>
      <w:r w:rsidRPr="004A59B1">
        <w:rPr>
          <w:color w:val="000000"/>
          <w:sz w:val="22"/>
          <w:szCs w:val="22"/>
          <w:lang w:val="fi-FI"/>
        </w:rPr>
        <w:t>V študiji pri bolnikih z neresektabilnimi in/ali metastatskimi GIST so poročali o anemiji 3. in 4. stopnje pri 5,4 % oziroma 0,7 % bolnikov. Anemija je bila lahko vsaj pri nekaterih od teh bolnikov povezana z gastrointestinalnimi ali intratumorskimi krvavitvami. Nevtropenijo 3. in 4. stopnje so odkrili pri 7,5 % oziroma 2,7 % bolnikov, trombocitopenijo 3. stopnje pa pri 0,7 % bolnikov. Pri nobenem bolniku se ni razvila trombocitopenija 4. stopnje. Do zmanjšanja koncentracij belih krvničk (WBC</w:t>
      </w:r>
      <w:r w:rsidR="0027622D" w:rsidRPr="004A59B1">
        <w:rPr>
          <w:color w:val="000000"/>
          <w:sz w:val="22"/>
          <w:szCs w:val="22"/>
          <w:lang w:val="fi-FI"/>
        </w:rPr>
        <w:t xml:space="preserve">- </w:t>
      </w:r>
      <w:r w:rsidR="0027622D" w:rsidRPr="004A59B1">
        <w:rPr>
          <w:i/>
          <w:color w:val="000000"/>
          <w:sz w:val="22"/>
          <w:szCs w:val="22"/>
          <w:lang w:val="fi-FI"/>
        </w:rPr>
        <w:t>white blood cell</w:t>
      </w:r>
      <w:r w:rsidRPr="004A59B1">
        <w:rPr>
          <w:color w:val="000000"/>
          <w:sz w:val="22"/>
          <w:szCs w:val="22"/>
          <w:lang w:val="fi-FI"/>
        </w:rPr>
        <w:t>) in nevtrofilcev je prišlo predvsem v prvih šestih tednih zdravljenja, zatem pa so vrednosti ostale relativno stabilne.</w:t>
      </w:r>
    </w:p>
    <w:p w14:paraId="52979F62" w14:textId="77777777" w:rsidR="00FF48C2" w:rsidRPr="004A59B1" w:rsidRDefault="00FF48C2" w:rsidP="009C1193">
      <w:pPr>
        <w:pStyle w:val="TextChar"/>
        <w:widowControl w:val="0"/>
        <w:spacing w:before="0"/>
        <w:jc w:val="left"/>
        <w:rPr>
          <w:color w:val="000000"/>
          <w:sz w:val="22"/>
          <w:szCs w:val="22"/>
          <w:lang w:val="fi-FI"/>
        </w:rPr>
      </w:pPr>
    </w:p>
    <w:p w14:paraId="52979F63" w14:textId="77777777" w:rsidR="00FF48C2" w:rsidRPr="004A59B1" w:rsidRDefault="00FF48C2" w:rsidP="009C1193">
      <w:pPr>
        <w:pStyle w:val="TextChar"/>
        <w:keepNext/>
        <w:widowControl w:val="0"/>
        <w:spacing w:before="0"/>
        <w:jc w:val="left"/>
        <w:rPr>
          <w:color w:val="000000"/>
          <w:sz w:val="22"/>
          <w:szCs w:val="22"/>
          <w:lang w:val="fi-FI"/>
        </w:rPr>
      </w:pPr>
      <w:r w:rsidRPr="004A59B1">
        <w:rPr>
          <w:i/>
          <w:color w:val="000000"/>
          <w:sz w:val="22"/>
          <w:szCs w:val="22"/>
          <w:lang w:val="fi-FI"/>
        </w:rPr>
        <w:t>Biokemija</w:t>
      </w:r>
    </w:p>
    <w:p w14:paraId="52979F64" w14:textId="77777777" w:rsidR="00FF48C2" w:rsidRPr="004A59B1" w:rsidRDefault="00FF48C2" w:rsidP="009C1193">
      <w:pPr>
        <w:pStyle w:val="Text"/>
        <w:widowControl w:val="0"/>
        <w:spacing w:before="0"/>
        <w:jc w:val="left"/>
        <w:rPr>
          <w:rFonts w:eastAsia="MS Mincho"/>
          <w:color w:val="000000"/>
          <w:sz w:val="22"/>
          <w:szCs w:val="22"/>
          <w:lang w:val="fi-FI"/>
        </w:rPr>
      </w:pPr>
      <w:r w:rsidRPr="004A59B1">
        <w:rPr>
          <w:color w:val="000000"/>
          <w:sz w:val="22"/>
          <w:szCs w:val="22"/>
          <w:lang w:val="fi-FI"/>
        </w:rPr>
        <w:t>Pri bolnikih s KML so opažali močno zvišanje aminotransferaz (&lt;5 %) ali bilirubina (&lt;1 %). Navadno so to urejali z zmanjšanjem odmerka ali s prekinitvijo zdravljenja (</w:t>
      </w:r>
      <w:r w:rsidR="0027622D" w:rsidRPr="004A59B1">
        <w:rPr>
          <w:color w:val="000000"/>
          <w:sz w:val="22"/>
          <w:szCs w:val="22"/>
          <w:lang w:val="fi-FI"/>
        </w:rPr>
        <w:t xml:space="preserve">mediano </w:t>
      </w:r>
      <w:r w:rsidRPr="004A59B1">
        <w:rPr>
          <w:color w:val="000000"/>
          <w:sz w:val="22"/>
          <w:szCs w:val="22"/>
          <w:lang w:val="fi-FI"/>
        </w:rPr>
        <w:t>trajanje teh epizod je bilo približno en teden). Zaradi jetrnih laboratorijskih nenormalnosti so zdravljenje trajno prekinili pri manj kot 1 % bolnikov s KML. Pri bolnikih z GIST (študija B2222) so ugotovili 6,8 % zvišanj ALT (alanin-aminotransferaza) stopnje 3 ali 4 in 4,8 % zvišanj AST (aspartat-aminotransferaza) stopnje 3 ali 4. Zvišanje bilirubina je bilo pod 3 %.</w:t>
      </w:r>
    </w:p>
    <w:p w14:paraId="52979F65" w14:textId="77777777" w:rsidR="00FF48C2" w:rsidRPr="004A59B1" w:rsidRDefault="00FF48C2" w:rsidP="009C1193">
      <w:pPr>
        <w:pStyle w:val="TextChar"/>
        <w:widowControl w:val="0"/>
        <w:spacing w:before="0"/>
        <w:jc w:val="left"/>
        <w:rPr>
          <w:color w:val="000000"/>
          <w:sz w:val="22"/>
          <w:szCs w:val="22"/>
          <w:lang w:val="fi-FI"/>
        </w:rPr>
      </w:pPr>
    </w:p>
    <w:p w14:paraId="52979F66" w14:textId="77777777" w:rsidR="00FF48C2" w:rsidRPr="004A59B1" w:rsidRDefault="00FF48C2" w:rsidP="009C1193">
      <w:pPr>
        <w:pStyle w:val="TextChar"/>
        <w:widowControl w:val="0"/>
        <w:spacing w:before="0"/>
        <w:jc w:val="left"/>
        <w:rPr>
          <w:color w:val="000000"/>
          <w:sz w:val="22"/>
          <w:szCs w:val="22"/>
          <w:lang w:val="fi-FI"/>
        </w:rPr>
      </w:pPr>
      <w:r w:rsidRPr="004A59B1">
        <w:rPr>
          <w:color w:val="000000"/>
          <w:sz w:val="22"/>
          <w:szCs w:val="22"/>
          <w:lang w:val="fi-FI"/>
        </w:rPr>
        <w:t>Nekaj je bilo primerov citolitičnega in holestatičnega hepatitisa in odpovedi jeter, nekateri primeri so se končali s smrtjo, vključno z enim bolnikom, ki je jemal velike odmerke paracetamola.</w:t>
      </w:r>
    </w:p>
    <w:p w14:paraId="52979F67" w14:textId="77777777" w:rsidR="00FF48C2" w:rsidRDefault="00FF48C2" w:rsidP="009C1193">
      <w:pPr>
        <w:pStyle w:val="TextChar"/>
        <w:widowControl w:val="0"/>
        <w:spacing w:before="0"/>
        <w:jc w:val="left"/>
        <w:rPr>
          <w:color w:val="000000"/>
          <w:sz w:val="22"/>
          <w:szCs w:val="22"/>
          <w:lang w:val="fi-FI"/>
        </w:rPr>
      </w:pPr>
    </w:p>
    <w:p w14:paraId="52979F68" w14:textId="77777777" w:rsidR="00DD0545" w:rsidRDefault="00DD0545" w:rsidP="009C1193">
      <w:pPr>
        <w:keepNext/>
        <w:widowControl w:val="0"/>
        <w:rPr>
          <w:szCs w:val="22"/>
          <w:u w:val="single"/>
          <w:lang w:val="fi-FI"/>
        </w:rPr>
      </w:pPr>
      <w:r w:rsidRPr="00AC42B3">
        <w:rPr>
          <w:szCs w:val="22"/>
          <w:u w:val="single"/>
          <w:lang w:val="fi-FI"/>
        </w:rPr>
        <w:t>Opis izbranih neželenih učinkov</w:t>
      </w:r>
    </w:p>
    <w:p w14:paraId="52979F69" w14:textId="77777777" w:rsidR="00DD0545" w:rsidRPr="00AC42B3" w:rsidRDefault="00DD0545" w:rsidP="009C1193">
      <w:pPr>
        <w:keepNext/>
        <w:widowControl w:val="0"/>
        <w:rPr>
          <w:i/>
          <w:sz w:val="18"/>
          <w:szCs w:val="18"/>
          <w:lang w:val="fi-FI"/>
        </w:rPr>
      </w:pPr>
      <w:r w:rsidRPr="00AC42B3">
        <w:rPr>
          <w:i/>
          <w:snapToGrid w:val="0"/>
          <w:color w:val="000000"/>
          <w:szCs w:val="22"/>
          <w:u w:val="single"/>
          <w:lang w:val="pl-PL"/>
        </w:rPr>
        <w:t>Reaktivacija hepatitisa B</w:t>
      </w:r>
    </w:p>
    <w:p w14:paraId="52979F6A" w14:textId="77777777" w:rsidR="00DD0545" w:rsidRPr="00AC42B3" w:rsidRDefault="00DD0545" w:rsidP="009C1193">
      <w:pPr>
        <w:pStyle w:val="TextChar"/>
        <w:widowControl w:val="0"/>
        <w:spacing w:before="0"/>
        <w:jc w:val="left"/>
        <w:rPr>
          <w:color w:val="000000"/>
          <w:sz w:val="22"/>
          <w:szCs w:val="22"/>
          <w:lang w:val="fi-FI"/>
        </w:rPr>
      </w:pPr>
      <w:r w:rsidRPr="00AC42B3">
        <w:rPr>
          <w:color w:val="000000"/>
          <w:sz w:val="22"/>
          <w:szCs w:val="22"/>
          <w:lang w:val="fi-FI"/>
        </w:rPr>
        <w:t>V zvezi z zaviralci BCR-ABL tirozin-kinaze so poročali o reaktivaciji hepatitisa B. V nekaterih primerih je prišlo do akutne odpovedi jeter ali fulminantnega hepatitisa in posledično do presaditve jeter ali smrtnega izida (glej</w:t>
      </w:r>
      <w:r>
        <w:rPr>
          <w:color w:val="000000"/>
          <w:sz w:val="22"/>
          <w:szCs w:val="22"/>
          <w:lang w:val="fi-FI"/>
        </w:rPr>
        <w:t>te</w:t>
      </w:r>
      <w:r w:rsidRPr="00AC42B3">
        <w:rPr>
          <w:color w:val="000000"/>
          <w:sz w:val="22"/>
          <w:szCs w:val="22"/>
          <w:lang w:val="fi-FI"/>
        </w:rPr>
        <w:t xml:space="preserve"> poglavje</w:t>
      </w:r>
      <w:r w:rsidR="00850486">
        <w:rPr>
          <w:color w:val="000000"/>
          <w:sz w:val="22"/>
          <w:szCs w:val="22"/>
          <w:lang w:val="fi-FI"/>
        </w:rPr>
        <w:t> </w:t>
      </w:r>
      <w:r w:rsidRPr="00AC42B3">
        <w:rPr>
          <w:color w:val="000000"/>
          <w:sz w:val="22"/>
          <w:szCs w:val="22"/>
          <w:lang w:val="fi-FI"/>
        </w:rPr>
        <w:t>4.4).</w:t>
      </w:r>
    </w:p>
    <w:p w14:paraId="52979F6B" w14:textId="77777777" w:rsidR="00DD0545" w:rsidRPr="004A59B1" w:rsidRDefault="00DD0545" w:rsidP="009C1193">
      <w:pPr>
        <w:pStyle w:val="TextChar"/>
        <w:widowControl w:val="0"/>
        <w:spacing w:before="0"/>
        <w:jc w:val="left"/>
        <w:rPr>
          <w:color w:val="000000"/>
          <w:sz w:val="22"/>
          <w:szCs w:val="22"/>
          <w:lang w:val="fi-FI"/>
        </w:rPr>
      </w:pPr>
    </w:p>
    <w:p w14:paraId="52979F6C" w14:textId="77777777" w:rsidR="00FF48C2" w:rsidRPr="004A59B1" w:rsidRDefault="00FF48C2" w:rsidP="009C1193">
      <w:pPr>
        <w:keepNext/>
        <w:widowControl w:val="0"/>
        <w:rPr>
          <w:szCs w:val="22"/>
          <w:u w:val="single"/>
          <w:lang w:val="fi-FI"/>
        </w:rPr>
      </w:pPr>
      <w:r w:rsidRPr="004A59B1">
        <w:rPr>
          <w:szCs w:val="22"/>
          <w:u w:val="single"/>
          <w:lang w:val="fi-FI"/>
        </w:rPr>
        <w:t>Poročanje o domnevnih neželenih učinkih</w:t>
      </w:r>
    </w:p>
    <w:p w14:paraId="52979F6D" w14:textId="77777777" w:rsidR="00FF48C2" w:rsidRPr="004A59B1" w:rsidRDefault="00FF48C2" w:rsidP="009C1193">
      <w:pPr>
        <w:pStyle w:val="TextChar"/>
        <w:widowControl w:val="0"/>
        <w:spacing w:before="0"/>
        <w:jc w:val="left"/>
        <w:rPr>
          <w:sz w:val="22"/>
          <w:szCs w:val="22"/>
          <w:lang w:val="fi-FI"/>
        </w:rPr>
      </w:pPr>
      <w:r w:rsidRPr="004A59B1">
        <w:rPr>
          <w:sz w:val="22"/>
          <w:szCs w:val="22"/>
          <w:lang w:val="fi-FI"/>
        </w:rPr>
        <w:t xml:space="preserve">Poročanje o domnevnih neželenih učinkih zdravila po izdaji dovoljenja za promet je pomembno. Omogoča namreč stalno spremljanje razmerja med koristmi in tveganji zdravila. Od zdravstvenih delavcev se zahteva, da poročajo o katerem koli domnevnem neželenem učinku zdravila </w:t>
      </w:r>
      <w:r w:rsidRPr="00B24401">
        <w:rPr>
          <w:sz w:val="22"/>
          <w:szCs w:val="22"/>
          <w:lang w:val="fi-FI"/>
        </w:rPr>
        <w:t xml:space="preserve">na </w:t>
      </w:r>
      <w:r w:rsidRPr="004A59B1">
        <w:rPr>
          <w:sz w:val="22"/>
          <w:szCs w:val="22"/>
          <w:shd w:val="clear" w:color="auto" w:fill="D9D9D9"/>
          <w:lang w:val="fi-FI"/>
        </w:rPr>
        <w:t xml:space="preserve">nacionalni center za poročanje, ki je naveden v </w:t>
      </w:r>
      <w:hyperlink r:id="rId15" w:history="1">
        <w:r w:rsidRPr="004A59B1">
          <w:rPr>
            <w:rStyle w:val="Hyperlink"/>
            <w:noProof/>
            <w:sz w:val="22"/>
            <w:szCs w:val="22"/>
            <w:shd w:val="pct15" w:color="auto" w:fill="auto"/>
            <w:lang w:val="sl-SI"/>
          </w:rPr>
          <w:t>Prilogi V</w:t>
        </w:r>
      </w:hyperlink>
      <w:r w:rsidRPr="004A59B1">
        <w:rPr>
          <w:sz w:val="22"/>
          <w:szCs w:val="22"/>
          <w:shd w:val="clear" w:color="auto" w:fill="D9D9D9"/>
          <w:lang w:val="fi-FI"/>
        </w:rPr>
        <w:t>.</w:t>
      </w:r>
    </w:p>
    <w:p w14:paraId="52979F6E" w14:textId="77777777" w:rsidR="00FF48C2" w:rsidRPr="004A59B1" w:rsidRDefault="00FF48C2" w:rsidP="009C1193">
      <w:pPr>
        <w:pStyle w:val="TextChar"/>
        <w:widowControl w:val="0"/>
        <w:spacing w:before="0"/>
        <w:jc w:val="left"/>
        <w:rPr>
          <w:color w:val="000000"/>
          <w:sz w:val="22"/>
          <w:szCs w:val="22"/>
          <w:lang w:val="fi-FI"/>
        </w:rPr>
      </w:pPr>
    </w:p>
    <w:p w14:paraId="52979F6F" w14:textId="77777777" w:rsidR="00FF48C2" w:rsidRPr="004A59B1" w:rsidRDefault="00FF48C2" w:rsidP="009C1193">
      <w:pPr>
        <w:keepNext/>
        <w:widowControl w:val="0"/>
        <w:tabs>
          <w:tab w:val="clear" w:pos="567"/>
        </w:tabs>
        <w:spacing w:line="240" w:lineRule="auto"/>
        <w:ind w:left="567" w:hanging="567"/>
        <w:rPr>
          <w:color w:val="000000"/>
          <w:szCs w:val="22"/>
          <w:lang w:val="fi-FI"/>
        </w:rPr>
      </w:pPr>
      <w:r w:rsidRPr="004A59B1">
        <w:rPr>
          <w:b/>
          <w:color w:val="000000"/>
          <w:szCs w:val="22"/>
          <w:lang w:val="fi-FI"/>
        </w:rPr>
        <w:t>4.9</w:t>
      </w:r>
      <w:r w:rsidRPr="004A59B1">
        <w:rPr>
          <w:b/>
          <w:color w:val="000000"/>
          <w:szCs w:val="22"/>
          <w:lang w:val="fi-FI"/>
        </w:rPr>
        <w:tab/>
        <w:t>Preveliko odmerjanje</w:t>
      </w:r>
    </w:p>
    <w:p w14:paraId="52979F70" w14:textId="77777777" w:rsidR="00FF48C2" w:rsidRPr="004A59B1" w:rsidRDefault="00FF48C2" w:rsidP="009C1193">
      <w:pPr>
        <w:keepNext/>
        <w:widowControl w:val="0"/>
        <w:tabs>
          <w:tab w:val="clear" w:pos="567"/>
        </w:tabs>
        <w:spacing w:line="240" w:lineRule="auto"/>
        <w:rPr>
          <w:color w:val="000000"/>
          <w:szCs w:val="22"/>
          <w:lang w:val="fi-FI"/>
        </w:rPr>
      </w:pPr>
    </w:p>
    <w:p w14:paraId="52979F71" w14:textId="77777777" w:rsidR="00FF48C2" w:rsidRPr="004A59B1" w:rsidRDefault="00FF48C2" w:rsidP="009C1193">
      <w:pPr>
        <w:widowControl w:val="0"/>
        <w:tabs>
          <w:tab w:val="clear" w:pos="567"/>
        </w:tabs>
        <w:spacing w:line="240" w:lineRule="auto"/>
        <w:rPr>
          <w:color w:val="000000"/>
          <w:szCs w:val="22"/>
          <w:lang w:val="fi-FI"/>
        </w:rPr>
      </w:pPr>
      <w:r w:rsidRPr="004A59B1">
        <w:rPr>
          <w:color w:val="000000"/>
          <w:szCs w:val="22"/>
          <w:lang w:val="fi-FI"/>
        </w:rPr>
        <w:t xml:space="preserve">Izkušenj z odmerki, večjimi od terapevtskih, ni veliko. V literaturi in spontano so poročali o posameznih primerih prevelikega odmerjanja zdravila Glivec. V primeru prevelikega odmerjanja je treba bolnika opazovati in mu nuditi ustrezno </w:t>
      </w:r>
      <w:r w:rsidR="0027622D" w:rsidRPr="004A59B1">
        <w:rPr>
          <w:color w:val="000000"/>
          <w:szCs w:val="22"/>
          <w:lang w:val="fi-FI"/>
        </w:rPr>
        <w:t>simptomatsko</w:t>
      </w:r>
      <w:r w:rsidRPr="004A59B1">
        <w:rPr>
          <w:color w:val="000000"/>
          <w:szCs w:val="22"/>
          <w:lang w:val="fi-FI"/>
        </w:rPr>
        <w:t xml:space="preserve"> zdravljenje. V navedenih primerih je bil izid prevelikega odmerjanja večinoma opisan kot “izboljšanje stanja” ali “okrevanje”. V različnih obsegih odmerkov so poročali o naslednjih dogodkih:</w:t>
      </w:r>
    </w:p>
    <w:p w14:paraId="52979F72" w14:textId="77777777" w:rsidR="00FF48C2" w:rsidRPr="004A59B1" w:rsidRDefault="00FF48C2" w:rsidP="009C1193">
      <w:pPr>
        <w:widowControl w:val="0"/>
        <w:tabs>
          <w:tab w:val="clear" w:pos="567"/>
        </w:tabs>
        <w:spacing w:line="240" w:lineRule="auto"/>
        <w:rPr>
          <w:color w:val="000000"/>
          <w:szCs w:val="22"/>
          <w:lang w:val="fi-FI"/>
        </w:rPr>
      </w:pPr>
    </w:p>
    <w:p w14:paraId="52979F73" w14:textId="77777777" w:rsidR="00FF48C2" w:rsidRPr="004A59B1" w:rsidRDefault="00FF48C2" w:rsidP="009C1193">
      <w:pPr>
        <w:keepNext/>
        <w:widowControl w:val="0"/>
        <w:tabs>
          <w:tab w:val="clear" w:pos="567"/>
        </w:tabs>
        <w:spacing w:line="240" w:lineRule="auto"/>
        <w:rPr>
          <w:i/>
          <w:iCs/>
          <w:color w:val="000000"/>
          <w:szCs w:val="22"/>
          <w:lang w:val="fi-FI"/>
        </w:rPr>
      </w:pPr>
      <w:r w:rsidRPr="004A59B1">
        <w:rPr>
          <w:i/>
          <w:iCs/>
          <w:color w:val="000000"/>
          <w:szCs w:val="22"/>
          <w:lang w:val="fi-FI"/>
        </w:rPr>
        <w:lastRenderedPageBreak/>
        <w:t>Odrasla populacija</w:t>
      </w:r>
    </w:p>
    <w:p w14:paraId="52979F74" w14:textId="77777777" w:rsidR="00FF48C2" w:rsidRPr="004A59B1" w:rsidRDefault="00FF48C2" w:rsidP="009C1193">
      <w:pPr>
        <w:pStyle w:val="Text"/>
        <w:widowControl w:val="0"/>
        <w:spacing w:before="0"/>
        <w:jc w:val="left"/>
        <w:rPr>
          <w:color w:val="000000"/>
          <w:sz w:val="22"/>
          <w:szCs w:val="22"/>
          <w:lang w:val="fi-FI"/>
        </w:rPr>
      </w:pPr>
      <w:r w:rsidRPr="004A59B1">
        <w:rPr>
          <w:color w:val="000000"/>
          <w:sz w:val="22"/>
          <w:szCs w:val="22"/>
          <w:lang w:val="fi-FI"/>
        </w:rPr>
        <w:t>Odmerki od 1200</w:t>
      </w:r>
      <w:r w:rsidR="0027622D" w:rsidRPr="004A59B1">
        <w:rPr>
          <w:color w:val="000000"/>
          <w:sz w:val="22"/>
          <w:szCs w:val="22"/>
          <w:lang w:val="fi-FI"/>
        </w:rPr>
        <w:t> mg</w:t>
      </w:r>
      <w:r w:rsidRPr="004A59B1">
        <w:rPr>
          <w:color w:val="000000"/>
          <w:sz w:val="22"/>
          <w:szCs w:val="22"/>
          <w:lang w:val="fi-FI"/>
        </w:rPr>
        <w:t xml:space="preserve"> do 1600 mg (trajanje zdravljenja od 1 do 10 dni): navzea, bruhanje, driska, izpuščaj, eritem, edemi, otekanje, utrujenost, mišični spazmi, trombocitopenija, pancitopenija, bolečine v trebuhu, glavobol, zmanjšan tek.</w:t>
      </w:r>
    </w:p>
    <w:p w14:paraId="52979F75" w14:textId="77777777" w:rsidR="00FF48C2" w:rsidRPr="004A59B1" w:rsidRDefault="00FF48C2" w:rsidP="009C1193">
      <w:pPr>
        <w:pStyle w:val="Text"/>
        <w:widowControl w:val="0"/>
        <w:spacing w:before="0"/>
        <w:jc w:val="left"/>
        <w:rPr>
          <w:color w:val="000000"/>
          <w:sz w:val="22"/>
          <w:szCs w:val="22"/>
          <w:lang w:val="fi-FI"/>
        </w:rPr>
      </w:pPr>
      <w:r w:rsidRPr="004A59B1">
        <w:rPr>
          <w:color w:val="000000"/>
          <w:sz w:val="22"/>
          <w:szCs w:val="22"/>
          <w:lang w:val="fi-FI"/>
        </w:rPr>
        <w:t>Odmerki od 1800</w:t>
      </w:r>
      <w:r w:rsidR="0027622D" w:rsidRPr="004A59B1">
        <w:rPr>
          <w:color w:val="000000"/>
          <w:sz w:val="22"/>
          <w:szCs w:val="22"/>
          <w:lang w:val="fi-FI"/>
        </w:rPr>
        <w:t> mg</w:t>
      </w:r>
      <w:r w:rsidRPr="004A59B1">
        <w:rPr>
          <w:color w:val="000000"/>
          <w:sz w:val="22"/>
          <w:szCs w:val="22"/>
          <w:lang w:val="fi-FI"/>
        </w:rPr>
        <w:t xml:space="preserve"> do 3200 mg (tudi do 3200 mg na dan 6 dni): oslabelost, mialgija, zvišana kreatin-kinaza, zvišan bilirubin, bolečine v prebavilih.</w:t>
      </w:r>
    </w:p>
    <w:p w14:paraId="52979F76" w14:textId="77777777" w:rsidR="00FF48C2" w:rsidRPr="004A59B1" w:rsidRDefault="00FF48C2" w:rsidP="009C1193">
      <w:pPr>
        <w:pStyle w:val="Text"/>
        <w:widowControl w:val="0"/>
        <w:spacing w:before="0"/>
        <w:jc w:val="left"/>
        <w:rPr>
          <w:color w:val="000000"/>
          <w:sz w:val="22"/>
          <w:szCs w:val="22"/>
          <w:lang w:val="fi-FI"/>
        </w:rPr>
      </w:pPr>
      <w:r w:rsidRPr="004A59B1">
        <w:rPr>
          <w:color w:val="000000"/>
          <w:sz w:val="22"/>
          <w:szCs w:val="22"/>
          <w:lang w:val="fi-FI"/>
        </w:rPr>
        <w:t xml:space="preserve">Odmerek 6400 mg (enkraten odmerek): V literaturi je opisan en primer pri enem bolniku, pri katerem je prišlo do navzee, bruhanja, bolečin v trebuhu, zvišane telesne temperature, otekanja v obraz, </w:t>
      </w:r>
      <w:r w:rsidR="0027622D" w:rsidRPr="004A59B1">
        <w:rPr>
          <w:color w:val="000000"/>
          <w:sz w:val="22"/>
          <w:szCs w:val="22"/>
          <w:lang w:val="fi-FI"/>
        </w:rPr>
        <w:t>zmanjšane</w:t>
      </w:r>
      <w:r w:rsidRPr="004A59B1">
        <w:rPr>
          <w:color w:val="000000"/>
          <w:sz w:val="22"/>
          <w:szCs w:val="22"/>
          <w:lang w:val="fi-FI"/>
        </w:rPr>
        <w:t xml:space="preserve"> koncentracije nevtrofilcev in zvišanja aminotransferaz.</w:t>
      </w:r>
    </w:p>
    <w:p w14:paraId="52979F77" w14:textId="77777777" w:rsidR="00FF48C2" w:rsidRPr="004A59B1" w:rsidRDefault="00FF48C2" w:rsidP="009C1193">
      <w:pPr>
        <w:pStyle w:val="Text"/>
        <w:widowControl w:val="0"/>
        <w:spacing w:before="0"/>
        <w:jc w:val="left"/>
        <w:rPr>
          <w:color w:val="000000"/>
          <w:sz w:val="22"/>
          <w:szCs w:val="22"/>
          <w:lang w:val="fi-FI"/>
        </w:rPr>
      </w:pPr>
      <w:r w:rsidRPr="004A59B1">
        <w:rPr>
          <w:color w:val="000000"/>
          <w:sz w:val="22"/>
          <w:szCs w:val="22"/>
          <w:lang w:val="fi-FI"/>
        </w:rPr>
        <w:t>Odmerki od 8</w:t>
      </w:r>
      <w:r w:rsidR="0027622D" w:rsidRPr="004A59B1">
        <w:rPr>
          <w:color w:val="000000"/>
          <w:sz w:val="22"/>
          <w:szCs w:val="22"/>
          <w:lang w:val="fi-FI"/>
        </w:rPr>
        <w:t> g</w:t>
      </w:r>
      <w:r w:rsidRPr="004A59B1">
        <w:rPr>
          <w:color w:val="000000"/>
          <w:sz w:val="22"/>
          <w:szCs w:val="22"/>
          <w:lang w:val="fi-FI"/>
        </w:rPr>
        <w:t xml:space="preserve"> do 10 g (enkratni odmerki): Opisovali so bruhanje in bolečine v prebavilih.</w:t>
      </w:r>
    </w:p>
    <w:p w14:paraId="52979F78" w14:textId="77777777" w:rsidR="00FF48C2" w:rsidRPr="004A59B1" w:rsidRDefault="00FF48C2" w:rsidP="009C1193">
      <w:pPr>
        <w:widowControl w:val="0"/>
        <w:tabs>
          <w:tab w:val="clear" w:pos="567"/>
        </w:tabs>
        <w:spacing w:line="240" w:lineRule="auto"/>
        <w:rPr>
          <w:color w:val="000000"/>
          <w:szCs w:val="22"/>
          <w:lang w:val="fi-FI"/>
        </w:rPr>
      </w:pPr>
    </w:p>
    <w:p w14:paraId="52979F79" w14:textId="77777777" w:rsidR="00FF48C2" w:rsidRPr="004A59B1" w:rsidRDefault="00FF48C2" w:rsidP="009C1193">
      <w:pPr>
        <w:keepNext/>
        <w:widowControl w:val="0"/>
        <w:tabs>
          <w:tab w:val="clear" w:pos="567"/>
        </w:tabs>
        <w:spacing w:line="240" w:lineRule="auto"/>
        <w:rPr>
          <w:i/>
          <w:iCs/>
          <w:color w:val="000000"/>
          <w:szCs w:val="22"/>
          <w:lang w:val="fi-FI"/>
        </w:rPr>
      </w:pPr>
      <w:r w:rsidRPr="004A59B1">
        <w:rPr>
          <w:i/>
          <w:iCs/>
          <w:color w:val="000000"/>
          <w:szCs w:val="22"/>
          <w:lang w:val="fi-FI"/>
        </w:rPr>
        <w:t>Pediatrična populacija</w:t>
      </w:r>
    </w:p>
    <w:p w14:paraId="52979F7A" w14:textId="77777777" w:rsidR="00FF48C2" w:rsidRPr="004A59B1" w:rsidRDefault="00FF48C2" w:rsidP="009C1193">
      <w:pPr>
        <w:pStyle w:val="Text"/>
        <w:widowControl w:val="0"/>
        <w:spacing w:before="0"/>
        <w:jc w:val="left"/>
        <w:rPr>
          <w:color w:val="000000"/>
          <w:sz w:val="22"/>
          <w:szCs w:val="22"/>
          <w:lang w:val="fi-FI"/>
        </w:rPr>
      </w:pPr>
      <w:r w:rsidRPr="004A59B1">
        <w:rPr>
          <w:color w:val="000000"/>
          <w:sz w:val="22"/>
          <w:szCs w:val="22"/>
          <w:lang w:val="fi-FI"/>
        </w:rPr>
        <w:t xml:space="preserve">Pri enem 3 leta starem dečku, ki je bil izpostavljen enkratnemu odmerku 400 mg, je prišlo do bruhanja, driske in anoreksije, pri drugem 3 leta starem dečku, ki je bil izpostavljen enkratnemu odmerku 980 mg, pa je prišlo do </w:t>
      </w:r>
      <w:r w:rsidR="0027622D" w:rsidRPr="004A59B1">
        <w:rPr>
          <w:color w:val="000000"/>
          <w:sz w:val="22"/>
          <w:szCs w:val="22"/>
          <w:lang w:val="fi-FI"/>
        </w:rPr>
        <w:t>zmanjšane</w:t>
      </w:r>
      <w:r w:rsidRPr="004A59B1">
        <w:rPr>
          <w:color w:val="000000"/>
          <w:sz w:val="22"/>
          <w:szCs w:val="22"/>
          <w:lang w:val="fi-FI"/>
        </w:rPr>
        <w:t xml:space="preserve"> koncentracije levkocitov in driske.</w:t>
      </w:r>
    </w:p>
    <w:p w14:paraId="52979F7B" w14:textId="77777777" w:rsidR="00FF48C2" w:rsidRPr="004A59B1" w:rsidRDefault="00FF48C2" w:rsidP="009C1193">
      <w:pPr>
        <w:widowControl w:val="0"/>
        <w:tabs>
          <w:tab w:val="clear" w:pos="567"/>
        </w:tabs>
        <w:spacing w:line="240" w:lineRule="auto"/>
        <w:rPr>
          <w:color w:val="000000"/>
          <w:szCs w:val="22"/>
          <w:lang w:val="fi-FI"/>
        </w:rPr>
      </w:pPr>
    </w:p>
    <w:p w14:paraId="52979F7C" w14:textId="77777777" w:rsidR="00FF48C2" w:rsidRPr="004A59B1" w:rsidRDefault="00FF48C2" w:rsidP="009C1193">
      <w:pPr>
        <w:widowControl w:val="0"/>
        <w:tabs>
          <w:tab w:val="clear" w:pos="567"/>
        </w:tabs>
        <w:spacing w:line="240" w:lineRule="auto"/>
        <w:rPr>
          <w:color w:val="000000"/>
          <w:szCs w:val="22"/>
          <w:lang w:val="fi-FI"/>
        </w:rPr>
      </w:pPr>
      <w:r w:rsidRPr="004A59B1">
        <w:rPr>
          <w:color w:val="000000"/>
          <w:szCs w:val="22"/>
          <w:lang w:val="fi-FI"/>
        </w:rPr>
        <w:t>V primeru prevelikega odmerjanja je treba bolnika opazovati in mu nuditi ustrezno podporno zdravljenje.</w:t>
      </w:r>
    </w:p>
    <w:p w14:paraId="52979F7D" w14:textId="77777777" w:rsidR="00FF48C2" w:rsidRPr="004A59B1" w:rsidRDefault="00FF48C2" w:rsidP="009C1193">
      <w:pPr>
        <w:widowControl w:val="0"/>
        <w:tabs>
          <w:tab w:val="clear" w:pos="567"/>
        </w:tabs>
        <w:spacing w:line="240" w:lineRule="auto"/>
        <w:rPr>
          <w:color w:val="000000"/>
          <w:szCs w:val="22"/>
          <w:lang w:val="fi-FI"/>
        </w:rPr>
      </w:pPr>
    </w:p>
    <w:p w14:paraId="52979F7E" w14:textId="77777777" w:rsidR="00FF48C2" w:rsidRPr="004A59B1" w:rsidRDefault="00FF48C2" w:rsidP="009C1193">
      <w:pPr>
        <w:widowControl w:val="0"/>
        <w:tabs>
          <w:tab w:val="clear" w:pos="567"/>
        </w:tabs>
        <w:spacing w:line="240" w:lineRule="auto"/>
        <w:rPr>
          <w:color w:val="000000"/>
          <w:szCs w:val="22"/>
          <w:lang w:val="fi-FI"/>
        </w:rPr>
      </w:pPr>
    </w:p>
    <w:p w14:paraId="52979F7F" w14:textId="77777777" w:rsidR="00FF48C2" w:rsidRPr="004A59B1" w:rsidRDefault="00FF48C2" w:rsidP="009C1193">
      <w:pPr>
        <w:keepNext/>
        <w:widowControl w:val="0"/>
        <w:tabs>
          <w:tab w:val="clear" w:pos="567"/>
        </w:tabs>
        <w:spacing w:line="240" w:lineRule="auto"/>
        <w:ind w:left="567" w:hanging="567"/>
        <w:rPr>
          <w:color w:val="000000"/>
          <w:szCs w:val="22"/>
          <w:lang w:val="fi-FI"/>
        </w:rPr>
      </w:pPr>
      <w:r w:rsidRPr="004A59B1">
        <w:rPr>
          <w:b/>
          <w:color w:val="000000"/>
          <w:szCs w:val="22"/>
          <w:lang w:val="fi-FI"/>
        </w:rPr>
        <w:t>5.</w:t>
      </w:r>
      <w:r w:rsidRPr="004A59B1">
        <w:rPr>
          <w:b/>
          <w:color w:val="000000"/>
          <w:szCs w:val="22"/>
          <w:lang w:val="fi-FI"/>
        </w:rPr>
        <w:tab/>
        <w:t>FARMAKOLOŠKE LASTNOSTI</w:t>
      </w:r>
    </w:p>
    <w:p w14:paraId="52979F80" w14:textId="77777777" w:rsidR="00FF48C2" w:rsidRPr="004A59B1" w:rsidRDefault="00FF48C2" w:rsidP="009C1193">
      <w:pPr>
        <w:keepNext/>
        <w:widowControl w:val="0"/>
        <w:tabs>
          <w:tab w:val="clear" w:pos="567"/>
        </w:tabs>
        <w:spacing w:line="240" w:lineRule="auto"/>
        <w:rPr>
          <w:color w:val="000000"/>
          <w:szCs w:val="22"/>
          <w:lang w:val="fi-FI"/>
        </w:rPr>
      </w:pPr>
    </w:p>
    <w:p w14:paraId="52979F81" w14:textId="77777777" w:rsidR="00FF48C2" w:rsidRPr="004A59B1" w:rsidRDefault="00FF48C2" w:rsidP="009C1193">
      <w:pPr>
        <w:keepNext/>
        <w:widowControl w:val="0"/>
        <w:tabs>
          <w:tab w:val="clear" w:pos="567"/>
        </w:tabs>
        <w:spacing w:line="240" w:lineRule="auto"/>
        <w:ind w:left="567" w:hanging="567"/>
        <w:rPr>
          <w:color w:val="000000"/>
          <w:szCs w:val="22"/>
          <w:lang w:val="fi-FI"/>
        </w:rPr>
      </w:pPr>
      <w:r w:rsidRPr="004A59B1">
        <w:rPr>
          <w:b/>
          <w:color w:val="000000"/>
          <w:szCs w:val="22"/>
          <w:lang w:val="fi-FI"/>
        </w:rPr>
        <w:t>5.1</w:t>
      </w:r>
      <w:r w:rsidRPr="004A59B1">
        <w:rPr>
          <w:b/>
          <w:color w:val="000000"/>
          <w:szCs w:val="22"/>
          <w:lang w:val="fi-FI"/>
        </w:rPr>
        <w:tab/>
        <w:t>Farmakodinamične lastnosti</w:t>
      </w:r>
    </w:p>
    <w:p w14:paraId="52979F82" w14:textId="77777777" w:rsidR="00FF48C2" w:rsidRPr="004A59B1" w:rsidRDefault="00FF48C2" w:rsidP="009C1193">
      <w:pPr>
        <w:pStyle w:val="EndnoteText"/>
        <w:keepNext/>
        <w:widowControl w:val="0"/>
        <w:tabs>
          <w:tab w:val="clear" w:pos="567"/>
        </w:tabs>
        <w:rPr>
          <w:color w:val="000000"/>
          <w:szCs w:val="22"/>
          <w:lang w:val="fi-FI"/>
        </w:rPr>
      </w:pPr>
    </w:p>
    <w:p w14:paraId="52979F83" w14:textId="77777777" w:rsidR="00FF48C2" w:rsidRPr="004A59B1" w:rsidRDefault="00FF48C2" w:rsidP="009C1193">
      <w:pPr>
        <w:keepNext/>
        <w:widowControl w:val="0"/>
        <w:tabs>
          <w:tab w:val="clear" w:pos="567"/>
        </w:tabs>
        <w:spacing w:line="240" w:lineRule="auto"/>
        <w:rPr>
          <w:color w:val="000000"/>
          <w:szCs w:val="22"/>
          <w:lang w:val="fi-FI"/>
        </w:rPr>
      </w:pPr>
      <w:r w:rsidRPr="004A59B1">
        <w:rPr>
          <w:color w:val="000000"/>
          <w:szCs w:val="22"/>
          <w:lang w:val="fi-FI"/>
        </w:rPr>
        <w:t>Farmakoterapevtska skupina: zaviralec protein-tirozin-kinaze, oznaka ATC: L01XE01</w:t>
      </w:r>
    </w:p>
    <w:p w14:paraId="52979F84" w14:textId="77777777" w:rsidR="00FF48C2" w:rsidRPr="004A59B1" w:rsidRDefault="00FF48C2" w:rsidP="009C1193">
      <w:pPr>
        <w:pStyle w:val="EndnoteText"/>
        <w:keepNext/>
        <w:widowControl w:val="0"/>
        <w:tabs>
          <w:tab w:val="clear" w:pos="567"/>
        </w:tabs>
        <w:rPr>
          <w:color w:val="000000"/>
          <w:szCs w:val="22"/>
          <w:u w:val="single"/>
          <w:lang w:val="fi-FI"/>
        </w:rPr>
      </w:pPr>
    </w:p>
    <w:p w14:paraId="52979F85" w14:textId="77777777" w:rsidR="00FF48C2" w:rsidRPr="004A59B1" w:rsidRDefault="00FF48C2" w:rsidP="009C1193">
      <w:pPr>
        <w:pStyle w:val="EndnoteText"/>
        <w:keepNext/>
        <w:widowControl w:val="0"/>
        <w:tabs>
          <w:tab w:val="clear" w:pos="567"/>
        </w:tabs>
        <w:rPr>
          <w:color w:val="000000"/>
          <w:szCs w:val="22"/>
          <w:u w:val="single"/>
          <w:lang w:val="fi-FI"/>
        </w:rPr>
      </w:pPr>
      <w:r w:rsidRPr="004A59B1">
        <w:rPr>
          <w:color w:val="000000"/>
          <w:szCs w:val="22"/>
          <w:u w:val="single"/>
          <w:lang w:val="fi-FI"/>
        </w:rPr>
        <w:t>Mehanizem delovanja</w:t>
      </w:r>
    </w:p>
    <w:p w14:paraId="52979F86" w14:textId="77777777" w:rsidR="00FF48C2" w:rsidRPr="004A59B1" w:rsidRDefault="00FF48C2" w:rsidP="009C1193">
      <w:pPr>
        <w:pStyle w:val="EndnoteText"/>
        <w:widowControl w:val="0"/>
        <w:tabs>
          <w:tab w:val="clear" w:pos="567"/>
        </w:tabs>
        <w:rPr>
          <w:lang w:val="fi-FI"/>
        </w:rPr>
      </w:pPr>
      <w:r w:rsidRPr="004A59B1">
        <w:rPr>
          <w:lang w:val="fi-FI"/>
        </w:rPr>
        <w:t xml:space="preserve">Imatinib je majhna molekula in je zaviralec </w:t>
      </w:r>
      <w:r w:rsidRPr="004A59B1">
        <w:rPr>
          <w:color w:val="000000"/>
          <w:szCs w:val="22"/>
          <w:lang w:val="fi-FI"/>
        </w:rPr>
        <w:t>protein-tirozin-kinaze, ki močno zavira aktivnost Bcr-Abl tirozin-kinaze, pa tudi nekaj receptorskih tirozin-kinaz: pri receptorju Kit, ki je receptor za dejavnik matičnih celic (</w:t>
      </w:r>
      <w:r w:rsidR="0027622D" w:rsidRPr="004A59B1">
        <w:rPr>
          <w:color w:val="000000"/>
          <w:szCs w:val="22"/>
          <w:lang w:val="fi-FI"/>
        </w:rPr>
        <w:t xml:space="preserve">SCF - </w:t>
      </w:r>
      <w:r w:rsidRPr="00304E94">
        <w:rPr>
          <w:i/>
          <w:lang w:val="fi-FI"/>
        </w:rPr>
        <w:t>stem cell factor</w:t>
      </w:r>
      <w:r w:rsidRPr="004A59B1">
        <w:rPr>
          <w:lang w:val="fi-FI"/>
        </w:rPr>
        <w:t xml:space="preserve">), ki ga kodira protoonkogen c-Kit, pri receptorjih za diskoidinsko domeno (DDR1 in DDR2), pri receptorju za </w:t>
      </w:r>
      <w:r w:rsidRPr="004A59B1">
        <w:rPr>
          <w:color w:val="000000"/>
          <w:szCs w:val="22"/>
          <w:lang w:val="sl-SI"/>
        </w:rPr>
        <w:t xml:space="preserve">kolonije stimulirajoči faktor </w:t>
      </w:r>
      <w:r w:rsidRPr="004A59B1">
        <w:rPr>
          <w:lang w:val="fi-FI"/>
        </w:rPr>
        <w:t xml:space="preserve">(CSF-1R) in pri receptorjih za </w:t>
      </w:r>
      <w:r w:rsidRPr="004A59B1">
        <w:rPr>
          <w:color w:val="000000"/>
          <w:szCs w:val="22"/>
          <w:lang w:val="sl-SI"/>
        </w:rPr>
        <w:t xml:space="preserve">rastni faktor iz trombocitov alfa in beta </w:t>
      </w:r>
      <w:r w:rsidRPr="004A59B1">
        <w:rPr>
          <w:lang w:val="fi-FI"/>
        </w:rPr>
        <w:t>(PDGFR-alfa in PDGFR-beta</w:t>
      </w:r>
      <w:r w:rsidR="0027622D" w:rsidRPr="004A59B1">
        <w:rPr>
          <w:lang w:val="fi-FI"/>
        </w:rPr>
        <w:t xml:space="preserve"> - </w:t>
      </w:r>
      <w:r w:rsidR="0027622D" w:rsidRPr="00304E94">
        <w:rPr>
          <w:i/>
          <w:color w:val="000000"/>
          <w:szCs w:val="22"/>
          <w:lang w:val="sl-SI"/>
        </w:rPr>
        <w:t>platelet-derived growth factor</w:t>
      </w:r>
      <w:r w:rsidR="0027622D" w:rsidRPr="004A59B1">
        <w:rPr>
          <w:color w:val="000000"/>
          <w:szCs w:val="22"/>
          <w:lang w:val="sl-SI"/>
        </w:rPr>
        <w:t xml:space="preserve"> </w:t>
      </w:r>
      <w:r w:rsidR="0027622D" w:rsidRPr="004A59B1">
        <w:rPr>
          <w:i/>
          <w:lang w:val="fi-FI"/>
        </w:rPr>
        <w:t>receptors</w:t>
      </w:r>
      <w:r w:rsidRPr="004A59B1">
        <w:rPr>
          <w:lang w:val="fi-FI"/>
        </w:rPr>
        <w:t>). Imatinib lahko zavira tudi celične dogodke, ki jih omogoča aktivacija navedenih receptorskih kinaz.</w:t>
      </w:r>
    </w:p>
    <w:p w14:paraId="52979F87" w14:textId="77777777" w:rsidR="00FF48C2" w:rsidRPr="004A59B1" w:rsidRDefault="00FF48C2" w:rsidP="009C1193">
      <w:pPr>
        <w:pStyle w:val="EndnoteText"/>
        <w:widowControl w:val="0"/>
        <w:tabs>
          <w:tab w:val="clear" w:pos="567"/>
        </w:tabs>
        <w:rPr>
          <w:color w:val="000000"/>
          <w:szCs w:val="22"/>
          <w:lang w:val="fi-FI"/>
        </w:rPr>
      </w:pPr>
    </w:p>
    <w:p w14:paraId="52979F88" w14:textId="77777777" w:rsidR="00FF48C2" w:rsidRPr="004A59B1" w:rsidRDefault="00FF48C2" w:rsidP="009C1193">
      <w:pPr>
        <w:pStyle w:val="EndnoteText"/>
        <w:keepNext/>
        <w:widowControl w:val="0"/>
        <w:tabs>
          <w:tab w:val="clear" w:pos="567"/>
        </w:tabs>
        <w:rPr>
          <w:color w:val="000000"/>
          <w:szCs w:val="22"/>
          <w:u w:val="single"/>
          <w:lang w:val="fi-FI"/>
        </w:rPr>
      </w:pPr>
      <w:r w:rsidRPr="004A59B1">
        <w:rPr>
          <w:color w:val="000000"/>
          <w:szCs w:val="22"/>
          <w:u w:val="single"/>
          <w:lang w:val="fi-FI"/>
        </w:rPr>
        <w:t>Farmakodinamični učinki</w:t>
      </w:r>
    </w:p>
    <w:p w14:paraId="52979F89" w14:textId="77777777" w:rsidR="00FF48C2" w:rsidRPr="004A59B1" w:rsidRDefault="00FF48C2" w:rsidP="009C1193">
      <w:pPr>
        <w:pStyle w:val="EndnoteText"/>
        <w:widowControl w:val="0"/>
        <w:tabs>
          <w:tab w:val="clear" w:pos="567"/>
        </w:tabs>
        <w:rPr>
          <w:color w:val="000000"/>
          <w:szCs w:val="22"/>
          <w:lang w:val="fi-FI"/>
        </w:rPr>
      </w:pPr>
      <w:r w:rsidRPr="004A59B1">
        <w:rPr>
          <w:color w:val="000000"/>
          <w:szCs w:val="22"/>
          <w:lang w:val="fi-FI"/>
        </w:rPr>
        <w:t xml:space="preserve">Imatinib je zaviralec protein-tirozin-kinaze, ki močno zavira Bcr-Abl tirozin-kinazo na </w:t>
      </w:r>
      <w:r w:rsidRPr="004A59B1">
        <w:rPr>
          <w:i/>
          <w:color w:val="000000"/>
          <w:szCs w:val="22"/>
          <w:lang w:val="fi-FI"/>
        </w:rPr>
        <w:t>in vitro</w:t>
      </w:r>
      <w:r w:rsidRPr="004A59B1">
        <w:rPr>
          <w:color w:val="000000"/>
          <w:szCs w:val="22"/>
          <w:lang w:val="fi-FI"/>
        </w:rPr>
        <w:t xml:space="preserve">, celični in </w:t>
      </w:r>
      <w:r w:rsidRPr="004A59B1">
        <w:rPr>
          <w:i/>
          <w:color w:val="000000"/>
          <w:szCs w:val="22"/>
          <w:lang w:val="fi-FI"/>
        </w:rPr>
        <w:t xml:space="preserve">in vivo </w:t>
      </w:r>
      <w:r w:rsidRPr="004A59B1">
        <w:rPr>
          <w:color w:val="000000"/>
          <w:szCs w:val="22"/>
          <w:lang w:val="fi-FI"/>
        </w:rPr>
        <w:t>ravni. Spojina selektivno zavira proliferacijo in inducira apoptozo pri Bcr-Abl pozitivnih celičnih linijah, pa tudi pri svežih limfatičnih celicah bolnikov s KML, s prisotnim kromosomom Philadelphia, in z akutno limfoblastno levkemijo (ALL).</w:t>
      </w:r>
    </w:p>
    <w:p w14:paraId="52979F8A" w14:textId="77777777" w:rsidR="00FF48C2" w:rsidRPr="004A59B1" w:rsidRDefault="00FF48C2" w:rsidP="009C1193">
      <w:pPr>
        <w:pStyle w:val="EndnoteText"/>
        <w:widowControl w:val="0"/>
        <w:tabs>
          <w:tab w:val="clear" w:pos="567"/>
        </w:tabs>
        <w:rPr>
          <w:color w:val="000000"/>
          <w:szCs w:val="22"/>
          <w:lang w:val="fi-FI"/>
        </w:rPr>
      </w:pPr>
    </w:p>
    <w:p w14:paraId="52979F8B" w14:textId="77777777" w:rsidR="00FF48C2" w:rsidRPr="004A59B1" w:rsidRDefault="00FF48C2" w:rsidP="009C1193">
      <w:pPr>
        <w:pStyle w:val="EndnoteText"/>
        <w:widowControl w:val="0"/>
        <w:tabs>
          <w:tab w:val="clear" w:pos="567"/>
        </w:tabs>
        <w:rPr>
          <w:color w:val="000000"/>
          <w:szCs w:val="22"/>
          <w:lang w:val="fi-FI"/>
        </w:rPr>
      </w:pPr>
      <w:r w:rsidRPr="004A59B1">
        <w:rPr>
          <w:i/>
          <w:color w:val="000000"/>
          <w:szCs w:val="22"/>
          <w:lang w:val="sl-SI"/>
        </w:rPr>
        <w:t xml:space="preserve">In vivo </w:t>
      </w:r>
      <w:r w:rsidRPr="004A59B1">
        <w:rPr>
          <w:color w:val="000000"/>
          <w:szCs w:val="22"/>
          <w:lang w:val="sl-SI"/>
        </w:rPr>
        <w:t>spojina kaže protitumorsko aktivnost, če se uporablja kot edino sredstvo, v živalskih modelih z Bcr-Abl pozitivnimi tumorskimi celicami</w:t>
      </w:r>
      <w:r w:rsidRPr="004A59B1">
        <w:rPr>
          <w:color w:val="000000"/>
          <w:szCs w:val="22"/>
          <w:lang w:val="fi-FI"/>
        </w:rPr>
        <w:t>.</w:t>
      </w:r>
    </w:p>
    <w:p w14:paraId="52979F8C" w14:textId="77777777" w:rsidR="00FF48C2" w:rsidRPr="004A59B1" w:rsidRDefault="00FF48C2" w:rsidP="009C1193">
      <w:pPr>
        <w:pStyle w:val="EndnoteText"/>
        <w:widowControl w:val="0"/>
        <w:tabs>
          <w:tab w:val="clear" w:pos="567"/>
        </w:tabs>
        <w:rPr>
          <w:color w:val="000000"/>
          <w:szCs w:val="22"/>
          <w:lang w:val="fi-FI"/>
        </w:rPr>
      </w:pPr>
    </w:p>
    <w:p w14:paraId="52979F8D" w14:textId="77777777" w:rsidR="00FF48C2" w:rsidRPr="004A59B1" w:rsidRDefault="00FF48C2" w:rsidP="009C1193">
      <w:pPr>
        <w:pStyle w:val="EndnoteText"/>
        <w:widowControl w:val="0"/>
        <w:tabs>
          <w:tab w:val="clear" w:pos="567"/>
        </w:tabs>
        <w:rPr>
          <w:color w:val="000000"/>
          <w:szCs w:val="22"/>
          <w:lang w:val="sl-SI"/>
        </w:rPr>
      </w:pPr>
      <w:r w:rsidRPr="004A59B1">
        <w:rPr>
          <w:color w:val="000000"/>
          <w:szCs w:val="22"/>
          <w:lang w:val="sl-SI"/>
        </w:rPr>
        <w:t>Imatinib je tudi zaviralec receptorskih tirozin-kinaz za rastni faktor iz trombocitov (PDGF</w:t>
      </w:r>
      <w:r w:rsidR="0027622D" w:rsidRPr="004A59B1">
        <w:rPr>
          <w:color w:val="000000"/>
          <w:szCs w:val="22"/>
          <w:lang w:val="sl-SI"/>
        </w:rPr>
        <w:t xml:space="preserve"> </w:t>
      </w:r>
      <w:r w:rsidRPr="004A59B1">
        <w:rPr>
          <w:color w:val="000000"/>
          <w:szCs w:val="22"/>
          <w:lang w:val="sl-SI"/>
        </w:rPr>
        <w:t>-</w:t>
      </w:r>
      <w:r w:rsidR="0027622D" w:rsidRPr="004A59B1">
        <w:rPr>
          <w:color w:val="000000"/>
          <w:szCs w:val="22"/>
          <w:lang w:val="sl-SI"/>
        </w:rPr>
        <w:t xml:space="preserve"> </w:t>
      </w:r>
      <w:r w:rsidRPr="00304E94">
        <w:rPr>
          <w:i/>
          <w:color w:val="000000"/>
          <w:szCs w:val="22"/>
          <w:lang w:val="sl-SI"/>
        </w:rPr>
        <w:t>platelet-derived growth factor</w:t>
      </w:r>
      <w:r w:rsidRPr="004A59B1">
        <w:rPr>
          <w:color w:val="000000"/>
          <w:szCs w:val="22"/>
          <w:lang w:val="sl-SI"/>
        </w:rPr>
        <w:t>), PDGF-R in dejavnik matičnih celic (SCF</w:t>
      </w:r>
      <w:r w:rsidR="0027622D" w:rsidRPr="004A59B1">
        <w:rPr>
          <w:color w:val="000000"/>
          <w:szCs w:val="22"/>
          <w:lang w:val="sl-SI"/>
        </w:rPr>
        <w:t xml:space="preserve"> </w:t>
      </w:r>
      <w:r w:rsidRPr="004A59B1">
        <w:rPr>
          <w:color w:val="000000"/>
          <w:szCs w:val="22"/>
          <w:lang w:val="sl-SI"/>
        </w:rPr>
        <w:t>-</w:t>
      </w:r>
      <w:r w:rsidR="0027622D" w:rsidRPr="004A59B1">
        <w:rPr>
          <w:color w:val="000000"/>
          <w:szCs w:val="22"/>
          <w:lang w:val="sl-SI"/>
        </w:rPr>
        <w:t xml:space="preserve"> </w:t>
      </w:r>
      <w:r w:rsidRPr="00304E94">
        <w:rPr>
          <w:i/>
          <w:color w:val="000000"/>
          <w:szCs w:val="22"/>
          <w:lang w:val="sl-SI"/>
        </w:rPr>
        <w:t>stem cell factor</w:t>
      </w:r>
      <w:r w:rsidRPr="004A59B1">
        <w:rPr>
          <w:color w:val="000000"/>
          <w:szCs w:val="22"/>
          <w:lang w:val="sl-SI"/>
        </w:rPr>
        <w:t xml:space="preserve">), c-Kit, in zavira celične dogodke, ki jih posredujeta PDGF in SCF. </w:t>
      </w:r>
      <w:r w:rsidRPr="004A59B1">
        <w:rPr>
          <w:i/>
          <w:color w:val="000000"/>
          <w:szCs w:val="22"/>
          <w:lang w:val="sl-SI"/>
        </w:rPr>
        <w:t>In vitro</w:t>
      </w:r>
      <w:r w:rsidRPr="004A59B1">
        <w:rPr>
          <w:color w:val="000000"/>
          <w:szCs w:val="22"/>
          <w:lang w:val="sl-SI"/>
        </w:rPr>
        <w:t xml:space="preserve"> imatinib zavira proliferacijo in inducira apoptozo v gastrointestinalnih stromalnih tumorskih (GIST) celicah, ki izražajo aktivirajočo mutacijo </w:t>
      </w:r>
      <w:r w:rsidRPr="004A59B1">
        <w:rPr>
          <w:i/>
          <w:color w:val="000000"/>
          <w:szCs w:val="22"/>
          <w:lang w:val="sl-SI"/>
        </w:rPr>
        <w:t>kit</w:t>
      </w:r>
      <w:r w:rsidRPr="004A59B1">
        <w:rPr>
          <w:color w:val="000000"/>
          <w:szCs w:val="22"/>
          <w:lang w:val="sl-SI"/>
        </w:rPr>
        <w:t>.</w:t>
      </w:r>
      <w:r w:rsidRPr="004A59B1">
        <w:rPr>
          <w:color w:val="000000"/>
          <w:lang w:val="sl-SI"/>
        </w:rPr>
        <w:t xml:space="preserve"> Konstitut</w:t>
      </w:r>
      <w:r w:rsidRPr="004A59B1">
        <w:rPr>
          <w:color w:val="000000"/>
          <w:szCs w:val="22"/>
          <w:lang w:val="sl-SI"/>
        </w:rPr>
        <w:t xml:space="preserve">ivna aktivacija receptorja za rastni faktor iz trombocitov, ali Abl protein-tirozin-kinaze kot posledica združitve različnih sodelujočih proteinov ali konstitutivna tvorba PDGF sta vpleteni v patogenezo </w:t>
      </w:r>
      <w:r w:rsidRPr="004A59B1">
        <w:rPr>
          <w:color w:val="000000"/>
          <w:lang w:val="sl-SI"/>
        </w:rPr>
        <w:t xml:space="preserve">MDS/MPD, HES/CEL in </w:t>
      </w:r>
      <w:r w:rsidRPr="004A59B1">
        <w:rPr>
          <w:color w:val="000000"/>
          <w:szCs w:val="22"/>
          <w:lang w:val="sl-SI"/>
        </w:rPr>
        <w:t>DFSP. Imatinib zavira signaliziranje in prol</w:t>
      </w:r>
      <w:r w:rsidRPr="004A59B1">
        <w:rPr>
          <w:color w:val="000000"/>
          <w:lang w:val="sl-SI"/>
        </w:rPr>
        <w:t>iferacijo celic, ki ju povzroča napačno uravnavano delovanje PDGFR in Abl kinaze.</w:t>
      </w:r>
    </w:p>
    <w:p w14:paraId="52979F8E" w14:textId="77777777" w:rsidR="00FF48C2" w:rsidRPr="004A59B1" w:rsidRDefault="00FF48C2" w:rsidP="009C1193">
      <w:pPr>
        <w:pStyle w:val="EndnoteText"/>
        <w:widowControl w:val="0"/>
        <w:tabs>
          <w:tab w:val="clear" w:pos="567"/>
        </w:tabs>
        <w:rPr>
          <w:color w:val="000000"/>
          <w:szCs w:val="22"/>
          <w:lang w:val="sl-SI"/>
        </w:rPr>
      </w:pPr>
    </w:p>
    <w:p w14:paraId="52979F8F" w14:textId="77777777" w:rsidR="00FF48C2" w:rsidRPr="004A59B1" w:rsidRDefault="00FF48C2" w:rsidP="009C1193">
      <w:pPr>
        <w:pStyle w:val="EndnoteText"/>
        <w:keepNext/>
        <w:widowControl w:val="0"/>
        <w:tabs>
          <w:tab w:val="clear" w:pos="567"/>
        </w:tabs>
        <w:rPr>
          <w:color w:val="000000"/>
          <w:szCs w:val="22"/>
          <w:lang w:val="sl-SI"/>
        </w:rPr>
      </w:pPr>
      <w:r w:rsidRPr="004A59B1">
        <w:rPr>
          <w:color w:val="000000"/>
          <w:szCs w:val="22"/>
          <w:u w:val="single"/>
          <w:lang w:val="sl-SI"/>
        </w:rPr>
        <w:t>Klinične študije pri kronični mieloični levkemiji</w:t>
      </w:r>
    </w:p>
    <w:p w14:paraId="52979F90" w14:textId="77777777" w:rsidR="00FF48C2" w:rsidRPr="004A59B1" w:rsidRDefault="00FF48C2" w:rsidP="009C1193">
      <w:pPr>
        <w:pStyle w:val="EndnoteText"/>
        <w:widowControl w:val="0"/>
        <w:tabs>
          <w:tab w:val="clear" w:pos="567"/>
        </w:tabs>
        <w:rPr>
          <w:color w:val="000000"/>
          <w:szCs w:val="22"/>
          <w:u w:val="single"/>
          <w:lang w:val="sl-SI"/>
        </w:rPr>
      </w:pPr>
      <w:r w:rsidRPr="004A59B1">
        <w:rPr>
          <w:color w:val="000000"/>
          <w:szCs w:val="22"/>
          <w:lang w:val="sl-SI"/>
        </w:rPr>
        <w:t xml:space="preserve">Učinkovitost zdravila Glivec temelji na stopnji celotnega hematološkega in citogenetičnega odziva ter preživetju brez napredovanja bolezni. Razen za na novo diagnosticirano KML v kronični fazi ni kontroliranih kliničnih preskušanj, ki bi dokazovala klinično koristnost, na primer izboljšanje </w:t>
      </w:r>
      <w:r w:rsidRPr="004A59B1">
        <w:rPr>
          <w:color w:val="000000"/>
          <w:szCs w:val="22"/>
          <w:lang w:val="sl-SI"/>
        </w:rPr>
        <w:lastRenderedPageBreak/>
        <w:t>bolezenskih simptomov ali povečano preživetje.</w:t>
      </w:r>
    </w:p>
    <w:p w14:paraId="52979F91" w14:textId="77777777" w:rsidR="00FF48C2" w:rsidRPr="004A59B1" w:rsidRDefault="00FF48C2" w:rsidP="009C1193">
      <w:pPr>
        <w:pStyle w:val="EndnoteText"/>
        <w:widowControl w:val="0"/>
        <w:tabs>
          <w:tab w:val="clear" w:pos="567"/>
        </w:tabs>
        <w:rPr>
          <w:color w:val="000000"/>
          <w:szCs w:val="22"/>
          <w:lang w:val="sl-SI"/>
        </w:rPr>
      </w:pPr>
    </w:p>
    <w:p w14:paraId="52979F92" w14:textId="77777777" w:rsidR="00FF48C2" w:rsidRPr="004A59B1" w:rsidRDefault="00FF48C2" w:rsidP="009C1193">
      <w:pPr>
        <w:pStyle w:val="EndnoteText"/>
        <w:widowControl w:val="0"/>
        <w:tabs>
          <w:tab w:val="clear" w:pos="567"/>
        </w:tabs>
        <w:rPr>
          <w:color w:val="000000"/>
          <w:szCs w:val="22"/>
          <w:lang w:val="sl-SI"/>
        </w:rPr>
      </w:pPr>
      <w:r w:rsidRPr="004A59B1">
        <w:rPr>
          <w:color w:val="000000"/>
          <w:szCs w:val="22"/>
          <w:lang w:val="sl-SI"/>
        </w:rPr>
        <w:t>Opravili so tri velike mednarodne odprte nekontrolirane študije druge faze pri bolnikih s KML, s prisotnim kromosomom Philadelphia (Ph+), v napredovali, blastni ali pospešeni fazi bolezni, z drugimi Ph+ levkemijami ali s KML v kronični fazi, a po predhodnem neuspešnem zdravljenju z interferonom alfa (IFN). Eno veliko odprto, multicentrično, mednarodno randomizirano študijo tretje faze so opravili pri bolnikih z na novo diagnosticirano Ph+ KML. Poleg tega so zdravili otroke v dveh študijah prve faze in eni študiji druge faze.</w:t>
      </w:r>
    </w:p>
    <w:p w14:paraId="52979F93" w14:textId="77777777" w:rsidR="00FF48C2" w:rsidRPr="004A59B1" w:rsidRDefault="00FF48C2" w:rsidP="009C1193">
      <w:pPr>
        <w:pStyle w:val="EndnoteText"/>
        <w:widowControl w:val="0"/>
        <w:tabs>
          <w:tab w:val="clear" w:pos="567"/>
        </w:tabs>
        <w:rPr>
          <w:color w:val="000000"/>
          <w:szCs w:val="22"/>
          <w:lang w:val="sl-SI"/>
        </w:rPr>
      </w:pPr>
    </w:p>
    <w:p w14:paraId="52979F94" w14:textId="77777777" w:rsidR="00FF48C2" w:rsidRPr="004A59B1" w:rsidRDefault="00FF48C2" w:rsidP="009C1193">
      <w:pPr>
        <w:pStyle w:val="EndnoteText"/>
        <w:widowControl w:val="0"/>
        <w:tabs>
          <w:tab w:val="clear" w:pos="567"/>
        </w:tabs>
        <w:rPr>
          <w:color w:val="000000"/>
          <w:szCs w:val="22"/>
          <w:lang w:val="sl-SI"/>
        </w:rPr>
      </w:pPr>
      <w:r w:rsidRPr="004A59B1">
        <w:rPr>
          <w:color w:val="000000"/>
          <w:szCs w:val="22"/>
          <w:lang w:val="sl-SI"/>
        </w:rPr>
        <w:t xml:space="preserve">V vseh kliničnih študijah je bilo 38–40 % bolnikov starih </w:t>
      </w:r>
      <w:r w:rsidRPr="004A59B1">
        <w:rPr>
          <w:color w:val="000000"/>
          <w:szCs w:val="22"/>
          <w:lang w:val="sl-SI"/>
        </w:rPr>
        <w:sym w:font="Symbol" w:char="F0B3"/>
      </w:r>
      <w:r w:rsidRPr="004A59B1">
        <w:rPr>
          <w:color w:val="000000"/>
          <w:szCs w:val="22"/>
          <w:lang w:val="sl-SI"/>
        </w:rPr>
        <w:t xml:space="preserve"> 60 let, 10–12 % bolnikov pa je bilo starih </w:t>
      </w:r>
      <w:r w:rsidRPr="004A59B1">
        <w:rPr>
          <w:color w:val="000000"/>
          <w:szCs w:val="22"/>
          <w:lang w:val="sl-SI"/>
        </w:rPr>
        <w:sym w:font="Symbol" w:char="F0B3"/>
      </w:r>
      <w:r w:rsidRPr="004A59B1">
        <w:rPr>
          <w:color w:val="000000"/>
          <w:szCs w:val="22"/>
          <w:lang w:val="sl-SI"/>
        </w:rPr>
        <w:t> 70 let.</w:t>
      </w:r>
    </w:p>
    <w:p w14:paraId="52979F95" w14:textId="77777777" w:rsidR="00FF48C2" w:rsidRPr="004A59B1" w:rsidRDefault="00FF48C2" w:rsidP="009C1193">
      <w:pPr>
        <w:pStyle w:val="EndnoteText"/>
        <w:widowControl w:val="0"/>
        <w:tabs>
          <w:tab w:val="clear" w:pos="567"/>
        </w:tabs>
        <w:rPr>
          <w:color w:val="000000"/>
          <w:szCs w:val="22"/>
          <w:lang w:val="sl-SI"/>
        </w:rPr>
      </w:pPr>
    </w:p>
    <w:p w14:paraId="52979F96" w14:textId="77777777" w:rsidR="00FF48C2" w:rsidRPr="004A59B1" w:rsidRDefault="00FF48C2" w:rsidP="009C1193">
      <w:pPr>
        <w:pStyle w:val="EndnoteText"/>
        <w:widowControl w:val="0"/>
        <w:rPr>
          <w:color w:val="000000"/>
          <w:szCs w:val="22"/>
          <w:lang w:val="sl-SI"/>
        </w:rPr>
      </w:pPr>
      <w:r w:rsidRPr="004A59B1">
        <w:rPr>
          <w:i/>
          <w:color w:val="000000"/>
          <w:szCs w:val="22"/>
          <w:lang w:val="sl-SI"/>
        </w:rPr>
        <w:t>Kronična faza, na novo diagnosticirana:</w:t>
      </w:r>
      <w:r w:rsidRPr="004A59B1">
        <w:rPr>
          <w:color w:val="000000"/>
          <w:szCs w:val="22"/>
          <w:lang w:val="sl-SI"/>
        </w:rPr>
        <w:t xml:space="preserve"> V tej študiji tretje faze z odraslimi bolniki so primerjali zdravljenje z zdravilom Glivec kot edinim zdravilom na eni strani in s kombinacijo interferona alfa (IFN) s citarabinom (Ara-C) na drugi strani. Bolnikom, pri katerih se je pokazala odsotnost odziva (odsotnost popolnega hematološkega odziva (CHR</w:t>
      </w:r>
      <w:r w:rsidR="00681414" w:rsidRPr="004A59B1">
        <w:rPr>
          <w:color w:val="000000"/>
          <w:szCs w:val="22"/>
          <w:lang w:val="sl-SI"/>
        </w:rPr>
        <w:t xml:space="preserve"> </w:t>
      </w:r>
      <w:r w:rsidRPr="004A59B1">
        <w:rPr>
          <w:color w:val="000000"/>
          <w:szCs w:val="22"/>
          <w:lang w:val="sl-SI"/>
        </w:rPr>
        <w:t>-</w:t>
      </w:r>
      <w:r w:rsidR="00681414" w:rsidRPr="004A59B1">
        <w:rPr>
          <w:color w:val="000000"/>
          <w:szCs w:val="22"/>
          <w:lang w:val="sl-SI"/>
        </w:rPr>
        <w:t xml:space="preserve"> </w:t>
      </w:r>
      <w:r w:rsidRPr="00304E94">
        <w:rPr>
          <w:i/>
          <w:color w:val="000000"/>
          <w:szCs w:val="22"/>
          <w:lang w:val="sl-SI"/>
        </w:rPr>
        <w:t>complete haematological response</w:t>
      </w:r>
      <w:r w:rsidRPr="004A59B1">
        <w:rPr>
          <w:color w:val="000000"/>
          <w:szCs w:val="22"/>
          <w:lang w:val="sl-SI"/>
        </w:rPr>
        <w:t>) pri 6 mesecih, povečanje WBC, odsotnost pomembnega citogenetičnega odziva (MCyR</w:t>
      </w:r>
      <w:r w:rsidR="0027622D" w:rsidRPr="004A59B1">
        <w:rPr>
          <w:color w:val="000000"/>
          <w:szCs w:val="22"/>
          <w:lang w:val="sl-SI"/>
        </w:rPr>
        <w:t xml:space="preserve"> - </w:t>
      </w:r>
      <w:r w:rsidR="0027622D" w:rsidRPr="004A59B1">
        <w:rPr>
          <w:i/>
          <w:color w:val="000000"/>
          <w:szCs w:val="22"/>
          <w:lang w:val="sl-SI"/>
        </w:rPr>
        <w:t>major cytogenetic response</w:t>
      </w:r>
      <w:r w:rsidRPr="004A59B1">
        <w:rPr>
          <w:color w:val="000000"/>
          <w:szCs w:val="22"/>
          <w:lang w:val="sl-SI"/>
        </w:rPr>
        <w:t>) pri 24 mesecih), izguba odziva (izguba CHR ali MCyR) ali težko neprenašanje zdravljenja, je bilo dovoljeno preiti na krak alternativnega zdravljenja. Na kraku z zdravilom Glivec so bili bolniki zdravljeni s 400 mg na dan. Na kraku z IFN so bili bolniki zdravljeni 10 dni na mesec s tarčnim odmerkom IFN 5 MIU/m</w:t>
      </w:r>
      <w:r w:rsidRPr="004A59B1">
        <w:rPr>
          <w:color w:val="000000"/>
          <w:szCs w:val="22"/>
          <w:vertAlign w:val="superscript"/>
          <w:lang w:val="sl-SI"/>
        </w:rPr>
        <w:t>2</w:t>
      </w:r>
      <w:r w:rsidRPr="004A59B1">
        <w:rPr>
          <w:color w:val="000000"/>
          <w:szCs w:val="22"/>
          <w:lang w:val="sl-SI"/>
        </w:rPr>
        <w:t>/dan subkutano v kombinaciji s subkutanim Ara-C 20 mg/m</w:t>
      </w:r>
      <w:r w:rsidRPr="004A59B1">
        <w:rPr>
          <w:color w:val="000000"/>
          <w:szCs w:val="22"/>
          <w:vertAlign w:val="superscript"/>
          <w:lang w:val="sl-SI"/>
        </w:rPr>
        <w:t>2</w:t>
      </w:r>
      <w:r w:rsidRPr="004A59B1">
        <w:rPr>
          <w:color w:val="000000"/>
          <w:szCs w:val="22"/>
          <w:lang w:val="sl-SI"/>
        </w:rPr>
        <w:t>/dan.</w:t>
      </w:r>
    </w:p>
    <w:p w14:paraId="52979F97" w14:textId="77777777" w:rsidR="00FF48C2" w:rsidRPr="004A59B1" w:rsidRDefault="00FF48C2" w:rsidP="009C1193">
      <w:pPr>
        <w:pStyle w:val="EndnoteText"/>
        <w:widowControl w:val="0"/>
        <w:rPr>
          <w:color w:val="000000"/>
          <w:szCs w:val="22"/>
          <w:lang w:val="sl-SI"/>
        </w:rPr>
      </w:pPr>
    </w:p>
    <w:p w14:paraId="52979F98" w14:textId="77777777" w:rsidR="00FF48C2" w:rsidRPr="004A59B1" w:rsidRDefault="00FF48C2" w:rsidP="009C1193">
      <w:pPr>
        <w:pStyle w:val="EndnoteText"/>
        <w:widowControl w:val="0"/>
        <w:rPr>
          <w:color w:val="000000"/>
          <w:szCs w:val="22"/>
          <w:lang w:val="sl-SI"/>
        </w:rPr>
      </w:pPr>
      <w:r w:rsidRPr="004A59B1">
        <w:rPr>
          <w:color w:val="000000"/>
          <w:szCs w:val="22"/>
          <w:lang w:val="sl-SI"/>
        </w:rPr>
        <w:t>Randomiziranih je bilo skupno 1.106 bolnikov, 553 na vsak krak. Izhodiščne značilnosti so bile med obema krakoma dobro uravnovešene. Povprečna starost je bila 51 let (razpon 18–70 let), 21,9 % bolnikov je bilo starih ≥ 60 let. Moških je bilo 59 %, žensk pa 41 %; 89,9 % je bilo belcev, 4,7 % pa črncev. Sedem</w:t>
      </w:r>
      <w:r w:rsidRPr="004A59B1">
        <w:rPr>
          <w:color w:val="000000"/>
          <w:lang w:val="sl-SI"/>
        </w:rPr>
        <w:t xml:space="preserve"> let po vključitvi zadnjega bolnika je bilo mediano trajanje zdravljenja z zdravili prvega izbora </w:t>
      </w:r>
      <w:r w:rsidRPr="004A59B1">
        <w:rPr>
          <w:color w:val="000000"/>
          <w:szCs w:val="22"/>
          <w:lang w:val="sl-SI"/>
        </w:rPr>
        <w:t>v kraku z zdravilom Glivec</w:t>
      </w:r>
      <w:r w:rsidRPr="004A59B1">
        <w:rPr>
          <w:color w:val="000000"/>
          <w:lang w:val="sl-SI"/>
        </w:rPr>
        <w:t xml:space="preserve"> 82 mesecev, v kraku </w:t>
      </w:r>
      <w:r w:rsidRPr="004A59B1">
        <w:rPr>
          <w:color w:val="000000"/>
          <w:szCs w:val="22"/>
          <w:lang w:val="sl-SI"/>
        </w:rPr>
        <w:t>z IFN</w:t>
      </w:r>
      <w:r w:rsidRPr="004A59B1">
        <w:rPr>
          <w:color w:val="000000"/>
          <w:lang w:val="sl-SI"/>
        </w:rPr>
        <w:t xml:space="preserve"> pa 8 mesecev. Mediano trajanje zdravljenja z zdravilom Glivec kot zdravilom drugega izbora je bilo 64 mesecev. Povprečni odmerek v skupini vseh bolnikov, ki so prejemali zdravilo Glivec kot zdravilo prvega izbora, je bil  406 ± 76 mg</w:t>
      </w:r>
      <w:r w:rsidR="0027622D" w:rsidRPr="004A59B1">
        <w:rPr>
          <w:color w:val="000000"/>
          <w:lang w:val="sl-SI"/>
        </w:rPr>
        <w:t xml:space="preserve"> na dan</w:t>
      </w:r>
      <w:r w:rsidRPr="004A59B1">
        <w:rPr>
          <w:color w:val="000000"/>
          <w:lang w:val="sl-SI"/>
        </w:rPr>
        <w:t>.</w:t>
      </w:r>
      <w:r w:rsidRPr="004A59B1">
        <w:rPr>
          <w:color w:val="000000"/>
          <w:szCs w:val="22"/>
          <w:lang w:val="sl-SI"/>
        </w:rPr>
        <w:t xml:space="preserve"> V študiji je bil primarni cilj opazovanja glede učinkovitosti preživetje brez napredovanja bolezni. Napredovanje je bilo definirano kot katerikoli od sledečih dogodkov: napredovanje v pospešeno fazo ali blastno krizo, smrt, izguba popolnega hematološkega odziva ali pomembnega citogenetičnega odziva, oziroma pri bolnikih, ki niso dosegli popolnega hematološkega odziva, rast WBC kljub ustreznemu zdravljenju. Pomemben citogenetični odziv, hematološki odziv, molekularni odziv (ovrednotenje minimalne rezidualne bolezni), čas do pospešene faze ali blastne krize in preživetje so poglavitni sekundarni cilji opazovanja. Podatke o odzivnosti kaže preglednica </w:t>
      </w:r>
      <w:r w:rsidR="0027622D" w:rsidRPr="004A59B1">
        <w:rPr>
          <w:color w:val="000000"/>
          <w:szCs w:val="22"/>
          <w:lang w:val="sl-SI"/>
        </w:rPr>
        <w:t>2</w:t>
      </w:r>
      <w:r w:rsidRPr="004A59B1">
        <w:rPr>
          <w:color w:val="000000"/>
          <w:szCs w:val="22"/>
          <w:lang w:val="sl-SI"/>
        </w:rPr>
        <w:t>.</w:t>
      </w:r>
    </w:p>
    <w:p w14:paraId="52979F99" w14:textId="77777777" w:rsidR="00FF48C2" w:rsidRPr="004A59B1" w:rsidRDefault="00FF48C2" w:rsidP="009C1193">
      <w:pPr>
        <w:pStyle w:val="EndnoteText"/>
        <w:widowControl w:val="0"/>
        <w:rPr>
          <w:color w:val="000000"/>
          <w:szCs w:val="22"/>
          <w:lang w:val="sl-SI"/>
        </w:rPr>
      </w:pPr>
    </w:p>
    <w:p w14:paraId="52979F9A" w14:textId="77777777" w:rsidR="00FF48C2" w:rsidRPr="004A59B1" w:rsidRDefault="00FF48C2" w:rsidP="009C1193">
      <w:pPr>
        <w:pStyle w:val="EndnoteText"/>
        <w:keepNext/>
        <w:keepLines/>
        <w:widowControl w:val="0"/>
        <w:tabs>
          <w:tab w:val="clear" w:pos="567"/>
          <w:tab w:val="left" w:pos="1134"/>
        </w:tabs>
        <w:rPr>
          <w:b/>
          <w:color w:val="000000"/>
          <w:szCs w:val="22"/>
          <w:lang w:val="sl-SI"/>
        </w:rPr>
      </w:pPr>
      <w:r w:rsidRPr="004A59B1">
        <w:rPr>
          <w:b/>
          <w:color w:val="000000"/>
          <w:szCs w:val="22"/>
          <w:lang w:val="sl-SI"/>
        </w:rPr>
        <w:lastRenderedPageBreak/>
        <w:t>Preglednica </w:t>
      </w:r>
      <w:r w:rsidR="0027622D" w:rsidRPr="004A59B1">
        <w:rPr>
          <w:b/>
          <w:color w:val="000000"/>
          <w:szCs w:val="22"/>
          <w:lang w:val="sl-SI"/>
        </w:rPr>
        <w:t>2</w:t>
      </w:r>
      <w:r w:rsidRPr="004A59B1">
        <w:rPr>
          <w:b/>
          <w:color w:val="000000"/>
          <w:szCs w:val="22"/>
          <w:lang w:val="sl-SI"/>
        </w:rPr>
        <w:tab/>
        <w:t>Odziv v študiji na novo diagnosticirane KML (podatki pri 84 mesecih)</w:t>
      </w:r>
    </w:p>
    <w:p w14:paraId="52979F9B" w14:textId="77777777" w:rsidR="00FF48C2" w:rsidRPr="004A59B1" w:rsidRDefault="00FF48C2" w:rsidP="009C1193">
      <w:pPr>
        <w:pStyle w:val="EndnoteText"/>
        <w:keepNext/>
        <w:keepLines/>
        <w:widowControl w:val="0"/>
        <w:rPr>
          <w:color w:val="000000"/>
          <w:szCs w:val="22"/>
          <w:lang w:val="sl-SI"/>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FF48C2" w:rsidRPr="004A59B1" w14:paraId="52979F9F" w14:textId="77777777" w:rsidTr="000A6242">
        <w:trPr>
          <w:cantSplit/>
        </w:trPr>
        <w:tc>
          <w:tcPr>
            <w:tcW w:w="3794" w:type="dxa"/>
            <w:tcBorders>
              <w:top w:val="single" w:sz="4" w:space="0" w:color="auto"/>
              <w:left w:val="single" w:sz="4" w:space="0" w:color="auto"/>
              <w:bottom w:val="nil"/>
            </w:tcBorders>
          </w:tcPr>
          <w:p w14:paraId="52979F9C" w14:textId="77777777" w:rsidR="00FF48C2" w:rsidRPr="004A59B1" w:rsidRDefault="00FF48C2" w:rsidP="009C1193">
            <w:pPr>
              <w:pStyle w:val="Table"/>
              <w:widowControl w:val="0"/>
              <w:spacing w:before="0" w:after="0"/>
              <w:rPr>
                <w:rFonts w:ascii="Times New Roman" w:hAnsi="Times New Roman"/>
                <w:color w:val="000000"/>
                <w:sz w:val="22"/>
                <w:szCs w:val="22"/>
                <w:lang w:val="sl-SI"/>
              </w:rPr>
            </w:pPr>
          </w:p>
        </w:tc>
        <w:tc>
          <w:tcPr>
            <w:tcW w:w="2693" w:type="dxa"/>
            <w:tcBorders>
              <w:top w:val="single" w:sz="4" w:space="0" w:color="auto"/>
              <w:bottom w:val="nil"/>
            </w:tcBorders>
          </w:tcPr>
          <w:p w14:paraId="52979F9D" w14:textId="77777777" w:rsidR="00FF48C2" w:rsidRPr="004A59B1" w:rsidRDefault="00FF48C2" w:rsidP="009C1193">
            <w:pPr>
              <w:pStyle w:val="Table"/>
              <w:widowControl w:val="0"/>
              <w:spacing w:before="0" w:after="0"/>
              <w:jc w:val="center"/>
              <w:rPr>
                <w:rFonts w:ascii="Times New Roman" w:hAnsi="Times New Roman"/>
                <w:b/>
                <w:color w:val="000000"/>
                <w:sz w:val="22"/>
                <w:szCs w:val="22"/>
              </w:rPr>
            </w:pPr>
            <w:r w:rsidRPr="004A59B1">
              <w:rPr>
                <w:rFonts w:ascii="Times New Roman" w:hAnsi="Times New Roman"/>
                <w:b/>
                <w:color w:val="000000"/>
                <w:sz w:val="22"/>
                <w:szCs w:val="22"/>
              </w:rPr>
              <w:t>Glivec</w:t>
            </w:r>
          </w:p>
        </w:tc>
        <w:tc>
          <w:tcPr>
            <w:tcW w:w="2718" w:type="dxa"/>
            <w:tcBorders>
              <w:top w:val="single" w:sz="4" w:space="0" w:color="auto"/>
              <w:bottom w:val="nil"/>
              <w:right w:val="single" w:sz="4" w:space="0" w:color="auto"/>
            </w:tcBorders>
          </w:tcPr>
          <w:p w14:paraId="52979F9E" w14:textId="77777777" w:rsidR="00FF48C2" w:rsidRPr="004A59B1" w:rsidRDefault="00FF48C2" w:rsidP="009C1193">
            <w:pPr>
              <w:pStyle w:val="Table"/>
              <w:widowControl w:val="0"/>
              <w:spacing w:before="0" w:after="0"/>
              <w:jc w:val="center"/>
              <w:rPr>
                <w:rFonts w:ascii="Times New Roman" w:hAnsi="Times New Roman"/>
                <w:b/>
                <w:color w:val="000000"/>
                <w:sz w:val="22"/>
                <w:szCs w:val="22"/>
              </w:rPr>
            </w:pPr>
            <w:r w:rsidRPr="004A59B1">
              <w:rPr>
                <w:rFonts w:ascii="Times New Roman" w:hAnsi="Times New Roman"/>
                <w:b/>
                <w:color w:val="000000"/>
                <w:sz w:val="22"/>
                <w:szCs w:val="22"/>
              </w:rPr>
              <w:t>IFN+Ara-C</w:t>
            </w:r>
          </w:p>
        </w:tc>
      </w:tr>
      <w:tr w:rsidR="00FF48C2" w:rsidRPr="004A59B1" w14:paraId="52979FA3" w14:textId="77777777" w:rsidTr="000A6242">
        <w:trPr>
          <w:cantSplit/>
        </w:trPr>
        <w:tc>
          <w:tcPr>
            <w:tcW w:w="3794" w:type="dxa"/>
            <w:tcBorders>
              <w:top w:val="nil"/>
              <w:left w:val="single" w:sz="4" w:space="0" w:color="auto"/>
              <w:bottom w:val="single" w:sz="4" w:space="0" w:color="auto"/>
            </w:tcBorders>
          </w:tcPr>
          <w:p w14:paraId="52979FA0" w14:textId="77777777" w:rsidR="00FF48C2" w:rsidRPr="004A59B1" w:rsidRDefault="00FF48C2" w:rsidP="009C1193">
            <w:pPr>
              <w:pStyle w:val="Table"/>
              <w:widowControl w:val="0"/>
              <w:spacing w:before="0" w:after="0"/>
              <w:rPr>
                <w:rFonts w:ascii="Times New Roman" w:hAnsi="Times New Roman"/>
                <w:b/>
                <w:color w:val="000000"/>
                <w:sz w:val="22"/>
                <w:szCs w:val="22"/>
              </w:rPr>
            </w:pPr>
            <w:r w:rsidRPr="004A59B1">
              <w:rPr>
                <w:rFonts w:ascii="Times New Roman" w:hAnsi="Times New Roman"/>
                <w:b/>
                <w:color w:val="000000"/>
                <w:sz w:val="22"/>
                <w:szCs w:val="22"/>
              </w:rPr>
              <w:t>(Najboljše odzivnosti)</w:t>
            </w:r>
          </w:p>
        </w:tc>
        <w:tc>
          <w:tcPr>
            <w:tcW w:w="2693" w:type="dxa"/>
            <w:tcBorders>
              <w:top w:val="nil"/>
              <w:bottom w:val="single" w:sz="4" w:space="0" w:color="auto"/>
            </w:tcBorders>
          </w:tcPr>
          <w:p w14:paraId="52979FA1" w14:textId="77777777" w:rsidR="00FF48C2" w:rsidRPr="004A59B1" w:rsidRDefault="00FF48C2"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n=553</w:t>
            </w:r>
          </w:p>
        </w:tc>
        <w:tc>
          <w:tcPr>
            <w:tcW w:w="2718" w:type="dxa"/>
            <w:tcBorders>
              <w:top w:val="nil"/>
              <w:bottom w:val="single" w:sz="4" w:space="0" w:color="auto"/>
              <w:right w:val="single" w:sz="4" w:space="0" w:color="auto"/>
            </w:tcBorders>
          </w:tcPr>
          <w:p w14:paraId="52979FA2" w14:textId="77777777" w:rsidR="00FF48C2" w:rsidRPr="004A59B1" w:rsidRDefault="00FF48C2"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n=553</w:t>
            </w:r>
          </w:p>
        </w:tc>
      </w:tr>
      <w:tr w:rsidR="00FF48C2" w:rsidRPr="004A59B1" w14:paraId="52979FA7" w14:textId="77777777" w:rsidTr="000A6242">
        <w:trPr>
          <w:cantSplit/>
        </w:trPr>
        <w:tc>
          <w:tcPr>
            <w:tcW w:w="3794" w:type="dxa"/>
            <w:tcBorders>
              <w:top w:val="nil"/>
              <w:left w:val="single" w:sz="4" w:space="0" w:color="auto"/>
            </w:tcBorders>
          </w:tcPr>
          <w:p w14:paraId="52979FA4" w14:textId="77777777" w:rsidR="00FF48C2" w:rsidRPr="004A59B1" w:rsidRDefault="00FF48C2" w:rsidP="009C1193">
            <w:pPr>
              <w:pStyle w:val="Table"/>
              <w:widowControl w:val="0"/>
              <w:spacing w:before="0" w:after="0"/>
              <w:rPr>
                <w:rFonts w:ascii="Times New Roman" w:hAnsi="Times New Roman"/>
                <w:b/>
                <w:color w:val="000000"/>
                <w:sz w:val="22"/>
                <w:szCs w:val="22"/>
              </w:rPr>
            </w:pPr>
            <w:r w:rsidRPr="004A59B1">
              <w:rPr>
                <w:rFonts w:ascii="Times New Roman" w:hAnsi="Times New Roman"/>
                <w:b/>
                <w:color w:val="000000"/>
                <w:sz w:val="22"/>
                <w:szCs w:val="22"/>
              </w:rPr>
              <w:t>Hematološki odziv</w:t>
            </w:r>
          </w:p>
        </w:tc>
        <w:tc>
          <w:tcPr>
            <w:tcW w:w="2693" w:type="dxa"/>
            <w:tcBorders>
              <w:top w:val="nil"/>
            </w:tcBorders>
          </w:tcPr>
          <w:p w14:paraId="52979FA5" w14:textId="77777777" w:rsidR="00FF48C2" w:rsidRPr="004A59B1" w:rsidRDefault="00FF48C2" w:rsidP="009C1193">
            <w:pPr>
              <w:pStyle w:val="Table"/>
              <w:widowControl w:val="0"/>
              <w:spacing w:before="0" w:after="0"/>
              <w:jc w:val="center"/>
              <w:rPr>
                <w:rFonts w:ascii="Times New Roman" w:hAnsi="Times New Roman"/>
                <w:b/>
                <w:color w:val="000000"/>
                <w:sz w:val="22"/>
                <w:szCs w:val="22"/>
              </w:rPr>
            </w:pPr>
          </w:p>
        </w:tc>
        <w:tc>
          <w:tcPr>
            <w:tcW w:w="2718" w:type="dxa"/>
            <w:tcBorders>
              <w:top w:val="nil"/>
              <w:right w:val="single" w:sz="4" w:space="0" w:color="auto"/>
            </w:tcBorders>
          </w:tcPr>
          <w:p w14:paraId="52979FA6" w14:textId="77777777" w:rsidR="00FF48C2" w:rsidRPr="004A59B1" w:rsidRDefault="00FF48C2" w:rsidP="009C1193">
            <w:pPr>
              <w:pStyle w:val="Table"/>
              <w:widowControl w:val="0"/>
              <w:spacing w:before="0" w:after="0"/>
              <w:jc w:val="center"/>
              <w:rPr>
                <w:rFonts w:ascii="Times New Roman" w:hAnsi="Times New Roman"/>
                <w:b/>
                <w:color w:val="000000"/>
                <w:sz w:val="22"/>
                <w:szCs w:val="22"/>
              </w:rPr>
            </w:pPr>
          </w:p>
        </w:tc>
      </w:tr>
      <w:tr w:rsidR="00FF48C2" w:rsidRPr="004A59B1" w14:paraId="52979FAB" w14:textId="77777777" w:rsidTr="000A6242">
        <w:trPr>
          <w:cantSplit/>
        </w:trPr>
        <w:tc>
          <w:tcPr>
            <w:tcW w:w="3794" w:type="dxa"/>
            <w:tcBorders>
              <w:top w:val="nil"/>
              <w:left w:val="single" w:sz="4" w:space="0" w:color="auto"/>
            </w:tcBorders>
          </w:tcPr>
          <w:p w14:paraId="52979FA8" w14:textId="77777777" w:rsidR="00FF48C2" w:rsidRPr="004A59B1" w:rsidRDefault="00FF48C2" w:rsidP="009C1193">
            <w:pPr>
              <w:pStyle w:val="Table"/>
              <w:widowControl w:val="0"/>
              <w:spacing w:before="0" w:after="0"/>
              <w:rPr>
                <w:rFonts w:ascii="Times New Roman" w:hAnsi="Times New Roman"/>
                <w:color w:val="000000"/>
                <w:sz w:val="22"/>
                <w:szCs w:val="22"/>
                <w:lang w:val="pl-PL"/>
              </w:rPr>
            </w:pPr>
            <w:r w:rsidRPr="004A59B1">
              <w:rPr>
                <w:rFonts w:ascii="Times New Roman" w:hAnsi="Times New Roman"/>
                <w:color w:val="000000"/>
                <w:sz w:val="22"/>
                <w:szCs w:val="22"/>
                <w:lang w:val="pl-PL"/>
              </w:rPr>
              <w:t>bolniki s popolnim hematološkim odzivom, število (%)</w:t>
            </w:r>
          </w:p>
        </w:tc>
        <w:tc>
          <w:tcPr>
            <w:tcW w:w="2693" w:type="dxa"/>
            <w:tcBorders>
              <w:top w:val="nil"/>
            </w:tcBorders>
          </w:tcPr>
          <w:p w14:paraId="52979FA9" w14:textId="77777777" w:rsidR="00FF48C2" w:rsidRPr="004A59B1" w:rsidRDefault="00FF48C2"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lang w:val="en-GB"/>
              </w:rPr>
              <w:t>534 (96,6 %)*</w:t>
            </w:r>
          </w:p>
        </w:tc>
        <w:tc>
          <w:tcPr>
            <w:tcW w:w="2718" w:type="dxa"/>
            <w:tcBorders>
              <w:top w:val="nil"/>
              <w:right w:val="single" w:sz="4" w:space="0" w:color="auto"/>
            </w:tcBorders>
          </w:tcPr>
          <w:p w14:paraId="52979FAA" w14:textId="77777777" w:rsidR="00FF48C2" w:rsidRPr="004A59B1" w:rsidRDefault="00FF48C2"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lang w:val="en-GB"/>
              </w:rPr>
              <w:t>313 (56,6 %)*</w:t>
            </w:r>
          </w:p>
        </w:tc>
      </w:tr>
      <w:tr w:rsidR="00FF48C2" w:rsidRPr="004A59B1" w14:paraId="52979FAF" w14:textId="77777777" w:rsidTr="000A6242">
        <w:trPr>
          <w:cantSplit/>
        </w:trPr>
        <w:tc>
          <w:tcPr>
            <w:tcW w:w="3794" w:type="dxa"/>
            <w:tcBorders>
              <w:left w:val="single" w:sz="4" w:space="0" w:color="auto"/>
            </w:tcBorders>
          </w:tcPr>
          <w:p w14:paraId="52979FAC" w14:textId="77777777" w:rsidR="00FF48C2" w:rsidRPr="004A59B1" w:rsidRDefault="00FF48C2" w:rsidP="009C1193">
            <w:pPr>
              <w:pStyle w:val="Table"/>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ab/>
              <w:t>[95 % interval zaupanja]</w:t>
            </w:r>
          </w:p>
        </w:tc>
        <w:tc>
          <w:tcPr>
            <w:tcW w:w="2693" w:type="dxa"/>
          </w:tcPr>
          <w:p w14:paraId="52979FAD" w14:textId="77777777" w:rsidR="00FF48C2" w:rsidRPr="004A59B1" w:rsidRDefault="00FF48C2"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lang w:val="en-GB"/>
              </w:rPr>
              <w:t>[94,7 %, 97,9 %]</w:t>
            </w:r>
          </w:p>
        </w:tc>
        <w:tc>
          <w:tcPr>
            <w:tcW w:w="2718" w:type="dxa"/>
            <w:tcBorders>
              <w:right w:val="single" w:sz="4" w:space="0" w:color="auto"/>
            </w:tcBorders>
          </w:tcPr>
          <w:p w14:paraId="52979FAE" w14:textId="77777777" w:rsidR="00FF48C2" w:rsidRPr="004A59B1" w:rsidRDefault="00FF48C2"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lang w:val="en-GB"/>
              </w:rPr>
              <w:t>[52,4 %, 60,8 %]</w:t>
            </w:r>
          </w:p>
        </w:tc>
      </w:tr>
      <w:tr w:rsidR="00FF48C2" w:rsidRPr="004A59B1" w14:paraId="52979FB3" w14:textId="77777777" w:rsidTr="000A6242">
        <w:trPr>
          <w:cantSplit/>
        </w:trPr>
        <w:tc>
          <w:tcPr>
            <w:tcW w:w="3794" w:type="dxa"/>
            <w:tcBorders>
              <w:left w:val="single" w:sz="4" w:space="0" w:color="auto"/>
            </w:tcBorders>
          </w:tcPr>
          <w:p w14:paraId="52979FB0" w14:textId="77777777" w:rsidR="00FF48C2" w:rsidRPr="004A59B1" w:rsidRDefault="00FF48C2" w:rsidP="009C1193">
            <w:pPr>
              <w:pStyle w:val="Table"/>
              <w:widowControl w:val="0"/>
              <w:spacing w:before="0" w:after="0"/>
              <w:rPr>
                <w:rFonts w:ascii="Times New Roman" w:hAnsi="Times New Roman"/>
                <w:color w:val="000000"/>
                <w:sz w:val="22"/>
                <w:szCs w:val="22"/>
              </w:rPr>
            </w:pPr>
          </w:p>
        </w:tc>
        <w:tc>
          <w:tcPr>
            <w:tcW w:w="2693" w:type="dxa"/>
          </w:tcPr>
          <w:p w14:paraId="52979FB1" w14:textId="77777777" w:rsidR="00FF48C2" w:rsidRPr="004A59B1" w:rsidRDefault="00FF48C2" w:rsidP="009C1193">
            <w:pPr>
              <w:pStyle w:val="Table"/>
              <w:widowControl w:val="0"/>
              <w:spacing w:before="0" w:after="0"/>
              <w:rPr>
                <w:rFonts w:ascii="Times New Roman" w:hAnsi="Times New Roman"/>
                <w:color w:val="000000"/>
                <w:sz w:val="22"/>
                <w:szCs w:val="22"/>
              </w:rPr>
            </w:pPr>
          </w:p>
        </w:tc>
        <w:tc>
          <w:tcPr>
            <w:tcW w:w="2718" w:type="dxa"/>
            <w:tcBorders>
              <w:right w:val="single" w:sz="4" w:space="0" w:color="auto"/>
            </w:tcBorders>
          </w:tcPr>
          <w:p w14:paraId="52979FB2" w14:textId="77777777" w:rsidR="00FF48C2" w:rsidRPr="004A59B1" w:rsidRDefault="00FF48C2" w:rsidP="009C1193">
            <w:pPr>
              <w:pStyle w:val="Table"/>
              <w:widowControl w:val="0"/>
              <w:spacing w:before="0" w:after="0"/>
              <w:rPr>
                <w:rFonts w:ascii="Times New Roman" w:hAnsi="Times New Roman"/>
                <w:color w:val="000000"/>
                <w:sz w:val="22"/>
                <w:szCs w:val="22"/>
              </w:rPr>
            </w:pPr>
          </w:p>
        </w:tc>
      </w:tr>
      <w:tr w:rsidR="00FF48C2" w:rsidRPr="004A59B1" w14:paraId="52979FB7" w14:textId="77777777" w:rsidTr="000A6242">
        <w:trPr>
          <w:cantSplit/>
        </w:trPr>
        <w:tc>
          <w:tcPr>
            <w:tcW w:w="3794" w:type="dxa"/>
            <w:tcBorders>
              <w:left w:val="single" w:sz="4" w:space="0" w:color="auto"/>
            </w:tcBorders>
          </w:tcPr>
          <w:p w14:paraId="52979FB4" w14:textId="77777777" w:rsidR="00FF48C2" w:rsidRPr="004A59B1" w:rsidRDefault="00FF48C2" w:rsidP="009C1193">
            <w:pPr>
              <w:pStyle w:val="Table"/>
              <w:widowControl w:val="0"/>
              <w:spacing w:before="0" w:after="0"/>
              <w:rPr>
                <w:rFonts w:ascii="Times New Roman" w:hAnsi="Times New Roman"/>
                <w:b/>
                <w:color w:val="000000"/>
                <w:sz w:val="22"/>
                <w:szCs w:val="22"/>
              </w:rPr>
            </w:pPr>
            <w:r w:rsidRPr="004A59B1">
              <w:rPr>
                <w:rFonts w:ascii="Times New Roman" w:hAnsi="Times New Roman"/>
                <w:b/>
                <w:color w:val="000000"/>
                <w:sz w:val="22"/>
                <w:szCs w:val="22"/>
              </w:rPr>
              <w:t>Citogenetični odziv</w:t>
            </w:r>
          </w:p>
        </w:tc>
        <w:tc>
          <w:tcPr>
            <w:tcW w:w="2693" w:type="dxa"/>
          </w:tcPr>
          <w:p w14:paraId="52979FB5" w14:textId="77777777" w:rsidR="00FF48C2" w:rsidRPr="004A59B1" w:rsidRDefault="00FF48C2" w:rsidP="009C1193">
            <w:pPr>
              <w:pStyle w:val="Table"/>
              <w:widowControl w:val="0"/>
              <w:spacing w:before="0" w:after="0"/>
              <w:rPr>
                <w:rFonts w:ascii="Times New Roman" w:hAnsi="Times New Roman"/>
                <w:b/>
                <w:color w:val="000000"/>
                <w:sz w:val="22"/>
                <w:szCs w:val="22"/>
              </w:rPr>
            </w:pPr>
          </w:p>
        </w:tc>
        <w:tc>
          <w:tcPr>
            <w:tcW w:w="2718" w:type="dxa"/>
            <w:tcBorders>
              <w:right w:val="single" w:sz="4" w:space="0" w:color="auto"/>
            </w:tcBorders>
          </w:tcPr>
          <w:p w14:paraId="52979FB6" w14:textId="77777777" w:rsidR="00FF48C2" w:rsidRPr="004A59B1" w:rsidRDefault="00FF48C2" w:rsidP="009C1193">
            <w:pPr>
              <w:pStyle w:val="Table"/>
              <w:widowControl w:val="0"/>
              <w:spacing w:before="0" w:after="0"/>
              <w:rPr>
                <w:rFonts w:ascii="Times New Roman" w:hAnsi="Times New Roman"/>
                <w:b/>
                <w:color w:val="000000"/>
                <w:sz w:val="22"/>
                <w:szCs w:val="22"/>
              </w:rPr>
            </w:pPr>
          </w:p>
        </w:tc>
      </w:tr>
      <w:tr w:rsidR="00FF48C2" w:rsidRPr="004A59B1" w14:paraId="52979FBB" w14:textId="77777777" w:rsidTr="000A6242">
        <w:trPr>
          <w:cantSplit/>
        </w:trPr>
        <w:tc>
          <w:tcPr>
            <w:tcW w:w="3794" w:type="dxa"/>
            <w:tcBorders>
              <w:left w:val="single" w:sz="4" w:space="0" w:color="auto"/>
            </w:tcBorders>
          </w:tcPr>
          <w:p w14:paraId="52979FB8" w14:textId="77777777" w:rsidR="00FF48C2" w:rsidRPr="004A59B1" w:rsidRDefault="00FF48C2" w:rsidP="009C1193">
            <w:pPr>
              <w:pStyle w:val="Table"/>
              <w:widowControl w:val="0"/>
              <w:spacing w:before="0" w:after="0"/>
              <w:rPr>
                <w:rFonts w:ascii="Times New Roman" w:hAnsi="Times New Roman"/>
                <w:color w:val="000000"/>
                <w:sz w:val="22"/>
                <w:szCs w:val="22"/>
                <w:lang w:val="pl-PL"/>
              </w:rPr>
            </w:pPr>
            <w:r w:rsidRPr="004A59B1">
              <w:rPr>
                <w:rFonts w:ascii="Times New Roman" w:hAnsi="Times New Roman"/>
                <w:color w:val="000000"/>
                <w:sz w:val="22"/>
                <w:szCs w:val="22"/>
                <w:lang w:val="pl-PL"/>
              </w:rPr>
              <w:t>bolniki s pomembnim odzivom, število (%)</w:t>
            </w:r>
          </w:p>
        </w:tc>
        <w:tc>
          <w:tcPr>
            <w:tcW w:w="2693" w:type="dxa"/>
          </w:tcPr>
          <w:p w14:paraId="52979FB9" w14:textId="77777777" w:rsidR="00FF48C2" w:rsidRPr="004A59B1" w:rsidRDefault="00FF48C2"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lang w:val="en-GB"/>
              </w:rPr>
              <w:t>490 (88,6 %)*</w:t>
            </w:r>
          </w:p>
        </w:tc>
        <w:tc>
          <w:tcPr>
            <w:tcW w:w="2718" w:type="dxa"/>
            <w:tcBorders>
              <w:right w:val="single" w:sz="4" w:space="0" w:color="auto"/>
            </w:tcBorders>
          </w:tcPr>
          <w:p w14:paraId="52979FBA" w14:textId="77777777" w:rsidR="00FF48C2" w:rsidRPr="004A59B1" w:rsidRDefault="00FF48C2"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lang w:val="en-GB"/>
              </w:rPr>
              <w:t>129 (23,3 %)*</w:t>
            </w:r>
          </w:p>
        </w:tc>
      </w:tr>
      <w:tr w:rsidR="00FF48C2" w:rsidRPr="004A59B1" w14:paraId="52979FBF" w14:textId="77777777" w:rsidTr="000A6242">
        <w:trPr>
          <w:cantSplit/>
        </w:trPr>
        <w:tc>
          <w:tcPr>
            <w:tcW w:w="3794" w:type="dxa"/>
            <w:tcBorders>
              <w:left w:val="single" w:sz="4" w:space="0" w:color="auto"/>
            </w:tcBorders>
          </w:tcPr>
          <w:p w14:paraId="52979FBC" w14:textId="77777777" w:rsidR="00FF48C2" w:rsidRPr="004A59B1" w:rsidRDefault="00FF48C2" w:rsidP="009C1193">
            <w:pPr>
              <w:pStyle w:val="Table"/>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ab/>
              <w:t>[95 % interval zaupanja]</w:t>
            </w:r>
          </w:p>
        </w:tc>
        <w:tc>
          <w:tcPr>
            <w:tcW w:w="2693" w:type="dxa"/>
          </w:tcPr>
          <w:p w14:paraId="52979FBD" w14:textId="77777777" w:rsidR="00FF48C2" w:rsidRPr="004A59B1" w:rsidRDefault="00FF48C2"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lang w:val="en-GB"/>
              </w:rPr>
              <w:t>[85,7 %, 91,1 %]</w:t>
            </w:r>
          </w:p>
        </w:tc>
        <w:tc>
          <w:tcPr>
            <w:tcW w:w="2718" w:type="dxa"/>
            <w:tcBorders>
              <w:right w:val="single" w:sz="4" w:space="0" w:color="auto"/>
            </w:tcBorders>
          </w:tcPr>
          <w:p w14:paraId="52979FBE" w14:textId="77777777" w:rsidR="00FF48C2" w:rsidRPr="004A59B1" w:rsidRDefault="00FF48C2"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lang w:val="en-GB"/>
              </w:rPr>
              <w:t>[19,9 %, 27,1 %]</w:t>
            </w:r>
          </w:p>
        </w:tc>
      </w:tr>
      <w:tr w:rsidR="00FF48C2" w:rsidRPr="004A59B1" w14:paraId="52979FC3" w14:textId="77777777" w:rsidTr="000A6242">
        <w:trPr>
          <w:cantSplit/>
        </w:trPr>
        <w:tc>
          <w:tcPr>
            <w:tcW w:w="3794" w:type="dxa"/>
            <w:tcBorders>
              <w:left w:val="single" w:sz="4" w:space="0" w:color="auto"/>
            </w:tcBorders>
          </w:tcPr>
          <w:p w14:paraId="52979FC0" w14:textId="77777777" w:rsidR="00FF48C2" w:rsidRPr="004A59B1" w:rsidRDefault="00FF48C2" w:rsidP="009C1193">
            <w:pPr>
              <w:pStyle w:val="Table"/>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ab/>
              <w:t>bolniki s popolnim citogenetičnim odzivom, število (%)</w:t>
            </w:r>
          </w:p>
        </w:tc>
        <w:tc>
          <w:tcPr>
            <w:tcW w:w="2693" w:type="dxa"/>
          </w:tcPr>
          <w:p w14:paraId="52979FC1" w14:textId="77777777" w:rsidR="00FF48C2" w:rsidRPr="004A59B1" w:rsidRDefault="00FF48C2"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lang w:val="en-GB"/>
              </w:rPr>
              <w:t>456 (82,5 %)*</w:t>
            </w:r>
          </w:p>
        </w:tc>
        <w:tc>
          <w:tcPr>
            <w:tcW w:w="2718" w:type="dxa"/>
            <w:tcBorders>
              <w:right w:val="single" w:sz="4" w:space="0" w:color="auto"/>
            </w:tcBorders>
          </w:tcPr>
          <w:p w14:paraId="52979FC2" w14:textId="77777777" w:rsidR="00FF48C2" w:rsidRPr="004A59B1" w:rsidRDefault="00FF48C2"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lang w:val="en-GB"/>
              </w:rPr>
              <w:t>64 (11,6 %)*</w:t>
            </w:r>
          </w:p>
        </w:tc>
      </w:tr>
      <w:tr w:rsidR="00FF48C2" w:rsidRPr="004A59B1" w14:paraId="52979FC7" w14:textId="77777777" w:rsidTr="000A6242">
        <w:trPr>
          <w:cantSplit/>
        </w:trPr>
        <w:tc>
          <w:tcPr>
            <w:tcW w:w="3794" w:type="dxa"/>
            <w:tcBorders>
              <w:left w:val="single" w:sz="4" w:space="0" w:color="auto"/>
            </w:tcBorders>
          </w:tcPr>
          <w:p w14:paraId="52979FC4" w14:textId="77777777" w:rsidR="00FF48C2" w:rsidRPr="004A59B1" w:rsidRDefault="00FF48C2" w:rsidP="009C1193">
            <w:pPr>
              <w:pStyle w:val="Table"/>
              <w:widowControl w:val="0"/>
              <w:spacing w:before="0" w:after="0"/>
              <w:rPr>
                <w:rFonts w:ascii="Times New Roman" w:hAnsi="Times New Roman"/>
                <w:color w:val="000000"/>
                <w:sz w:val="22"/>
                <w:szCs w:val="22"/>
                <w:lang w:val="pl-PL"/>
              </w:rPr>
            </w:pPr>
            <w:r w:rsidRPr="004A59B1">
              <w:rPr>
                <w:rFonts w:ascii="Times New Roman" w:hAnsi="Times New Roman"/>
                <w:color w:val="000000"/>
                <w:sz w:val="22"/>
                <w:szCs w:val="22"/>
                <w:lang w:val="pl-PL"/>
              </w:rPr>
              <w:tab/>
              <w:t>bolniki z delnim citogenetičnim odzivom, število (%)</w:t>
            </w:r>
          </w:p>
        </w:tc>
        <w:tc>
          <w:tcPr>
            <w:tcW w:w="2693" w:type="dxa"/>
          </w:tcPr>
          <w:p w14:paraId="52979FC5" w14:textId="77777777" w:rsidR="00FF48C2" w:rsidRPr="004A59B1" w:rsidRDefault="00FF48C2"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lang w:val="en-GB"/>
              </w:rPr>
              <w:t>34 (6,1 %)</w:t>
            </w:r>
          </w:p>
        </w:tc>
        <w:tc>
          <w:tcPr>
            <w:tcW w:w="2718" w:type="dxa"/>
            <w:tcBorders>
              <w:right w:val="single" w:sz="4" w:space="0" w:color="auto"/>
            </w:tcBorders>
          </w:tcPr>
          <w:p w14:paraId="52979FC6" w14:textId="77777777" w:rsidR="00FF48C2" w:rsidRPr="004A59B1" w:rsidRDefault="00FF48C2"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lang w:val="en-GB"/>
              </w:rPr>
              <w:t>65 (11,8 %)</w:t>
            </w:r>
          </w:p>
        </w:tc>
      </w:tr>
      <w:tr w:rsidR="00FF48C2" w:rsidRPr="004A59B1" w14:paraId="52979FCB" w14:textId="77777777" w:rsidTr="000A6242">
        <w:trPr>
          <w:cantSplit/>
        </w:trPr>
        <w:tc>
          <w:tcPr>
            <w:tcW w:w="3794" w:type="dxa"/>
            <w:tcBorders>
              <w:left w:val="single" w:sz="4" w:space="0" w:color="auto"/>
              <w:bottom w:val="nil"/>
            </w:tcBorders>
          </w:tcPr>
          <w:p w14:paraId="52979FC8" w14:textId="77777777" w:rsidR="00FF48C2" w:rsidRPr="004A59B1" w:rsidRDefault="00FF48C2" w:rsidP="009C1193">
            <w:pPr>
              <w:pStyle w:val="Table"/>
              <w:widowControl w:val="0"/>
              <w:spacing w:before="0" w:after="0"/>
              <w:rPr>
                <w:rFonts w:ascii="Times New Roman" w:hAnsi="Times New Roman"/>
                <w:color w:val="000000"/>
                <w:sz w:val="22"/>
                <w:szCs w:val="22"/>
              </w:rPr>
            </w:pPr>
          </w:p>
        </w:tc>
        <w:tc>
          <w:tcPr>
            <w:tcW w:w="2693" w:type="dxa"/>
            <w:tcBorders>
              <w:bottom w:val="nil"/>
            </w:tcBorders>
          </w:tcPr>
          <w:p w14:paraId="52979FC9" w14:textId="77777777" w:rsidR="00FF48C2" w:rsidRPr="004A59B1" w:rsidRDefault="00FF48C2" w:rsidP="009C1193">
            <w:pPr>
              <w:pStyle w:val="Table"/>
              <w:widowControl w:val="0"/>
              <w:spacing w:before="0" w:after="0"/>
              <w:rPr>
                <w:rFonts w:ascii="Times New Roman" w:hAnsi="Times New Roman"/>
                <w:color w:val="000000"/>
                <w:sz w:val="22"/>
                <w:szCs w:val="22"/>
              </w:rPr>
            </w:pPr>
          </w:p>
        </w:tc>
        <w:tc>
          <w:tcPr>
            <w:tcW w:w="2718" w:type="dxa"/>
            <w:tcBorders>
              <w:bottom w:val="nil"/>
              <w:right w:val="single" w:sz="4" w:space="0" w:color="auto"/>
            </w:tcBorders>
          </w:tcPr>
          <w:p w14:paraId="52979FCA" w14:textId="77777777" w:rsidR="00FF48C2" w:rsidRPr="004A59B1" w:rsidRDefault="00FF48C2" w:rsidP="009C1193">
            <w:pPr>
              <w:pStyle w:val="Table"/>
              <w:widowControl w:val="0"/>
              <w:spacing w:before="0" w:after="0"/>
              <w:rPr>
                <w:rFonts w:ascii="Times New Roman" w:hAnsi="Times New Roman"/>
                <w:color w:val="000000"/>
                <w:sz w:val="22"/>
                <w:szCs w:val="22"/>
              </w:rPr>
            </w:pPr>
          </w:p>
        </w:tc>
      </w:tr>
      <w:tr w:rsidR="00FF48C2" w:rsidRPr="004A59B1" w14:paraId="52979FCF" w14:textId="77777777" w:rsidTr="000A6242">
        <w:trPr>
          <w:cantSplit/>
        </w:trPr>
        <w:tc>
          <w:tcPr>
            <w:tcW w:w="3794" w:type="dxa"/>
            <w:tcBorders>
              <w:left w:val="single" w:sz="4" w:space="0" w:color="auto"/>
              <w:bottom w:val="nil"/>
            </w:tcBorders>
          </w:tcPr>
          <w:p w14:paraId="52979FCC" w14:textId="77777777" w:rsidR="00FF48C2" w:rsidRPr="004A59B1" w:rsidRDefault="00FF48C2" w:rsidP="009C1193">
            <w:pPr>
              <w:pStyle w:val="Table"/>
              <w:widowControl w:val="0"/>
              <w:spacing w:before="0" w:after="0"/>
              <w:rPr>
                <w:rFonts w:ascii="Times New Roman" w:hAnsi="Times New Roman"/>
                <w:color w:val="000000"/>
                <w:sz w:val="22"/>
                <w:szCs w:val="22"/>
              </w:rPr>
            </w:pPr>
            <w:r w:rsidRPr="004A59B1">
              <w:rPr>
                <w:rFonts w:ascii="Times New Roman" w:hAnsi="Times New Roman"/>
                <w:b/>
                <w:color w:val="000000"/>
                <w:sz w:val="22"/>
                <w:szCs w:val="22"/>
              </w:rPr>
              <w:t>Molekularni odziv</w:t>
            </w:r>
            <w:r w:rsidRPr="004A59B1">
              <w:rPr>
                <w:rFonts w:ascii="Times New Roman" w:hAnsi="Times New Roman"/>
                <w:color w:val="000000"/>
                <w:sz w:val="22"/>
                <w:szCs w:val="22"/>
                <w:lang w:val="en-GB"/>
              </w:rPr>
              <w:t>**</w:t>
            </w:r>
          </w:p>
        </w:tc>
        <w:tc>
          <w:tcPr>
            <w:tcW w:w="2693" w:type="dxa"/>
            <w:tcBorders>
              <w:bottom w:val="nil"/>
            </w:tcBorders>
          </w:tcPr>
          <w:p w14:paraId="52979FCD" w14:textId="77777777" w:rsidR="00FF48C2" w:rsidRPr="004A59B1" w:rsidRDefault="00FF48C2" w:rsidP="009C1193">
            <w:pPr>
              <w:pStyle w:val="Table"/>
              <w:widowControl w:val="0"/>
              <w:spacing w:before="0" w:after="0"/>
              <w:rPr>
                <w:rFonts w:ascii="Times New Roman" w:hAnsi="Times New Roman"/>
                <w:color w:val="000000"/>
                <w:sz w:val="22"/>
                <w:szCs w:val="22"/>
              </w:rPr>
            </w:pPr>
          </w:p>
        </w:tc>
        <w:tc>
          <w:tcPr>
            <w:tcW w:w="2718" w:type="dxa"/>
            <w:tcBorders>
              <w:bottom w:val="nil"/>
              <w:right w:val="single" w:sz="4" w:space="0" w:color="auto"/>
            </w:tcBorders>
          </w:tcPr>
          <w:p w14:paraId="52979FCE" w14:textId="77777777" w:rsidR="00FF48C2" w:rsidRPr="004A59B1" w:rsidRDefault="00FF48C2" w:rsidP="009C1193">
            <w:pPr>
              <w:pStyle w:val="Table"/>
              <w:widowControl w:val="0"/>
              <w:spacing w:before="0" w:after="0"/>
              <w:rPr>
                <w:rFonts w:ascii="Times New Roman" w:hAnsi="Times New Roman"/>
                <w:color w:val="000000"/>
                <w:sz w:val="22"/>
                <w:szCs w:val="22"/>
              </w:rPr>
            </w:pPr>
          </w:p>
        </w:tc>
      </w:tr>
      <w:tr w:rsidR="00FF48C2" w:rsidRPr="004A59B1" w14:paraId="52979FD3" w14:textId="77777777" w:rsidTr="000A6242">
        <w:trPr>
          <w:cantSplit/>
        </w:trPr>
        <w:tc>
          <w:tcPr>
            <w:tcW w:w="3794" w:type="dxa"/>
            <w:tcBorders>
              <w:left w:val="single" w:sz="4" w:space="0" w:color="auto"/>
              <w:bottom w:val="nil"/>
            </w:tcBorders>
          </w:tcPr>
          <w:p w14:paraId="52979FD0" w14:textId="77777777" w:rsidR="00FF48C2" w:rsidRPr="004A59B1" w:rsidRDefault="00FF48C2" w:rsidP="009C1193">
            <w:pPr>
              <w:pStyle w:val="Table"/>
              <w:widowControl w:val="0"/>
              <w:spacing w:before="0" w:after="0"/>
              <w:rPr>
                <w:rFonts w:ascii="Times New Roman" w:hAnsi="Times New Roman"/>
                <w:color w:val="000000"/>
                <w:sz w:val="22"/>
                <w:szCs w:val="22"/>
              </w:rPr>
            </w:pPr>
            <w:r w:rsidRPr="004A59B1">
              <w:rPr>
                <w:rFonts w:ascii="Times New Roman" w:hAnsi="Times New Roman"/>
                <w:color w:val="000000"/>
                <w:sz w:val="22"/>
                <w:szCs w:val="22"/>
                <w:lang w:val="en-GB"/>
              </w:rPr>
              <w:t>pomemben odziv pri 12 mesecih (%)</w:t>
            </w:r>
          </w:p>
        </w:tc>
        <w:tc>
          <w:tcPr>
            <w:tcW w:w="2693" w:type="dxa"/>
            <w:tcBorders>
              <w:bottom w:val="nil"/>
            </w:tcBorders>
          </w:tcPr>
          <w:p w14:paraId="52979FD1" w14:textId="77777777" w:rsidR="00FF48C2" w:rsidRPr="004A59B1" w:rsidRDefault="00FF48C2"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lang w:val="en-GB"/>
              </w:rPr>
              <w:t>153/305=50,2 %</w:t>
            </w:r>
          </w:p>
        </w:tc>
        <w:tc>
          <w:tcPr>
            <w:tcW w:w="2718" w:type="dxa"/>
            <w:tcBorders>
              <w:bottom w:val="nil"/>
              <w:right w:val="single" w:sz="4" w:space="0" w:color="auto"/>
            </w:tcBorders>
          </w:tcPr>
          <w:p w14:paraId="52979FD2" w14:textId="77777777" w:rsidR="00FF48C2" w:rsidRPr="004A59B1" w:rsidRDefault="00FF48C2"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lang w:val="en-GB"/>
              </w:rPr>
              <w:t>8/83=9,6 %</w:t>
            </w:r>
          </w:p>
        </w:tc>
      </w:tr>
      <w:tr w:rsidR="00FF48C2" w:rsidRPr="004A59B1" w14:paraId="52979FD7" w14:textId="77777777" w:rsidTr="000A6242">
        <w:trPr>
          <w:cantSplit/>
        </w:trPr>
        <w:tc>
          <w:tcPr>
            <w:tcW w:w="3794" w:type="dxa"/>
            <w:tcBorders>
              <w:left w:val="single" w:sz="4" w:space="0" w:color="auto"/>
              <w:bottom w:val="nil"/>
            </w:tcBorders>
          </w:tcPr>
          <w:p w14:paraId="52979FD4" w14:textId="77777777" w:rsidR="00FF48C2" w:rsidRPr="004A59B1" w:rsidRDefault="00FF48C2" w:rsidP="009C1193">
            <w:pPr>
              <w:pStyle w:val="Table"/>
              <w:widowControl w:val="0"/>
              <w:spacing w:before="0" w:after="0"/>
              <w:rPr>
                <w:rFonts w:ascii="Times New Roman" w:hAnsi="Times New Roman"/>
                <w:color w:val="000000"/>
                <w:sz w:val="22"/>
                <w:szCs w:val="22"/>
              </w:rPr>
            </w:pPr>
            <w:r w:rsidRPr="004A59B1">
              <w:rPr>
                <w:rFonts w:ascii="Times New Roman" w:hAnsi="Times New Roman"/>
                <w:color w:val="000000"/>
                <w:sz w:val="22"/>
                <w:szCs w:val="22"/>
                <w:lang w:val="en-GB"/>
              </w:rPr>
              <w:t>pomemben odziv pri 24 mesecih (%)</w:t>
            </w:r>
          </w:p>
        </w:tc>
        <w:tc>
          <w:tcPr>
            <w:tcW w:w="2693" w:type="dxa"/>
            <w:tcBorders>
              <w:bottom w:val="nil"/>
            </w:tcBorders>
          </w:tcPr>
          <w:p w14:paraId="52979FD5" w14:textId="77777777" w:rsidR="00FF48C2" w:rsidRPr="004A59B1" w:rsidRDefault="00FF48C2"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lang w:val="en-GB"/>
              </w:rPr>
              <w:t>73/104=70,2 %</w:t>
            </w:r>
          </w:p>
        </w:tc>
        <w:tc>
          <w:tcPr>
            <w:tcW w:w="2718" w:type="dxa"/>
            <w:tcBorders>
              <w:bottom w:val="nil"/>
              <w:right w:val="single" w:sz="4" w:space="0" w:color="auto"/>
            </w:tcBorders>
          </w:tcPr>
          <w:p w14:paraId="52979FD6" w14:textId="77777777" w:rsidR="00FF48C2" w:rsidRPr="004A59B1" w:rsidRDefault="00FF48C2" w:rsidP="009C1193">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lang w:val="en-GB"/>
              </w:rPr>
              <w:t>3/12=25 %</w:t>
            </w:r>
          </w:p>
        </w:tc>
      </w:tr>
      <w:tr w:rsidR="00FF48C2" w:rsidRPr="004A59B1" w14:paraId="52979FDB" w14:textId="77777777" w:rsidTr="000A6242">
        <w:trPr>
          <w:cantSplit/>
        </w:trPr>
        <w:tc>
          <w:tcPr>
            <w:tcW w:w="3794" w:type="dxa"/>
            <w:tcBorders>
              <w:left w:val="single" w:sz="4" w:space="0" w:color="auto"/>
              <w:bottom w:val="nil"/>
            </w:tcBorders>
          </w:tcPr>
          <w:p w14:paraId="52979FD8" w14:textId="77777777" w:rsidR="00FF48C2" w:rsidRPr="004A59B1" w:rsidRDefault="00FF48C2" w:rsidP="009C1193">
            <w:pPr>
              <w:pStyle w:val="Table"/>
              <w:widowControl w:val="0"/>
              <w:spacing w:before="0" w:after="0"/>
              <w:rPr>
                <w:rFonts w:ascii="Times New Roman" w:hAnsi="Times New Roman"/>
                <w:color w:val="000000"/>
                <w:sz w:val="22"/>
                <w:szCs w:val="22"/>
                <w:lang w:val="en-GB"/>
              </w:rPr>
            </w:pPr>
            <w:r w:rsidRPr="004A59B1">
              <w:rPr>
                <w:rFonts w:ascii="Times New Roman" w:hAnsi="Times New Roman"/>
                <w:color w:val="000000"/>
                <w:sz w:val="22"/>
                <w:szCs w:val="22"/>
                <w:lang w:val="en-GB"/>
              </w:rPr>
              <w:t>pomemben odziv pri 84 mesecih (%)</w:t>
            </w:r>
          </w:p>
        </w:tc>
        <w:tc>
          <w:tcPr>
            <w:tcW w:w="2693" w:type="dxa"/>
            <w:tcBorders>
              <w:bottom w:val="nil"/>
            </w:tcBorders>
          </w:tcPr>
          <w:p w14:paraId="52979FD9" w14:textId="77777777" w:rsidR="00FF48C2" w:rsidRPr="004A59B1" w:rsidRDefault="00FF48C2" w:rsidP="009C1193">
            <w:pPr>
              <w:pStyle w:val="Table"/>
              <w:widowControl w:val="0"/>
              <w:spacing w:before="0" w:after="0"/>
              <w:jc w:val="center"/>
              <w:rPr>
                <w:rFonts w:ascii="Times New Roman" w:hAnsi="Times New Roman"/>
                <w:color w:val="000000"/>
                <w:sz w:val="22"/>
                <w:szCs w:val="22"/>
                <w:lang w:val="en-GB"/>
              </w:rPr>
            </w:pPr>
            <w:r w:rsidRPr="004A59B1">
              <w:rPr>
                <w:rFonts w:ascii="Times New Roman" w:hAnsi="Times New Roman"/>
                <w:color w:val="000000"/>
                <w:sz w:val="22"/>
                <w:szCs w:val="22"/>
                <w:lang w:val="en-GB"/>
              </w:rPr>
              <w:t>102/116=87,9 %</w:t>
            </w:r>
          </w:p>
        </w:tc>
        <w:tc>
          <w:tcPr>
            <w:tcW w:w="2718" w:type="dxa"/>
            <w:tcBorders>
              <w:bottom w:val="nil"/>
              <w:right w:val="single" w:sz="4" w:space="0" w:color="auto"/>
            </w:tcBorders>
          </w:tcPr>
          <w:p w14:paraId="52979FDA" w14:textId="77777777" w:rsidR="00FF48C2" w:rsidRPr="004A59B1" w:rsidRDefault="00FF48C2" w:rsidP="009C1193">
            <w:pPr>
              <w:pStyle w:val="Table"/>
              <w:widowControl w:val="0"/>
              <w:spacing w:before="0" w:after="0"/>
              <w:jc w:val="center"/>
              <w:rPr>
                <w:rFonts w:ascii="Times New Roman" w:hAnsi="Times New Roman"/>
                <w:color w:val="000000"/>
                <w:sz w:val="22"/>
                <w:szCs w:val="22"/>
                <w:lang w:val="en-GB"/>
              </w:rPr>
            </w:pPr>
            <w:r w:rsidRPr="004A59B1">
              <w:rPr>
                <w:rFonts w:ascii="Times New Roman" w:hAnsi="Times New Roman"/>
                <w:color w:val="000000"/>
                <w:sz w:val="22"/>
                <w:szCs w:val="22"/>
                <w:lang w:val="en-GB"/>
              </w:rPr>
              <w:t>3/4=75 %</w:t>
            </w:r>
          </w:p>
        </w:tc>
      </w:tr>
      <w:tr w:rsidR="00FF48C2" w:rsidRPr="004A59B1" w14:paraId="52979FE2" w14:textId="77777777" w:rsidTr="000A6242">
        <w:trPr>
          <w:cantSplit/>
        </w:trPr>
        <w:tc>
          <w:tcPr>
            <w:tcW w:w="9205" w:type="dxa"/>
            <w:gridSpan w:val="3"/>
            <w:tcBorders>
              <w:top w:val="single" w:sz="4" w:space="0" w:color="auto"/>
              <w:left w:val="single" w:sz="4" w:space="0" w:color="auto"/>
              <w:bottom w:val="single" w:sz="4" w:space="0" w:color="auto"/>
              <w:right w:val="single" w:sz="4" w:space="0" w:color="auto"/>
            </w:tcBorders>
          </w:tcPr>
          <w:p w14:paraId="52979FDC" w14:textId="77777777" w:rsidR="00FF48C2" w:rsidRPr="004A59B1" w:rsidRDefault="00FF48C2" w:rsidP="009C1193">
            <w:pPr>
              <w:pStyle w:val="Table"/>
              <w:widowControl w:val="0"/>
              <w:spacing w:before="0" w:after="0"/>
              <w:rPr>
                <w:rFonts w:ascii="Times New Roman" w:hAnsi="Times New Roman"/>
                <w:color w:val="000000"/>
                <w:sz w:val="22"/>
                <w:szCs w:val="22"/>
                <w:lang w:val="en-GB"/>
              </w:rPr>
            </w:pPr>
            <w:r w:rsidRPr="004A59B1">
              <w:rPr>
                <w:rFonts w:ascii="Times New Roman" w:hAnsi="Times New Roman"/>
                <w:color w:val="000000"/>
                <w:sz w:val="22"/>
                <w:szCs w:val="22"/>
              </w:rPr>
              <w:t xml:space="preserve">* p&lt;0,001, </w:t>
            </w:r>
            <w:r w:rsidRPr="004A59B1">
              <w:rPr>
                <w:rFonts w:ascii="Times New Roman" w:hAnsi="Times New Roman"/>
                <w:color w:val="000000"/>
                <w:sz w:val="22"/>
                <w:szCs w:val="22"/>
                <w:lang w:val="en-GB"/>
              </w:rPr>
              <w:t>Fischerjev eksaktni test</w:t>
            </w:r>
          </w:p>
          <w:p w14:paraId="52979FDD" w14:textId="77777777" w:rsidR="00FF48C2" w:rsidRPr="004A59B1" w:rsidRDefault="00FF48C2" w:rsidP="009C1193">
            <w:pPr>
              <w:pStyle w:val="Table"/>
              <w:widowControl w:val="0"/>
              <w:spacing w:before="0" w:after="0"/>
              <w:rPr>
                <w:rFonts w:ascii="Times New Roman" w:hAnsi="Times New Roman"/>
                <w:color w:val="000000"/>
                <w:sz w:val="22"/>
                <w:szCs w:val="22"/>
                <w:lang w:val="en-GB"/>
              </w:rPr>
            </w:pPr>
            <w:r w:rsidRPr="004A59B1">
              <w:rPr>
                <w:rFonts w:ascii="Times New Roman" w:hAnsi="Times New Roman"/>
                <w:color w:val="000000"/>
                <w:sz w:val="22"/>
                <w:szCs w:val="22"/>
                <w:lang w:val="en-GB"/>
              </w:rPr>
              <w:t>** odstotek bolnikov z molekularnim odzivom na osnovi dostopnih razpoložljivih vzorcev</w:t>
            </w:r>
          </w:p>
          <w:p w14:paraId="52979FDE" w14:textId="77777777" w:rsidR="00FF48C2" w:rsidRPr="004A59B1" w:rsidRDefault="00FF48C2" w:rsidP="009C1193">
            <w:pPr>
              <w:pStyle w:val="Table"/>
              <w:widowControl w:val="0"/>
              <w:spacing w:before="0" w:after="0"/>
              <w:rPr>
                <w:rFonts w:ascii="Times New Roman" w:hAnsi="Times New Roman"/>
                <w:b/>
                <w:color w:val="000000"/>
                <w:sz w:val="22"/>
                <w:szCs w:val="22"/>
                <w:lang w:val="en-GB"/>
              </w:rPr>
            </w:pPr>
            <w:r w:rsidRPr="004A59B1">
              <w:rPr>
                <w:rFonts w:ascii="Times New Roman" w:hAnsi="Times New Roman"/>
                <w:b/>
                <w:color w:val="000000"/>
                <w:sz w:val="22"/>
                <w:szCs w:val="22"/>
                <w:lang w:val="en-GB"/>
              </w:rPr>
              <w:t xml:space="preserve">Kriteriji hematološkega odziva (vsi odzivi morajo biti potrjeni po </w:t>
            </w:r>
            <w:r w:rsidRPr="004A59B1">
              <w:rPr>
                <w:rFonts w:ascii="Times New Roman" w:hAnsi="Times New Roman"/>
                <w:b/>
                <w:color w:val="000000"/>
                <w:sz w:val="22"/>
                <w:szCs w:val="22"/>
              </w:rPr>
              <w:sym w:font="Symbol" w:char="F0B3"/>
            </w:r>
            <w:r w:rsidRPr="004A59B1">
              <w:rPr>
                <w:rFonts w:ascii="Times New Roman" w:hAnsi="Times New Roman"/>
                <w:b/>
                <w:color w:val="000000"/>
                <w:sz w:val="22"/>
                <w:szCs w:val="22"/>
                <w:lang w:val="en-GB"/>
              </w:rPr>
              <w:t> 4 tednih):</w:t>
            </w:r>
          </w:p>
          <w:p w14:paraId="52979FDF" w14:textId="77777777" w:rsidR="00FF48C2" w:rsidRPr="004A59B1" w:rsidRDefault="00FF48C2" w:rsidP="009C1193">
            <w:pPr>
              <w:pStyle w:val="Table"/>
              <w:widowControl w:val="0"/>
              <w:spacing w:before="0" w:after="0"/>
              <w:rPr>
                <w:rFonts w:ascii="Times New Roman" w:hAnsi="Times New Roman"/>
                <w:color w:val="000000"/>
                <w:sz w:val="22"/>
                <w:szCs w:val="22"/>
                <w:lang w:val="en-GB"/>
              </w:rPr>
            </w:pPr>
            <w:r w:rsidRPr="004A59B1">
              <w:rPr>
                <w:rFonts w:ascii="Times New Roman" w:hAnsi="Times New Roman"/>
                <w:color w:val="000000"/>
                <w:sz w:val="22"/>
                <w:szCs w:val="22"/>
                <w:lang w:val="en-GB"/>
              </w:rPr>
              <w:t>WBC &lt; 10 x 10</w:t>
            </w:r>
            <w:r w:rsidRPr="004A59B1">
              <w:rPr>
                <w:rFonts w:ascii="Times New Roman" w:hAnsi="Times New Roman"/>
                <w:color w:val="000000"/>
                <w:sz w:val="22"/>
                <w:szCs w:val="22"/>
                <w:vertAlign w:val="superscript"/>
                <w:lang w:val="en-GB"/>
              </w:rPr>
              <w:t>9</w:t>
            </w:r>
            <w:r w:rsidRPr="004A59B1">
              <w:rPr>
                <w:rFonts w:ascii="Times New Roman" w:hAnsi="Times New Roman"/>
                <w:color w:val="000000"/>
                <w:sz w:val="22"/>
                <w:szCs w:val="22"/>
                <w:lang w:val="en-GB"/>
              </w:rPr>
              <w:t>/l, trombociti &lt; 450 x 10</w:t>
            </w:r>
            <w:r w:rsidRPr="004A59B1">
              <w:rPr>
                <w:rFonts w:ascii="Times New Roman" w:hAnsi="Times New Roman"/>
                <w:color w:val="000000"/>
                <w:sz w:val="22"/>
                <w:szCs w:val="22"/>
                <w:vertAlign w:val="superscript"/>
                <w:lang w:val="en-GB"/>
              </w:rPr>
              <w:t>9</w:t>
            </w:r>
            <w:r w:rsidRPr="004A59B1">
              <w:rPr>
                <w:rFonts w:ascii="Times New Roman" w:hAnsi="Times New Roman"/>
                <w:color w:val="000000"/>
                <w:sz w:val="22"/>
                <w:szCs w:val="22"/>
                <w:lang w:val="en-GB"/>
              </w:rPr>
              <w:t>/l, mielociti+metamielociti &lt; 5 % v krvi, brez blastov in promielocitov v krvi, bazofilci &lt; 20 %, brez ekstramedularne prizadetosti</w:t>
            </w:r>
          </w:p>
          <w:p w14:paraId="52979FE0" w14:textId="77777777" w:rsidR="00FF48C2" w:rsidRPr="004A59B1" w:rsidRDefault="00FF48C2" w:rsidP="009C1193">
            <w:pPr>
              <w:pStyle w:val="Table"/>
              <w:widowControl w:val="0"/>
              <w:spacing w:before="0" w:after="0"/>
              <w:rPr>
                <w:rFonts w:ascii="Times New Roman" w:hAnsi="Times New Roman"/>
                <w:color w:val="000000"/>
                <w:sz w:val="22"/>
                <w:szCs w:val="22"/>
                <w:lang w:val="en-GB"/>
              </w:rPr>
            </w:pPr>
            <w:r w:rsidRPr="004A59B1">
              <w:rPr>
                <w:rFonts w:ascii="Times New Roman" w:hAnsi="Times New Roman"/>
                <w:b/>
                <w:color w:val="000000"/>
                <w:sz w:val="22"/>
                <w:szCs w:val="22"/>
                <w:lang w:val="en-GB"/>
              </w:rPr>
              <w:t xml:space="preserve">Kriteriji citogenetičnega odziva: </w:t>
            </w:r>
            <w:r w:rsidRPr="004A59B1">
              <w:rPr>
                <w:rFonts w:ascii="Times New Roman" w:hAnsi="Times New Roman"/>
                <w:color w:val="000000"/>
                <w:sz w:val="22"/>
                <w:szCs w:val="22"/>
                <w:lang w:val="en-GB"/>
              </w:rPr>
              <w:t xml:space="preserve">popolni (0 % Ph+ metafaz), delni (1–35 %), manjši (36–65 %) ali minimalni (66–95 %). Pomemben odziv (0–35 %) </w:t>
            </w:r>
            <w:r w:rsidRPr="004A59B1">
              <w:rPr>
                <w:rFonts w:ascii="Times New Roman" w:hAnsi="Times New Roman"/>
                <w:color w:val="000000"/>
                <w:sz w:val="22"/>
                <w:szCs w:val="22"/>
                <w:lang w:val="sl-SI"/>
              </w:rPr>
              <w:t>združuje popolni in delni odziv</w:t>
            </w:r>
            <w:r w:rsidRPr="004A59B1">
              <w:rPr>
                <w:rFonts w:ascii="Times New Roman" w:hAnsi="Times New Roman"/>
                <w:color w:val="000000"/>
                <w:sz w:val="22"/>
                <w:szCs w:val="22"/>
                <w:lang w:val="en-GB"/>
              </w:rPr>
              <w:t>.</w:t>
            </w:r>
          </w:p>
          <w:p w14:paraId="52979FE1" w14:textId="77777777" w:rsidR="00FF48C2" w:rsidRPr="004A59B1" w:rsidRDefault="00FF48C2" w:rsidP="009C1193">
            <w:pPr>
              <w:pStyle w:val="Table"/>
              <w:widowControl w:val="0"/>
              <w:spacing w:before="0" w:after="0"/>
              <w:rPr>
                <w:rFonts w:ascii="Times New Roman" w:hAnsi="Times New Roman"/>
                <w:color w:val="000000"/>
                <w:sz w:val="22"/>
                <w:szCs w:val="22"/>
                <w:lang w:val="en-GB"/>
              </w:rPr>
            </w:pPr>
            <w:r w:rsidRPr="004A59B1">
              <w:rPr>
                <w:rFonts w:ascii="Times New Roman" w:hAnsi="Times New Roman"/>
                <w:b/>
                <w:color w:val="000000"/>
                <w:sz w:val="22"/>
                <w:szCs w:val="22"/>
                <w:lang w:val="en-GB"/>
              </w:rPr>
              <w:t>Kriteriji pomembnega molekularnega odziva</w:t>
            </w:r>
            <w:r w:rsidRPr="004A59B1">
              <w:rPr>
                <w:rFonts w:ascii="Times New Roman" w:hAnsi="Times New Roman"/>
                <w:color w:val="000000"/>
                <w:sz w:val="22"/>
                <w:szCs w:val="22"/>
                <w:lang w:val="en-GB"/>
              </w:rPr>
              <w:t>: zmanjšanje količine Bcr-Abl transkriptov v periferni krvi za ≥ 3 logaritme (merjeno s kvantitativno PCR določitvijo reverzne transkriptaze v realnem času) glede na standardizirane izhodiščne vrednosti.</w:t>
            </w:r>
          </w:p>
        </w:tc>
      </w:tr>
    </w:tbl>
    <w:p w14:paraId="52979FE3" w14:textId="77777777" w:rsidR="00FF48C2" w:rsidRPr="004A59B1" w:rsidRDefault="00FF48C2" w:rsidP="009C1193">
      <w:pPr>
        <w:pStyle w:val="EndnoteText"/>
        <w:widowControl w:val="0"/>
        <w:rPr>
          <w:color w:val="000000"/>
          <w:szCs w:val="22"/>
          <w:lang w:val="sl-SI"/>
        </w:rPr>
      </w:pPr>
    </w:p>
    <w:p w14:paraId="52979FE4" w14:textId="77777777" w:rsidR="00FF48C2" w:rsidRPr="004A59B1" w:rsidRDefault="00FF48C2" w:rsidP="009C1193">
      <w:pPr>
        <w:pStyle w:val="EndnoteText"/>
        <w:widowControl w:val="0"/>
        <w:rPr>
          <w:color w:val="000000"/>
          <w:lang w:val="sl-SI"/>
        </w:rPr>
      </w:pPr>
      <w:r w:rsidRPr="004A59B1">
        <w:rPr>
          <w:color w:val="000000"/>
          <w:lang w:val="sl-SI"/>
        </w:rPr>
        <w:t xml:space="preserve">Stopnje popolnega hematološkega odziva, pomembnega citogenetičnega odziva in popolnega citogenetičnega odziva pri zdravljenju z zdravilom prvega izbora so ocenili po Kaplan-Meierjevi metodi, za katero so izide ne-odzivnosti določili na datum zadnjega pregleda. Na ta način pridobljene ocene kumulativnih stopenj odziva za zdravljenje z zdravilom Glivec kot zdravilom prvega izbora so med 12. in </w:t>
      </w:r>
      <w:r w:rsidRPr="004A59B1">
        <w:rPr>
          <w:color w:val="000000"/>
          <w:szCs w:val="22"/>
          <w:lang w:val="sl-SI"/>
        </w:rPr>
        <w:t>84</w:t>
      </w:r>
      <w:r w:rsidRPr="004A59B1">
        <w:rPr>
          <w:color w:val="000000"/>
          <w:lang w:val="sl-SI"/>
        </w:rPr>
        <w:t xml:space="preserve">. mesecem zdravljenja pokazale izboljšanje in sicer: popolni hematološki odziv s 96,4 % na 98,4 % in popolni citogeneteični odziv z 69,5 % na </w:t>
      </w:r>
      <w:r w:rsidRPr="004A59B1">
        <w:rPr>
          <w:color w:val="000000"/>
          <w:szCs w:val="22"/>
          <w:lang w:val="sl-SI"/>
        </w:rPr>
        <w:t>87,2</w:t>
      </w:r>
      <w:r w:rsidRPr="004A59B1">
        <w:rPr>
          <w:color w:val="000000"/>
          <w:lang w:val="sl-SI"/>
        </w:rPr>
        <w:t> %.</w:t>
      </w:r>
    </w:p>
    <w:p w14:paraId="52979FE5" w14:textId="77777777" w:rsidR="00FF48C2" w:rsidRPr="004A59B1" w:rsidRDefault="00FF48C2" w:rsidP="009C1193">
      <w:pPr>
        <w:pStyle w:val="EndnoteText"/>
        <w:widowControl w:val="0"/>
        <w:rPr>
          <w:color w:val="000000"/>
          <w:szCs w:val="22"/>
          <w:lang w:val="sl-SI"/>
        </w:rPr>
      </w:pPr>
    </w:p>
    <w:p w14:paraId="52979FE6" w14:textId="77777777" w:rsidR="00FF48C2" w:rsidRPr="004A59B1" w:rsidRDefault="00FF48C2" w:rsidP="009C1193">
      <w:pPr>
        <w:pStyle w:val="EndnoteText"/>
        <w:widowControl w:val="0"/>
        <w:rPr>
          <w:color w:val="000000"/>
          <w:lang w:val="sl-SI"/>
        </w:rPr>
      </w:pPr>
      <w:r w:rsidRPr="004A59B1">
        <w:rPr>
          <w:color w:val="000000"/>
          <w:lang w:val="sl-SI"/>
        </w:rPr>
        <w:t>Po 7 letih spremljanja je bilo v kraku z zdravilom Glivec 93 (16,8 %) dogodkov, ki pomenijo napredovanje bolezni: 37 (6,7 %) jih je vključevalo napredovanje v pospešeno fazo/blastno krizo, 31 (5,6 %) izgubo pomembnega citogenetičnega odziva, 15 (2,7 %) izgubo popolnega hematološkega odziva ali zvišanje WBC, 10 (1,8 %) pa je bilo smrti brez povezave s KML. Za razliko od tega je bilo v kraku z IFN+Ara-C 165 (29,8 %) dogodkov, od tega se jih je 130 zgodilo v času zdravljenja z IFN+Ara-C kot zdravilom prvega izbora.</w:t>
      </w:r>
    </w:p>
    <w:p w14:paraId="52979FE7" w14:textId="77777777" w:rsidR="00FF48C2" w:rsidRPr="004A59B1" w:rsidRDefault="00FF48C2" w:rsidP="009C1193">
      <w:pPr>
        <w:pStyle w:val="EndnoteText"/>
        <w:widowControl w:val="0"/>
        <w:rPr>
          <w:color w:val="000000"/>
          <w:szCs w:val="22"/>
          <w:lang w:val="sl-SI"/>
        </w:rPr>
      </w:pPr>
    </w:p>
    <w:p w14:paraId="52979FE8" w14:textId="77777777" w:rsidR="00FF48C2" w:rsidRPr="004A59B1" w:rsidRDefault="00FF48C2" w:rsidP="009C1193">
      <w:pPr>
        <w:pStyle w:val="EndnoteText"/>
        <w:widowControl w:val="0"/>
        <w:rPr>
          <w:color w:val="000000"/>
          <w:szCs w:val="22"/>
          <w:lang w:val="sl-SI"/>
        </w:rPr>
      </w:pPr>
      <w:r w:rsidRPr="004A59B1">
        <w:rPr>
          <w:color w:val="000000"/>
          <w:szCs w:val="22"/>
          <w:lang w:val="sl-SI"/>
        </w:rPr>
        <w:t>Ocenjeni odstotek bolnikov, ki niso napredovali v pospešeno fazo ali blastno krizo pri 84 mesecih, je bil bistveno večji na kraku z zdravilom Glivec v primerjavi s krakom z IFN (92,5 % proti 85,1 %, p &lt; 0,001). Letna stopnja napredovanja v pospešeno fazo ali blastno krizo je upadala s trajanjem zdravljenja in je bila v četrtem in petem letu manj kot 1 % letno.</w:t>
      </w:r>
      <w:r w:rsidRPr="004A59B1">
        <w:rPr>
          <w:color w:val="000000"/>
          <w:lang w:val="sl-SI"/>
        </w:rPr>
        <w:t xml:space="preserve"> </w:t>
      </w:r>
      <w:r w:rsidRPr="004A59B1">
        <w:rPr>
          <w:color w:val="000000"/>
          <w:szCs w:val="22"/>
          <w:lang w:val="sl-SI"/>
        </w:rPr>
        <w:t xml:space="preserve">Ocenjeni delež preživelih brez napredovanja bolezni pri 84 mesecih je bil 81,2 % na kraku z zdravilo Glivec in 60,6 % na kontrolnem kraku </w:t>
      </w:r>
      <w:r w:rsidRPr="004A59B1">
        <w:rPr>
          <w:color w:val="000000"/>
          <w:lang w:val="sl-SI"/>
        </w:rPr>
        <w:t>(p&lt;0,001). Tudi letne stopnje kakršnegakoli napredovanja bolezni za zdravilo Glivec so se sčasoma zmanjševale.</w:t>
      </w:r>
    </w:p>
    <w:p w14:paraId="52979FE9" w14:textId="77777777" w:rsidR="00FF48C2" w:rsidRPr="004A59B1" w:rsidRDefault="00FF48C2" w:rsidP="009C1193">
      <w:pPr>
        <w:pStyle w:val="EndnoteText"/>
        <w:widowControl w:val="0"/>
        <w:rPr>
          <w:color w:val="000000"/>
          <w:szCs w:val="22"/>
          <w:lang w:val="sl-SI"/>
        </w:rPr>
      </w:pPr>
    </w:p>
    <w:p w14:paraId="52979FEA" w14:textId="77777777" w:rsidR="00FF48C2" w:rsidRPr="004A59B1" w:rsidRDefault="00FF48C2" w:rsidP="009C1193">
      <w:pPr>
        <w:pStyle w:val="EndnoteText"/>
        <w:widowControl w:val="0"/>
        <w:rPr>
          <w:color w:val="000000"/>
          <w:lang w:val="sl-SI"/>
        </w:rPr>
      </w:pPr>
      <w:r w:rsidRPr="004A59B1">
        <w:rPr>
          <w:color w:val="000000"/>
          <w:lang w:val="sl-SI"/>
        </w:rPr>
        <w:t xml:space="preserve">Skupno je umrlo 71 (12,8 %) bolnikov iz skupine z zdravilom Glivec in 85 (15,4 %) iz skupine z IFN+Ara-C. Po 84 mesecih je ocenjeno celotno preživetje v skupini randomizirani na zdravilo Glivec </w:t>
      </w:r>
      <w:r w:rsidRPr="004A59B1">
        <w:rPr>
          <w:color w:val="000000"/>
          <w:lang w:val="sl-SI"/>
        </w:rPr>
        <w:lastRenderedPageBreak/>
        <w:t>86,4 % (83, 90) v primerjavi z 83,3 % (80, 87) v skupini randomizirani na IFN+Ara-C (p=0,073, test log-rank). Na ta opazovani dogodek, ki se veže na čas do dogodka, je močno vplival velik delež bolnikov, ki so z zdravljenja z IFN+Ara-C prešli na zdravilo Glivec. Vpliv zdravljenja z zdravilom Glivec na preživetje v kronični fazi pri novo diagnosticirani KML so nadalje preiskovali z retrospektivno analizo zgoraj opisanih podatkov o zdravilu Glivec skupaj s prvotnimi podatki druge študije faze III, v kateri so uporabljali IFN+Ara-C s povsem enakim režimom zdravljenja (n=325). V tej retrospektivni analizi se je z vidika celotnega preživetja zdravilo Glivec izkazalo za boljše od IFN+Ara-C (p&lt;0,001): v 42 mesecih je umrlo 47 (8,5 %) bolnikov z zdravilom Glivec in 63 (19,4 %) bolnikov z IFN+Ara-C.</w:t>
      </w:r>
    </w:p>
    <w:p w14:paraId="52979FEB" w14:textId="77777777" w:rsidR="00FF48C2" w:rsidRPr="004A59B1" w:rsidRDefault="00FF48C2" w:rsidP="009C1193">
      <w:pPr>
        <w:pStyle w:val="EndnoteText"/>
        <w:widowControl w:val="0"/>
        <w:rPr>
          <w:color w:val="000000"/>
          <w:lang w:val="sl-SI"/>
        </w:rPr>
      </w:pPr>
    </w:p>
    <w:p w14:paraId="52979FEC" w14:textId="77777777" w:rsidR="00FF48C2" w:rsidRPr="004A59B1" w:rsidRDefault="00FF48C2" w:rsidP="009C1193">
      <w:pPr>
        <w:pStyle w:val="EndnoteText"/>
        <w:widowControl w:val="0"/>
        <w:rPr>
          <w:color w:val="000000"/>
          <w:lang w:val="sl-SI"/>
        </w:rPr>
      </w:pPr>
      <w:r w:rsidRPr="004A59B1">
        <w:rPr>
          <w:color w:val="000000"/>
          <w:lang w:val="sl-SI"/>
        </w:rPr>
        <w:t xml:space="preserve">Stopnja citogenetičnega in molekularnega odziva ima nedvomen učinek na dolgoročni izid pri bolnikih, zdravljenih z zdravilom Glivec. Za razliko od bolnikov s popolnim oziroma delnim citogenetičnim odzivom pri 12 mesecih, od katerih pri 96 % (za popolni odziv) oziroma 93 % (za delni odziv) ni prišlo do napredovanja </w:t>
      </w:r>
      <w:r w:rsidRPr="004A59B1">
        <w:rPr>
          <w:color w:val="000000"/>
          <w:szCs w:val="22"/>
          <w:lang w:val="sl-SI"/>
        </w:rPr>
        <w:t xml:space="preserve">bolezni v pospešeno fazo/blastno krizo po 84 mesecih, pa od bolnikov, ki so bili pri 12 mesecih brez pomembnega citogentičnega odziva, le pri </w:t>
      </w:r>
      <w:r w:rsidRPr="004A59B1">
        <w:rPr>
          <w:color w:val="000000"/>
          <w:lang w:val="sl-SI"/>
        </w:rPr>
        <w:t>81 % ni</w:t>
      </w:r>
      <w:r w:rsidRPr="004A59B1">
        <w:rPr>
          <w:color w:val="000000"/>
          <w:szCs w:val="22"/>
          <w:lang w:val="sl-SI"/>
        </w:rPr>
        <w:t xml:space="preserve"> prišlo do napredovanja bolezni v napredovalo fazo KML po 84 mesecih </w:t>
      </w:r>
      <w:r w:rsidRPr="004A59B1">
        <w:rPr>
          <w:color w:val="000000"/>
          <w:lang w:val="sl-SI"/>
        </w:rPr>
        <w:t xml:space="preserve">(p&lt;0,001 skupno, p=0,25 med popolnim in delnim citogenetičnim odzivom). Pri bolnikih z zmanjšanjem števila transkriptov Bcr-Abl za vsaj 3 logaritme pri 12 mesecih je bila verjetnost, da bolezen ne napreduje v </w:t>
      </w:r>
      <w:r w:rsidRPr="004A59B1">
        <w:rPr>
          <w:color w:val="000000"/>
          <w:szCs w:val="22"/>
          <w:lang w:val="sl-SI"/>
        </w:rPr>
        <w:t>pospešeno fazo/blastno krizo, po 84 mesecih 99 %. Izsledki so bili podobni, če so odziv in število transkriptov ocenjevali pri 18 mesecih.</w:t>
      </w:r>
    </w:p>
    <w:p w14:paraId="52979FED" w14:textId="77777777" w:rsidR="00FF48C2" w:rsidRPr="004A59B1" w:rsidRDefault="00FF48C2" w:rsidP="009C1193">
      <w:pPr>
        <w:pStyle w:val="EndnoteText"/>
        <w:widowControl w:val="0"/>
        <w:rPr>
          <w:color w:val="000000"/>
          <w:lang w:val="sl-SI"/>
        </w:rPr>
      </w:pPr>
    </w:p>
    <w:p w14:paraId="52979FEE" w14:textId="77777777" w:rsidR="00FF48C2" w:rsidRPr="004A59B1" w:rsidRDefault="00FF48C2" w:rsidP="009C1193">
      <w:pPr>
        <w:pStyle w:val="EndnoteText"/>
        <w:widowControl w:val="0"/>
        <w:rPr>
          <w:color w:val="000000"/>
          <w:szCs w:val="22"/>
          <w:lang w:val="sl-SI"/>
        </w:rPr>
      </w:pPr>
      <w:r w:rsidRPr="004A59B1">
        <w:rPr>
          <w:color w:val="000000"/>
          <w:szCs w:val="22"/>
          <w:lang w:val="sl-SI"/>
        </w:rPr>
        <w:t xml:space="preserve">V tej študiji so bila dovoljena </w:t>
      </w:r>
      <w:r w:rsidR="0027622D" w:rsidRPr="004A59B1">
        <w:rPr>
          <w:color w:val="000000"/>
          <w:szCs w:val="22"/>
          <w:lang w:val="sl-SI"/>
        </w:rPr>
        <w:t xml:space="preserve">zvečanja </w:t>
      </w:r>
      <w:r w:rsidRPr="004A59B1">
        <w:rPr>
          <w:color w:val="000000"/>
          <w:szCs w:val="22"/>
          <w:lang w:val="sl-SI"/>
        </w:rPr>
        <w:t>odmerka s 400 mg na dan na 600 mg na dan, nato s 600 mg na dan na 800 mg na dan. Po 42 mesecih spremljanja je bila potrjena izguba (v 4 tednih) citogenetičnega odziva pri 11 bolnikih. Od teh 11 bolnikov so 4 bolnikom zvečali odmerek na 800 mg na dan, od njih sta 2 spet dobila citogenetični odziv (1 delnega in 1 popolnega, le-ta je dosegel tudi molekularni odziv), medtem ko je od 7 bolnikov, pri katerih odmerka niso zvečali, le eden spet dobil popolni citogenetični odziv. Odstotni delež nekaterih neželenih reakcij je bil večji pri tistih 40 bolnikih, pri katerih je bil odmerek zvečan na 800 mg na dan, kot pri populaciji bolnikov pred zvečanjem odmerka (n=551). Med pogostejšimi neželenimi reakcijami so bili gastrointestinalne krvavitve, konjunktivitis in zvišanje aminotransferaz ali bilirubina. Pri drugih neželenih reakcijah so poročali o manjši ali enaki pogostosti.</w:t>
      </w:r>
    </w:p>
    <w:p w14:paraId="52979FEF" w14:textId="77777777" w:rsidR="00FF48C2" w:rsidRPr="004A59B1" w:rsidRDefault="00FF48C2" w:rsidP="009C1193">
      <w:pPr>
        <w:pStyle w:val="EndnoteText"/>
        <w:widowControl w:val="0"/>
        <w:rPr>
          <w:color w:val="000000"/>
          <w:szCs w:val="22"/>
          <w:lang w:val="sl-SI"/>
        </w:rPr>
      </w:pPr>
    </w:p>
    <w:p w14:paraId="52979FF0" w14:textId="77777777" w:rsidR="00FF48C2" w:rsidRPr="004A59B1" w:rsidRDefault="00FF48C2" w:rsidP="009C1193">
      <w:pPr>
        <w:pStyle w:val="EndnoteText"/>
        <w:widowControl w:val="0"/>
        <w:tabs>
          <w:tab w:val="clear" w:pos="567"/>
        </w:tabs>
        <w:rPr>
          <w:color w:val="000000"/>
          <w:szCs w:val="22"/>
          <w:lang w:val="sl-SI"/>
        </w:rPr>
      </w:pPr>
      <w:r w:rsidRPr="004A59B1">
        <w:rPr>
          <w:i/>
          <w:color w:val="000000"/>
          <w:szCs w:val="22"/>
          <w:lang w:val="sl-SI"/>
        </w:rPr>
        <w:t xml:space="preserve">Kronična faza, neuspeh z interferonom: </w:t>
      </w:r>
      <w:r w:rsidRPr="004A59B1">
        <w:rPr>
          <w:color w:val="000000"/>
          <w:szCs w:val="22"/>
          <w:lang w:val="sl-SI"/>
        </w:rPr>
        <w:t xml:space="preserve">532 odraslih bolnikov so zdravili z začetnim odmerkom 400 mg. Bolniki so bili razdeljeni v tri glavne kategorije: hematološki neuspeh (29 %), citogenetični neuspeh (35 %) ali neprenašanje interferona (36 %). Povprečno trajanje predhodnega zdravljenja z IFN z odmerki </w:t>
      </w:r>
      <w:r w:rsidRPr="004A59B1">
        <w:rPr>
          <w:color w:val="000000"/>
          <w:szCs w:val="22"/>
        </w:rPr>
        <w:sym w:font="Symbol" w:char="F0B3"/>
      </w:r>
      <w:r w:rsidRPr="004A59B1">
        <w:rPr>
          <w:color w:val="000000"/>
          <w:szCs w:val="22"/>
          <w:lang w:val="sl-SI"/>
        </w:rPr>
        <w:t> 25 x 10</w:t>
      </w:r>
      <w:r w:rsidRPr="004A59B1">
        <w:rPr>
          <w:color w:val="000000"/>
          <w:szCs w:val="22"/>
          <w:vertAlign w:val="superscript"/>
          <w:lang w:val="sl-SI"/>
        </w:rPr>
        <w:t>6</w:t>
      </w:r>
      <w:r w:rsidRPr="004A59B1">
        <w:rPr>
          <w:color w:val="000000"/>
          <w:szCs w:val="22"/>
          <w:lang w:val="sl-SI"/>
        </w:rPr>
        <w:t xml:space="preserve"> i.e./teden je bilo 14 mesecev, bolniki pa so bili vsi v pozni kronični fazi s povprečnim časom 32 mesecev od postavitve diagnoze. Primarna učinkovitostna spremenljivka študije je bila stopnja pomembnega citogenetičnega odziva (popolni plus delni odziv, 0 do 35 % Ph+ metafaz v kostnem mozgu).</w:t>
      </w:r>
    </w:p>
    <w:p w14:paraId="52979FF1" w14:textId="77777777" w:rsidR="00FF48C2" w:rsidRPr="004A59B1" w:rsidRDefault="00FF48C2" w:rsidP="009C1193">
      <w:pPr>
        <w:pStyle w:val="EndnoteText"/>
        <w:widowControl w:val="0"/>
        <w:tabs>
          <w:tab w:val="clear" w:pos="567"/>
        </w:tabs>
        <w:rPr>
          <w:color w:val="000000"/>
          <w:szCs w:val="22"/>
          <w:lang w:val="sl-SI"/>
        </w:rPr>
      </w:pPr>
    </w:p>
    <w:p w14:paraId="52979FF2" w14:textId="77777777" w:rsidR="00FF48C2" w:rsidRPr="004A59B1" w:rsidRDefault="00FF48C2" w:rsidP="009C1193">
      <w:pPr>
        <w:pStyle w:val="EndnoteText"/>
        <w:widowControl w:val="0"/>
        <w:tabs>
          <w:tab w:val="clear" w:pos="567"/>
        </w:tabs>
        <w:rPr>
          <w:color w:val="000000"/>
          <w:szCs w:val="22"/>
          <w:lang w:val="sl-SI"/>
        </w:rPr>
      </w:pPr>
      <w:r w:rsidRPr="004A59B1">
        <w:rPr>
          <w:color w:val="000000"/>
          <w:szCs w:val="22"/>
          <w:lang w:val="sl-SI"/>
        </w:rPr>
        <w:t>V tej študiji je 65 % bolnikov doseglo pomemben citogenetični odziv, ki je bil popoln pri 53 % (potrjen pri 43 %) bolnikov (preglednica </w:t>
      </w:r>
      <w:r w:rsidR="0027622D" w:rsidRPr="004A59B1">
        <w:rPr>
          <w:color w:val="000000"/>
          <w:szCs w:val="22"/>
          <w:lang w:val="sl-SI"/>
        </w:rPr>
        <w:t>3</w:t>
      </w:r>
      <w:r w:rsidRPr="004A59B1">
        <w:rPr>
          <w:color w:val="000000"/>
          <w:szCs w:val="22"/>
          <w:lang w:val="sl-SI"/>
        </w:rPr>
        <w:t>). Popoln hematološki odziv je bil dosežen pri 95 % bolnikov.</w:t>
      </w:r>
    </w:p>
    <w:p w14:paraId="52979FF3" w14:textId="77777777" w:rsidR="00FF48C2" w:rsidRPr="004A59B1" w:rsidRDefault="00FF48C2" w:rsidP="009C1193">
      <w:pPr>
        <w:pStyle w:val="EndnoteText"/>
        <w:widowControl w:val="0"/>
        <w:tabs>
          <w:tab w:val="clear" w:pos="567"/>
        </w:tabs>
        <w:rPr>
          <w:color w:val="000000"/>
          <w:szCs w:val="22"/>
          <w:lang w:val="sl-SI"/>
        </w:rPr>
      </w:pPr>
    </w:p>
    <w:p w14:paraId="52979FF4" w14:textId="77777777" w:rsidR="00FF48C2" w:rsidRPr="004A59B1" w:rsidRDefault="00FF48C2" w:rsidP="009C1193">
      <w:pPr>
        <w:pStyle w:val="EndnoteText"/>
        <w:widowControl w:val="0"/>
        <w:tabs>
          <w:tab w:val="clear" w:pos="567"/>
        </w:tabs>
        <w:rPr>
          <w:color w:val="000000"/>
          <w:szCs w:val="22"/>
          <w:lang w:val="sl-SI"/>
        </w:rPr>
      </w:pPr>
      <w:r w:rsidRPr="004A59B1">
        <w:rPr>
          <w:i/>
          <w:color w:val="000000"/>
          <w:szCs w:val="22"/>
          <w:lang w:val="sl-SI"/>
        </w:rPr>
        <w:t>Pospešena faza</w:t>
      </w:r>
      <w:r w:rsidRPr="004A59B1">
        <w:rPr>
          <w:color w:val="000000"/>
          <w:szCs w:val="22"/>
          <w:lang w:val="sl-SI"/>
        </w:rPr>
        <w:t>: Vključili so 235 odraslih bolnikov s pospešeno fazo bolezni. Prvih 77 bolnikov je začelo zdravljenje z odmerkom 400 mg, pozneje je bil protokol dopolnjen, da je omogočil večje odmerjanje in je preostalih 158 bolnikov začelo s 600 mg.</w:t>
      </w:r>
    </w:p>
    <w:p w14:paraId="52979FF5" w14:textId="77777777" w:rsidR="00FF48C2" w:rsidRPr="004A59B1" w:rsidRDefault="00FF48C2" w:rsidP="009C1193">
      <w:pPr>
        <w:pStyle w:val="EndnoteText"/>
        <w:widowControl w:val="0"/>
        <w:tabs>
          <w:tab w:val="clear" w:pos="567"/>
        </w:tabs>
        <w:rPr>
          <w:color w:val="000000"/>
          <w:szCs w:val="22"/>
          <w:lang w:val="sl-SI"/>
        </w:rPr>
      </w:pPr>
    </w:p>
    <w:p w14:paraId="52979FF6" w14:textId="77777777" w:rsidR="00FF48C2" w:rsidRPr="004A59B1" w:rsidRDefault="00FF48C2" w:rsidP="009C1193">
      <w:pPr>
        <w:pStyle w:val="EndnoteText"/>
        <w:widowControl w:val="0"/>
        <w:tabs>
          <w:tab w:val="clear" w:pos="567"/>
        </w:tabs>
        <w:rPr>
          <w:color w:val="000000"/>
          <w:szCs w:val="22"/>
          <w:lang w:val="sl-SI"/>
        </w:rPr>
      </w:pPr>
      <w:r w:rsidRPr="004A59B1">
        <w:rPr>
          <w:color w:val="000000"/>
          <w:szCs w:val="22"/>
          <w:lang w:val="sl-SI"/>
        </w:rPr>
        <w:t>Primarna učinkovitostna spremenljivka je bila stopnja hematološkega odziva, opisanega kot popolni hematološki odziv, kot odsotnost vseh znakov levkemije (tj., izginotje blastov iz kostnega mozga in krvi, a brez popolnega okrevanja periferne krvi kot pri popolnem odzivu), ali kot vrnitev v kronično fazo KML. Potrjeni hematološki odziv je bil dosežen pri 71,5 % bolnikov (preglednica </w:t>
      </w:r>
      <w:r w:rsidR="0027622D" w:rsidRPr="004A59B1">
        <w:rPr>
          <w:color w:val="000000"/>
          <w:szCs w:val="22"/>
          <w:lang w:val="sl-SI"/>
        </w:rPr>
        <w:t>3</w:t>
      </w:r>
      <w:r w:rsidRPr="004A59B1">
        <w:rPr>
          <w:color w:val="000000"/>
          <w:szCs w:val="22"/>
          <w:lang w:val="sl-SI"/>
        </w:rPr>
        <w:t>). Pri tem je pomembno, da je 27,7 % bolnikov doseglo tudi pomemben citogenetični odziv, ki je bil pri 20,4 % bolnikov popoln (potrjen pri 16 %). Za bolnike, zdravljene s 600 mg, je trenutna ocena medianega preživetja brez napredovanja bolezni in preživetja nasploh 22,9 oziroma 42,5 meseca.</w:t>
      </w:r>
    </w:p>
    <w:p w14:paraId="52979FF7" w14:textId="77777777" w:rsidR="00FF48C2" w:rsidRPr="004A59B1" w:rsidRDefault="00FF48C2" w:rsidP="009C1193">
      <w:pPr>
        <w:pStyle w:val="EndnoteText"/>
        <w:widowControl w:val="0"/>
        <w:tabs>
          <w:tab w:val="clear" w:pos="567"/>
        </w:tabs>
        <w:rPr>
          <w:color w:val="000000"/>
          <w:szCs w:val="22"/>
          <w:lang w:val="sl-SI"/>
        </w:rPr>
      </w:pPr>
    </w:p>
    <w:p w14:paraId="52979FF8" w14:textId="77777777" w:rsidR="00FF48C2" w:rsidRPr="004A59B1" w:rsidRDefault="00FF48C2" w:rsidP="009C1193">
      <w:pPr>
        <w:pStyle w:val="EndnoteText"/>
        <w:widowControl w:val="0"/>
        <w:tabs>
          <w:tab w:val="clear" w:pos="567"/>
        </w:tabs>
        <w:rPr>
          <w:color w:val="000000"/>
          <w:szCs w:val="22"/>
          <w:lang w:val="sl-SI"/>
        </w:rPr>
      </w:pPr>
      <w:r w:rsidRPr="004A59B1">
        <w:rPr>
          <w:i/>
          <w:color w:val="000000"/>
          <w:szCs w:val="22"/>
          <w:lang w:val="sl-SI"/>
        </w:rPr>
        <w:t>Mieloidna blastna kriza:</w:t>
      </w:r>
      <w:r w:rsidRPr="004A59B1">
        <w:rPr>
          <w:color w:val="000000"/>
          <w:szCs w:val="22"/>
          <w:lang w:val="sl-SI"/>
        </w:rPr>
        <w:t xml:space="preserve"> Vključili so 260 bolnikov z mieloidno blastno krizo. 95 bolnikov (37 %) je </w:t>
      </w:r>
      <w:r w:rsidRPr="004A59B1">
        <w:rPr>
          <w:color w:val="000000"/>
          <w:szCs w:val="22"/>
          <w:lang w:val="sl-SI"/>
        </w:rPr>
        <w:lastRenderedPageBreak/>
        <w:t>imelo predhodno kemoterapijo za zdravljenje bodisi pospešene faze bodisi blastne krize (»predhodno zdravljeni bolniki«), medtem ko 165 bolnikov (63 %) ni bilo predhodno zdravljenih (»nezdravljeni bolniki«). Prvih 37 bolnikov je začelo zdravljenje s 400 mg, protokol je bil pozneje dopolnjen, tako da je omogočal večje odmerjanje, tako da je preostalih 223 bolnikov začelo zdravljenje s 600 mg.</w:t>
      </w:r>
    </w:p>
    <w:p w14:paraId="52979FF9" w14:textId="77777777" w:rsidR="00FF48C2" w:rsidRPr="004A59B1" w:rsidRDefault="00FF48C2" w:rsidP="009C1193">
      <w:pPr>
        <w:pStyle w:val="EndnoteText"/>
        <w:widowControl w:val="0"/>
        <w:tabs>
          <w:tab w:val="clear" w:pos="567"/>
        </w:tabs>
        <w:rPr>
          <w:color w:val="000000"/>
          <w:szCs w:val="22"/>
          <w:lang w:val="sl-SI"/>
        </w:rPr>
      </w:pPr>
    </w:p>
    <w:p w14:paraId="52979FFA" w14:textId="77777777" w:rsidR="00FF48C2" w:rsidRPr="004A59B1" w:rsidRDefault="00FF48C2" w:rsidP="009C1193">
      <w:pPr>
        <w:pStyle w:val="EndnoteText"/>
        <w:widowControl w:val="0"/>
        <w:tabs>
          <w:tab w:val="clear" w:pos="567"/>
        </w:tabs>
        <w:rPr>
          <w:color w:val="000000"/>
          <w:szCs w:val="22"/>
          <w:lang w:val="sl-SI"/>
        </w:rPr>
      </w:pPr>
      <w:r w:rsidRPr="004A59B1">
        <w:rPr>
          <w:color w:val="000000"/>
          <w:szCs w:val="22"/>
          <w:lang w:val="sl-SI"/>
        </w:rPr>
        <w:t xml:space="preserve">Primarna učinkovitostna spremenljivka je bila stopnja hematološkega odziva, opisanega bodisi kot popolni hematološki odziv, kot odsotnost dokazov levkemije ali kot vrnitev v kronično fazo KML, pri čemer so uporabljali enaka merila kot pri študiji v pospešeni fazi. V tej študiji je 31 % bolnikov doseglo hematološki odziv (36 % pri predhodno nezdravljenih bolnikih in 22 % pri predhodno zdravljenih bolnikih). Stopnja odziva je bila tudi večja pri bolnikih, zdravljenih s 600 mg (33 %), kot pri bolnikih, zdravljenih s 400 mg (16 %, p=0,0220). Tekoča ocena </w:t>
      </w:r>
      <w:r w:rsidR="0027622D" w:rsidRPr="004A59B1">
        <w:rPr>
          <w:color w:val="000000"/>
          <w:szCs w:val="22"/>
          <w:lang w:val="sl-SI"/>
        </w:rPr>
        <w:t>medianega</w:t>
      </w:r>
      <w:r w:rsidRPr="004A59B1">
        <w:rPr>
          <w:color w:val="000000"/>
          <w:szCs w:val="22"/>
          <w:lang w:val="sl-SI"/>
        </w:rPr>
        <w:t xml:space="preserve"> preživetja predhodno nezdravljenih in zdravljenih bolnikov je bila 7,7 in 4,7 meseca.</w:t>
      </w:r>
    </w:p>
    <w:p w14:paraId="52979FFB" w14:textId="77777777" w:rsidR="00FF48C2" w:rsidRPr="004A59B1" w:rsidRDefault="00FF48C2" w:rsidP="009C1193">
      <w:pPr>
        <w:pStyle w:val="EndnoteText"/>
        <w:widowControl w:val="0"/>
        <w:tabs>
          <w:tab w:val="clear" w:pos="567"/>
        </w:tabs>
        <w:rPr>
          <w:color w:val="000000"/>
          <w:szCs w:val="22"/>
          <w:lang w:val="sl-SI"/>
        </w:rPr>
      </w:pPr>
    </w:p>
    <w:p w14:paraId="52979FFC" w14:textId="77777777" w:rsidR="00FF48C2" w:rsidRPr="004A59B1" w:rsidRDefault="00FF48C2" w:rsidP="009C1193">
      <w:pPr>
        <w:pStyle w:val="BodyText"/>
        <w:widowControl w:val="0"/>
        <w:spacing w:line="240" w:lineRule="auto"/>
        <w:rPr>
          <w:b w:val="0"/>
          <w:i w:val="0"/>
          <w:color w:val="000000"/>
          <w:szCs w:val="22"/>
          <w:lang w:val="sl-SI"/>
        </w:rPr>
      </w:pPr>
      <w:r w:rsidRPr="004A59B1">
        <w:rPr>
          <w:b w:val="0"/>
          <w:color w:val="000000"/>
          <w:szCs w:val="22"/>
          <w:lang w:val="sl-SI"/>
        </w:rPr>
        <w:t>Limfoidna blastna kriza:</w:t>
      </w:r>
      <w:r w:rsidRPr="004A59B1">
        <w:rPr>
          <w:b w:val="0"/>
          <w:i w:val="0"/>
          <w:color w:val="000000"/>
          <w:szCs w:val="22"/>
          <w:lang w:val="sl-SI"/>
        </w:rPr>
        <w:t xml:space="preserve"> Omejeno število bolnikov so vključili v študije prve faze (n=10). Stopnja hematološkega odziva je bila</w:t>
      </w:r>
      <w:r w:rsidRPr="004A59B1">
        <w:rPr>
          <w:color w:val="000000"/>
          <w:szCs w:val="22"/>
          <w:lang w:val="sl-SI"/>
        </w:rPr>
        <w:t xml:space="preserve"> </w:t>
      </w:r>
      <w:r w:rsidRPr="004A59B1">
        <w:rPr>
          <w:b w:val="0"/>
          <w:i w:val="0"/>
          <w:color w:val="000000"/>
          <w:szCs w:val="22"/>
          <w:lang w:val="sl-SI"/>
        </w:rPr>
        <w:t>70 %, njegovo trajanje pa 2–3 mesece.</w:t>
      </w:r>
    </w:p>
    <w:p w14:paraId="52979FFD" w14:textId="77777777" w:rsidR="00FF48C2" w:rsidRPr="004A59B1" w:rsidRDefault="00FF48C2" w:rsidP="009C1193">
      <w:pPr>
        <w:pStyle w:val="EndnoteText"/>
        <w:widowControl w:val="0"/>
        <w:tabs>
          <w:tab w:val="clear" w:pos="567"/>
        </w:tabs>
        <w:rPr>
          <w:color w:val="000000"/>
          <w:szCs w:val="22"/>
          <w:lang w:val="sl-SI"/>
        </w:rPr>
      </w:pPr>
    </w:p>
    <w:p w14:paraId="52979FFE" w14:textId="77777777" w:rsidR="00FF48C2" w:rsidRPr="004A59B1" w:rsidRDefault="00FF48C2" w:rsidP="009C1193">
      <w:pPr>
        <w:pStyle w:val="EndnoteText"/>
        <w:keepNext/>
        <w:keepLines/>
        <w:widowControl w:val="0"/>
        <w:tabs>
          <w:tab w:val="clear" w:pos="567"/>
          <w:tab w:val="left" w:pos="1701"/>
        </w:tabs>
        <w:rPr>
          <w:color w:val="000000"/>
          <w:szCs w:val="22"/>
          <w:lang w:val="sl-SI"/>
        </w:rPr>
      </w:pPr>
      <w:r w:rsidRPr="004A59B1">
        <w:rPr>
          <w:b/>
          <w:color w:val="000000"/>
          <w:szCs w:val="22"/>
          <w:lang w:val="sl-SI"/>
        </w:rPr>
        <w:t>Preglednica </w:t>
      </w:r>
      <w:r w:rsidR="0027622D" w:rsidRPr="004A59B1">
        <w:rPr>
          <w:b/>
          <w:color w:val="000000"/>
          <w:szCs w:val="22"/>
          <w:lang w:val="sl-SI"/>
        </w:rPr>
        <w:t>3</w:t>
      </w:r>
      <w:r w:rsidRPr="004A59B1">
        <w:rPr>
          <w:b/>
          <w:color w:val="000000"/>
          <w:szCs w:val="22"/>
          <w:lang w:val="sl-SI"/>
        </w:rPr>
        <w:tab/>
        <w:t>Odziv pri odraslih bolnikih s KML v kliničnih študijah</w:t>
      </w:r>
    </w:p>
    <w:p w14:paraId="52979FFF" w14:textId="77777777" w:rsidR="00FF48C2" w:rsidRPr="004A59B1" w:rsidRDefault="00FF48C2" w:rsidP="009C1193">
      <w:pPr>
        <w:pStyle w:val="EndnoteText"/>
        <w:keepNext/>
        <w:keepLines/>
        <w:widowControl w:val="0"/>
        <w:tabs>
          <w:tab w:val="clear" w:pos="567"/>
        </w:tabs>
        <w:rPr>
          <w:color w:val="000000"/>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2126"/>
        <w:gridCol w:w="1985"/>
        <w:gridCol w:w="1949"/>
      </w:tblGrid>
      <w:tr w:rsidR="00FF48C2" w:rsidRPr="004A59B1" w14:paraId="5297A00D" w14:textId="77777777" w:rsidTr="000A6242">
        <w:trPr>
          <w:cantSplit/>
        </w:trPr>
        <w:tc>
          <w:tcPr>
            <w:tcW w:w="3227" w:type="dxa"/>
            <w:tcBorders>
              <w:bottom w:val="nil"/>
            </w:tcBorders>
          </w:tcPr>
          <w:p w14:paraId="5297A000" w14:textId="77777777" w:rsidR="00FF48C2" w:rsidRPr="004A59B1" w:rsidRDefault="00FF48C2" w:rsidP="009C1193">
            <w:pPr>
              <w:pStyle w:val="EndnoteText"/>
              <w:keepNext/>
              <w:keepLines/>
              <w:widowControl w:val="0"/>
              <w:tabs>
                <w:tab w:val="clear" w:pos="567"/>
              </w:tabs>
              <w:rPr>
                <w:color w:val="000000"/>
                <w:szCs w:val="22"/>
                <w:lang w:val="sl-SI"/>
              </w:rPr>
            </w:pPr>
          </w:p>
        </w:tc>
        <w:tc>
          <w:tcPr>
            <w:tcW w:w="2126" w:type="dxa"/>
            <w:tcBorders>
              <w:bottom w:val="nil"/>
            </w:tcBorders>
          </w:tcPr>
          <w:p w14:paraId="5297A001" w14:textId="77777777" w:rsidR="00FF48C2" w:rsidRPr="004A59B1" w:rsidRDefault="00FF48C2" w:rsidP="009C1193">
            <w:pPr>
              <w:pStyle w:val="EndnoteText"/>
              <w:keepNext/>
              <w:keepLines/>
              <w:widowControl w:val="0"/>
              <w:tabs>
                <w:tab w:val="clear" w:pos="567"/>
              </w:tabs>
              <w:jc w:val="center"/>
              <w:rPr>
                <w:color w:val="000000"/>
                <w:szCs w:val="22"/>
                <w:lang w:val="sl-SI"/>
              </w:rPr>
            </w:pPr>
            <w:r w:rsidRPr="004A59B1">
              <w:rPr>
                <w:color w:val="000000"/>
                <w:szCs w:val="22"/>
                <w:lang w:val="sl-SI"/>
              </w:rPr>
              <w:t>Študija 0110</w:t>
            </w:r>
          </w:p>
          <w:p w14:paraId="5297A002" w14:textId="77777777" w:rsidR="00FF48C2" w:rsidRPr="004A59B1" w:rsidRDefault="00FF48C2" w:rsidP="009C1193">
            <w:pPr>
              <w:pStyle w:val="EndnoteText"/>
              <w:keepNext/>
              <w:keepLines/>
              <w:widowControl w:val="0"/>
              <w:tabs>
                <w:tab w:val="clear" w:pos="567"/>
              </w:tabs>
              <w:jc w:val="center"/>
              <w:rPr>
                <w:color w:val="000000"/>
                <w:szCs w:val="22"/>
                <w:lang w:val="sl-SI"/>
              </w:rPr>
            </w:pPr>
            <w:r w:rsidRPr="004A59B1">
              <w:rPr>
                <w:color w:val="000000"/>
                <w:szCs w:val="22"/>
                <w:lang w:val="sl-SI"/>
              </w:rPr>
              <w:t>podatki pri 37 mesecih</w:t>
            </w:r>
          </w:p>
          <w:p w14:paraId="5297A003" w14:textId="77777777" w:rsidR="00FF48C2" w:rsidRPr="004A59B1" w:rsidRDefault="00FF48C2" w:rsidP="009C1193">
            <w:pPr>
              <w:pStyle w:val="EndnoteText"/>
              <w:keepNext/>
              <w:keepLines/>
              <w:widowControl w:val="0"/>
              <w:tabs>
                <w:tab w:val="clear" w:pos="567"/>
              </w:tabs>
              <w:jc w:val="center"/>
              <w:rPr>
                <w:color w:val="000000"/>
                <w:szCs w:val="22"/>
                <w:lang w:val="sl-SI"/>
              </w:rPr>
            </w:pPr>
            <w:r w:rsidRPr="004A59B1">
              <w:rPr>
                <w:color w:val="000000"/>
                <w:szCs w:val="22"/>
                <w:lang w:val="sl-SI"/>
              </w:rPr>
              <w:t>kronična faza, neuspeh IFN</w:t>
            </w:r>
          </w:p>
          <w:p w14:paraId="5297A004" w14:textId="77777777" w:rsidR="00FF48C2" w:rsidRPr="004A59B1" w:rsidRDefault="00FF48C2" w:rsidP="009C1193">
            <w:pPr>
              <w:pStyle w:val="EndnoteText"/>
              <w:keepNext/>
              <w:keepLines/>
              <w:widowControl w:val="0"/>
              <w:tabs>
                <w:tab w:val="clear" w:pos="567"/>
              </w:tabs>
              <w:jc w:val="center"/>
              <w:rPr>
                <w:color w:val="000000"/>
                <w:szCs w:val="22"/>
                <w:lang w:val="sl-SI"/>
              </w:rPr>
            </w:pPr>
            <w:r w:rsidRPr="004A59B1">
              <w:rPr>
                <w:color w:val="000000"/>
                <w:szCs w:val="22"/>
                <w:lang w:val="sl-SI"/>
              </w:rPr>
              <w:t>(n=532)</w:t>
            </w:r>
          </w:p>
        </w:tc>
        <w:tc>
          <w:tcPr>
            <w:tcW w:w="1985" w:type="dxa"/>
            <w:tcBorders>
              <w:bottom w:val="nil"/>
            </w:tcBorders>
          </w:tcPr>
          <w:p w14:paraId="5297A005" w14:textId="77777777" w:rsidR="00FF48C2" w:rsidRPr="004A59B1" w:rsidRDefault="00FF48C2" w:rsidP="009C1193">
            <w:pPr>
              <w:pStyle w:val="EndnoteText"/>
              <w:keepNext/>
              <w:keepLines/>
              <w:widowControl w:val="0"/>
              <w:tabs>
                <w:tab w:val="clear" w:pos="567"/>
              </w:tabs>
              <w:jc w:val="center"/>
              <w:rPr>
                <w:color w:val="000000"/>
                <w:szCs w:val="22"/>
                <w:lang w:val="sl-SI"/>
              </w:rPr>
            </w:pPr>
            <w:r w:rsidRPr="004A59B1">
              <w:rPr>
                <w:color w:val="000000"/>
                <w:szCs w:val="22"/>
                <w:lang w:val="sl-SI"/>
              </w:rPr>
              <w:t>Študija 0109</w:t>
            </w:r>
          </w:p>
          <w:p w14:paraId="5297A006" w14:textId="77777777" w:rsidR="00FF48C2" w:rsidRPr="004A59B1" w:rsidRDefault="00FF48C2" w:rsidP="009C1193">
            <w:pPr>
              <w:pStyle w:val="EndnoteText"/>
              <w:keepNext/>
              <w:keepLines/>
              <w:widowControl w:val="0"/>
              <w:tabs>
                <w:tab w:val="clear" w:pos="567"/>
              </w:tabs>
              <w:jc w:val="center"/>
              <w:rPr>
                <w:color w:val="000000"/>
                <w:szCs w:val="22"/>
                <w:lang w:val="sl-SI"/>
              </w:rPr>
            </w:pPr>
            <w:r w:rsidRPr="004A59B1">
              <w:rPr>
                <w:color w:val="000000"/>
                <w:szCs w:val="22"/>
                <w:lang w:val="sl-SI"/>
              </w:rPr>
              <w:t>podatki pri 40,5 meseca</w:t>
            </w:r>
          </w:p>
          <w:p w14:paraId="5297A007" w14:textId="77777777" w:rsidR="00FF48C2" w:rsidRPr="004A59B1" w:rsidRDefault="00FF48C2" w:rsidP="009C1193">
            <w:pPr>
              <w:pStyle w:val="EndnoteText"/>
              <w:keepNext/>
              <w:keepLines/>
              <w:widowControl w:val="0"/>
              <w:tabs>
                <w:tab w:val="clear" w:pos="567"/>
              </w:tabs>
              <w:jc w:val="center"/>
              <w:rPr>
                <w:color w:val="000000"/>
                <w:szCs w:val="22"/>
                <w:lang w:val="sl-SI"/>
              </w:rPr>
            </w:pPr>
            <w:r w:rsidRPr="004A59B1">
              <w:rPr>
                <w:color w:val="000000"/>
                <w:szCs w:val="22"/>
                <w:lang w:val="sl-SI"/>
              </w:rPr>
              <w:t>pospešena faza</w:t>
            </w:r>
          </w:p>
          <w:p w14:paraId="5297A008" w14:textId="77777777" w:rsidR="00FF48C2" w:rsidRPr="004A59B1" w:rsidRDefault="00FF48C2" w:rsidP="009C1193">
            <w:pPr>
              <w:pStyle w:val="EndnoteText"/>
              <w:keepNext/>
              <w:keepLines/>
              <w:widowControl w:val="0"/>
              <w:tabs>
                <w:tab w:val="clear" w:pos="567"/>
              </w:tabs>
              <w:jc w:val="center"/>
              <w:rPr>
                <w:color w:val="000000"/>
                <w:szCs w:val="22"/>
                <w:lang w:val="pt-BR"/>
              </w:rPr>
            </w:pPr>
            <w:r w:rsidRPr="004A59B1">
              <w:rPr>
                <w:color w:val="000000"/>
                <w:szCs w:val="22"/>
                <w:lang w:val="pt-BR"/>
              </w:rPr>
              <w:t>(n=235)</w:t>
            </w:r>
          </w:p>
        </w:tc>
        <w:tc>
          <w:tcPr>
            <w:tcW w:w="1949" w:type="dxa"/>
            <w:tcBorders>
              <w:bottom w:val="nil"/>
            </w:tcBorders>
          </w:tcPr>
          <w:p w14:paraId="5297A009" w14:textId="77777777" w:rsidR="00FF48C2" w:rsidRPr="004A59B1" w:rsidRDefault="00FF48C2" w:rsidP="009C1193">
            <w:pPr>
              <w:pStyle w:val="EndnoteText"/>
              <w:keepNext/>
              <w:keepLines/>
              <w:widowControl w:val="0"/>
              <w:tabs>
                <w:tab w:val="clear" w:pos="567"/>
              </w:tabs>
              <w:jc w:val="center"/>
              <w:rPr>
                <w:color w:val="000000"/>
                <w:szCs w:val="22"/>
                <w:lang w:val="pl-PL"/>
              </w:rPr>
            </w:pPr>
            <w:r w:rsidRPr="004A59B1">
              <w:rPr>
                <w:color w:val="000000"/>
                <w:szCs w:val="22"/>
                <w:lang w:val="pl-PL"/>
              </w:rPr>
              <w:t>Študija 0102</w:t>
            </w:r>
          </w:p>
          <w:p w14:paraId="5297A00A" w14:textId="77777777" w:rsidR="00FF48C2" w:rsidRPr="004A59B1" w:rsidRDefault="00FF48C2" w:rsidP="009C1193">
            <w:pPr>
              <w:pStyle w:val="EndnoteText"/>
              <w:keepNext/>
              <w:keepLines/>
              <w:widowControl w:val="0"/>
              <w:tabs>
                <w:tab w:val="clear" w:pos="567"/>
              </w:tabs>
              <w:jc w:val="center"/>
              <w:rPr>
                <w:color w:val="000000"/>
                <w:szCs w:val="22"/>
                <w:lang w:val="sl-SI"/>
              </w:rPr>
            </w:pPr>
            <w:r w:rsidRPr="004A59B1">
              <w:rPr>
                <w:color w:val="000000"/>
                <w:szCs w:val="22"/>
                <w:lang w:val="sl-SI"/>
              </w:rPr>
              <w:t>podatki pri 38 mesecih</w:t>
            </w:r>
          </w:p>
          <w:p w14:paraId="5297A00B" w14:textId="77777777" w:rsidR="00FF48C2" w:rsidRPr="004A59B1" w:rsidRDefault="00FF48C2" w:rsidP="009C1193">
            <w:pPr>
              <w:pStyle w:val="EndnoteText"/>
              <w:keepNext/>
              <w:keepLines/>
              <w:widowControl w:val="0"/>
              <w:tabs>
                <w:tab w:val="clear" w:pos="567"/>
              </w:tabs>
              <w:jc w:val="center"/>
              <w:rPr>
                <w:color w:val="000000"/>
                <w:szCs w:val="22"/>
                <w:lang w:val="pl-PL"/>
              </w:rPr>
            </w:pPr>
            <w:r w:rsidRPr="004A59B1">
              <w:rPr>
                <w:color w:val="000000"/>
                <w:szCs w:val="22"/>
                <w:lang w:val="pl-PL"/>
              </w:rPr>
              <w:t>mieloidna blastna kriza</w:t>
            </w:r>
          </w:p>
          <w:p w14:paraId="5297A00C" w14:textId="77777777" w:rsidR="00FF48C2" w:rsidRPr="004A59B1" w:rsidRDefault="00FF48C2" w:rsidP="009C1193">
            <w:pPr>
              <w:pStyle w:val="EndnoteText"/>
              <w:keepNext/>
              <w:keepLines/>
              <w:widowControl w:val="0"/>
              <w:tabs>
                <w:tab w:val="clear" w:pos="567"/>
              </w:tabs>
              <w:jc w:val="center"/>
              <w:rPr>
                <w:color w:val="000000"/>
                <w:szCs w:val="22"/>
              </w:rPr>
            </w:pPr>
            <w:r w:rsidRPr="004A59B1">
              <w:rPr>
                <w:color w:val="000000"/>
                <w:szCs w:val="22"/>
              </w:rPr>
              <w:t>(n=260)</w:t>
            </w:r>
          </w:p>
        </w:tc>
      </w:tr>
      <w:tr w:rsidR="00FF48C2" w:rsidRPr="004A59B1" w14:paraId="5297A010" w14:textId="77777777" w:rsidTr="000A6242">
        <w:trPr>
          <w:cantSplit/>
        </w:trPr>
        <w:tc>
          <w:tcPr>
            <w:tcW w:w="3227" w:type="dxa"/>
            <w:tcBorders>
              <w:bottom w:val="nil"/>
            </w:tcBorders>
          </w:tcPr>
          <w:p w14:paraId="5297A00E" w14:textId="77777777" w:rsidR="00FF48C2" w:rsidRPr="004A59B1" w:rsidRDefault="00FF48C2" w:rsidP="009C1193">
            <w:pPr>
              <w:pStyle w:val="EndnoteText"/>
              <w:keepNext/>
              <w:keepLines/>
              <w:widowControl w:val="0"/>
              <w:tabs>
                <w:tab w:val="clear" w:pos="567"/>
              </w:tabs>
              <w:rPr>
                <w:color w:val="000000"/>
                <w:szCs w:val="22"/>
              </w:rPr>
            </w:pPr>
          </w:p>
        </w:tc>
        <w:tc>
          <w:tcPr>
            <w:tcW w:w="6060" w:type="dxa"/>
            <w:gridSpan w:val="3"/>
            <w:tcBorders>
              <w:bottom w:val="nil"/>
            </w:tcBorders>
          </w:tcPr>
          <w:p w14:paraId="5297A00F" w14:textId="77777777" w:rsidR="00FF48C2" w:rsidRPr="004A59B1" w:rsidRDefault="00FF48C2" w:rsidP="009C1193">
            <w:pPr>
              <w:pStyle w:val="EndnoteText"/>
              <w:keepNext/>
              <w:keepLines/>
              <w:widowControl w:val="0"/>
              <w:tabs>
                <w:tab w:val="clear" w:pos="567"/>
              </w:tabs>
              <w:jc w:val="center"/>
              <w:rPr>
                <w:color w:val="000000"/>
                <w:szCs w:val="22"/>
              </w:rPr>
            </w:pPr>
            <w:r w:rsidRPr="004A59B1">
              <w:rPr>
                <w:color w:val="000000"/>
                <w:szCs w:val="22"/>
              </w:rPr>
              <w:t>% bolnikov (IZ</w:t>
            </w:r>
            <w:r w:rsidRPr="004A59B1">
              <w:rPr>
                <w:color w:val="000000"/>
                <w:szCs w:val="22"/>
                <w:vertAlign w:val="subscript"/>
              </w:rPr>
              <w:t>95 %</w:t>
            </w:r>
            <w:r w:rsidRPr="004A59B1">
              <w:rPr>
                <w:color w:val="000000"/>
                <w:szCs w:val="22"/>
              </w:rPr>
              <w:t>)</w:t>
            </w:r>
          </w:p>
        </w:tc>
      </w:tr>
      <w:tr w:rsidR="00FF48C2" w:rsidRPr="004A59B1" w14:paraId="5297A015" w14:textId="77777777" w:rsidTr="000A6242">
        <w:trPr>
          <w:cantSplit/>
        </w:trPr>
        <w:tc>
          <w:tcPr>
            <w:tcW w:w="3227" w:type="dxa"/>
            <w:tcBorders>
              <w:bottom w:val="nil"/>
            </w:tcBorders>
          </w:tcPr>
          <w:p w14:paraId="5297A011" w14:textId="77777777" w:rsidR="00FF48C2" w:rsidRPr="004A59B1" w:rsidRDefault="00FF48C2" w:rsidP="009C1193">
            <w:pPr>
              <w:pStyle w:val="EndnoteText"/>
              <w:keepNext/>
              <w:keepLines/>
              <w:widowControl w:val="0"/>
              <w:tabs>
                <w:tab w:val="clear" w:pos="567"/>
              </w:tabs>
              <w:rPr>
                <w:color w:val="000000"/>
                <w:szCs w:val="22"/>
              </w:rPr>
            </w:pPr>
            <w:r w:rsidRPr="004A59B1">
              <w:rPr>
                <w:color w:val="000000"/>
                <w:szCs w:val="22"/>
              </w:rPr>
              <w:t>Hematološki odziv</w:t>
            </w:r>
            <w:r w:rsidRPr="004A59B1">
              <w:rPr>
                <w:color w:val="000000"/>
                <w:szCs w:val="22"/>
                <w:vertAlign w:val="superscript"/>
              </w:rPr>
              <w:t>1</w:t>
            </w:r>
          </w:p>
        </w:tc>
        <w:tc>
          <w:tcPr>
            <w:tcW w:w="2126" w:type="dxa"/>
            <w:tcBorders>
              <w:bottom w:val="nil"/>
            </w:tcBorders>
          </w:tcPr>
          <w:p w14:paraId="5297A012" w14:textId="77777777" w:rsidR="00FF48C2" w:rsidRPr="004A59B1" w:rsidRDefault="00FF48C2" w:rsidP="009C1193">
            <w:pPr>
              <w:pStyle w:val="EndnoteText"/>
              <w:keepNext/>
              <w:keepLines/>
              <w:widowControl w:val="0"/>
              <w:tabs>
                <w:tab w:val="clear" w:pos="567"/>
              </w:tabs>
              <w:jc w:val="center"/>
              <w:rPr>
                <w:color w:val="000000"/>
                <w:szCs w:val="22"/>
              </w:rPr>
            </w:pPr>
            <w:r w:rsidRPr="004A59B1">
              <w:rPr>
                <w:color w:val="000000"/>
                <w:szCs w:val="22"/>
              </w:rPr>
              <w:t>95 % (92,3–96,3)</w:t>
            </w:r>
          </w:p>
        </w:tc>
        <w:tc>
          <w:tcPr>
            <w:tcW w:w="1985" w:type="dxa"/>
            <w:tcBorders>
              <w:bottom w:val="nil"/>
            </w:tcBorders>
          </w:tcPr>
          <w:p w14:paraId="5297A013" w14:textId="77777777" w:rsidR="00FF48C2" w:rsidRPr="004A59B1" w:rsidRDefault="00FF48C2" w:rsidP="009C1193">
            <w:pPr>
              <w:pStyle w:val="EndnoteText"/>
              <w:keepNext/>
              <w:keepLines/>
              <w:widowControl w:val="0"/>
              <w:tabs>
                <w:tab w:val="clear" w:pos="567"/>
              </w:tabs>
              <w:jc w:val="center"/>
              <w:rPr>
                <w:color w:val="000000"/>
                <w:szCs w:val="22"/>
              </w:rPr>
            </w:pPr>
            <w:r w:rsidRPr="004A59B1">
              <w:rPr>
                <w:color w:val="000000"/>
                <w:szCs w:val="22"/>
              </w:rPr>
              <w:t>71 % (65,3–77,2)</w:t>
            </w:r>
          </w:p>
        </w:tc>
        <w:tc>
          <w:tcPr>
            <w:tcW w:w="1949" w:type="dxa"/>
            <w:tcBorders>
              <w:bottom w:val="nil"/>
            </w:tcBorders>
          </w:tcPr>
          <w:p w14:paraId="5297A014" w14:textId="77777777" w:rsidR="00FF48C2" w:rsidRPr="004A59B1" w:rsidRDefault="00FF48C2" w:rsidP="009C1193">
            <w:pPr>
              <w:pStyle w:val="EndnoteText"/>
              <w:keepNext/>
              <w:keepLines/>
              <w:widowControl w:val="0"/>
              <w:tabs>
                <w:tab w:val="clear" w:pos="567"/>
              </w:tabs>
              <w:jc w:val="center"/>
              <w:rPr>
                <w:color w:val="000000"/>
                <w:szCs w:val="22"/>
              </w:rPr>
            </w:pPr>
            <w:r w:rsidRPr="004A59B1">
              <w:rPr>
                <w:color w:val="000000"/>
                <w:szCs w:val="22"/>
              </w:rPr>
              <w:t>31 % (25,2–36,8)</w:t>
            </w:r>
          </w:p>
        </w:tc>
      </w:tr>
      <w:tr w:rsidR="00FF48C2" w:rsidRPr="004A59B1" w14:paraId="5297A01A" w14:textId="77777777" w:rsidTr="000A6242">
        <w:trPr>
          <w:cantSplit/>
        </w:trPr>
        <w:tc>
          <w:tcPr>
            <w:tcW w:w="3227" w:type="dxa"/>
            <w:tcBorders>
              <w:top w:val="nil"/>
              <w:bottom w:val="nil"/>
            </w:tcBorders>
          </w:tcPr>
          <w:p w14:paraId="5297A016" w14:textId="77777777" w:rsidR="00FF48C2" w:rsidRPr="004A59B1" w:rsidRDefault="00FF48C2" w:rsidP="009C1193">
            <w:pPr>
              <w:pStyle w:val="EndnoteText"/>
              <w:keepNext/>
              <w:keepLines/>
              <w:widowControl w:val="0"/>
              <w:tabs>
                <w:tab w:val="clear" w:pos="567"/>
              </w:tabs>
              <w:ind w:left="284"/>
              <w:rPr>
                <w:color w:val="000000"/>
                <w:szCs w:val="22"/>
              </w:rPr>
            </w:pPr>
            <w:r w:rsidRPr="004A59B1">
              <w:rPr>
                <w:color w:val="000000"/>
                <w:szCs w:val="22"/>
              </w:rPr>
              <w:t>popolni hematološki odziv (CHR)</w:t>
            </w:r>
          </w:p>
        </w:tc>
        <w:tc>
          <w:tcPr>
            <w:tcW w:w="2126" w:type="dxa"/>
            <w:tcBorders>
              <w:top w:val="nil"/>
              <w:bottom w:val="nil"/>
            </w:tcBorders>
          </w:tcPr>
          <w:p w14:paraId="5297A017" w14:textId="77777777" w:rsidR="00FF48C2" w:rsidRPr="004A59B1" w:rsidRDefault="00FF48C2" w:rsidP="009C1193">
            <w:pPr>
              <w:pStyle w:val="EndnoteText"/>
              <w:keepNext/>
              <w:keepLines/>
              <w:widowControl w:val="0"/>
              <w:tabs>
                <w:tab w:val="clear" w:pos="567"/>
              </w:tabs>
              <w:jc w:val="center"/>
              <w:rPr>
                <w:color w:val="000000"/>
                <w:szCs w:val="22"/>
              </w:rPr>
            </w:pPr>
            <w:r w:rsidRPr="004A59B1">
              <w:rPr>
                <w:color w:val="000000"/>
                <w:szCs w:val="22"/>
              </w:rPr>
              <w:t>95 %</w:t>
            </w:r>
          </w:p>
        </w:tc>
        <w:tc>
          <w:tcPr>
            <w:tcW w:w="1985" w:type="dxa"/>
            <w:tcBorders>
              <w:top w:val="nil"/>
              <w:bottom w:val="nil"/>
            </w:tcBorders>
          </w:tcPr>
          <w:p w14:paraId="5297A018" w14:textId="77777777" w:rsidR="00FF48C2" w:rsidRPr="004A59B1" w:rsidRDefault="00FF48C2" w:rsidP="009C1193">
            <w:pPr>
              <w:pStyle w:val="EndnoteText"/>
              <w:keepNext/>
              <w:keepLines/>
              <w:widowControl w:val="0"/>
              <w:tabs>
                <w:tab w:val="clear" w:pos="567"/>
              </w:tabs>
              <w:jc w:val="center"/>
              <w:rPr>
                <w:color w:val="000000"/>
                <w:szCs w:val="22"/>
              </w:rPr>
            </w:pPr>
            <w:r w:rsidRPr="004A59B1">
              <w:rPr>
                <w:color w:val="000000"/>
                <w:szCs w:val="22"/>
              </w:rPr>
              <w:t>42 %</w:t>
            </w:r>
          </w:p>
        </w:tc>
        <w:tc>
          <w:tcPr>
            <w:tcW w:w="1949" w:type="dxa"/>
            <w:tcBorders>
              <w:top w:val="nil"/>
              <w:bottom w:val="nil"/>
            </w:tcBorders>
          </w:tcPr>
          <w:p w14:paraId="5297A019" w14:textId="77777777" w:rsidR="00FF48C2" w:rsidRPr="004A59B1" w:rsidRDefault="00FF48C2" w:rsidP="009C1193">
            <w:pPr>
              <w:pStyle w:val="EndnoteText"/>
              <w:keepNext/>
              <w:keepLines/>
              <w:widowControl w:val="0"/>
              <w:tabs>
                <w:tab w:val="clear" w:pos="567"/>
              </w:tabs>
              <w:jc w:val="center"/>
              <w:rPr>
                <w:color w:val="000000"/>
                <w:szCs w:val="22"/>
              </w:rPr>
            </w:pPr>
            <w:r w:rsidRPr="004A59B1">
              <w:rPr>
                <w:color w:val="000000"/>
                <w:szCs w:val="22"/>
              </w:rPr>
              <w:t>8 %</w:t>
            </w:r>
          </w:p>
        </w:tc>
      </w:tr>
      <w:tr w:rsidR="00FF48C2" w:rsidRPr="004A59B1" w14:paraId="5297A01F" w14:textId="77777777" w:rsidTr="000A6242">
        <w:trPr>
          <w:cantSplit/>
        </w:trPr>
        <w:tc>
          <w:tcPr>
            <w:tcW w:w="3227" w:type="dxa"/>
            <w:tcBorders>
              <w:top w:val="nil"/>
              <w:bottom w:val="nil"/>
            </w:tcBorders>
          </w:tcPr>
          <w:p w14:paraId="5297A01B" w14:textId="77777777" w:rsidR="00FF48C2" w:rsidRPr="004A59B1" w:rsidRDefault="00FF48C2" w:rsidP="009C1193">
            <w:pPr>
              <w:pStyle w:val="EndnoteText"/>
              <w:keepNext/>
              <w:keepLines/>
              <w:widowControl w:val="0"/>
              <w:tabs>
                <w:tab w:val="clear" w:pos="567"/>
              </w:tabs>
              <w:ind w:left="284"/>
              <w:rPr>
                <w:color w:val="000000"/>
                <w:szCs w:val="22"/>
              </w:rPr>
            </w:pPr>
            <w:r w:rsidRPr="004A59B1">
              <w:rPr>
                <w:color w:val="000000"/>
                <w:szCs w:val="22"/>
              </w:rPr>
              <w:t>nobenih znakov levkemije (NEL)</w:t>
            </w:r>
          </w:p>
        </w:tc>
        <w:tc>
          <w:tcPr>
            <w:tcW w:w="2126" w:type="dxa"/>
            <w:tcBorders>
              <w:top w:val="nil"/>
              <w:bottom w:val="nil"/>
            </w:tcBorders>
          </w:tcPr>
          <w:p w14:paraId="5297A01C" w14:textId="77777777" w:rsidR="00FF48C2" w:rsidRPr="004A59B1" w:rsidRDefault="00FF48C2" w:rsidP="009C1193">
            <w:pPr>
              <w:pStyle w:val="EndnoteText"/>
              <w:keepNext/>
              <w:keepLines/>
              <w:widowControl w:val="0"/>
              <w:tabs>
                <w:tab w:val="clear" w:pos="567"/>
              </w:tabs>
              <w:jc w:val="center"/>
              <w:rPr>
                <w:color w:val="000000"/>
                <w:szCs w:val="22"/>
              </w:rPr>
            </w:pPr>
            <w:r w:rsidRPr="004A59B1">
              <w:rPr>
                <w:color w:val="000000"/>
                <w:szCs w:val="22"/>
              </w:rPr>
              <w:t>se smiselno ne uporablja</w:t>
            </w:r>
          </w:p>
        </w:tc>
        <w:tc>
          <w:tcPr>
            <w:tcW w:w="1985" w:type="dxa"/>
            <w:tcBorders>
              <w:top w:val="nil"/>
              <w:bottom w:val="nil"/>
            </w:tcBorders>
          </w:tcPr>
          <w:p w14:paraId="5297A01D" w14:textId="77777777" w:rsidR="00FF48C2" w:rsidRPr="004A59B1" w:rsidRDefault="00FF48C2" w:rsidP="009C1193">
            <w:pPr>
              <w:pStyle w:val="EndnoteText"/>
              <w:keepNext/>
              <w:keepLines/>
              <w:widowControl w:val="0"/>
              <w:tabs>
                <w:tab w:val="clear" w:pos="567"/>
              </w:tabs>
              <w:jc w:val="center"/>
              <w:rPr>
                <w:color w:val="000000"/>
                <w:szCs w:val="22"/>
              </w:rPr>
            </w:pPr>
            <w:r w:rsidRPr="004A59B1">
              <w:rPr>
                <w:color w:val="000000"/>
                <w:szCs w:val="22"/>
              </w:rPr>
              <w:t>12 %</w:t>
            </w:r>
          </w:p>
        </w:tc>
        <w:tc>
          <w:tcPr>
            <w:tcW w:w="1949" w:type="dxa"/>
            <w:tcBorders>
              <w:top w:val="nil"/>
              <w:bottom w:val="nil"/>
            </w:tcBorders>
          </w:tcPr>
          <w:p w14:paraId="5297A01E" w14:textId="77777777" w:rsidR="00FF48C2" w:rsidRPr="004A59B1" w:rsidRDefault="00FF48C2" w:rsidP="009C1193">
            <w:pPr>
              <w:pStyle w:val="EndnoteText"/>
              <w:keepNext/>
              <w:keepLines/>
              <w:widowControl w:val="0"/>
              <w:tabs>
                <w:tab w:val="clear" w:pos="567"/>
              </w:tabs>
              <w:jc w:val="center"/>
              <w:rPr>
                <w:color w:val="000000"/>
                <w:szCs w:val="22"/>
              </w:rPr>
            </w:pPr>
            <w:r w:rsidRPr="004A59B1">
              <w:rPr>
                <w:color w:val="000000"/>
                <w:szCs w:val="22"/>
              </w:rPr>
              <w:t>5 %</w:t>
            </w:r>
          </w:p>
        </w:tc>
      </w:tr>
      <w:tr w:rsidR="00FF48C2" w:rsidRPr="004A59B1" w14:paraId="5297A024" w14:textId="77777777" w:rsidTr="000A6242">
        <w:trPr>
          <w:cantSplit/>
        </w:trPr>
        <w:tc>
          <w:tcPr>
            <w:tcW w:w="3227" w:type="dxa"/>
            <w:tcBorders>
              <w:top w:val="nil"/>
              <w:bottom w:val="nil"/>
            </w:tcBorders>
          </w:tcPr>
          <w:p w14:paraId="5297A020" w14:textId="77777777" w:rsidR="00FF48C2" w:rsidRPr="004A59B1" w:rsidRDefault="00FF48C2" w:rsidP="009C1193">
            <w:pPr>
              <w:pStyle w:val="EndnoteText"/>
              <w:keepNext/>
              <w:keepLines/>
              <w:widowControl w:val="0"/>
              <w:tabs>
                <w:tab w:val="clear" w:pos="567"/>
              </w:tabs>
              <w:ind w:left="284"/>
              <w:rPr>
                <w:color w:val="000000"/>
                <w:szCs w:val="22"/>
              </w:rPr>
            </w:pPr>
            <w:r w:rsidRPr="004A59B1">
              <w:rPr>
                <w:color w:val="000000"/>
                <w:szCs w:val="22"/>
              </w:rPr>
              <w:t>vrnitev v kronično fazo (RTC)</w:t>
            </w:r>
          </w:p>
        </w:tc>
        <w:tc>
          <w:tcPr>
            <w:tcW w:w="2126" w:type="dxa"/>
            <w:tcBorders>
              <w:top w:val="nil"/>
              <w:bottom w:val="nil"/>
            </w:tcBorders>
          </w:tcPr>
          <w:p w14:paraId="5297A021" w14:textId="77777777" w:rsidR="00FF48C2" w:rsidRPr="004A59B1" w:rsidRDefault="00FF48C2" w:rsidP="009C1193">
            <w:pPr>
              <w:pStyle w:val="EndnoteText"/>
              <w:keepNext/>
              <w:keepLines/>
              <w:widowControl w:val="0"/>
              <w:tabs>
                <w:tab w:val="clear" w:pos="567"/>
              </w:tabs>
              <w:jc w:val="center"/>
              <w:rPr>
                <w:color w:val="000000"/>
                <w:szCs w:val="22"/>
              </w:rPr>
            </w:pPr>
            <w:r w:rsidRPr="004A59B1">
              <w:rPr>
                <w:color w:val="000000"/>
                <w:szCs w:val="22"/>
              </w:rPr>
              <w:t>se smiselno ne uporablja</w:t>
            </w:r>
          </w:p>
        </w:tc>
        <w:tc>
          <w:tcPr>
            <w:tcW w:w="1985" w:type="dxa"/>
            <w:tcBorders>
              <w:top w:val="nil"/>
              <w:bottom w:val="nil"/>
            </w:tcBorders>
          </w:tcPr>
          <w:p w14:paraId="5297A022" w14:textId="77777777" w:rsidR="00FF48C2" w:rsidRPr="004A59B1" w:rsidRDefault="00FF48C2" w:rsidP="009C1193">
            <w:pPr>
              <w:pStyle w:val="EndnoteText"/>
              <w:keepNext/>
              <w:keepLines/>
              <w:widowControl w:val="0"/>
              <w:tabs>
                <w:tab w:val="clear" w:pos="567"/>
              </w:tabs>
              <w:jc w:val="center"/>
              <w:rPr>
                <w:color w:val="000000"/>
                <w:szCs w:val="22"/>
              </w:rPr>
            </w:pPr>
            <w:r w:rsidRPr="004A59B1">
              <w:rPr>
                <w:color w:val="000000"/>
                <w:szCs w:val="22"/>
              </w:rPr>
              <w:t>17 %</w:t>
            </w:r>
          </w:p>
        </w:tc>
        <w:tc>
          <w:tcPr>
            <w:tcW w:w="1949" w:type="dxa"/>
            <w:tcBorders>
              <w:top w:val="nil"/>
              <w:bottom w:val="nil"/>
            </w:tcBorders>
          </w:tcPr>
          <w:p w14:paraId="5297A023" w14:textId="77777777" w:rsidR="00FF48C2" w:rsidRPr="004A59B1" w:rsidRDefault="00FF48C2" w:rsidP="009C1193">
            <w:pPr>
              <w:pStyle w:val="EndnoteText"/>
              <w:keepNext/>
              <w:keepLines/>
              <w:widowControl w:val="0"/>
              <w:tabs>
                <w:tab w:val="clear" w:pos="567"/>
              </w:tabs>
              <w:jc w:val="center"/>
              <w:rPr>
                <w:color w:val="000000"/>
                <w:szCs w:val="22"/>
              </w:rPr>
            </w:pPr>
            <w:r w:rsidRPr="004A59B1">
              <w:rPr>
                <w:color w:val="000000"/>
                <w:szCs w:val="22"/>
              </w:rPr>
              <w:t>18 %</w:t>
            </w:r>
          </w:p>
        </w:tc>
      </w:tr>
      <w:tr w:rsidR="00FF48C2" w:rsidRPr="004A59B1" w14:paraId="5297A029" w14:textId="77777777" w:rsidTr="000A6242">
        <w:trPr>
          <w:cantSplit/>
        </w:trPr>
        <w:tc>
          <w:tcPr>
            <w:tcW w:w="3227" w:type="dxa"/>
            <w:tcBorders>
              <w:bottom w:val="nil"/>
            </w:tcBorders>
          </w:tcPr>
          <w:p w14:paraId="5297A025" w14:textId="77777777" w:rsidR="00FF48C2" w:rsidRPr="004A59B1" w:rsidRDefault="00FF48C2" w:rsidP="009C1193">
            <w:pPr>
              <w:pStyle w:val="EndnoteText"/>
              <w:keepNext/>
              <w:keepLines/>
              <w:widowControl w:val="0"/>
              <w:tabs>
                <w:tab w:val="clear" w:pos="567"/>
              </w:tabs>
              <w:rPr>
                <w:color w:val="000000"/>
                <w:szCs w:val="22"/>
              </w:rPr>
            </w:pPr>
            <w:r w:rsidRPr="004A59B1">
              <w:rPr>
                <w:color w:val="000000"/>
                <w:szCs w:val="22"/>
              </w:rPr>
              <w:t>Pomemben citogenetični odziv</w:t>
            </w:r>
            <w:r w:rsidRPr="004A59B1">
              <w:rPr>
                <w:color w:val="000000"/>
                <w:szCs w:val="22"/>
                <w:vertAlign w:val="superscript"/>
              </w:rPr>
              <w:t>2</w:t>
            </w:r>
          </w:p>
        </w:tc>
        <w:tc>
          <w:tcPr>
            <w:tcW w:w="2126" w:type="dxa"/>
            <w:tcBorders>
              <w:bottom w:val="nil"/>
            </w:tcBorders>
          </w:tcPr>
          <w:p w14:paraId="5297A026" w14:textId="77777777" w:rsidR="00FF48C2" w:rsidRPr="004A59B1" w:rsidRDefault="00FF48C2" w:rsidP="009C1193">
            <w:pPr>
              <w:pStyle w:val="EndnoteText"/>
              <w:keepNext/>
              <w:keepLines/>
              <w:widowControl w:val="0"/>
              <w:tabs>
                <w:tab w:val="clear" w:pos="567"/>
              </w:tabs>
              <w:jc w:val="center"/>
              <w:rPr>
                <w:color w:val="000000"/>
                <w:szCs w:val="22"/>
              </w:rPr>
            </w:pPr>
            <w:r w:rsidRPr="004A59B1">
              <w:rPr>
                <w:color w:val="000000"/>
                <w:szCs w:val="22"/>
              </w:rPr>
              <w:t>65 % (61,2–69,5)</w:t>
            </w:r>
          </w:p>
        </w:tc>
        <w:tc>
          <w:tcPr>
            <w:tcW w:w="1985" w:type="dxa"/>
            <w:tcBorders>
              <w:bottom w:val="nil"/>
            </w:tcBorders>
          </w:tcPr>
          <w:p w14:paraId="5297A027" w14:textId="77777777" w:rsidR="00FF48C2" w:rsidRPr="004A59B1" w:rsidRDefault="00FF48C2" w:rsidP="009C1193">
            <w:pPr>
              <w:pStyle w:val="EndnoteText"/>
              <w:keepNext/>
              <w:keepLines/>
              <w:widowControl w:val="0"/>
              <w:tabs>
                <w:tab w:val="clear" w:pos="567"/>
              </w:tabs>
              <w:jc w:val="center"/>
              <w:rPr>
                <w:color w:val="000000"/>
                <w:szCs w:val="22"/>
              </w:rPr>
            </w:pPr>
            <w:r w:rsidRPr="004A59B1">
              <w:rPr>
                <w:color w:val="000000"/>
                <w:szCs w:val="22"/>
              </w:rPr>
              <w:t>28 % (22,0–33,9)</w:t>
            </w:r>
          </w:p>
        </w:tc>
        <w:tc>
          <w:tcPr>
            <w:tcW w:w="1949" w:type="dxa"/>
            <w:tcBorders>
              <w:bottom w:val="nil"/>
            </w:tcBorders>
          </w:tcPr>
          <w:p w14:paraId="5297A028" w14:textId="77777777" w:rsidR="00FF48C2" w:rsidRPr="004A59B1" w:rsidRDefault="00FF48C2" w:rsidP="009C1193">
            <w:pPr>
              <w:pStyle w:val="EndnoteText"/>
              <w:keepNext/>
              <w:keepLines/>
              <w:widowControl w:val="0"/>
              <w:tabs>
                <w:tab w:val="clear" w:pos="567"/>
              </w:tabs>
              <w:jc w:val="center"/>
              <w:rPr>
                <w:color w:val="000000"/>
                <w:szCs w:val="22"/>
              </w:rPr>
            </w:pPr>
            <w:r w:rsidRPr="004A59B1">
              <w:rPr>
                <w:color w:val="000000"/>
                <w:szCs w:val="22"/>
              </w:rPr>
              <w:t>15 % (11,2–20,4)</w:t>
            </w:r>
          </w:p>
        </w:tc>
      </w:tr>
      <w:tr w:rsidR="00FF48C2" w:rsidRPr="004A59B1" w14:paraId="5297A02E" w14:textId="77777777" w:rsidTr="000A6242">
        <w:trPr>
          <w:cantSplit/>
        </w:trPr>
        <w:tc>
          <w:tcPr>
            <w:tcW w:w="3227" w:type="dxa"/>
            <w:tcBorders>
              <w:top w:val="nil"/>
              <w:bottom w:val="nil"/>
            </w:tcBorders>
          </w:tcPr>
          <w:p w14:paraId="5297A02A" w14:textId="77777777" w:rsidR="00FF48C2" w:rsidRPr="004A59B1" w:rsidRDefault="00FF48C2" w:rsidP="009C1193">
            <w:pPr>
              <w:pStyle w:val="EndnoteText"/>
              <w:keepNext/>
              <w:keepLines/>
              <w:widowControl w:val="0"/>
              <w:tabs>
                <w:tab w:val="clear" w:pos="567"/>
              </w:tabs>
              <w:ind w:left="284"/>
              <w:rPr>
                <w:color w:val="000000"/>
                <w:szCs w:val="22"/>
              </w:rPr>
            </w:pPr>
            <w:r w:rsidRPr="004A59B1">
              <w:rPr>
                <w:color w:val="000000"/>
                <w:szCs w:val="22"/>
              </w:rPr>
              <w:t>popoln</w:t>
            </w:r>
          </w:p>
        </w:tc>
        <w:tc>
          <w:tcPr>
            <w:tcW w:w="2126" w:type="dxa"/>
            <w:tcBorders>
              <w:top w:val="nil"/>
              <w:bottom w:val="nil"/>
            </w:tcBorders>
          </w:tcPr>
          <w:p w14:paraId="5297A02B" w14:textId="77777777" w:rsidR="00FF48C2" w:rsidRPr="004A59B1" w:rsidRDefault="00FF48C2" w:rsidP="009C1193">
            <w:pPr>
              <w:pStyle w:val="EndnoteText"/>
              <w:keepNext/>
              <w:keepLines/>
              <w:widowControl w:val="0"/>
              <w:tabs>
                <w:tab w:val="clear" w:pos="567"/>
              </w:tabs>
              <w:jc w:val="center"/>
              <w:rPr>
                <w:color w:val="000000"/>
                <w:szCs w:val="22"/>
              </w:rPr>
            </w:pPr>
            <w:r w:rsidRPr="004A59B1">
              <w:rPr>
                <w:color w:val="000000"/>
                <w:szCs w:val="22"/>
              </w:rPr>
              <w:t>53 %</w:t>
            </w:r>
          </w:p>
        </w:tc>
        <w:tc>
          <w:tcPr>
            <w:tcW w:w="1985" w:type="dxa"/>
            <w:tcBorders>
              <w:top w:val="nil"/>
              <w:bottom w:val="nil"/>
            </w:tcBorders>
          </w:tcPr>
          <w:p w14:paraId="5297A02C" w14:textId="77777777" w:rsidR="00FF48C2" w:rsidRPr="004A59B1" w:rsidRDefault="00FF48C2" w:rsidP="009C1193">
            <w:pPr>
              <w:pStyle w:val="EndnoteText"/>
              <w:keepNext/>
              <w:keepLines/>
              <w:widowControl w:val="0"/>
              <w:tabs>
                <w:tab w:val="clear" w:pos="567"/>
              </w:tabs>
              <w:jc w:val="center"/>
              <w:rPr>
                <w:color w:val="000000"/>
                <w:szCs w:val="22"/>
              </w:rPr>
            </w:pPr>
            <w:r w:rsidRPr="004A59B1">
              <w:rPr>
                <w:color w:val="000000"/>
                <w:szCs w:val="22"/>
              </w:rPr>
              <w:t>20 %</w:t>
            </w:r>
          </w:p>
        </w:tc>
        <w:tc>
          <w:tcPr>
            <w:tcW w:w="1949" w:type="dxa"/>
            <w:tcBorders>
              <w:top w:val="nil"/>
              <w:bottom w:val="nil"/>
            </w:tcBorders>
          </w:tcPr>
          <w:p w14:paraId="5297A02D" w14:textId="77777777" w:rsidR="00FF48C2" w:rsidRPr="004A59B1" w:rsidRDefault="00FF48C2" w:rsidP="009C1193">
            <w:pPr>
              <w:pStyle w:val="EndnoteText"/>
              <w:keepNext/>
              <w:keepLines/>
              <w:widowControl w:val="0"/>
              <w:tabs>
                <w:tab w:val="clear" w:pos="567"/>
              </w:tabs>
              <w:jc w:val="center"/>
              <w:rPr>
                <w:color w:val="000000"/>
                <w:szCs w:val="22"/>
              </w:rPr>
            </w:pPr>
            <w:r w:rsidRPr="004A59B1">
              <w:rPr>
                <w:color w:val="000000"/>
                <w:szCs w:val="22"/>
              </w:rPr>
              <w:t>7 %</w:t>
            </w:r>
          </w:p>
        </w:tc>
      </w:tr>
      <w:tr w:rsidR="00FF48C2" w:rsidRPr="004A59B1" w14:paraId="5297A033" w14:textId="77777777" w:rsidTr="000A6242">
        <w:trPr>
          <w:cantSplit/>
        </w:trPr>
        <w:tc>
          <w:tcPr>
            <w:tcW w:w="3227" w:type="dxa"/>
            <w:tcBorders>
              <w:top w:val="nil"/>
              <w:bottom w:val="nil"/>
            </w:tcBorders>
          </w:tcPr>
          <w:p w14:paraId="5297A02F" w14:textId="77777777" w:rsidR="00FF48C2" w:rsidRPr="004A59B1" w:rsidRDefault="00FF48C2" w:rsidP="009C1193">
            <w:pPr>
              <w:pStyle w:val="BodyTextIndent2"/>
              <w:keepNext/>
              <w:keepLines/>
              <w:widowControl w:val="0"/>
              <w:tabs>
                <w:tab w:val="clear" w:pos="567"/>
              </w:tabs>
              <w:spacing w:line="240" w:lineRule="auto"/>
              <w:ind w:left="284" w:firstLine="0"/>
              <w:jc w:val="left"/>
              <w:rPr>
                <w:b w:val="0"/>
                <w:color w:val="000000"/>
                <w:szCs w:val="22"/>
              </w:rPr>
            </w:pPr>
            <w:r w:rsidRPr="004A59B1">
              <w:rPr>
                <w:b w:val="0"/>
                <w:color w:val="000000"/>
                <w:szCs w:val="22"/>
              </w:rPr>
              <w:t>(potrjen</w:t>
            </w:r>
            <w:r w:rsidRPr="004A59B1">
              <w:rPr>
                <w:b w:val="0"/>
                <w:color w:val="000000"/>
                <w:szCs w:val="22"/>
                <w:vertAlign w:val="superscript"/>
              </w:rPr>
              <w:t>3</w:t>
            </w:r>
            <w:r w:rsidRPr="004A59B1">
              <w:rPr>
                <w:b w:val="0"/>
                <w:color w:val="000000"/>
                <w:szCs w:val="22"/>
              </w:rPr>
              <w:t>) [95 %</w:t>
            </w:r>
            <w:r w:rsidRPr="004A59B1">
              <w:rPr>
                <w:b w:val="0"/>
                <w:color w:val="000000"/>
                <w:szCs w:val="22"/>
              </w:rPr>
              <w:noBreakHyphen/>
              <w:t>ni interval zaupanja]</w:t>
            </w:r>
          </w:p>
        </w:tc>
        <w:tc>
          <w:tcPr>
            <w:tcW w:w="2126" w:type="dxa"/>
            <w:tcBorders>
              <w:top w:val="nil"/>
              <w:bottom w:val="nil"/>
            </w:tcBorders>
          </w:tcPr>
          <w:p w14:paraId="5297A030" w14:textId="77777777" w:rsidR="00FF48C2" w:rsidRPr="004A59B1" w:rsidRDefault="00FF48C2" w:rsidP="009C1193">
            <w:pPr>
              <w:pStyle w:val="BodyTextIndent2"/>
              <w:keepNext/>
              <w:keepLines/>
              <w:widowControl w:val="0"/>
              <w:tabs>
                <w:tab w:val="clear" w:pos="567"/>
              </w:tabs>
              <w:spacing w:line="240" w:lineRule="auto"/>
              <w:jc w:val="center"/>
              <w:rPr>
                <w:b w:val="0"/>
                <w:color w:val="000000"/>
                <w:szCs w:val="22"/>
              </w:rPr>
            </w:pPr>
            <w:r w:rsidRPr="004A59B1">
              <w:rPr>
                <w:b w:val="0"/>
                <w:color w:val="000000"/>
                <w:szCs w:val="22"/>
              </w:rPr>
              <w:t>(43 %) [38,6–47,2]</w:t>
            </w:r>
          </w:p>
        </w:tc>
        <w:tc>
          <w:tcPr>
            <w:tcW w:w="1985" w:type="dxa"/>
            <w:tcBorders>
              <w:top w:val="nil"/>
              <w:bottom w:val="nil"/>
            </w:tcBorders>
          </w:tcPr>
          <w:p w14:paraId="5297A031" w14:textId="77777777" w:rsidR="00FF48C2" w:rsidRPr="004A59B1" w:rsidRDefault="00FF48C2" w:rsidP="009C1193">
            <w:pPr>
              <w:pStyle w:val="BodyTextIndent2"/>
              <w:keepNext/>
              <w:keepLines/>
              <w:widowControl w:val="0"/>
              <w:tabs>
                <w:tab w:val="clear" w:pos="567"/>
              </w:tabs>
              <w:spacing w:line="240" w:lineRule="auto"/>
              <w:jc w:val="center"/>
              <w:rPr>
                <w:b w:val="0"/>
                <w:color w:val="000000"/>
                <w:szCs w:val="22"/>
              </w:rPr>
            </w:pPr>
            <w:r w:rsidRPr="004A59B1">
              <w:rPr>
                <w:b w:val="0"/>
                <w:color w:val="000000"/>
                <w:szCs w:val="22"/>
              </w:rPr>
              <w:t>(16 %) [11,3–21,0]</w:t>
            </w:r>
          </w:p>
        </w:tc>
        <w:tc>
          <w:tcPr>
            <w:tcW w:w="1949" w:type="dxa"/>
            <w:tcBorders>
              <w:top w:val="nil"/>
              <w:bottom w:val="nil"/>
            </w:tcBorders>
          </w:tcPr>
          <w:p w14:paraId="5297A032" w14:textId="77777777" w:rsidR="00FF48C2" w:rsidRPr="004A59B1" w:rsidRDefault="00FF48C2" w:rsidP="009C1193">
            <w:pPr>
              <w:pStyle w:val="BodyTextIndent2"/>
              <w:keepNext/>
              <w:keepLines/>
              <w:widowControl w:val="0"/>
              <w:tabs>
                <w:tab w:val="clear" w:pos="567"/>
              </w:tabs>
              <w:spacing w:line="240" w:lineRule="auto"/>
              <w:jc w:val="center"/>
              <w:rPr>
                <w:b w:val="0"/>
                <w:color w:val="000000"/>
                <w:szCs w:val="22"/>
              </w:rPr>
            </w:pPr>
            <w:r w:rsidRPr="004A59B1">
              <w:rPr>
                <w:b w:val="0"/>
                <w:color w:val="000000"/>
                <w:szCs w:val="22"/>
              </w:rPr>
              <w:t>(2 %) [0,6–4,4]]</w:t>
            </w:r>
          </w:p>
        </w:tc>
      </w:tr>
      <w:tr w:rsidR="00FF48C2" w:rsidRPr="004A59B1" w14:paraId="5297A038" w14:textId="77777777" w:rsidTr="000A6242">
        <w:trPr>
          <w:cantSplit/>
        </w:trPr>
        <w:tc>
          <w:tcPr>
            <w:tcW w:w="3227" w:type="dxa"/>
            <w:tcBorders>
              <w:top w:val="nil"/>
              <w:bottom w:val="nil"/>
            </w:tcBorders>
          </w:tcPr>
          <w:p w14:paraId="5297A034" w14:textId="77777777" w:rsidR="00FF48C2" w:rsidRPr="004A59B1" w:rsidRDefault="00FF48C2" w:rsidP="009C1193">
            <w:pPr>
              <w:pStyle w:val="EndnoteText"/>
              <w:keepNext/>
              <w:keepLines/>
              <w:widowControl w:val="0"/>
              <w:tabs>
                <w:tab w:val="clear" w:pos="567"/>
              </w:tabs>
              <w:ind w:left="284"/>
              <w:rPr>
                <w:color w:val="000000"/>
                <w:szCs w:val="22"/>
              </w:rPr>
            </w:pPr>
            <w:r w:rsidRPr="004A59B1">
              <w:rPr>
                <w:color w:val="000000"/>
                <w:szCs w:val="22"/>
              </w:rPr>
              <w:t>delen</w:t>
            </w:r>
          </w:p>
        </w:tc>
        <w:tc>
          <w:tcPr>
            <w:tcW w:w="2126" w:type="dxa"/>
            <w:tcBorders>
              <w:top w:val="nil"/>
              <w:bottom w:val="nil"/>
            </w:tcBorders>
          </w:tcPr>
          <w:p w14:paraId="5297A035" w14:textId="77777777" w:rsidR="00FF48C2" w:rsidRPr="004A59B1" w:rsidRDefault="00FF48C2" w:rsidP="009C1193">
            <w:pPr>
              <w:pStyle w:val="EndnoteText"/>
              <w:keepNext/>
              <w:keepLines/>
              <w:widowControl w:val="0"/>
              <w:tabs>
                <w:tab w:val="clear" w:pos="567"/>
              </w:tabs>
              <w:jc w:val="center"/>
              <w:rPr>
                <w:color w:val="000000"/>
                <w:szCs w:val="22"/>
              </w:rPr>
            </w:pPr>
            <w:r w:rsidRPr="004A59B1">
              <w:rPr>
                <w:color w:val="000000"/>
                <w:szCs w:val="22"/>
              </w:rPr>
              <w:t>12 %</w:t>
            </w:r>
          </w:p>
        </w:tc>
        <w:tc>
          <w:tcPr>
            <w:tcW w:w="1985" w:type="dxa"/>
            <w:tcBorders>
              <w:top w:val="nil"/>
              <w:bottom w:val="nil"/>
            </w:tcBorders>
          </w:tcPr>
          <w:p w14:paraId="5297A036" w14:textId="77777777" w:rsidR="00FF48C2" w:rsidRPr="004A59B1" w:rsidRDefault="00FF48C2" w:rsidP="009C1193">
            <w:pPr>
              <w:pStyle w:val="EndnoteText"/>
              <w:keepNext/>
              <w:keepLines/>
              <w:widowControl w:val="0"/>
              <w:tabs>
                <w:tab w:val="clear" w:pos="567"/>
              </w:tabs>
              <w:jc w:val="center"/>
              <w:rPr>
                <w:color w:val="000000"/>
                <w:szCs w:val="22"/>
              </w:rPr>
            </w:pPr>
            <w:r w:rsidRPr="004A59B1">
              <w:rPr>
                <w:color w:val="000000"/>
                <w:szCs w:val="22"/>
              </w:rPr>
              <w:t>7 %</w:t>
            </w:r>
          </w:p>
        </w:tc>
        <w:tc>
          <w:tcPr>
            <w:tcW w:w="1949" w:type="dxa"/>
            <w:tcBorders>
              <w:top w:val="nil"/>
              <w:bottom w:val="nil"/>
            </w:tcBorders>
          </w:tcPr>
          <w:p w14:paraId="5297A037" w14:textId="77777777" w:rsidR="00FF48C2" w:rsidRPr="004A59B1" w:rsidRDefault="00FF48C2" w:rsidP="009C1193">
            <w:pPr>
              <w:pStyle w:val="EndnoteText"/>
              <w:keepNext/>
              <w:keepLines/>
              <w:widowControl w:val="0"/>
              <w:tabs>
                <w:tab w:val="clear" w:pos="567"/>
              </w:tabs>
              <w:jc w:val="center"/>
              <w:rPr>
                <w:color w:val="000000"/>
                <w:szCs w:val="22"/>
              </w:rPr>
            </w:pPr>
            <w:r w:rsidRPr="004A59B1">
              <w:rPr>
                <w:color w:val="000000"/>
                <w:szCs w:val="22"/>
              </w:rPr>
              <w:t>8 %</w:t>
            </w:r>
          </w:p>
        </w:tc>
      </w:tr>
      <w:tr w:rsidR="00FF48C2" w:rsidRPr="003B6568" w14:paraId="5297A041" w14:textId="77777777" w:rsidTr="000A6242">
        <w:trPr>
          <w:cantSplit/>
        </w:trPr>
        <w:tc>
          <w:tcPr>
            <w:tcW w:w="9287" w:type="dxa"/>
            <w:gridSpan w:val="4"/>
            <w:tcBorders>
              <w:top w:val="single" w:sz="4" w:space="0" w:color="auto"/>
              <w:bottom w:val="single" w:sz="4" w:space="0" w:color="auto"/>
            </w:tcBorders>
          </w:tcPr>
          <w:p w14:paraId="5297A039" w14:textId="77777777" w:rsidR="00FF48C2" w:rsidRPr="004A59B1" w:rsidRDefault="00FF48C2" w:rsidP="009C1193">
            <w:pPr>
              <w:pStyle w:val="Table"/>
              <w:widowControl w:val="0"/>
              <w:spacing w:before="0" w:after="0"/>
              <w:rPr>
                <w:rFonts w:ascii="Times New Roman" w:hAnsi="Times New Roman"/>
                <w:b/>
                <w:color w:val="000000"/>
                <w:sz w:val="22"/>
                <w:szCs w:val="22"/>
                <w:lang w:val="en-GB"/>
              </w:rPr>
            </w:pPr>
            <w:r w:rsidRPr="004A59B1">
              <w:rPr>
                <w:rFonts w:ascii="Times New Roman" w:hAnsi="Times New Roman"/>
                <w:b/>
                <w:color w:val="000000"/>
                <w:sz w:val="22"/>
                <w:szCs w:val="22"/>
                <w:vertAlign w:val="superscript"/>
                <w:lang w:val="en-GB"/>
              </w:rPr>
              <w:t>1</w:t>
            </w:r>
            <w:r w:rsidRPr="004A59B1">
              <w:rPr>
                <w:rFonts w:ascii="Times New Roman" w:hAnsi="Times New Roman"/>
                <w:b/>
                <w:color w:val="000000"/>
                <w:sz w:val="22"/>
                <w:szCs w:val="22"/>
                <w:lang w:val="sl-SI"/>
              </w:rPr>
              <w:t xml:space="preserve">Kriteriji hematološkega odziva (vsi odzivi morajo biti potrjeni po </w:t>
            </w:r>
            <w:r w:rsidRPr="004A59B1">
              <w:rPr>
                <w:rFonts w:ascii="Times New Roman" w:hAnsi="Times New Roman"/>
                <w:b/>
                <w:color w:val="000000"/>
                <w:sz w:val="22"/>
                <w:szCs w:val="22"/>
                <w:lang w:val="sl-SI"/>
              </w:rPr>
              <w:sym w:font="Symbol" w:char="F0B3"/>
            </w:r>
            <w:r w:rsidRPr="004A59B1">
              <w:rPr>
                <w:rFonts w:ascii="Times New Roman" w:hAnsi="Times New Roman"/>
                <w:b/>
                <w:color w:val="000000"/>
                <w:sz w:val="22"/>
                <w:szCs w:val="22"/>
                <w:lang w:val="sl-SI"/>
              </w:rPr>
              <w:t> 4 tednih</w:t>
            </w:r>
            <w:r w:rsidRPr="004A59B1">
              <w:rPr>
                <w:rFonts w:ascii="Times New Roman" w:hAnsi="Times New Roman"/>
                <w:b/>
                <w:color w:val="000000"/>
                <w:sz w:val="22"/>
                <w:szCs w:val="22"/>
                <w:lang w:val="en-GB"/>
              </w:rPr>
              <w:t>):</w:t>
            </w:r>
          </w:p>
          <w:p w14:paraId="5297A03A" w14:textId="77777777" w:rsidR="00FF48C2" w:rsidRPr="004A59B1" w:rsidRDefault="00FF48C2" w:rsidP="009C1193">
            <w:pPr>
              <w:pStyle w:val="Table"/>
              <w:widowControl w:val="0"/>
              <w:tabs>
                <w:tab w:val="clear" w:pos="284"/>
              </w:tabs>
              <w:spacing w:before="0" w:after="0"/>
              <w:ind w:left="567" w:hanging="567"/>
              <w:rPr>
                <w:rFonts w:ascii="Times New Roman" w:hAnsi="Times New Roman"/>
                <w:color w:val="000000"/>
                <w:sz w:val="22"/>
                <w:szCs w:val="22"/>
                <w:lang w:val="en-GB"/>
              </w:rPr>
            </w:pPr>
            <w:r w:rsidRPr="004A59B1">
              <w:rPr>
                <w:rFonts w:ascii="Times New Roman" w:hAnsi="Times New Roman"/>
                <w:color w:val="000000"/>
                <w:sz w:val="22"/>
                <w:szCs w:val="22"/>
                <w:lang w:val="en-GB"/>
              </w:rPr>
              <w:t>CHR</w:t>
            </w:r>
            <w:r w:rsidRPr="004A59B1">
              <w:rPr>
                <w:rFonts w:ascii="Times New Roman" w:hAnsi="Times New Roman"/>
                <w:color w:val="000000"/>
                <w:sz w:val="22"/>
                <w:szCs w:val="22"/>
                <w:lang w:val="en-GB"/>
              </w:rPr>
              <w:tab/>
            </w:r>
            <w:r w:rsidRPr="004A59B1">
              <w:rPr>
                <w:rFonts w:ascii="Times New Roman" w:hAnsi="Times New Roman"/>
                <w:color w:val="000000"/>
                <w:sz w:val="22"/>
                <w:szCs w:val="22"/>
                <w:lang w:val="sl-SI"/>
              </w:rPr>
              <w:t xml:space="preserve">študija </w:t>
            </w:r>
            <w:r w:rsidRPr="004A59B1">
              <w:rPr>
                <w:rFonts w:ascii="Times New Roman" w:hAnsi="Times New Roman"/>
                <w:color w:val="000000"/>
                <w:sz w:val="22"/>
                <w:szCs w:val="22"/>
                <w:lang w:val="en-GB"/>
              </w:rPr>
              <w:t>0110 [WBC &lt; 10 x 10</w:t>
            </w:r>
            <w:r w:rsidRPr="004A59B1">
              <w:rPr>
                <w:rFonts w:ascii="Times New Roman" w:hAnsi="Times New Roman"/>
                <w:color w:val="000000"/>
                <w:sz w:val="22"/>
                <w:szCs w:val="22"/>
                <w:vertAlign w:val="superscript"/>
                <w:lang w:val="en-GB"/>
              </w:rPr>
              <w:t>9</w:t>
            </w:r>
            <w:r w:rsidRPr="004A59B1">
              <w:rPr>
                <w:rFonts w:ascii="Times New Roman" w:hAnsi="Times New Roman"/>
                <w:color w:val="000000"/>
                <w:sz w:val="22"/>
                <w:szCs w:val="22"/>
                <w:lang w:val="en-GB"/>
              </w:rPr>
              <w:t>/l, trombociti &lt; 450 x 10</w:t>
            </w:r>
            <w:r w:rsidRPr="004A59B1">
              <w:rPr>
                <w:rFonts w:ascii="Times New Roman" w:hAnsi="Times New Roman"/>
                <w:color w:val="000000"/>
                <w:sz w:val="22"/>
                <w:szCs w:val="22"/>
                <w:vertAlign w:val="superscript"/>
                <w:lang w:val="en-GB"/>
              </w:rPr>
              <w:t>9</w:t>
            </w:r>
            <w:r w:rsidRPr="004A59B1">
              <w:rPr>
                <w:rFonts w:ascii="Times New Roman" w:hAnsi="Times New Roman"/>
                <w:color w:val="000000"/>
                <w:sz w:val="22"/>
                <w:szCs w:val="22"/>
                <w:lang w:val="en-GB"/>
              </w:rPr>
              <w:t xml:space="preserve">/l, mielociti+metamielociti &lt; 5 % v krvi, </w:t>
            </w:r>
            <w:r w:rsidRPr="004A59B1">
              <w:rPr>
                <w:rFonts w:ascii="Times New Roman" w:hAnsi="Times New Roman"/>
                <w:color w:val="000000"/>
                <w:sz w:val="22"/>
                <w:szCs w:val="22"/>
                <w:lang w:val="sl-SI"/>
              </w:rPr>
              <w:t>brez blastov in promielocitov v krvi</w:t>
            </w:r>
            <w:r w:rsidRPr="004A59B1">
              <w:rPr>
                <w:rFonts w:ascii="Times New Roman" w:hAnsi="Times New Roman"/>
                <w:color w:val="000000"/>
                <w:sz w:val="22"/>
                <w:szCs w:val="22"/>
                <w:lang w:val="en-GB"/>
              </w:rPr>
              <w:t xml:space="preserve">, bazofilci &lt; 20 %, </w:t>
            </w:r>
            <w:r w:rsidRPr="004A59B1">
              <w:rPr>
                <w:rFonts w:ascii="Times New Roman" w:hAnsi="Times New Roman"/>
                <w:color w:val="000000"/>
                <w:sz w:val="22"/>
                <w:szCs w:val="22"/>
                <w:lang w:val="sl-SI"/>
              </w:rPr>
              <w:t>brez prizadetosti zunaj kostnega mozga</w:t>
            </w:r>
            <w:r w:rsidRPr="004A59B1">
              <w:rPr>
                <w:rFonts w:ascii="Times New Roman" w:hAnsi="Times New Roman"/>
                <w:color w:val="000000"/>
                <w:sz w:val="22"/>
                <w:szCs w:val="22"/>
                <w:lang w:val="en-GB"/>
              </w:rPr>
              <w:t xml:space="preserve">] </w:t>
            </w:r>
            <w:r w:rsidRPr="004A59B1">
              <w:rPr>
                <w:rFonts w:ascii="Times New Roman" w:hAnsi="Times New Roman"/>
                <w:color w:val="000000"/>
                <w:sz w:val="22"/>
                <w:szCs w:val="22"/>
                <w:lang w:val="sl-SI"/>
              </w:rPr>
              <w:t xml:space="preserve">in v študijah </w:t>
            </w:r>
            <w:r w:rsidRPr="004A59B1">
              <w:rPr>
                <w:rFonts w:ascii="Times New Roman" w:hAnsi="Times New Roman"/>
                <w:color w:val="000000"/>
                <w:sz w:val="22"/>
                <w:szCs w:val="22"/>
                <w:lang w:val="en-GB"/>
              </w:rPr>
              <w:t xml:space="preserve">0102 in 0109 [ANC </w:t>
            </w:r>
            <w:r w:rsidRPr="004A59B1">
              <w:rPr>
                <w:rFonts w:ascii="Times New Roman" w:hAnsi="Times New Roman"/>
                <w:color w:val="000000"/>
                <w:sz w:val="22"/>
                <w:szCs w:val="22"/>
                <w:lang w:val="en-GB"/>
              </w:rPr>
              <w:sym w:font="Symbol" w:char="F0B3"/>
            </w:r>
            <w:r w:rsidRPr="004A59B1">
              <w:rPr>
                <w:rFonts w:ascii="Times New Roman" w:hAnsi="Times New Roman"/>
                <w:color w:val="000000"/>
                <w:sz w:val="22"/>
                <w:szCs w:val="22"/>
                <w:lang w:val="en-GB"/>
              </w:rPr>
              <w:t> 1,5 x 10</w:t>
            </w:r>
            <w:r w:rsidRPr="004A59B1">
              <w:rPr>
                <w:rFonts w:ascii="Times New Roman" w:hAnsi="Times New Roman"/>
                <w:color w:val="000000"/>
                <w:sz w:val="22"/>
                <w:szCs w:val="22"/>
                <w:vertAlign w:val="superscript"/>
                <w:lang w:val="en-GB"/>
              </w:rPr>
              <w:t>9</w:t>
            </w:r>
            <w:r w:rsidRPr="004A59B1">
              <w:rPr>
                <w:rFonts w:ascii="Times New Roman" w:hAnsi="Times New Roman"/>
                <w:color w:val="000000"/>
                <w:sz w:val="22"/>
                <w:szCs w:val="22"/>
                <w:lang w:val="en-GB"/>
              </w:rPr>
              <w:t xml:space="preserve">/l, trombociti </w:t>
            </w:r>
            <w:r w:rsidRPr="004A59B1">
              <w:rPr>
                <w:rFonts w:ascii="Times New Roman" w:hAnsi="Times New Roman"/>
                <w:color w:val="000000"/>
                <w:sz w:val="22"/>
                <w:szCs w:val="22"/>
                <w:lang w:val="en-GB"/>
              </w:rPr>
              <w:sym w:font="Symbol" w:char="F0B3"/>
            </w:r>
            <w:r w:rsidRPr="004A59B1">
              <w:rPr>
                <w:rFonts w:ascii="Times New Roman" w:hAnsi="Times New Roman"/>
                <w:color w:val="000000"/>
                <w:sz w:val="22"/>
                <w:szCs w:val="22"/>
                <w:lang w:val="en-GB"/>
              </w:rPr>
              <w:t> 100 x 10</w:t>
            </w:r>
            <w:r w:rsidRPr="004A59B1">
              <w:rPr>
                <w:rFonts w:ascii="Times New Roman" w:hAnsi="Times New Roman"/>
                <w:color w:val="000000"/>
                <w:sz w:val="22"/>
                <w:szCs w:val="22"/>
                <w:vertAlign w:val="superscript"/>
                <w:lang w:val="en-GB"/>
              </w:rPr>
              <w:t>9</w:t>
            </w:r>
            <w:r w:rsidRPr="004A59B1">
              <w:rPr>
                <w:rFonts w:ascii="Times New Roman" w:hAnsi="Times New Roman"/>
                <w:color w:val="000000"/>
                <w:sz w:val="22"/>
                <w:szCs w:val="22"/>
                <w:lang w:val="en-GB"/>
              </w:rPr>
              <w:t xml:space="preserve">/l, </w:t>
            </w:r>
            <w:r w:rsidRPr="004A59B1">
              <w:rPr>
                <w:rFonts w:ascii="Times New Roman" w:hAnsi="Times New Roman"/>
                <w:color w:val="000000"/>
                <w:sz w:val="22"/>
                <w:szCs w:val="22"/>
                <w:lang w:val="sl-SI"/>
              </w:rPr>
              <w:t>brez blastov v krvi</w:t>
            </w:r>
            <w:r w:rsidRPr="004A59B1">
              <w:rPr>
                <w:rFonts w:ascii="Times New Roman" w:hAnsi="Times New Roman"/>
                <w:color w:val="000000"/>
                <w:sz w:val="22"/>
                <w:szCs w:val="22"/>
                <w:lang w:val="en-GB"/>
              </w:rPr>
              <w:t xml:space="preserve">, </w:t>
            </w:r>
            <w:r w:rsidRPr="004A59B1">
              <w:rPr>
                <w:rFonts w:ascii="Times New Roman" w:hAnsi="Times New Roman"/>
                <w:color w:val="000000"/>
                <w:sz w:val="22"/>
                <w:szCs w:val="22"/>
                <w:lang w:val="sl-SI"/>
              </w:rPr>
              <w:t xml:space="preserve">BM blasti </w:t>
            </w:r>
            <w:r w:rsidRPr="004A59B1">
              <w:rPr>
                <w:rFonts w:ascii="Times New Roman" w:hAnsi="Times New Roman"/>
                <w:color w:val="000000"/>
                <w:sz w:val="22"/>
                <w:szCs w:val="22"/>
                <w:lang w:val="en-GB"/>
              </w:rPr>
              <w:t xml:space="preserve">&lt; 5 % </w:t>
            </w:r>
            <w:r w:rsidRPr="004A59B1">
              <w:rPr>
                <w:rFonts w:ascii="Times New Roman" w:hAnsi="Times New Roman"/>
                <w:color w:val="000000"/>
                <w:sz w:val="22"/>
                <w:szCs w:val="22"/>
                <w:lang w:val="sl-SI"/>
              </w:rPr>
              <w:t xml:space="preserve">in brez </w:t>
            </w:r>
            <w:r w:rsidR="0027622D" w:rsidRPr="004A59B1">
              <w:rPr>
                <w:rFonts w:ascii="Times New Roman" w:hAnsi="Times New Roman"/>
                <w:color w:val="000000"/>
                <w:sz w:val="22"/>
                <w:szCs w:val="22"/>
                <w:lang w:val="sl-SI"/>
              </w:rPr>
              <w:t xml:space="preserve">bolezni </w:t>
            </w:r>
            <w:r w:rsidRPr="004A59B1">
              <w:rPr>
                <w:rFonts w:ascii="Times New Roman" w:hAnsi="Times New Roman"/>
                <w:color w:val="000000"/>
                <w:sz w:val="22"/>
                <w:szCs w:val="22"/>
                <w:lang w:val="sl-SI"/>
              </w:rPr>
              <w:t>zunaj kostnega mozga</w:t>
            </w:r>
            <w:r w:rsidRPr="004A59B1">
              <w:rPr>
                <w:rFonts w:ascii="Times New Roman" w:hAnsi="Times New Roman"/>
                <w:color w:val="000000"/>
                <w:sz w:val="22"/>
                <w:szCs w:val="22"/>
                <w:lang w:val="en-GB"/>
              </w:rPr>
              <w:t>]</w:t>
            </w:r>
          </w:p>
          <w:p w14:paraId="5297A03B" w14:textId="77777777" w:rsidR="00FF48C2" w:rsidRPr="004A59B1" w:rsidRDefault="00FF48C2" w:rsidP="009C1193">
            <w:pPr>
              <w:pStyle w:val="Table"/>
              <w:widowControl w:val="0"/>
              <w:spacing w:before="0" w:after="0"/>
              <w:ind w:left="284" w:hanging="284"/>
              <w:rPr>
                <w:rFonts w:ascii="Times New Roman" w:hAnsi="Times New Roman"/>
                <w:color w:val="000000"/>
                <w:sz w:val="22"/>
                <w:szCs w:val="22"/>
                <w:lang w:val="it-IT"/>
              </w:rPr>
            </w:pPr>
            <w:r w:rsidRPr="004A59B1">
              <w:rPr>
                <w:rFonts w:ascii="Times New Roman" w:hAnsi="Times New Roman"/>
                <w:color w:val="000000"/>
                <w:sz w:val="22"/>
                <w:szCs w:val="22"/>
                <w:lang w:val="it-IT"/>
              </w:rPr>
              <w:t>NEL</w:t>
            </w:r>
            <w:r w:rsidRPr="004A59B1">
              <w:rPr>
                <w:rFonts w:ascii="Times New Roman" w:hAnsi="Times New Roman"/>
                <w:color w:val="000000"/>
                <w:sz w:val="22"/>
                <w:szCs w:val="22"/>
                <w:lang w:val="it-IT"/>
              </w:rPr>
              <w:tab/>
            </w:r>
            <w:r w:rsidRPr="004A59B1">
              <w:rPr>
                <w:rFonts w:ascii="Times New Roman" w:hAnsi="Times New Roman"/>
                <w:color w:val="000000"/>
                <w:sz w:val="22"/>
                <w:szCs w:val="22"/>
                <w:lang w:val="sl-SI"/>
              </w:rPr>
              <w:t xml:space="preserve">enaki kriteriji kot za CHR, a ANC </w:t>
            </w:r>
            <w:r w:rsidRPr="004A59B1">
              <w:rPr>
                <w:rFonts w:ascii="Times New Roman" w:hAnsi="Times New Roman"/>
                <w:color w:val="000000"/>
                <w:sz w:val="22"/>
                <w:szCs w:val="22"/>
                <w:lang w:val="en-GB"/>
              </w:rPr>
              <w:sym w:font="Symbol" w:char="F0B3"/>
            </w:r>
            <w:r w:rsidRPr="004A59B1">
              <w:rPr>
                <w:rFonts w:ascii="Times New Roman" w:hAnsi="Times New Roman"/>
                <w:color w:val="000000"/>
                <w:sz w:val="22"/>
                <w:szCs w:val="22"/>
                <w:lang w:val="it-IT"/>
              </w:rPr>
              <w:t> 1 x 10</w:t>
            </w:r>
            <w:r w:rsidRPr="004A59B1">
              <w:rPr>
                <w:rFonts w:ascii="Times New Roman" w:hAnsi="Times New Roman"/>
                <w:color w:val="000000"/>
                <w:sz w:val="22"/>
                <w:szCs w:val="22"/>
                <w:vertAlign w:val="superscript"/>
                <w:lang w:val="it-IT"/>
              </w:rPr>
              <w:t>9</w:t>
            </w:r>
            <w:r w:rsidRPr="004A59B1">
              <w:rPr>
                <w:rFonts w:ascii="Times New Roman" w:hAnsi="Times New Roman"/>
                <w:color w:val="000000"/>
                <w:sz w:val="22"/>
                <w:szCs w:val="22"/>
                <w:lang w:val="it-IT"/>
              </w:rPr>
              <w:t xml:space="preserve">/l in trombociti </w:t>
            </w:r>
            <w:r w:rsidRPr="004A59B1">
              <w:rPr>
                <w:rFonts w:ascii="Times New Roman" w:hAnsi="Times New Roman"/>
                <w:color w:val="000000"/>
                <w:sz w:val="22"/>
                <w:szCs w:val="22"/>
                <w:lang w:val="en-GB"/>
              </w:rPr>
              <w:sym w:font="Symbol" w:char="F0B3"/>
            </w:r>
            <w:r w:rsidRPr="004A59B1">
              <w:rPr>
                <w:rFonts w:ascii="Times New Roman" w:hAnsi="Times New Roman"/>
                <w:color w:val="000000"/>
                <w:sz w:val="22"/>
                <w:szCs w:val="22"/>
                <w:lang w:val="it-IT"/>
              </w:rPr>
              <w:t> 20 x 10</w:t>
            </w:r>
            <w:r w:rsidRPr="004A59B1">
              <w:rPr>
                <w:rFonts w:ascii="Times New Roman" w:hAnsi="Times New Roman"/>
                <w:color w:val="000000"/>
                <w:sz w:val="22"/>
                <w:szCs w:val="22"/>
                <w:vertAlign w:val="superscript"/>
                <w:lang w:val="it-IT"/>
              </w:rPr>
              <w:t>9</w:t>
            </w:r>
            <w:r w:rsidRPr="004A59B1">
              <w:rPr>
                <w:rFonts w:ascii="Times New Roman" w:hAnsi="Times New Roman"/>
                <w:color w:val="000000"/>
                <w:sz w:val="22"/>
                <w:szCs w:val="22"/>
                <w:lang w:val="it-IT"/>
              </w:rPr>
              <w:t>/l (samo 0102 in 0109)</w:t>
            </w:r>
          </w:p>
          <w:p w14:paraId="5297A03C" w14:textId="77777777" w:rsidR="00FF48C2" w:rsidRPr="004A59B1" w:rsidRDefault="00FF48C2" w:rsidP="009C1193">
            <w:pPr>
              <w:pStyle w:val="Table"/>
              <w:widowControl w:val="0"/>
              <w:tabs>
                <w:tab w:val="clear" w:pos="284"/>
              </w:tabs>
              <w:spacing w:before="0" w:after="0"/>
              <w:ind w:left="567" w:hanging="567"/>
              <w:rPr>
                <w:rFonts w:ascii="Times New Roman" w:hAnsi="Times New Roman"/>
                <w:color w:val="000000"/>
                <w:sz w:val="22"/>
                <w:szCs w:val="22"/>
                <w:lang w:val="it-IT"/>
              </w:rPr>
            </w:pPr>
            <w:r w:rsidRPr="004A59B1">
              <w:rPr>
                <w:rFonts w:ascii="Times New Roman" w:hAnsi="Times New Roman"/>
                <w:color w:val="000000"/>
                <w:sz w:val="22"/>
                <w:szCs w:val="22"/>
                <w:lang w:val="it-IT"/>
              </w:rPr>
              <w:t>RTC</w:t>
            </w:r>
            <w:r w:rsidRPr="004A59B1">
              <w:rPr>
                <w:rFonts w:ascii="Times New Roman" w:hAnsi="Times New Roman"/>
                <w:color w:val="000000"/>
                <w:sz w:val="22"/>
                <w:szCs w:val="22"/>
                <w:lang w:val="it-IT"/>
              </w:rPr>
              <w:tab/>
              <w:t xml:space="preserve">&lt; 15 % </w:t>
            </w:r>
            <w:r w:rsidRPr="004A59B1">
              <w:rPr>
                <w:rFonts w:ascii="Times New Roman" w:hAnsi="Times New Roman"/>
                <w:color w:val="000000"/>
                <w:sz w:val="22"/>
                <w:szCs w:val="22"/>
                <w:lang w:val="sl-SI"/>
              </w:rPr>
              <w:t>blastov v BM in PB</w:t>
            </w:r>
            <w:r w:rsidRPr="004A59B1">
              <w:rPr>
                <w:rFonts w:ascii="Times New Roman" w:hAnsi="Times New Roman"/>
                <w:color w:val="000000"/>
                <w:sz w:val="22"/>
                <w:szCs w:val="22"/>
                <w:lang w:val="it-IT"/>
              </w:rPr>
              <w:t xml:space="preserve">, &lt; 30 % </w:t>
            </w:r>
            <w:r w:rsidRPr="004A59B1">
              <w:rPr>
                <w:rFonts w:ascii="Times New Roman" w:hAnsi="Times New Roman"/>
                <w:color w:val="000000"/>
                <w:sz w:val="22"/>
                <w:szCs w:val="22"/>
                <w:lang w:val="sl-SI"/>
              </w:rPr>
              <w:t>blastov+promielocitov v BM in PB</w:t>
            </w:r>
            <w:r w:rsidRPr="004A59B1">
              <w:rPr>
                <w:rFonts w:ascii="Times New Roman" w:hAnsi="Times New Roman"/>
                <w:color w:val="000000"/>
                <w:sz w:val="22"/>
                <w:szCs w:val="22"/>
                <w:lang w:val="it-IT"/>
              </w:rPr>
              <w:t xml:space="preserve">, &lt; 20 % bazofilcev v PB, </w:t>
            </w:r>
            <w:r w:rsidRPr="004A59B1">
              <w:rPr>
                <w:rFonts w:ascii="Times New Roman" w:hAnsi="Times New Roman"/>
                <w:color w:val="000000"/>
                <w:sz w:val="22"/>
                <w:szCs w:val="22"/>
                <w:lang w:val="sl-SI"/>
              </w:rPr>
              <w:t xml:space="preserve">brez </w:t>
            </w:r>
            <w:r w:rsidR="0027622D" w:rsidRPr="004A59B1">
              <w:rPr>
                <w:rFonts w:ascii="Times New Roman" w:hAnsi="Times New Roman"/>
                <w:color w:val="000000"/>
                <w:sz w:val="22"/>
                <w:szCs w:val="22"/>
                <w:lang w:val="sl-SI"/>
              </w:rPr>
              <w:t>bolezni</w:t>
            </w:r>
            <w:r w:rsidRPr="004A59B1">
              <w:rPr>
                <w:rFonts w:ascii="Times New Roman" w:hAnsi="Times New Roman"/>
                <w:color w:val="000000"/>
                <w:sz w:val="22"/>
                <w:szCs w:val="22"/>
                <w:lang w:val="sl-SI"/>
              </w:rPr>
              <w:t xml:space="preserve"> zunaj kostnega mozga, razen v vranici in jetrih </w:t>
            </w:r>
            <w:r w:rsidRPr="004A59B1">
              <w:rPr>
                <w:rFonts w:ascii="Times New Roman" w:hAnsi="Times New Roman"/>
                <w:color w:val="000000"/>
                <w:sz w:val="22"/>
                <w:szCs w:val="22"/>
                <w:lang w:val="it-IT"/>
              </w:rPr>
              <w:t>(samo za 0102 in 0109).</w:t>
            </w:r>
          </w:p>
          <w:p w14:paraId="5297A03D" w14:textId="77777777" w:rsidR="00FF48C2" w:rsidRPr="004A59B1" w:rsidRDefault="00FF48C2" w:rsidP="009C1193">
            <w:pPr>
              <w:pStyle w:val="Table"/>
              <w:widowControl w:val="0"/>
              <w:tabs>
                <w:tab w:val="clear" w:pos="284"/>
              </w:tabs>
              <w:spacing w:before="0" w:after="0"/>
              <w:ind w:left="567" w:hanging="567"/>
              <w:rPr>
                <w:rFonts w:ascii="Times New Roman" w:hAnsi="Times New Roman"/>
                <w:color w:val="000000"/>
                <w:sz w:val="22"/>
                <w:szCs w:val="22"/>
                <w:lang w:val="it-IT"/>
              </w:rPr>
            </w:pPr>
            <w:r w:rsidRPr="004A59B1">
              <w:rPr>
                <w:rFonts w:ascii="Times New Roman" w:hAnsi="Times New Roman"/>
                <w:color w:val="000000"/>
                <w:sz w:val="22"/>
                <w:szCs w:val="22"/>
                <w:lang w:val="it-IT"/>
              </w:rPr>
              <w:t>BM = kostni mozeg, PB = periferna kri</w:t>
            </w:r>
          </w:p>
          <w:p w14:paraId="5297A03E" w14:textId="77777777" w:rsidR="00FF48C2" w:rsidRPr="004A59B1" w:rsidRDefault="00FF48C2" w:rsidP="009C1193">
            <w:pPr>
              <w:pStyle w:val="Table"/>
              <w:widowControl w:val="0"/>
              <w:spacing w:before="0" w:after="0"/>
              <w:rPr>
                <w:rFonts w:ascii="Times New Roman" w:hAnsi="Times New Roman"/>
                <w:color w:val="000000"/>
                <w:sz w:val="22"/>
                <w:szCs w:val="22"/>
                <w:lang w:val="it-IT"/>
              </w:rPr>
            </w:pPr>
            <w:r w:rsidRPr="004A59B1">
              <w:rPr>
                <w:rFonts w:ascii="Times New Roman" w:hAnsi="Times New Roman"/>
                <w:b/>
                <w:color w:val="000000"/>
                <w:sz w:val="22"/>
                <w:szCs w:val="22"/>
                <w:vertAlign w:val="superscript"/>
                <w:lang w:val="it-IT"/>
              </w:rPr>
              <w:t xml:space="preserve">2 </w:t>
            </w:r>
            <w:r w:rsidRPr="004A59B1">
              <w:rPr>
                <w:rFonts w:ascii="Times New Roman" w:hAnsi="Times New Roman"/>
                <w:b/>
                <w:color w:val="000000"/>
                <w:sz w:val="22"/>
                <w:szCs w:val="22"/>
                <w:lang w:val="it-IT"/>
              </w:rPr>
              <w:t>Kriteriji citogenetičnega odziva:</w:t>
            </w:r>
          </w:p>
          <w:p w14:paraId="5297A03F" w14:textId="77777777" w:rsidR="00FF48C2" w:rsidRPr="004A59B1" w:rsidRDefault="00FF48C2" w:rsidP="009C1193">
            <w:pPr>
              <w:pStyle w:val="EndnoteText"/>
              <w:keepNext/>
              <w:keepLines/>
              <w:widowControl w:val="0"/>
              <w:tabs>
                <w:tab w:val="clear" w:pos="567"/>
              </w:tabs>
              <w:rPr>
                <w:color w:val="000000"/>
                <w:szCs w:val="22"/>
                <w:lang w:val="it-IT"/>
              </w:rPr>
            </w:pPr>
            <w:r w:rsidRPr="004A59B1">
              <w:rPr>
                <w:color w:val="000000"/>
                <w:szCs w:val="22"/>
                <w:lang w:val="sl-SI"/>
              </w:rPr>
              <w:t>Pomemben odziv združuje tako popolne kot delne odzive</w:t>
            </w:r>
            <w:r w:rsidRPr="004A59B1">
              <w:rPr>
                <w:color w:val="000000"/>
                <w:szCs w:val="22"/>
                <w:lang w:val="it-IT"/>
              </w:rPr>
              <w:t>: popoln (0 % Ph+ metafaz), delen (1–35 %)</w:t>
            </w:r>
          </w:p>
          <w:p w14:paraId="5297A040" w14:textId="77777777" w:rsidR="00FF48C2" w:rsidRPr="004A59B1" w:rsidRDefault="00FF48C2" w:rsidP="009C1193">
            <w:pPr>
              <w:keepNext/>
              <w:keepLines/>
              <w:widowControl w:val="0"/>
              <w:spacing w:line="240" w:lineRule="auto"/>
              <w:rPr>
                <w:color w:val="000000"/>
                <w:szCs w:val="22"/>
                <w:lang w:val="sl-SI"/>
              </w:rPr>
            </w:pPr>
            <w:r w:rsidRPr="004A59B1">
              <w:rPr>
                <w:color w:val="000000"/>
                <w:szCs w:val="22"/>
                <w:vertAlign w:val="superscript"/>
                <w:lang w:val="it-IT"/>
              </w:rPr>
              <w:t>3</w:t>
            </w:r>
            <w:r w:rsidRPr="004A59B1">
              <w:rPr>
                <w:color w:val="000000"/>
                <w:szCs w:val="22"/>
                <w:lang w:val="sl-SI"/>
              </w:rPr>
              <w:t>Popoln citogenetični odziv, potrjen z drugo citogenetično oceno kostnega mozga, opravljeno vsaj en mesec po prvi študiji kostnega mozga</w:t>
            </w:r>
            <w:r w:rsidRPr="004A59B1">
              <w:rPr>
                <w:color w:val="000000"/>
                <w:szCs w:val="22"/>
                <w:lang w:val="it-IT"/>
              </w:rPr>
              <w:t>.</w:t>
            </w:r>
          </w:p>
        </w:tc>
      </w:tr>
    </w:tbl>
    <w:p w14:paraId="5297A042" w14:textId="77777777" w:rsidR="00FF48C2" w:rsidRPr="004A59B1" w:rsidRDefault="00FF48C2" w:rsidP="009C1193">
      <w:pPr>
        <w:pStyle w:val="EndnoteText"/>
        <w:widowControl w:val="0"/>
        <w:tabs>
          <w:tab w:val="clear" w:pos="567"/>
        </w:tabs>
        <w:rPr>
          <w:color w:val="000000"/>
          <w:szCs w:val="22"/>
          <w:lang w:val="it-IT"/>
        </w:rPr>
      </w:pPr>
    </w:p>
    <w:p w14:paraId="5297A043" w14:textId="77777777" w:rsidR="00FF48C2" w:rsidRPr="004A59B1" w:rsidRDefault="00FF48C2" w:rsidP="009C1193">
      <w:pPr>
        <w:pStyle w:val="EndnoteText"/>
        <w:widowControl w:val="0"/>
        <w:rPr>
          <w:color w:val="000000"/>
          <w:szCs w:val="22"/>
          <w:lang w:val="sl-SI"/>
        </w:rPr>
      </w:pPr>
      <w:r w:rsidRPr="004A59B1">
        <w:rPr>
          <w:i/>
          <w:color w:val="000000"/>
          <w:szCs w:val="22"/>
          <w:lang w:val="sl-SI"/>
        </w:rPr>
        <w:t>Pediatrični bolniki</w:t>
      </w:r>
      <w:r w:rsidRPr="004A59B1">
        <w:rPr>
          <w:color w:val="000000"/>
          <w:szCs w:val="22"/>
          <w:lang w:val="it-IT"/>
        </w:rPr>
        <w:t xml:space="preserve">: </w:t>
      </w:r>
      <w:r w:rsidRPr="004A59B1">
        <w:rPr>
          <w:color w:val="000000"/>
          <w:szCs w:val="22"/>
          <w:lang w:val="sl-SI"/>
        </w:rPr>
        <w:t xml:space="preserve">V preskušanje stopnjevanja odmerka prve faze so vključili skupaj 26 pediatričnih bolnikov, starih </w:t>
      </w:r>
      <w:r w:rsidRPr="004A59B1">
        <w:rPr>
          <w:color w:val="000000"/>
          <w:szCs w:val="22"/>
          <w:lang w:val="it-IT"/>
        </w:rPr>
        <w:t xml:space="preserve">&lt; 18 let, </w:t>
      </w:r>
      <w:r w:rsidRPr="004A59B1">
        <w:rPr>
          <w:color w:val="000000"/>
          <w:szCs w:val="22"/>
          <w:lang w:val="sl-SI"/>
        </w:rPr>
        <w:t xml:space="preserve">bodisi s kronično fazo KML (n=11) bodisi s KML v blastni krizi ali Ph+ akutnimi levkemijami (n=15). To je bila skupina že prej močno zdravljenih bolnikov, saj jih je pred začetkom </w:t>
      </w:r>
      <w:r w:rsidR="0027622D" w:rsidRPr="004A59B1">
        <w:rPr>
          <w:color w:val="000000"/>
          <w:szCs w:val="22"/>
          <w:lang w:val="sl-SI"/>
        </w:rPr>
        <w:t xml:space="preserve">preizkušanja </w:t>
      </w:r>
      <w:r w:rsidRPr="004A59B1">
        <w:rPr>
          <w:color w:val="000000"/>
          <w:szCs w:val="22"/>
          <w:lang w:val="sl-SI"/>
        </w:rPr>
        <w:t xml:space="preserve">46 % </w:t>
      </w:r>
      <w:r w:rsidR="0027622D" w:rsidRPr="004A59B1">
        <w:rPr>
          <w:color w:val="000000"/>
          <w:szCs w:val="22"/>
          <w:lang w:val="sl-SI"/>
        </w:rPr>
        <w:t>imelo presaditev kostnega mozga</w:t>
      </w:r>
      <w:r w:rsidRPr="004A59B1">
        <w:rPr>
          <w:color w:val="000000"/>
          <w:szCs w:val="22"/>
          <w:lang w:val="sl-SI"/>
        </w:rPr>
        <w:t xml:space="preserve"> </w:t>
      </w:r>
      <w:r w:rsidR="0027622D" w:rsidRPr="004A59B1">
        <w:rPr>
          <w:color w:val="000000"/>
          <w:szCs w:val="22"/>
          <w:lang w:val="sl-SI"/>
        </w:rPr>
        <w:t>(</w:t>
      </w:r>
      <w:r w:rsidRPr="004A59B1">
        <w:rPr>
          <w:color w:val="000000"/>
          <w:szCs w:val="22"/>
          <w:lang w:val="sl-SI"/>
        </w:rPr>
        <w:t>BMT</w:t>
      </w:r>
      <w:r w:rsidR="00681414" w:rsidRPr="004A59B1">
        <w:rPr>
          <w:color w:val="000000"/>
          <w:szCs w:val="22"/>
          <w:lang w:val="sl-SI"/>
        </w:rPr>
        <w:t xml:space="preserve"> </w:t>
      </w:r>
      <w:r w:rsidR="0027622D" w:rsidRPr="004A59B1">
        <w:rPr>
          <w:color w:val="000000"/>
          <w:szCs w:val="22"/>
          <w:lang w:val="sl-SI"/>
        </w:rPr>
        <w:t>-</w:t>
      </w:r>
      <w:r w:rsidR="0027622D" w:rsidRPr="004A59B1">
        <w:rPr>
          <w:i/>
          <w:lang w:val="sl-SI"/>
        </w:rPr>
        <w:t xml:space="preserve"> bone marrow transplantation</w:t>
      </w:r>
      <w:r w:rsidR="0027622D" w:rsidRPr="004A59B1">
        <w:rPr>
          <w:lang w:val="sl-SI"/>
        </w:rPr>
        <w:t>)</w:t>
      </w:r>
      <w:r w:rsidRPr="004A59B1">
        <w:rPr>
          <w:color w:val="000000"/>
          <w:szCs w:val="22"/>
          <w:lang w:val="sl-SI"/>
        </w:rPr>
        <w:t>, 73 % pa kemoterapijo z več zdravili. Bolniki so bili zdravljeni z odmerki zdravila Glivec 260 mg/m</w:t>
      </w:r>
      <w:r w:rsidRPr="004A59B1">
        <w:rPr>
          <w:color w:val="000000"/>
          <w:szCs w:val="22"/>
          <w:vertAlign w:val="superscript"/>
          <w:lang w:val="sl-SI"/>
        </w:rPr>
        <w:t>2</w:t>
      </w:r>
      <w:r w:rsidRPr="004A59B1">
        <w:rPr>
          <w:color w:val="000000"/>
          <w:szCs w:val="22"/>
          <w:lang w:val="sl-SI"/>
        </w:rPr>
        <w:t>/dan (n=5), 340 mg/m</w:t>
      </w:r>
      <w:r w:rsidRPr="004A59B1">
        <w:rPr>
          <w:color w:val="000000"/>
          <w:szCs w:val="22"/>
          <w:vertAlign w:val="superscript"/>
          <w:lang w:val="sl-SI"/>
        </w:rPr>
        <w:t>2</w:t>
      </w:r>
      <w:r w:rsidRPr="004A59B1">
        <w:rPr>
          <w:color w:val="000000"/>
          <w:szCs w:val="22"/>
          <w:lang w:val="sl-SI"/>
        </w:rPr>
        <w:t>/dan (n=9), 440 mg/m</w:t>
      </w:r>
      <w:r w:rsidRPr="004A59B1">
        <w:rPr>
          <w:color w:val="000000"/>
          <w:szCs w:val="22"/>
          <w:vertAlign w:val="superscript"/>
          <w:lang w:val="sl-SI"/>
        </w:rPr>
        <w:t>2</w:t>
      </w:r>
      <w:r w:rsidRPr="004A59B1">
        <w:rPr>
          <w:color w:val="000000"/>
          <w:szCs w:val="22"/>
          <w:lang w:val="sl-SI"/>
        </w:rPr>
        <w:t>/dan (n=7) in 570 mg/m</w:t>
      </w:r>
      <w:r w:rsidRPr="004A59B1">
        <w:rPr>
          <w:color w:val="000000"/>
          <w:szCs w:val="22"/>
          <w:vertAlign w:val="superscript"/>
          <w:lang w:val="sl-SI"/>
        </w:rPr>
        <w:t>2</w:t>
      </w:r>
      <w:r w:rsidRPr="004A59B1">
        <w:rPr>
          <w:color w:val="000000"/>
          <w:szCs w:val="22"/>
          <w:lang w:val="sl-SI"/>
        </w:rPr>
        <w:t xml:space="preserve">/dan (n=5). Od </w:t>
      </w:r>
      <w:r w:rsidRPr="004A59B1">
        <w:rPr>
          <w:color w:val="000000"/>
          <w:szCs w:val="22"/>
          <w:lang w:val="sl-SI"/>
        </w:rPr>
        <w:lastRenderedPageBreak/>
        <w:t>9 bolnikov s kronično fazo KML in razpoložljivimi citogenetičnimi podatki so 4 (44 %) in 3 (33 %) bolniki dosegli popolni oziroma delni citogenetični odziv pri 77</w:t>
      </w:r>
      <w:r w:rsidRPr="004A59B1">
        <w:rPr>
          <w:color w:val="000000"/>
          <w:szCs w:val="22"/>
          <w:lang w:val="sl-SI"/>
        </w:rPr>
        <w:noBreakHyphen/>
        <w:t>odstotni stopnji MCyR.</w:t>
      </w:r>
    </w:p>
    <w:p w14:paraId="5297A044" w14:textId="77777777" w:rsidR="00FF48C2" w:rsidRPr="004A59B1" w:rsidRDefault="00FF48C2" w:rsidP="009C1193">
      <w:pPr>
        <w:pStyle w:val="EndnoteText"/>
        <w:widowControl w:val="0"/>
        <w:rPr>
          <w:color w:val="000000"/>
          <w:szCs w:val="22"/>
          <w:lang w:val="sl-SI"/>
        </w:rPr>
      </w:pPr>
    </w:p>
    <w:p w14:paraId="5297A045" w14:textId="77777777" w:rsidR="00FF48C2" w:rsidRPr="004A59B1" w:rsidRDefault="00FF48C2" w:rsidP="009C1193">
      <w:pPr>
        <w:pStyle w:val="EndnoteText"/>
        <w:widowControl w:val="0"/>
        <w:rPr>
          <w:color w:val="000000"/>
          <w:szCs w:val="22"/>
          <w:lang w:val="sl-SI"/>
        </w:rPr>
      </w:pPr>
      <w:r w:rsidRPr="004A59B1">
        <w:rPr>
          <w:color w:val="000000"/>
          <w:szCs w:val="22"/>
          <w:lang w:val="sl-SI"/>
        </w:rPr>
        <w:t>V odprto, multicentrično preskušanje faze II z eno skupino so vključili skupno 51 pediatričnih bolnikov z na novo diagnosticirano in nezdravljeno KML v kronični fazi. Bolniki so bili zdravljeni z odmerki zdravila Glivec 340 mg/m</w:t>
      </w:r>
      <w:r w:rsidRPr="004A59B1">
        <w:rPr>
          <w:color w:val="000000"/>
          <w:szCs w:val="22"/>
          <w:vertAlign w:val="superscript"/>
          <w:lang w:val="sl-SI"/>
        </w:rPr>
        <w:t>2</w:t>
      </w:r>
      <w:r w:rsidRPr="004A59B1">
        <w:rPr>
          <w:color w:val="000000"/>
          <w:szCs w:val="22"/>
          <w:lang w:val="sl-SI"/>
        </w:rPr>
        <w:t>/dan brez prekinitev; toksičnih učinkov, zaradi katerih bi zmanjševali odmerjanje, ni bilo. Zdravljenje z zdravilom Glivec povzroči hiter odziv pri na novo diagnosticiranih pediatričnih bolnikih s popolnim hematološkim odzivom 78 % po 8 tednih zdravljenja. Ob veliki stopnji popolnega hematološkega odziva je prišlo tudi do popolnega citogenetičnega odziva (CCyR</w:t>
      </w:r>
      <w:r w:rsidR="0027622D" w:rsidRPr="004A59B1">
        <w:rPr>
          <w:color w:val="000000"/>
          <w:szCs w:val="22"/>
          <w:lang w:val="sl-SI"/>
        </w:rPr>
        <w:t xml:space="preserve"> - </w:t>
      </w:r>
      <w:r w:rsidR="0027622D" w:rsidRPr="004A59B1">
        <w:rPr>
          <w:i/>
          <w:color w:val="000000"/>
          <w:szCs w:val="22"/>
          <w:lang w:val="sl-SI"/>
        </w:rPr>
        <w:t>complete cytogenetic response</w:t>
      </w:r>
      <w:r w:rsidRPr="004A59B1">
        <w:rPr>
          <w:color w:val="000000"/>
          <w:szCs w:val="22"/>
          <w:lang w:val="sl-SI"/>
        </w:rPr>
        <w:t>) v 65 %, kar je primerljivo z zabeleženimi rezultati pri odraslih. Poleg tega so zabeležili tudi delen citogenetični odziv (PCyR</w:t>
      </w:r>
      <w:r w:rsidR="0027622D" w:rsidRPr="004A59B1">
        <w:rPr>
          <w:color w:val="000000"/>
          <w:szCs w:val="22"/>
          <w:lang w:val="sl-SI"/>
        </w:rPr>
        <w:t xml:space="preserve"> - </w:t>
      </w:r>
      <w:r w:rsidR="0027622D" w:rsidRPr="004A59B1">
        <w:rPr>
          <w:i/>
          <w:color w:val="000000"/>
          <w:szCs w:val="22"/>
          <w:lang w:val="sl-SI"/>
        </w:rPr>
        <w:t>partial cytogenetic response</w:t>
      </w:r>
      <w:r w:rsidRPr="004A59B1">
        <w:rPr>
          <w:color w:val="000000"/>
          <w:szCs w:val="22"/>
          <w:lang w:val="sl-SI"/>
        </w:rPr>
        <w:t xml:space="preserve">) pri 16 % bolnikov ob 81 % s pomembnim citogentičnim odzivom. Večina bolnikov, ki je dosegla popolni citogenetični odziv, ga je dosegla med 3. in 10. mesecem </w:t>
      </w:r>
      <w:r w:rsidR="0027622D" w:rsidRPr="004A59B1">
        <w:rPr>
          <w:color w:val="000000"/>
          <w:szCs w:val="22"/>
          <w:lang w:val="sl-SI"/>
        </w:rPr>
        <w:t>z medianim</w:t>
      </w:r>
      <w:r w:rsidRPr="004A59B1">
        <w:rPr>
          <w:color w:val="000000"/>
          <w:szCs w:val="22"/>
          <w:lang w:val="sl-SI"/>
        </w:rPr>
        <w:t xml:space="preserve"> časom do odziva 5,6 meseca glede na Kaplan-Meierjevo oceno.</w:t>
      </w:r>
    </w:p>
    <w:p w14:paraId="5297A046" w14:textId="77777777" w:rsidR="00FF48C2" w:rsidRPr="004A59B1" w:rsidRDefault="00FF48C2" w:rsidP="009C1193">
      <w:pPr>
        <w:widowControl w:val="0"/>
        <w:tabs>
          <w:tab w:val="clear" w:pos="567"/>
        </w:tabs>
        <w:autoSpaceDE w:val="0"/>
        <w:autoSpaceDN w:val="0"/>
        <w:adjustRightInd w:val="0"/>
        <w:spacing w:line="240" w:lineRule="auto"/>
        <w:rPr>
          <w:color w:val="000000"/>
          <w:lang w:val="sl-SI"/>
        </w:rPr>
      </w:pPr>
    </w:p>
    <w:p w14:paraId="5297A047" w14:textId="77777777" w:rsidR="00FF48C2" w:rsidRPr="004A59B1" w:rsidRDefault="00FF48C2" w:rsidP="009C1193">
      <w:pPr>
        <w:widowControl w:val="0"/>
        <w:rPr>
          <w:color w:val="000000"/>
          <w:lang w:val="sl-SI"/>
        </w:rPr>
      </w:pPr>
      <w:r w:rsidRPr="004A59B1">
        <w:rPr>
          <w:color w:val="000000"/>
          <w:lang w:val="sl-SI"/>
        </w:rPr>
        <w:t xml:space="preserve">Evropska agencija za zdravila je odstopila od obveze za predložitev rezultatov študij z zdravilom Glivec za vse skupine pediatrične populacije s </w:t>
      </w:r>
      <w:r w:rsidRPr="004A59B1">
        <w:rPr>
          <w:color w:val="000000"/>
          <w:szCs w:val="22"/>
          <w:lang w:val="sl-SI"/>
        </w:rPr>
        <w:t xml:space="preserve">kronično mieloično levkemijo s prisotnim kromosomom Philadelphia (s translokacijo bcr-abl) </w:t>
      </w:r>
      <w:r w:rsidRPr="004A59B1">
        <w:rPr>
          <w:color w:val="000000"/>
          <w:lang w:val="sl-SI"/>
        </w:rPr>
        <w:t>(za podatke o uporabi pri pediatrični populaciji glejte poglavje 4.2).</w:t>
      </w:r>
    </w:p>
    <w:p w14:paraId="5297A048" w14:textId="77777777" w:rsidR="00FF48C2" w:rsidRPr="004A59B1" w:rsidRDefault="00FF48C2" w:rsidP="009C1193">
      <w:pPr>
        <w:pStyle w:val="EndnoteText"/>
        <w:widowControl w:val="0"/>
        <w:rPr>
          <w:color w:val="000000"/>
          <w:szCs w:val="22"/>
          <w:u w:val="single"/>
          <w:lang w:val="sl-SI"/>
        </w:rPr>
      </w:pPr>
    </w:p>
    <w:p w14:paraId="5297A049" w14:textId="77777777" w:rsidR="00FF48C2" w:rsidRPr="004A59B1" w:rsidRDefault="00FF48C2" w:rsidP="009C1193">
      <w:pPr>
        <w:pStyle w:val="EndnoteText"/>
        <w:keepNext/>
        <w:widowControl w:val="0"/>
        <w:rPr>
          <w:color w:val="000000"/>
          <w:szCs w:val="22"/>
          <w:u w:val="single"/>
          <w:lang w:val="sl-SI"/>
        </w:rPr>
      </w:pPr>
      <w:r w:rsidRPr="004A59B1">
        <w:rPr>
          <w:color w:val="000000"/>
          <w:szCs w:val="22"/>
          <w:u w:val="single"/>
          <w:lang w:val="sl-SI"/>
        </w:rPr>
        <w:t>Klinične študije pri Ph+ ALL</w:t>
      </w:r>
    </w:p>
    <w:p w14:paraId="5297A04A" w14:textId="77777777" w:rsidR="00FF48C2" w:rsidRPr="004A59B1" w:rsidRDefault="00FF48C2" w:rsidP="009C1193">
      <w:pPr>
        <w:pStyle w:val="EndnoteText"/>
        <w:widowControl w:val="0"/>
        <w:tabs>
          <w:tab w:val="clear" w:pos="567"/>
        </w:tabs>
        <w:rPr>
          <w:rFonts w:eastAsia="MS Mincho"/>
          <w:color w:val="000000"/>
          <w:szCs w:val="22"/>
          <w:lang w:val="sl-SI" w:eastAsia="ja-JP"/>
        </w:rPr>
      </w:pPr>
      <w:r w:rsidRPr="004A59B1">
        <w:rPr>
          <w:i/>
          <w:color w:val="000000"/>
          <w:szCs w:val="22"/>
          <w:lang w:val="sl-SI"/>
        </w:rPr>
        <w:t>Novo odkrita Ph+ ALL</w:t>
      </w:r>
      <w:r w:rsidRPr="004A59B1">
        <w:rPr>
          <w:color w:val="000000"/>
          <w:szCs w:val="22"/>
          <w:lang w:val="sl-SI"/>
        </w:rPr>
        <w:t>: V kontrolirani študiji (ADE10) imatiniba v primerjavi z indukcijo s kemoterapijo pri 55 bolnikih z novo odkrito boleznijo, ki so bili stari 55 let ali več, je imatinib kot edino zdravilo povzročil značilno večji delež bolnikov s popolnim hematološkim odzivom kot kemoterapija (96,3 % v primerjavi s 50 %; p=0,0001). Ko so imatinib uporabili kot reševalno zdravljenje pri bolnikih, pri katerih ni bilo odziva ali pa je bil odziv na kemoterapijo slab, je 9 bolnikov od 11 (81,8 %) doseglo popolni hematološki odziv. Ta klinični učinek je bil povezan z večjim zmanjšanjem količine transkriptov bcr-abl pri bolnikih, zdravljenih z imatinibom, kot pri skupini, zdravljeni s kemoterapijo po 2 tednih zdravljenja (p=0,02). Vsi bolniki so prejeli imatinib in konsolidacijsko kemoterapijo po indukciji (glejte preglednico </w:t>
      </w:r>
      <w:r w:rsidR="0027622D" w:rsidRPr="004A59B1">
        <w:rPr>
          <w:color w:val="000000"/>
          <w:szCs w:val="22"/>
          <w:lang w:val="sl-SI"/>
        </w:rPr>
        <w:t>4</w:t>
      </w:r>
      <w:r w:rsidRPr="004A59B1">
        <w:rPr>
          <w:color w:val="000000"/>
          <w:szCs w:val="22"/>
          <w:lang w:val="sl-SI"/>
        </w:rPr>
        <w:t xml:space="preserve">). Ravni transkriptov bcr-abl so bile po 8 tednih v obeh krakih enake. Kot je bilo pričakovati glede na načrt študije, ni bilo nobene razlike v trajanju remisij, preživetju brez bolezni ali preživetju nasploh, čeprav so imeli bolniki s popolnim molekularnim odzivom in tisti z minimalno rezidualno boleznijo boljši izid glede trajanja remisije </w:t>
      </w:r>
      <w:r w:rsidRPr="004A59B1">
        <w:rPr>
          <w:rFonts w:eastAsia="MS Mincho"/>
          <w:color w:val="000000"/>
          <w:szCs w:val="22"/>
          <w:lang w:val="sl-SI" w:eastAsia="ja-JP"/>
        </w:rPr>
        <w:t>(p=0,01)</w:t>
      </w:r>
      <w:r w:rsidRPr="004A59B1">
        <w:rPr>
          <w:color w:val="000000"/>
          <w:szCs w:val="22"/>
          <w:lang w:val="sl-SI"/>
        </w:rPr>
        <w:t xml:space="preserve"> in preživetja brez bolezni </w:t>
      </w:r>
      <w:r w:rsidRPr="004A59B1">
        <w:rPr>
          <w:rFonts w:eastAsia="MS Mincho"/>
          <w:color w:val="000000"/>
          <w:szCs w:val="22"/>
          <w:lang w:val="sl-SI" w:eastAsia="ja-JP"/>
        </w:rPr>
        <w:t>(p=0,02).</w:t>
      </w:r>
    </w:p>
    <w:p w14:paraId="5297A04B" w14:textId="77777777" w:rsidR="00FF48C2" w:rsidRPr="004A59B1" w:rsidRDefault="00FF48C2" w:rsidP="009C1193">
      <w:pPr>
        <w:pStyle w:val="EndnoteText"/>
        <w:widowControl w:val="0"/>
        <w:tabs>
          <w:tab w:val="clear" w:pos="567"/>
        </w:tabs>
        <w:rPr>
          <w:color w:val="000000"/>
          <w:szCs w:val="22"/>
          <w:lang w:val="sl-SI"/>
        </w:rPr>
      </w:pPr>
    </w:p>
    <w:p w14:paraId="5297A04C" w14:textId="77777777" w:rsidR="00FF48C2" w:rsidRPr="004A59B1" w:rsidRDefault="00FF48C2" w:rsidP="009C1193">
      <w:pPr>
        <w:pStyle w:val="EndnoteText"/>
        <w:widowControl w:val="0"/>
        <w:rPr>
          <w:color w:val="000000"/>
          <w:szCs w:val="22"/>
          <w:lang w:val="sl-SI"/>
        </w:rPr>
      </w:pPr>
      <w:r w:rsidRPr="004A59B1">
        <w:rPr>
          <w:color w:val="000000"/>
          <w:szCs w:val="22"/>
          <w:lang w:val="sl-SI"/>
        </w:rPr>
        <w:t>Pri populaciji 211 bolnikov z novo odkrito Ph+ ALL iz štirih nekontroliranih kliničnih študij (AAU02, ADE04, AJP01 in AUS01) se rezultati ujemajo z zgoraj opisanimi. Imatinib je v kombinaciji z indukcijo s kemoterapijo (glejte preglednico </w:t>
      </w:r>
      <w:r w:rsidR="0027622D" w:rsidRPr="004A59B1">
        <w:rPr>
          <w:color w:val="000000"/>
          <w:szCs w:val="22"/>
          <w:lang w:val="sl-SI"/>
        </w:rPr>
        <w:t>4</w:t>
      </w:r>
      <w:r w:rsidRPr="004A59B1">
        <w:rPr>
          <w:color w:val="000000"/>
          <w:szCs w:val="22"/>
          <w:lang w:val="sl-SI"/>
        </w:rPr>
        <w:t xml:space="preserve">) povzročil popolni hematološki odziv pri 93 % (147 od 158 za oceno primernih bolnikov) in pomembni citogenetični odziv pri 90 % (19 od 21 za oceno primernih bolnikov). Delež bolnikov s popolnim molekularnim odzivom je bil 48 % (49 od 102 za oceno primernih bolnikov). V dveh študijah (AJP01 in AUS01) sta preživetje brez bolezni (DSF - </w:t>
      </w:r>
      <w:r w:rsidRPr="00304E94">
        <w:rPr>
          <w:i/>
          <w:color w:val="000000"/>
          <w:szCs w:val="22"/>
          <w:lang w:val="sl-SI"/>
        </w:rPr>
        <w:t>disease-free survival</w:t>
      </w:r>
      <w:r w:rsidRPr="004A59B1">
        <w:rPr>
          <w:color w:val="000000"/>
          <w:szCs w:val="22"/>
          <w:lang w:val="sl-SI"/>
        </w:rPr>
        <w:t xml:space="preserve">) in celokupno preživetje (OS - </w:t>
      </w:r>
      <w:r w:rsidRPr="00304E94">
        <w:rPr>
          <w:i/>
          <w:color w:val="000000"/>
          <w:szCs w:val="22"/>
          <w:lang w:val="sl-SI"/>
        </w:rPr>
        <w:t>overall survival</w:t>
      </w:r>
      <w:r w:rsidRPr="004A59B1">
        <w:rPr>
          <w:color w:val="000000"/>
          <w:szCs w:val="22"/>
          <w:lang w:val="sl-SI"/>
        </w:rPr>
        <w:t xml:space="preserve">) </w:t>
      </w:r>
      <w:r w:rsidR="0027622D" w:rsidRPr="004A59B1">
        <w:rPr>
          <w:color w:val="000000"/>
          <w:szCs w:val="22"/>
          <w:lang w:val="sl-SI"/>
        </w:rPr>
        <w:t>konstantno</w:t>
      </w:r>
      <w:r w:rsidRPr="004A59B1">
        <w:rPr>
          <w:color w:val="000000"/>
          <w:szCs w:val="22"/>
          <w:lang w:val="sl-SI"/>
        </w:rPr>
        <w:t xml:space="preserve"> presegala 1 leto in sta bila daljša kot pri zgodovinskih kontrolah (DFS p&lt;0,001; OS p&lt;0,0001).</w:t>
      </w:r>
    </w:p>
    <w:p w14:paraId="5297A04D" w14:textId="77777777" w:rsidR="00FF48C2" w:rsidRPr="004A59B1" w:rsidRDefault="00FF48C2" w:rsidP="009C1193">
      <w:pPr>
        <w:pStyle w:val="EndnoteText"/>
        <w:widowControl w:val="0"/>
        <w:rPr>
          <w:color w:val="000000"/>
          <w:szCs w:val="22"/>
          <w:lang w:val="sl-SI"/>
        </w:rPr>
      </w:pPr>
    </w:p>
    <w:p w14:paraId="5297A04E" w14:textId="77777777" w:rsidR="00FF48C2" w:rsidRPr="004A59B1" w:rsidRDefault="00FF48C2" w:rsidP="000A6242">
      <w:pPr>
        <w:pStyle w:val="EndnoteText"/>
        <w:keepNext/>
        <w:widowControl w:val="0"/>
        <w:rPr>
          <w:b/>
          <w:bCs/>
          <w:color w:val="000000"/>
          <w:szCs w:val="22"/>
          <w:lang w:val="sl-SI"/>
        </w:rPr>
      </w:pPr>
      <w:r w:rsidRPr="004A59B1">
        <w:rPr>
          <w:b/>
          <w:bCs/>
          <w:color w:val="000000"/>
          <w:szCs w:val="22"/>
          <w:lang w:val="sl-SI"/>
        </w:rPr>
        <w:lastRenderedPageBreak/>
        <w:t>Preglednica </w:t>
      </w:r>
      <w:r w:rsidR="00EE6041">
        <w:rPr>
          <w:b/>
          <w:bCs/>
          <w:color w:val="000000"/>
          <w:szCs w:val="22"/>
          <w:lang w:val="sl-SI"/>
        </w:rPr>
        <w:t>4</w:t>
      </w:r>
      <w:r w:rsidRPr="004A59B1">
        <w:rPr>
          <w:b/>
          <w:bCs/>
          <w:color w:val="000000"/>
          <w:szCs w:val="22"/>
          <w:lang w:val="sl-SI"/>
        </w:rPr>
        <w:tab/>
        <w:t>K</w:t>
      </w:r>
      <w:r w:rsidRPr="004A59B1">
        <w:rPr>
          <w:b/>
          <w:color w:val="000000"/>
          <w:szCs w:val="22"/>
          <w:lang w:val="sl-SI"/>
        </w:rPr>
        <w:t>emoterapevtske sheme, uporabljene v kombinaciji z imatinibom</w:t>
      </w:r>
    </w:p>
    <w:p w14:paraId="5297A04F" w14:textId="77777777" w:rsidR="00FF48C2" w:rsidRPr="004A59B1" w:rsidRDefault="00FF48C2" w:rsidP="000A6242">
      <w:pPr>
        <w:pStyle w:val="EndnoteText"/>
        <w:keepNext/>
        <w:widowControl w:val="0"/>
        <w:rPr>
          <w:color w:val="000000"/>
          <w:szCs w:val="22"/>
          <w:lang w:val="sl-SI"/>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FF48C2" w:rsidRPr="004A59B1" w14:paraId="5297A052" w14:textId="77777777" w:rsidTr="000A6242">
        <w:trPr>
          <w:cantSplit/>
        </w:trPr>
        <w:tc>
          <w:tcPr>
            <w:tcW w:w="2148" w:type="dxa"/>
            <w:tcBorders>
              <w:top w:val="single" w:sz="4" w:space="0" w:color="auto"/>
              <w:bottom w:val="single" w:sz="4" w:space="0" w:color="auto"/>
            </w:tcBorders>
            <w:shd w:val="clear" w:color="auto" w:fill="auto"/>
          </w:tcPr>
          <w:p w14:paraId="5297A050" w14:textId="77777777" w:rsidR="00FF48C2" w:rsidRPr="004A59B1" w:rsidRDefault="00FF48C2" w:rsidP="000A6242">
            <w:pPr>
              <w:pStyle w:val="Table"/>
              <w:keepLines w:val="0"/>
              <w:widowControl w:val="0"/>
              <w:spacing w:before="0" w:after="0"/>
              <w:rPr>
                <w:rFonts w:ascii="Times New Roman" w:hAnsi="Times New Roman"/>
                <w:color w:val="000000"/>
                <w:sz w:val="22"/>
                <w:szCs w:val="22"/>
              </w:rPr>
            </w:pPr>
            <w:r w:rsidRPr="004A59B1">
              <w:rPr>
                <w:rFonts w:ascii="Times New Roman" w:hAnsi="Times New Roman"/>
                <w:b/>
                <w:color w:val="000000"/>
                <w:sz w:val="22"/>
                <w:szCs w:val="22"/>
                <w:lang w:val="sl-SI"/>
              </w:rPr>
              <w:t>Študija</w:t>
            </w:r>
            <w:r w:rsidRPr="004A59B1">
              <w:rPr>
                <w:rFonts w:ascii="Times New Roman" w:hAnsi="Times New Roman"/>
                <w:b/>
                <w:color w:val="000000"/>
                <w:sz w:val="22"/>
                <w:szCs w:val="22"/>
              </w:rPr>
              <w:t xml:space="preserve"> ADE10</w:t>
            </w:r>
          </w:p>
        </w:tc>
        <w:tc>
          <w:tcPr>
            <w:tcW w:w="6732" w:type="dxa"/>
            <w:gridSpan w:val="4"/>
            <w:tcBorders>
              <w:top w:val="single" w:sz="4" w:space="0" w:color="auto"/>
              <w:bottom w:val="single" w:sz="4" w:space="0" w:color="auto"/>
            </w:tcBorders>
            <w:shd w:val="clear" w:color="auto" w:fill="auto"/>
          </w:tcPr>
          <w:p w14:paraId="5297A051" w14:textId="77777777" w:rsidR="00FF48C2" w:rsidRPr="004A59B1" w:rsidRDefault="00FF48C2" w:rsidP="000A6242">
            <w:pPr>
              <w:pStyle w:val="Table"/>
              <w:keepLines w:val="0"/>
              <w:widowControl w:val="0"/>
              <w:spacing w:before="0" w:after="0"/>
              <w:rPr>
                <w:rFonts w:ascii="Times New Roman" w:hAnsi="Times New Roman"/>
                <w:color w:val="000000"/>
                <w:sz w:val="22"/>
                <w:szCs w:val="22"/>
              </w:rPr>
            </w:pPr>
          </w:p>
        </w:tc>
      </w:tr>
      <w:tr w:rsidR="00FF48C2" w:rsidRPr="004A59B1" w14:paraId="5297A057" w14:textId="77777777" w:rsidTr="000A6242">
        <w:trPr>
          <w:cantSplit/>
        </w:trPr>
        <w:tc>
          <w:tcPr>
            <w:tcW w:w="2148" w:type="dxa"/>
            <w:tcBorders>
              <w:top w:val="single" w:sz="4" w:space="0" w:color="auto"/>
              <w:bottom w:val="single" w:sz="4" w:space="0" w:color="auto"/>
            </w:tcBorders>
            <w:shd w:val="clear" w:color="auto" w:fill="auto"/>
          </w:tcPr>
          <w:p w14:paraId="5297A053" w14:textId="77777777" w:rsidR="00FF48C2" w:rsidRPr="004A59B1" w:rsidRDefault="00FF48C2" w:rsidP="000A6242">
            <w:pPr>
              <w:pStyle w:val="Table"/>
              <w:keepLines w:val="0"/>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predhodna faza</w:t>
            </w:r>
          </w:p>
        </w:tc>
        <w:tc>
          <w:tcPr>
            <w:tcW w:w="6732" w:type="dxa"/>
            <w:gridSpan w:val="4"/>
            <w:tcBorders>
              <w:top w:val="single" w:sz="4" w:space="0" w:color="auto"/>
              <w:bottom w:val="single" w:sz="4" w:space="0" w:color="auto"/>
            </w:tcBorders>
            <w:shd w:val="clear" w:color="auto" w:fill="auto"/>
          </w:tcPr>
          <w:p w14:paraId="5297A054" w14:textId="77777777" w:rsidR="00FF48C2" w:rsidRPr="004A59B1" w:rsidRDefault="00FF48C2" w:rsidP="000A6242">
            <w:pPr>
              <w:pStyle w:val="Table"/>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DEX 10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peroralno, 1.-5. dan;</w:t>
            </w:r>
          </w:p>
          <w:p w14:paraId="5297A055" w14:textId="77777777" w:rsidR="00FF48C2" w:rsidRPr="004A59B1" w:rsidRDefault="00FF48C2" w:rsidP="000A6242">
            <w:pPr>
              <w:pStyle w:val="Table"/>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CP 200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3., 4., 5. dan;</w:t>
            </w:r>
          </w:p>
          <w:p w14:paraId="5297A056" w14:textId="77777777" w:rsidR="00FF48C2" w:rsidRPr="004A59B1" w:rsidRDefault="00FF48C2" w:rsidP="000A6242">
            <w:pPr>
              <w:pStyle w:val="Table"/>
              <w:keepLines w:val="0"/>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MTX 12 mg intratekalno, 1. dan</w:t>
            </w:r>
          </w:p>
        </w:tc>
      </w:tr>
      <w:tr w:rsidR="00FF48C2" w:rsidRPr="003B6568" w14:paraId="5297A05E" w14:textId="77777777" w:rsidTr="000A6242">
        <w:trPr>
          <w:cantSplit/>
        </w:trPr>
        <w:tc>
          <w:tcPr>
            <w:tcW w:w="2148" w:type="dxa"/>
            <w:tcBorders>
              <w:top w:val="single" w:sz="4" w:space="0" w:color="auto"/>
              <w:bottom w:val="single" w:sz="4" w:space="0" w:color="auto"/>
            </w:tcBorders>
            <w:shd w:val="clear" w:color="auto" w:fill="auto"/>
          </w:tcPr>
          <w:p w14:paraId="5297A058" w14:textId="77777777" w:rsidR="00FF48C2" w:rsidRPr="004A59B1" w:rsidRDefault="00FF48C2" w:rsidP="000A6242">
            <w:pPr>
              <w:pStyle w:val="Table"/>
              <w:keepLines w:val="0"/>
              <w:widowControl w:val="0"/>
              <w:spacing w:before="0" w:after="0"/>
              <w:rPr>
                <w:rFonts w:ascii="Times New Roman" w:hAnsi="Times New Roman"/>
                <w:color w:val="000000"/>
                <w:sz w:val="22"/>
                <w:szCs w:val="22"/>
              </w:rPr>
            </w:pPr>
            <w:r w:rsidRPr="004A59B1">
              <w:rPr>
                <w:rFonts w:ascii="Times New Roman" w:hAnsi="Times New Roman"/>
                <w:color w:val="000000"/>
                <w:sz w:val="22"/>
                <w:szCs w:val="22"/>
                <w:lang w:val="en-GB"/>
              </w:rPr>
              <w:t>indukcija remisije</w:t>
            </w:r>
          </w:p>
        </w:tc>
        <w:tc>
          <w:tcPr>
            <w:tcW w:w="6732" w:type="dxa"/>
            <w:gridSpan w:val="4"/>
            <w:tcBorders>
              <w:top w:val="single" w:sz="4" w:space="0" w:color="auto"/>
              <w:bottom w:val="single" w:sz="4" w:space="0" w:color="auto"/>
            </w:tcBorders>
            <w:shd w:val="clear" w:color="auto" w:fill="auto"/>
          </w:tcPr>
          <w:p w14:paraId="5297A059" w14:textId="77777777" w:rsidR="00FF48C2" w:rsidRPr="004A59B1" w:rsidRDefault="00FF48C2" w:rsidP="000A6242">
            <w:pPr>
              <w:pStyle w:val="Table"/>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DEX 10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peroralno, 6.-7., 13.-16. dan;</w:t>
            </w:r>
          </w:p>
          <w:p w14:paraId="5297A05A" w14:textId="77777777" w:rsidR="00FF48C2" w:rsidRPr="004A59B1" w:rsidRDefault="00FF48C2" w:rsidP="000A6242">
            <w:pPr>
              <w:pStyle w:val="Table"/>
              <w:keepLines w:val="0"/>
              <w:widowControl w:val="0"/>
              <w:spacing w:before="0" w:after="0"/>
              <w:rPr>
                <w:rFonts w:ascii="Times New Roman" w:hAnsi="Times New Roman"/>
                <w:color w:val="000000"/>
                <w:sz w:val="22"/>
                <w:szCs w:val="22"/>
                <w:lang w:val="de-DE"/>
              </w:rPr>
            </w:pPr>
            <w:r w:rsidRPr="004A59B1">
              <w:rPr>
                <w:rFonts w:ascii="Times New Roman" w:hAnsi="Times New Roman"/>
                <w:color w:val="000000"/>
                <w:sz w:val="22"/>
                <w:szCs w:val="22"/>
                <w:lang w:val="de-DE"/>
              </w:rPr>
              <w:t>VCR 1 mg i.v., 7. in 14. dan;</w:t>
            </w:r>
          </w:p>
          <w:p w14:paraId="5297A05B" w14:textId="77777777" w:rsidR="00FF48C2" w:rsidRPr="004A59B1" w:rsidRDefault="00FF48C2" w:rsidP="000A6242">
            <w:pPr>
              <w:pStyle w:val="Table"/>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IDA 8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(0,5 ur</w:t>
            </w:r>
            <w:r w:rsidR="0027622D" w:rsidRPr="004A59B1">
              <w:rPr>
                <w:rFonts w:ascii="Times New Roman" w:hAnsi="Times New Roman"/>
                <w:color w:val="000000"/>
                <w:sz w:val="22"/>
                <w:szCs w:val="22"/>
                <w:lang w:val="es-ES"/>
              </w:rPr>
              <w:t>e</w:t>
            </w:r>
            <w:r w:rsidRPr="004A59B1">
              <w:rPr>
                <w:rFonts w:ascii="Times New Roman" w:hAnsi="Times New Roman"/>
                <w:color w:val="000000"/>
                <w:sz w:val="22"/>
                <w:szCs w:val="22"/>
                <w:lang w:val="es-ES"/>
              </w:rPr>
              <w:t>), 7., 8., 14., 15. dan;</w:t>
            </w:r>
          </w:p>
          <w:p w14:paraId="5297A05C" w14:textId="77777777" w:rsidR="00FF48C2" w:rsidRPr="004A59B1" w:rsidRDefault="00FF48C2" w:rsidP="000A6242">
            <w:pPr>
              <w:pStyle w:val="Table"/>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CP 500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i.v.(1 ura) 1. dan;</w:t>
            </w:r>
          </w:p>
          <w:p w14:paraId="5297A05D" w14:textId="77777777" w:rsidR="00FF48C2" w:rsidRPr="004A59B1" w:rsidRDefault="00FF48C2" w:rsidP="000A6242">
            <w:pPr>
              <w:pStyle w:val="Table"/>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Ara-C 60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22.-25., 29.-32. dan</w:t>
            </w:r>
          </w:p>
        </w:tc>
      </w:tr>
      <w:tr w:rsidR="00FF48C2" w:rsidRPr="004A59B1" w14:paraId="5297A062" w14:textId="77777777" w:rsidTr="000A6242">
        <w:trPr>
          <w:cantSplit/>
        </w:trPr>
        <w:tc>
          <w:tcPr>
            <w:tcW w:w="2148" w:type="dxa"/>
            <w:tcBorders>
              <w:top w:val="single" w:sz="4" w:space="0" w:color="auto"/>
              <w:bottom w:val="single" w:sz="4" w:space="0" w:color="auto"/>
            </w:tcBorders>
            <w:shd w:val="clear" w:color="auto" w:fill="auto"/>
          </w:tcPr>
          <w:p w14:paraId="5297A05F" w14:textId="77777777" w:rsidR="00FF48C2" w:rsidRPr="004A59B1" w:rsidRDefault="00FF48C2" w:rsidP="000A6242">
            <w:pPr>
              <w:pStyle w:val="Table"/>
              <w:keepLines w:val="0"/>
              <w:widowControl w:val="0"/>
              <w:spacing w:before="0" w:after="0"/>
              <w:rPr>
                <w:rFonts w:ascii="Times New Roman" w:hAnsi="Times New Roman"/>
                <w:color w:val="000000"/>
                <w:sz w:val="22"/>
                <w:szCs w:val="22"/>
                <w:lang w:val="pl-PL"/>
              </w:rPr>
            </w:pPr>
            <w:r w:rsidRPr="004A59B1">
              <w:rPr>
                <w:rFonts w:ascii="Times New Roman" w:hAnsi="Times New Roman"/>
                <w:color w:val="000000"/>
                <w:sz w:val="22"/>
                <w:szCs w:val="22"/>
                <w:lang w:val="pl-PL"/>
              </w:rPr>
              <w:t>konsolidacijska terapija I, III, V</w:t>
            </w:r>
          </w:p>
        </w:tc>
        <w:tc>
          <w:tcPr>
            <w:tcW w:w="6732" w:type="dxa"/>
            <w:gridSpan w:val="4"/>
            <w:tcBorders>
              <w:top w:val="single" w:sz="4" w:space="0" w:color="auto"/>
              <w:bottom w:val="single" w:sz="4" w:space="0" w:color="auto"/>
            </w:tcBorders>
            <w:shd w:val="clear" w:color="auto" w:fill="auto"/>
          </w:tcPr>
          <w:p w14:paraId="5297A060" w14:textId="77777777" w:rsidR="00FF48C2" w:rsidRPr="004A59B1" w:rsidRDefault="00FF48C2" w:rsidP="000A6242">
            <w:pPr>
              <w:pStyle w:val="Table"/>
              <w:keepLines w:val="0"/>
              <w:widowControl w:val="0"/>
              <w:spacing w:before="0" w:after="0"/>
              <w:rPr>
                <w:rFonts w:ascii="Times New Roman" w:hAnsi="Times New Roman"/>
                <w:color w:val="000000"/>
                <w:sz w:val="22"/>
                <w:szCs w:val="22"/>
                <w:lang w:val="pl-PL"/>
              </w:rPr>
            </w:pPr>
            <w:r w:rsidRPr="004A59B1">
              <w:rPr>
                <w:rFonts w:ascii="Times New Roman" w:hAnsi="Times New Roman"/>
                <w:color w:val="000000"/>
                <w:sz w:val="22"/>
                <w:szCs w:val="22"/>
                <w:lang w:val="pl-PL"/>
              </w:rPr>
              <w:t>MTX 500 mg/m</w:t>
            </w:r>
            <w:r w:rsidRPr="004A59B1">
              <w:rPr>
                <w:rFonts w:ascii="Times New Roman" w:hAnsi="Times New Roman"/>
                <w:color w:val="000000"/>
                <w:sz w:val="22"/>
                <w:szCs w:val="22"/>
                <w:vertAlign w:val="superscript"/>
                <w:lang w:val="pl-PL"/>
              </w:rPr>
              <w:t>2</w:t>
            </w:r>
            <w:r w:rsidRPr="004A59B1">
              <w:rPr>
                <w:rFonts w:ascii="Times New Roman" w:hAnsi="Times New Roman"/>
                <w:color w:val="000000"/>
                <w:sz w:val="22"/>
                <w:szCs w:val="22"/>
                <w:lang w:val="pl-PL"/>
              </w:rPr>
              <w:t xml:space="preserve"> i.v. (24 ur), 1., 15. dan;</w:t>
            </w:r>
          </w:p>
          <w:p w14:paraId="5297A061" w14:textId="77777777" w:rsidR="00FF48C2" w:rsidRPr="004A59B1" w:rsidRDefault="00FF48C2" w:rsidP="000A6242">
            <w:pPr>
              <w:pStyle w:val="Table"/>
              <w:keepLines w:val="0"/>
              <w:widowControl w:val="0"/>
              <w:spacing w:before="0" w:after="0"/>
              <w:rPr>
                <w:rFonts w:ascii="Times New Roman" w:hAnsi="Times New Roman"/>
                <w:color w:val="000000"/>
                <w:sz w:val="22"/>
                <w:szCs w:val="22"/>
                <w:lang w:val="pl-PL"/>
              </w:rPr>
            </w:pPr>
            <w:r w:rsidRPr="004A59B1">
              <w:rPr>
                <w:rFonts w:ascii="Times New Roman" w:hAnsi="Times New Roman"/>
                <w:color w:val="000000"/>
                <w:sz w:val="22"/>
                <w:szCs w:val="22"/>
                <w:lang w:val="pl-PL"/>
              </w:rPr>
              <w:t>6-MP 25 mg/m</w:t>
            </w:r>
            <w:r w:rsidRPr="004A59B1">
              <w:rPr>
                <w:rFonts w:ascii="Times New Roman" w:hAnsi="Times New Roman"/>
                <w:color w:val="000000"/>
                <w:sz w:val="22"/>
                <w:szCs w:val="22"/>
                <w:vertAlign w:val="superscript"/>
                <w:lang w:val="pl-PL"/>
              </w:rPr>
              <w:t>2</w:t>
            </w:r>
            <w:r w:rsidRPr="004A59B1">
              <w:rPr>
                <w:rFonts w:ascii="Times New Roman" w:hAnsi="Times New Roman"/>
                <w:color w:val="000000"/>
                <w:sz w:val="22"/>
                <w:szCs w:val="22"/>
                <w:lang w:val="pl-PL"/>
              </w:rPr>
              <w:t xml:space="preserve"> peroralno, 1.-20. dan</w:t>
            </w:r>
          </w:p>
        </w:tc>
      </w:tr>
      <w:tr w:rsidR="00FF48C2" w:rsidRPr="004A59B1" w14:paraId="5297A066" w14:textId="77777777" w:rsidTr="000A6242">
        <w:trPr>
          <w:cantSplit/>
        </w:trPr>
        <w:tc>
          <w:tcPr>
            <w:tcW w:w="2148" w:type="dxa"/>
            <w:tcBorders>
              <w:top w:val="single" w:sz="4" w:space="0" w:color="auto"/>
              <w:bottom w:val="single" w:sz="4" w:space="0" w:color="auto"/>
            </w:tcBorders>
            <w:shd w:val="clear" w:color="auto" w:fill="auto"/>
          </w:tcPr>
          <w:p w14:paraId="5297A063" w14:textId="77777777" w:rsidR="00FF48C2" w:rsidRPr="004A59B1" w:rsidRDefault="00FF48C2" w:rsidP="000A6242">
            <w:pPr>
              <w:pStyle w:val="Table"/>
              <w:keepNext w:val="0"/>
              <w:keepLines w:val="0"/>
              <w:widowControl w:val="0"/>
              <w:spacing w:before="0" w:after="0"/>
              <w:rPr>
                <w:rFonts w:ascii="Times New Roman" w:hAnsi="Times New Roman"/>
                <w:color w:val="000000"/>
                <w:sz w:val="22"/>
                <w:szCs w:val="22"/>
              </w:rPr>
            </w:pPr>
            <w:r w:rsidRPr="004A59B1">
              <w:rPr>
                <w:rFonts w:ascii="Times New Roman" w:hAnsi="Times New Roman"/>
                <w:color w:val="000000"/>
                <w:sz w:val="22"/>
                <w:szCs w:val="22"/>
                <w:lang w:val="de-DE"/>
              </w:rPr>
              <w:t xml:space="preserve">konsolidacijska terapija </w:t>
            </w:r>
            <w:r w:rsidRPr="004A59B1">
              <w:rPr>
                <w:rFonts w:ascii="Times New Roman" w:hAnsi="Times New Roman"/>
                <w:color w:val="000000"/>
                <w:sz w:val="22"/>
                <w:szCs w:val="22"/>
              </w:rPr>
              <w:t>II, IV</w:t>
            </w:r>
          </w:p>
        </w:tc>
        <w:tc>
          <w:tcPr>
            <w:tcW w:w="6732" w:type="dxa"/>
            <w:gridSpan w:val="4"/>
            <w:tcBorders>
              <w:top w:val="single" w:sz="4" w:space="0" w:color="auto"/>
              <w:bottom w:val="single" w:sz="4" w:space="0" w:color="auto"/>
            </w:tcBorders>
            <w:shd w:val="clear" w:color="auto" w:fill="auto"/>
          </w:tcPr>
          <w:p w14:paraId="5297A064" w14:textId="77777777" w:rsidR="00FF48C2" w:rsidRPr="004A59B1" w:rsidRDefault="00FF48C2" w:rsidP="000A6242">
            <w:pPr>
              <w:pStyle w:val="Table"/>
              <w:keepNext w:val="0"/>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Ara-C 75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(1 ura), 1.-5. dan;</w:t>
            </w:r>
          </w:p>
          <w:p w14:paraId="5297A065" w14:textId="77777777" w:rsidR="00FF48C2" w:rsidRPr="004A59B1" w:rsidRDefault="00FF48C2" w:rsidP="000A6242">
            <w:pPr>
              <w:pStyle w:val="Table"/>
              <w:keepNext w:val="0"/>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VM26 60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(1 ura), 1.-5. dan</w:t>
            </w:r>
          </w:p>
        </w:tc>
      </w:tr>
      <w:tr w:rsidR="00FF48C2" w:rsidRPr="004A59B1" w14:paraId="5297A06C" w14:textId="77777777" w:rsidTr="000A6242">
        <w:trPr>
          <w:cantSplit/>
        </w:trPr>
        <w:tc>
          <w:tcPr>
            <w:tcW w:w="2148" w:type="dxa"/>
            <w:tcBorders>
              <w:top w:val="single" w:sz="4" w:space="0" w:color="auto"/>
              <w:bottom w:val="single" w:sz="4" w:space="0" w:color="auto"/>
            </w:tcBorders>
            <w:shd w:val="clear" w:color="auto" w:fill="auto"/>
          </w:tcPr>
          <w:p w14:paraId="5297A067" w14:textId="77777777" w:rsidR="00FF48C2" w:rsidRPr="004A59B1" w:rsidRDefault="00FF48C2" w:rsidP="000A6242">
            <w:pPr>
              <w:pStyle w:val="Table"/>
              <w:keepLines w:val="0"/>
              <w:widowControl w:val="0"/>
              <w:spacing w:before="0" w:after="0"/>
              <w:rPr>
                <w:rFonts w:ascii="Times New Roman" w:hAnsi="Times New Roman"/>
                <w:b/>
                <w:color w:val="000000"/>
                <w:sz w:val="22"/>
                <w:szCs w:val="22"/>
              </w:rPr>
            </w:pPr>
            <w:r w:rsidRPr="004A59B1">
              <w:rPr>
                <w:rFonts w:ascii="Times New Roman" w:hAnsi="Times New Roman"/>
                <w:b/>
                <w:color w:val="000000"/>
                <w:sz w:val="22"/>
                <w:szCs w:val="22"/>
                <w:lang w:val="pt-BR"/>
              </w:rPr>
              <w:t xml:space="preserve">Študija </w:t>
            </w:r>
            <w:r w:rsidRPr="004A59B1">
              <w:rPr>
                <w:rFonts w:ascii="Times New Roman" w:hAnsi="Times New Roman"/>
                <w:b/>
                <w:color w:val="000000"/>
                <w:sz w:val="22"/>
                <w:szCs w:val="22"/>
              </w:rPr>
              <w:t>AAU02</w:t>
            </w:r>
          </w:p>
        </w:tc>
        <w:tc>
          <w:tcPr>
            <w:tcW w:w="2652" w:type="dxa"/>
            <w:tcBorders>
              <w:top w:val="single" w:sz="4" w:space="0" w:color="auto"/>
              <w:bottom w:val="single" w:sz="4" w:space="0" w:color="auto"/>
            </w:tcBorders>
            <w:shd w:val="clear" w:color="auto" w:fill="auto"/>
          </w:tcPr>
          <w:p w14:paraId="5297A068" w14:textId="77777777" w:rsidR="00FF48C2" w:rsidRPr="004A59B1" w:rsidRDefault="00FF48C2" w:rsidP="000A6242">
            <w:pPr>
              <w:pStyle w:val="Table"/>
              <w:keepLines w:val="0"/>
              <w:widowControl w:val="0"/>
              <w:spacing w:before="0" w:after="0"/>
              <w:rPr>
                <w:rFonts w:ascii="Times New Roman" w:hAnsi="Times New Roman"/>
                <w:color w:val="000000"/>
                <w:sz w:val="22"/>
                <w:szCs w:val="22"/>
              </w:rPr>
            </w:pPr>
          </w:p>
        </w:tc>
        <w:tc>
          <w:tcPr>
            <w:tcW w:w="1080" w:type="dxa"/>
            <w:tcBorders>
              <w:top w:val="single" w:sz="4" w:space="0" w:color="auto"/>
              <w:bottom w:val="single" w:sz="4" w:space="0" w:color="auto"/>
            </w:tcBorders>
          </w:tcPr>
          <w:p w14:paraId="5297A069" w14:textId="77777777" w:rsidR="00FF48C2" w:rsidRPr="004A59B1" w:rsidRDefault="00FF48C2" w:rsidP="000A6242">
            <w:pPr>
              <w:pStyle w:val="Table"/>
              <w:keepLines w:val="0"/>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5297A06A" w14:textId="77777777" w:rsidR="00FF48C2" w:rsidRPr="004A59B1" w:rsidRDefault="00FF48C2" w:rsidP="000A6242">
            <w:pPr>
              <w:pStyle w:val="Table"/>
              <w:keepLines w:val="0"/>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5297A06B" w14:textId="77777777" w:rsidR="00FF48C2" w:rsidRPr="004A59B1" w:rsidRDefault="00FF48C2" w:rsidP="000A6242">
            <w:pPr>
              <w:pStyle w:val="Table"/>
              <w:keepLines w:val="0"/>
              <w:widowControl w:val="0"/>
              <w:spacing w:before="0" w:after="0"/>
              <w:rPr>
                <w:rFonts w:ascii="Times New Roman" w:hAnsi="Times New Roman"/>
                <w:color w:val="000000"/>
                <w:sz w:val="22"/>
                <w:szCs w:val="22"/>
              </w:rPr>
            </w:pPr>
          </w:p>
        </w:tc>
      </w:tr>
      <w:tr w:rsidR="00FF48C2" w:rsidRPr="003B6568" w14:paraId="5297A076" w14:textId="77777777" w:rsidTr="000A6242">
        <w:trPr>
          <w:cantSplit/>
        </w:trPr>
        <w:tc>
          <w:tcPr>
            <w:tcW w:w="2148" w:type="dxa"/>
            <w:tcBorders>
              <w:top w:val="single" w:sz="4" w:space="0" w:color="auto"/>
              <w:bottom w:val="single" w:sz="4" w:space="0" w:color="auto"/>
            </w:tcBorders>
            <w:shd w:val="clear" w:color="auto" w:fill="auto"/>
          </w:tcPr>
          <w:p w14:paraId="5297A06D" w14:textId="77777777" w:rsidR="00FF48C2" w:rsidRPr="004A59B1" w:rsidRDefault="00FF48C2" w:rsidP="000A6242">
            <w:pPr>
              <w:pStyle w:val="Table"/>
              <w:keepLines w:val="0"/>
              <w:widowControl w:val="0"/>
              <w:spacing w:before="0" w:after="0"/>
              <w:rPr>
                <w:rFonts w:ascii="Times New Roman" w:hAnsi="Times New Roman"/>
                <w:color w:val="000000"/>
                <w:sz w:val="22"/>
                <w:szCs w:val="22"/>
                <w:lang w:val="en-GB"/>
              </w:rPr>
            </w:pPr>
            <w:r w:rsidRPr="004A59B1">
              <w:rPr>
                <w:rFonts w:ascii="Times New Roman" w:hAnsi="Times New Roman"/>
                <w:color w:val="000000"/>
                <w:sz w:val="22"/>
                <w:szCs w:val="22"/>
                <w:lang w:val="en-GB"/>
              </w:rPr>
              <w:t>indukcijsko zdravljenje (novo odkrita Ph+ ALL)</w:t>
            </w:r>
          </w:p>
        </w:tc>
        <w:tc>
          <w:tcPr>
            <w:tcW w:w="6732" w:type="dxa"/>
            <w:gridSpan w:val="4"/>
            <w:tcBorders>
              <w:top w:val="single" w:sz="4" w:space="0" w:color="auto"/>
              <w:bottom w:val="single" w:sz="4" w:space="0" w:color="auto"/>
            </w:tcBorders>
            <w:shd w:val="clear" w:color="auto" w:fill="auto"/>
          </w:tcPr>
          <w:p w14:paraId="5297A06E" w14:textId="77777777" w:rsidR="00FF48C2" w:rsidRPr="004A59B1" w:rsidRDefault="00FF48C2" w:rsidP="000A6242">
            <w:pPr>
              <w:pStyle w:val="Table"/>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daunorubicin 30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1.-3., 15.-16. dan;</w:t>
            </w:r>
          </w:p>
          <w:p w14:paraId="5297A06F" w14:textId="77777777" w:rsidR="00FF48C2" w:rsidRPr="004A59B1" w:rsidRDefault="00FF48C2" w:rsidP="000A6242">
            <w:pPr>
              <w:pStyle w:val="Table"/>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VCR skupni odmerek 2 mg i.v., 1., 8., 15., 22. dan;</w:t>
            </w:r>
          </w:p>
          <w:p w14:paraId="5297A070" w14:textId="77777777" w:rsidR="00FF48C2" w:rsidRPr="004A59B1" w:rsidRDefault="00FF48C2" w:rsidP="000A6242">
            <w:pPr>
              <w:pStyle w:val="Table"/>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CP 750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1., 8. dan;</w:t>
            </w:r>
          </w:p>
          <w:p w14:paraId="5297A071" w14:textId="77777777" w:rsidR="00FF48C2" w:rsidRPr="004A59B1" w:rsidRDefault="00FF48C2" w:rsidP="000A6242">
            <w:pPr>
              <w:pStyle w:val="Table"/>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prednizon 60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peroralno, 1.-7., 15.-21. dan;</w:t>
            </w:r>
          </w:p>
          <w:p w14:paraId="5297A072" w14:textId="77777777" w:rsidR="00FF48C2" w:rsidRPr="004A59B1" w:rsidRDefault="00FF48C2" w:rsidP="000A6242">
            <w:pPr>
              <w:pStyle w:val="Table"/>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IDA 9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peroralno, 1.-28. dan;</w:t>
            </w:r>
          </w:p>
          <w:p w14:paraId="5297A073" w14:textId="77777777" w:rsidR="00FF48C2" w:rsidRPr="004A59B1" w:rsidRDefault="00FF48C2" w:rsidP="000A6242">
            <w:pPr>
              <w:pStyle w:val="Table"/>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MTX 15 mg intratekalno,1., 8., 15., 22. dan;</w:t>
            </w:r>
          </w:p>
          <w:p w14:paraId="5297A074" w14:textId="77777777" w:rsidR="00FF48C2" w:rsidRPr="004A59B1" w:rsidRDefault="00FF48C2" w:rsidP="000A6242">
            <w:pPr>
              <w:pStyle w:val="Table"/>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Ara-C 40 mg intratekalno, 1., 8., 15., 22. dan;</w:t>
            </w:r>
          </w:p>
          <w:p w14:paraId="5297A075" w14:textId="77777777" w:rsidR="00FF48C2" w:rsidRPr="002227FB" w:rsidRDefault="00FF48C2" w:rsidP="000A6242">
            <w:pPr>
              <w:pStyle w:val="Table"/>
              <w:keepLines w:val="0"/>
              <w:widowControl w:val="0"/>
              <w:spacing w:before="0" w:after="0"/>
              <w:rPr>
                <w:rFonts w:ascii="Times New Roman" w:hAnsi="Times New Roman"/>
                <w:color w:val="000000"/>
                <w:sz w:val="22"/>
                <w:szCs w:val="22"/>
                <w:lang w:val="es-ES"/>
              </w:rPr>
            </w:pPr>
            <w:r w:rsidRPr="002227FB">
              <w:rPr>
                <w:rFonts w:ascii="Times New Roman" w:hAnsi="Times New Roman"/>
                <w:color w:val="000000"/>
                <w:sz w:val="22"/>
                <w:szCs w:val="22"/>
                <w:lang w:val="es-ES"/>
              </w:rPr>
              <w:t>metilprednizolon 40 mg intratekalno, 1., 8., 15., 22. dan</w:t>
            </w:r>
          </w:p>
        </w:tc>
      </w:tr>
      <w:tr w:rsidR="00FF48C2" w:rsidRPr="004A59B1" w14:paraId="5297A07C" w14:textId="77777777" w:rsidTr="000A6242">
        <w:trPr>
          <w:cantSplit/>
        </w:trPr>
        <w:tc>
          <w:tcPr>
            <w:tcW w:w="2148" w:type="dxa"/>
            <w:tcBorders>
              <w:top w:val="single" w:sz="4" w:space="0" w:color="auto"/>
              <w:bottom w:val="single" w:sz="4" w:space="0" w:color="auto"/>
            </w:tcBorders>
            <w:shd w:val="clear" w:color="auto" w:fill="auto"/>
          </w:tcPr>
          <w:p w14:paraId="5297A077" w14:textId="77777777" w:rsidR="00FF48C2" w:rsidRPr="004A59B1" w:rsidRDefault="00FF48C2" w:rsidP="000A6242">
            <w:pPr>
              <w:pStyle w:val="Table"/>
              <w:keepNext w:val="0"/>
              <w:keepLines w:val="0"/>
              <w:widowControl w:val="0"/>
              <w:spacing w:before="0" w:after="0"/>
              <w:rPr>
                <w:rFonts w:ascii="Times New Roman" w:hAnsi="Times New Roman"/>
                <w:color w:val="000000"/>
                <w:sz w:val="22"/>
                <w:szCs w:val="22"/>
                <w:lang w:val="de-CH"/>
              </w:rPr>
            </w:pPr>
            <w:r w:rsidRPr="004A59B1">
              <w:rPr>
                <w:rFonts w:ascii="Times New Roman" w:hAnsi="Times New Roman"/>
                <w:color w:val="000000"/>
                <w:sz w:val="22"/>
                <w:szCs w:val="22"/>
                <w:lang w:val="de-CH"/>
              </w:rPr>
              <w:t>konsolidacija (novo odkrita Ph+ ALL)</w:t>
            </w:r>
          </w:p>
        </w:tc>
        <w:tc>
          <w:tcPr>
            <w:tcW w:w="6732" w:type="dxa"/>
            <w:gridSpan w:val="4"/>
            <w:tcBorders>
              <w:top w:val="single" w:sz="4" w:space="0" w:color="auto"/>
              <w:bottom w:val="single" w:sz="4" w:space="0" w:color="auto"/>
            </w:tcBorders>
            <w:shd w:val="clear" w:color="auto" w:fill="auto"/>
          </w:tcPr>
          <w:p w14:paraId="5297A078" w14:textId="77777777" w:rsidR="00FF48C2" w:rsidRPr="004A59B1" w:rsidRDefault="00FF48C2" w:rsidP="000A6242">
            <w:pPr>
              <w:pStyle w:val="Table"/>
              <w:keepNext w:val="0"/>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Ara-C 1.000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/12 ur i.v.(3 ure), 1.-4. dan;</w:t>
            </w:r>
          </w:p>
          <w:p w14:paraId="5297A079" w14:textId="77777777" w:rsidR="00FF48C2" w:rsidRPr="004A59B1" w:rsidRDefault="00FF48C2" w:rsidP="000A6242">
            <w:pPr>
              <w:pStyle w:val="Table"/>
              <w:keepNext w:val="0"/>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mitoksantron 10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3.-5. dan;</w:t>
            </w:r>
          </w:p>
          <w:p w14:paraId="5297A07A" w14:textId="77777777" w:rsidR="00FF48C2" w:rsidRPr="004A59B1" w:rsidRDefault="00FF48C2" w:rsidP="000A6242">
            <w:pPr>
              <w:pStyle w:val="Table"/>
              <w:keepNext w:val="0"/>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MTX 15 mg intratekalno, 1.dan;</w:t>
            </w:r>
          </w:p>
          <w:p w14:paraId="5297A07B" w14:textId="77777777" w:rsidR="00FF48C2" w:rsidRPr="004A59B1" w:rsidRDefault="00FF48C2" w:rsidP="000A6242">
            <w:pPr>
              <w:pStyle w:val="Table"/>
              <w:keepNext w:val="0"/>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metilprednizolon 40 mg intratekalno, 1. dan</w:t>
            </w:r>
          </w:p>
        </w:tc>
      </w:tr>
      <w:tr w:rsidR="00FF48C2" w:rsidRPr="004A59B1" w14:paraId="5297A081" w14:textId="77777777" w:rsidTr="000A6242">
        <w:trPr>
          <w:cantSplit/>
        </w:trPr>
        <w:tc>
          <w:tcPr>
            <w:tcW w:w="4800" w:type="dxa"/>
            <w:gridSpan w:val="2"/>
            <w:tcBorders>
              <w:top w:val="single" w:sz="4" w:space="0" w:color="auto"/>
              <w:bottom w:val="single" w:sz="4" w:space="0" w:color="auto"/>
            </w:tcBorders>
            <w:shd w:val="clear" w:color="auto" w:fill="auto"/>
          </w:tcPr>
          <w:p w14:paraId="5297A07D" w14:textId="77777777" w:rsidR="00FF48C2" w:rsidRPr="004A59B1" w:rsidRDefault="00FF48C2" w:rsidP="000A6242">
            <w:pPr>
              <w:pStyle w:val="Table"/>
              <w:keepLines w:val="0"/>
              <w:widowControl w:val="0"/>
              <w:spacing w:before="0" w:after="0"/>
              <w:rPr>
                <w:rFonts w:ascii="Times New Roman" w:hAnsi="Times New Roman"/>
                <w:b/>
                <w:color w:val="000000"/>
                <w:sz w:val="22"/>
                <w:szCs w:val="22"/>
              </w:rPr>
            </w:pPr>
            <w:r w:rsidRPr="004A59B1">
              <w:rPr>
                <w:rFonts w:ascii="Times New Roman" w:hAnsi="Times New Roman"/>
                <w:b/>
                <w:color w:val="000000"/>
                <w:sz w:val="22"/>
                <w:szCs w:val="22"/>
                <w:lang w:val="de-DE"/>
              </w:rPr>
              <w:t>Študija</w:t>
            </w:r>
            <w:r w:rsidRPr="004A59B1">
              <w:rPr>
                <w:rFonts w:ascii="Times New Roman" w:hAnsi="Times New Roman"/>
                <w:b/>
                <w:color w:val="000000"/>
                <w:sz w:val="22"/>
                <w:szCs w:val="22"/>
              </w:rPr>
              <w:t xml:space="preserve"> ADE04</w:t>
            </w:r>
          </w:p>
        </w:tc>
        <w:tc>
          <w:tcPr>
            <w:tcW w:w="1080" w:type="dxa"/>
            <w:tcBorders>
              <w:top w:val="single" w:sz="4" w:space="0" w:color="auto"/>
              <w:bottom w:val="single" w:sz="4" w:space="0" w:color="auto"/>
            </w:tcBorders>
          </w:tcPr>
          <w:p w14:paraId="5297A07E" w14:textId="77777777" w:rsidR="00FF48C2" w:rsidRPr="004A59B1" w:rsidRDefault="00FF48C2" w:rsidP="000A6242">
            <w:pPr>
              <w:pStyle w:val="Table"/>
              <w:keepLines w:val="0"/>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5297A07F" w14:textId="77777777" w:rsidR="00FF48C2" w:rsidRPr="004A59B1" w:rsidRDefault="00FF48C2" w:rsidP="000A6242">
            <w:pPr>
              <w:pStyle w:val="Table"/>
              <w:keepLines w:val="0"/>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5297A080" w14:textId="77777777" w:rsidR="00FF48C2" w:rsidRPr="004A59B1" w:rsidRDefault="00FF48C2" w:rsidP="000A6242">
            <w:pPr>
              <w:pStyle w:val="Table"/>
              <w:keepLines w:val="0"/>
              <w:widowControl w:val="0"/>
              <w:spacing w:before="0" w:after="0"/>
              <w:rPr>
                <w:rFonts w:ascii="Times New Roman" w:hAnsi="Times New Roman"/>
                <w:color w:val="000000"/>
                <w:sz w:val="22"/>
                <w:szCs w:val="22"/>
              </w:rPr>
            </w:pPr>
          </w:p>
        </w:tc>
      </w:tr>
      <w:tr w:rsidR="00FF48C2" w:rsidRPr="004A59B1" w14:paraId="5297A086" w14:textId="77777777" w:rsidTr="000A6242">
        <w:trPr>
          <w:cantSplit/>
        </w:trPr>
        <w:tc>
          <w:tcPr>
            <w:tcW w:w="2148" w:type="dxa"/>
            <w:tcBorders>
              <w:top w:val="single" w:sz="4" w:space="0" w:color="auto"/>
              <w:bottom w:val="single" w:sz="4" w:space="0" w:color="auto"/>
            </w:tcBorders>
            <w:shd w:val="clear" w:color="auto" w:fill="auto"/>
          </w:tcPr>
          <w:p w14:paraId="5297A082" w14:textId="77777777" w:rsidR="00FF48C2" w:rsidRPr="004A59B1" w:rsidRDefault="00FF48C2" w:rsidP="000A6242">
            <w:pPr>
              <w:pStyle w:val="Table"/>
              <w:keepLines w:val="0"/>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predhodna faza</w:t>
            </w:r>
          </w:p>
        </w:tc>
        <w:tc>
          <w:tcPr>
            <w:tcW w:w="6732" w:type="dxa"/>
            <w:gridSpan w:val="4"/>
            <w:tcBorders>
              <w:top w:val="single" w:sz="4" w:space="0" w:color="auto"/>
              <w:bottom w:val="single" w:sz="4" w:space="0" w:color="auto"/>
            </w:tcBorders>
            <w:shd w:val="clear" w:color="auto" w:fill="auto"/>
          </w:tcPr>
          <w:p w14:paraId="5297A083" w14:textId="77777777" w:rsidR="00FF48C2" w:rsidRPr="004A59B1" w:rsidRDefault="00FF48C2" w:rsidP="000A6242">
            <w:pPr>
              <w:pStyle w:val="Table"/>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DEX 10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peroralno, 1.-5. dan;</w:t>
            </w:r>
          </w:p>
          <w:p w14:paraId="5297A084" w14:textId="77777777" w:rsidR="00FF48C2" w:rsidRPr="004A59B1" w:rsidRDefault="00FF48C2" w:rsidP="000A6242">
            <w:pPr>
              <w:pStyle w:val="Table"/>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CP 200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3.-5. dan;</w:t>
            </w:r>
          </w:p>
          <w:p w14:paraId="5297A085" w14:textId="77777777" w:rsidR="00FF48C2" w:rsidRPr="004A59B1" w:rsidRDefault="00FF48C2" w:rsidP="000A6242">
            <w:pPr>
              <w:pStyle w:val="Table"/>
              <w:keepLines w:val="0"/>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MTX 15 mg intratekalno, 1. dan</w:t>
            </w:r>
          </w:p>
        </w:tc>
      </w:tr>
      <w:tr w:rsidR="00FF48C2" w:rsidRPr="003B6568" w14:paraId="5297A08B" w14:textId="77777777" w:rsidTr="000A6242">
        <w:trPr>
          <w:cantSplit/>
        </w:trPr>
        <w:tc>
          <w:tcPr>
            <w:tcW w:w="2148" w:type="dxa"/>
            <w:tcBorders>
              <w:top w:val="single" w:sz="4" w:space="0" w:color="auto"/>
              <w:bottom w:val="single" w:sz="4" w:space="0" w:color="auto"/>
            </w:tcBorders>
            <w:shd w:val="clear" w:color="auto" w:fill="auto"/>
          </w:tcPr>
          <w:p w14:paraId="5297A087" w14:textId="77777777" w:rsidR="00FF48C2" w:rsidRPr="004A59B1" w:rsidRDefault="00FF48C2" w:rsidP="000A6242">
            <w:pPr>
              <w:pStyle w:val="Table"/>
              <w:keepLines w:val="0"/>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indukcijsko zdravljenje I</w:t>
            </w:r>
          </w:p>
        </w:tc>
        <w:tc>
          <w:tcPr>
            <w:tcW w:w="6732" w:type="dxa"/>
            <w:gridSpan w:val="4"/>
            <w:tcBorders>
              <w:top w:val="single" w:sz="4" w:space="0" w:color="auto"/>
              <w:bottom w:val="single" w:sz="4" w:space="0" w:color="auto"/>
            </w:tcBorders>
            <w:shd w:val="clear" w:color="auto" w:fill="auto"/>
          </w:tcPr>
          <w:p w14:paraId="5297A088" w14:textId="77777777" w:rsidR="00FF48C2" w:rsidRPr="004A59B1" w:rsidRDefault="00FF48C2" w:rsidP="000A6242">
            <w:pPr>
              <w:pStyle w:val="Table"/>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DEX 10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peroralno, 1.-5. dan;</w:t>
            </w:r>
          </w:p>
          <w:p w14:paraId="5297A089" w14:textId="77777777" w:rsidR="00FF48C2" w:rsidRPr="004A59B1" w:rsidRDefault="00FF48C2" w:rsidP="000A6242">
            <w:pPr>
              <w:pStyle w:val="Table"/>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VCR 2 mg i.v., 6., 13., 20. dan;</w:t>
            </w:r>
          </w:p>
          <w:p w14:paraId="5297A08A" w14:textId="77777777" w:rsidR="00FF48C2" w:rsidRPr="004A59B1" w:rsidRDefault="00FF48C2" w:rsidP="000A6242">
            <w:pPr>
              <w:pStyle w:val="Table"/>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daunorubicin 45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6.-7., 13.-14. dan</w:t>
            </w:r>
          </w:p>
        </w:tc>
      </w:tr>
      <w:tr w:rsidR="00FF48C2" w:rsidRPr="004A59B1" w14:paraId="5297A090" w14:textId="77777777" w:rsidTr="000A6242">
        <w:trPr>
          <w:cantSplit/>
        </w:trPr>
        <w:tc>
          <w:tcPr>
            <w:tcW w:w="2148" w:type="dxa"/>
            <w:tcBorders>
              <w:top w:val="single" w:sz="4" w:space="0" w:color="auto"/>
              <w:bottom w:val="single" w:sz="4" w:space="0" w:color="auto"/>
            </w:tcBorders>
            <w:shd w:val="clear" w:color="auto" w:fill="auto"/>
          </w:tcPr>
          <w:p w14:paraId="5297A08C" w14:textId="77777777" w:rsidR="00FF48C2" w:rsidRPr="004A59B1" w:rsidRDefault="00FF48C2" w:rsidP="000A6242">
            <w:pPr>
              <w:pStyle w:val="Table"/>
              <w:keepLines w:val="0"/>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indukcijsko zdravljenje II</w:t>
            </w:r>
          </w:p>
        </w:tc>
        <w:tc>
          <w:tcPr>
            <w:tcW w:w="6732" w:type="dxa"/>
            <w:gridSpan w:val="4"/>
            <w:tcBorders>
              <w:top w:val="single" w:sz="4" w:space="0" w:color="auto"/>
              <w:bottom w:val="single" w:sz="4" w:space="0" w:color="auto"/>
            </w:tcBorders>
            <w:shd w:val="clear" w:color="auto" w:fill="auto"/>
          </w:tcPr>
          <w:p w14:paraId="5297A08D" w14:textId="77777777" w:rsidR="00FF48C2" w:rsidRPr="004A59B1" w:rsidRDefault="00FF48C2" w:rsidP="000A6242">
            <w:pPr>
              <w:pStyle w:val="Table"/>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CP 1 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(1 ura), 26., 46. dan;</w:t>
            </w:r>
          </w:p>
          <w:p w14:paraId="5297A08E" w14:textId="77777777" w:rsidR="00FF48C2" w:rsidRPr="004A59B1" w:rsidRDefault="00FF48C2" w:rsidP="000A6242">
            <w:pPr>
              <w:pStyle w:val="Table"/>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Ara-C 75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(1 ura), 28.-31., 35.-38., 42.-45. dan;</w:t>
            </w:r>
          </w:p>
          <w:p w14:paraId="5297A08F" w14:textId="77777777" w:rsidR="00FF48C2" w:rsidRPr="004A59B1" w:rsidRDefault="00FF48C2" w:rsidP="000A6242">
            <w:pPr>
              <w:pStyle w:val="Table"/>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6-MP 60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peroralno, 26.-46. dan</w:t>
            </w:r>
          </w:p>
        </w:tc>
      </w:tr>
      <w:tr w:rsidR="00FF48C2" w:rsidRPr="004A59B1" w14:paraId="5297A097" w14:textId="77777777" w:rsidTr="000A6242">
        <w:trPr>
          <w:cantSplit/>
        </w:trPr>
        <w:tc>
          <w:tcPr>
            <w:tcW w:w="2148" w:type="dxa"/>
            <w:tcBorders>
              <w:top w:val="nil"/>
              <w:bottom w:val="single" w:sz="4" w:space="0" w:color="auto"/>
            </w:tcBorders>
            <w:shd w:val="clear" w:color="auto" w:fill="auto"/>
          </w:tcPr>
          <w:p w14:paraId="5297A091" w14:textId="77777777" w:rsidR="00FF48C2" w:rsidRPr="004A59B1" w:rsidRDefault="00FF48C2" w:rsidP="000A6242">
            <w:pPr>
              <w:pStyle w:val="Table"/>
              <w:keepNext w:val="0"/>
              <w:keepLines w:val="0"/>
              <w:widowControl w:val="0"/>
              <w:spacing w:before="0" w:after="0"/>
              <w:rPr>
                <w:rFonts w:ascii="Times New Roman" w:hAnsi="Times New Roman"/>
                <w:color w:val="000000"/>
                <w:sz w:val="22"/>
                <w:szCs w:val="22"/>
              </w:rPr>
            </w:pPr>
            <w:r w:rsidRPr="004A59B1">
              <w:rPr>
                <w:rFonts w:ascii="Times New Roman" w:hAnsi="Times New Roman"/>
                <w:color w:val="000000"/>
                <w:sz w:val="22"/>
                <w:szCs w:val="22"/>
                <w:lang w:val="pl-PL"/>
              </w:rPr>
              <w:t>k</w:t>
            </w:r>
            <w:r w:rsidRPr="004A59B1">
              <w:rPr>
                <w:rFonts w:ascii="Times New Roman" w:hAnsi="Times New Roman"/>
                <w:color w:val="000000"/>
                <w:sz w:val="22"/>
                <w:szCs w:val="22"/>
              </w:rPr>
              <w:t>onsolidacijsko zdravljenje</w:t>
            </w:r>
          </w:p>
        </w:tc>
        <w:tc>
          <w:tcPr>
            <w:tcW w:w="6732" w:type="dxa"/>
            <w:gridSpan w:val="4"/>
            <w:tcBorders>
              <w:top w:val="nil"/>
              <w:bottom w:val="single" w:sz="4" w:space="0" w:color="auto"/>
            </w:tcBorders>
            <w:shd w:val="clear" w:color="auto" w:fill="auto"/>
          </w:tcPr>
          <w:p w14:paraId="5297A092" w14:textId="77777777" w:rsidR="00FF48C2" w:rsidRPr="004A59B1" w:rsidRDefault="00FF48C2" w:rsidP="000A6242">
            <w:pPr>
              <w:pStyle w:val="Table"/>
              <w:keepNext w:val="0"/>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DEX 10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peroralno, 1.-5. dan;</w:t>
            </w:r>
          </w:p>
          <w:p w14:paraId="5297A093" w14:textId="77777777" w:rsidR="00FF48C2" w:rsidRPr="004A59B1" w:rsidRDefault="00FF48C2" w:rsidP="000A6242">
            <w:pPr>
              <w:pStyle w:val="Table"/>
              <w:keepNext w:val="0"/>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vindezin 3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1. dan;</w:t>
            </w:r>
          </w:p>
          <w:p w14:paraId="5297A094" w14:textId="77777777" w:rsidR="00FF48C2" w:rsidRPr="004A59B1" w:rsidRDefault="00FF48C2" w:rsidP="000A6242">
            <w:pPr>
              <w:pStyle w:val="Table"/>
              <w:keepNext w:val="0"/>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MTX 1,5 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(24 ur), 1. dan;</w:t>
            </w:r>
          </w:p>
          <w:p w14:paraId="5297A095" w14:textId="77777777" w:rsidR="00FF48C2" w:rsidRPr="004A59B1" w:rsidRDefault="00FF48C2" w:rsidP="000A6242">
            <w:pPr>
              <w:pStyle w:val="Table"/>
              <w:keepNext w:val="0"/>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etopozid 250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(1 ura) 4.-5. dan;</w:t>
            </w:r>
          </w:p>
          <w:p w14:paraId="5297A096" w14:textId="77777777" w:rsidR="00FF48C2" w:rsidRPr="004A59B1" w:rsidRDefault="00FF48C2" w:rsidP="000A6242">
            <w:pPr>
              <w:pStyle w:val="Table"/>
              <w:keepNext w:val="0"/>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Ara-C 2x 2 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(3 ure, na 12 ur), 5. dan</w:t>
            </w:r>
          </w:p>
        </w:tc>
      </w:tr>
      <w:tr w:rsidR="00FF48C2" w:rsidRPr="004A59B1" w14:paraId="5297A09D" w14:textId="77777777" w:rsidTr="000A6242">
        <w:trPr>
          <w:cantSplit/>
        </w:trPr>
        <w:tc>
          <w:tcPr>
            <w:tcW w:w="2148" w:type="dxa"/>
            <w:tcBorders>
              <w:top w:val="nil"/>
              <w:bottom w:val="single" w:sz="4" w:space="0" w:color="auto"/>
            </w:tcBorders>
            <w:shd w:val="clear" w:color="auto" w:fill="auto"/>
          </w:tcPr>
          <w:p w14:paraId="5297A098" w14:textId="77777777" w:rsidR="00FF48C2" w:rsidRPr="004A59B1" w:rsidRDefault="00FF48C2" w:rsidP="000A6242">
            <w:pPr>
              <w:pStyle w:val="Table"/>
              <w:keepLines w:val="0"/>
              <w:widowControl w:val="0"/>
              <w:spacing w:before="0" w:after="0"/>
              <w:rPr>
                <w:rFonts w:ascii="Times New Roman" w:hAnsi="Times New Roman"/>
                <w:b/>
                <w:color w:val="000000"/>
                <w:sz w:val="22"/>
                <w:szCs w:val="22"/>
              </w:rPr>
            </w:pPr>
            <w:r w:rsidRPr="004A59B1">
              <w:rPr>
                <w:rFonts w:ascii="Times New Roman" w:hAnsi="Times New Roman"/>
                <w:b/>
                <w:color w:val="000000"/>
                <w:sz w:val="22"/>
                <w:szCs w:val="22"/>
              </w:rPr>
              <w:t>Študija AJP01</w:t>
            </w:r>
          </w:p>
        </w:tc>
        <w:tc>
          <w:tcPr>
            <w:tcW w:w="2652" w:type="dxa"/>
            <w:tcBorders>
              <w:top w:val="nil"/>
              <w:bottom w:val="single" w:sz="4" w:space="0" w:color="auto"/>
            </w:tcBorders>
            <w:shd w:val="clear" w:color="auto" w:fill="auto"/>
          </w:tcPr>
          <w:p w14:paraId="5297A099" w14:textId="77777777" w:rsidR="00FF48C2" w:rsidRPr="004A59B1" w:rsidRDefault="00FF48C2" w:rsidP="000A6242">
            <w:pPr>
              <w:pStyle w:val="Table"/>
              <w:keepLines w:val="0"/>
              <w:widowControl w:val="0"/>
              <w:spacing w:before="0" w:after="0"/>
              <w:rPr>
                <w:rFonts w:ascii="Times New Roman" w:hAnsi="Times New Roman"/>
                <w:color w:val="000000"/>
                <w:sz w:val="22"/>
                <w:szCs w:val="22"/>
              </w:rPr>
            </w:pPr>
          </w:p>
        </w:tc>
        <w:tc>
          <w:tcPr>
            <w:tcW w:w="1080" w:type="dxa"/>
            <w:tcBorders>
              <w:top w:val="nil"/>
              <w:bottom w:val="single" w:sz="4" w:space="0" w:color="auto"/>
            </w:tcBorders>
          </w:tcPr>
          <w:p w14:paraId="5297A09A" w14:textId="77777777" w:rsidR="00FF48C2" w:rsidRPr="004A59B1" w:rsidRDefault="00FF48C2" w:rsidP="000A6242">
            <w:pPr>
              <w:pStyle w:val="Table"/>
              <w:keepLines w:val="0"/>
              <w:widowControl w:val="0"/>
              <w:spacing w:before="0" w:after="0"/>
              <w:rPr>
                <w:rFonts w:ascii="Times New Roman" w:hAnsi="Times New Roman"/>
                <w:color w:val="000000"/>
                <w:sz w:val="22"/>
                <w:szCs w:val="22"/>
              </w:rPr>
            </w:pPr>
          </w:p>
        </w:tc>
        <w:tc>
          <w:tcPr>
            <w:tcW w:w="1380" w:type="dxa"/>
            <w:tcBorders>
              <w:top w:val="nil"/>
              <w:bottom w:val="single" w:sz="4" w:space="0" w:color="auto"/>
            </w:tcBorders>
          </w:tcPr>
          <w:p w14:paraId="5297A09B" w14:textId="77777777" w:rsidR="00FF48C2" w:rsidRPr="004A59B1" w:rsidRDefault="00FF48C2" w:rsidP="000A6242">
            <w:pPr>
              <w:pStyle w:val="Table"/>
              <w:keepLines w:val="0"/>
              <w:widowControl w:val="0"/>
              <w:spacing w:before="0" w:after="0"/>
              <w:rPr>
                <w:rFonts w:ascii="Times New Roman" w:hAnsi="Times New Roman"/>
                <w:color w:val="000000"/>
                <w:sz w:val="22"/>
                <w:szCs w:val="22"/>
              </w:rPr>
            </w:pPr>
          </w:p>
        </w:tc>
        <w:tc>
          <w:tcPr>
            <w:tcW w:w="1620" w:type="dxa"/>
            <w:tcBorders>
              <w:top w:val="nil"/>
              <w:bottom w:val="single" w:sz="4" w:space="0" w:color="auto"/>
            </w:tcBorders>
          </w:tcPr>
          <w:p w14:paraId="5297A09C" w14:textId="77777777" w:rsidR="00FF48C2" w:rsidRPr="004A59B1" w:rsidRDefault="00FF48C2" w:rsidP="000A6242">
            <w:pPr>
              <w:pStyle w:val="Table"/>
              <w:keepLines w:val="0"/>
              <w:widowControl w:val="0"/>
              <w:spacing w:before="0" w:after="0"/>
              <w:rPr>
                <w:rFonts w:ascii="Times New Roman" w:hAnsi="Times New Roman"/>
                <w:color w:val="000000"/>
                <w:sz w:val="22"/>
                <w:szCs w:val="22"/>
              </w:rPr>
            </w:pPr>
          </w:p>
        </w:tc>
      </w:tr>
      <w:tr w:rsidR="00FF48C2" w:rsidRPr="004A59B1" w14:paraId="5297A0A3" w14:textId="77777777" w:rsidTr="000A6242">
        <w:trPr>
          <w:cantSplit/>
        </w:trPr>
        <w:tc>
          <w:tcPr>
            <w:tcW w:w="2148" w:type="dxa"/>
            <w:tcBorders>
              <w:top w:val="nil"/>
              <w:bottom w:val="single" w:sz="4" w:space="0" w:color="auto"/>
            </w:tcBorders>
            <w:shd w:val="clear" w:color="auto" w:fill="auto"/>
          </w:tcPr>
          <w:p w14:paraId="5297A09E" w14:textId="77777777" w:rsidR="00FF48C2" w:rsidRPr="004A59B1" w:rsidRDefault="00FF48C2" w:rsidP="000A6242">
            <w:pPr>
              <w:pStyle w:val="Table"/>
              <w:keepLines w:val="0"/>
              <w:widowControl w:val="0"/>
              <w:spacing w:before="0" w:after="0"/>
              <w:jc w:val="both"/>
              <w:rPr>
                <w:rFonts w:ascii="Times New Roman" w:hAnsi="Times New Roman"/>
                <w:color w:val="000000"/>
                <w:sz w:val="22"/>
                <w:szCs w:val="22"/>
              </w:rPr>
            </w:pPr>
            <w:r w:rsidRPr="004A59B1">
              <w:rPr>
                <w:rFonts w:ascii="Times New Roman" w:hAnsi="Times New Roman"/>
                <w:color w:val="000000"/>
                <w:sz w:val="22"/>
                <w:szCs w:val="22"/>
              </w:rPr>
              <w:t>indukcijsko zdravljenje</w:t>
            </w:r>
          </w:p>
        </w:tc>
        <w:tc>
          <w:tcPr>
            <w:tcW w:w="6732" w:type="dxa"/>
            <w:gridSpan w:val="4"/>
            <w:tcBorders>
              <w:top w:val="nil"/>
              <w:bottom w:val="single" w:sz="4" w:space="0" w:color="auto"/>
            </w:tcBorders>
            <w:shd w:val="clear" w:color="auto" w:fill="auto"/>
          </w:tcPr>
          <w:p w14:paraId="5297A09F" w14:textId="77777777" w:rsidR="00FF48C2" w:rsidRPr="004A59B1" w:rsidRDefault="00FF48C2" w:rsidP="000A6242">
            <w:pPr>
              <w:pStyle w:val="Table"/>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CP 1,2 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(3 ure), 1. dan;</w:t>
            </w:r>
          </w:p>
          <w:p w14:paraId="5297A0A0" w14:textId="77777777" w:rsidR="00FF48C2" w:rsidRPr="004A59B1" w:rsidRDefault="00FF48C2" w:rsidP="000A6242">
            <w:pPr>
              <w:pStyle w:val="Table"/>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daunorubicin 60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(1 ura), 1.-3. dan;</w:t>
            </w:r>
          </w:p>
          <w:p w14:paraId="5297A0A1" w14:textId="77777777" w:rsidR="00FF48C2" w:rsidRPr="004A59B1" w:rsidRDefault="00FF48C2" w:rsidP="000A6242">
            <w:pPr>
              <w:pStyle w:val="Table"/>
              <w:keepLines w:val="0"/>
              <w:widowControl w:val="0"/>
              <w:spacing w:before="0" w:after="0"/>
              <w:rPr>
                <w:rFonts w:ascii="Times New Roman" w:hAnsi="Times New Roman"/>
                <w:color w:val="000000"/>
                <w:sz w:val="22"/>
                <w:szCs w:val="22"/>
                <w:lang w:val="de-DE"/>
              </w:rPr>
            </w:pPr>
            <w:r w:rsidRPr="004A59B1">
              <w:rPr>
                <w:rFonts w:ascii="Times New Roman" w:hAnsi="Times New Roman"/>
                <w:color w:val="000000"/>
                <w:sz w:val="22"/>
                <w:szCs w:val="22"/>
                <w:lang w:val="de-DE"/>
              </w:rPr>
              <w:t>vinkristin 1,3 mg/m</w:t>
            </w:r>
            <w:r w:rsidRPr="004A59B1">
              <w:rPr>
                <w:rFonts w:ascii="Times New Roman" w:hAnsi="Times New Roman"/>
                <w:color w:val="000000"/>
                <w:sz w:val="22"/>
                <w:szCs w:val="22"/>
                <w:vertAlign w:val="superscript"/>
                <w:lang w:val="de-DE"/>
              </w:rPr>
              <w:t>2</w:t>
            </w:r>
            <w:r w:rsidRPr="004A59B1">
              <w:rPr>
                <w:rFonts w:ascii="Times New Roman" w:hAnsi="Times New Roman"/>
                <w:color w:val="000000"/>
                <w:sz w:val="22"/>
                <w:szCs w:val="22"/>
                <w:lang w:val="de-DE"/>
              </w:rPr>
              <w:t xml:space="preserve"> i.v., 1., 8., 15., 21. dan;</w:t>
            </w:r>
          </w:p>
          <w:p w14:paraId="5297A0A2" w14:textId="77777777" w:rsidR="00FF48C2" w:rsidRPr="004A59B1" w:rsidRDefault="00FF48C2" w:rsidP="000A6242">
            <w:pPr>
              <w:pStyle w:val="Table"/>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prednizolon 60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/dan peroralno</w:t>
            </w:r>
          </w:p>
        </w:tc>
      </w:tr>
      <w:tr w:rsidR="00FF48C2" w:rsidRPr="004A59B1" w14:paraId="5297A0A6" w14:textId="77777777" w:rsidTr="000A6242">
        <w:trPr>
          <w:cantSplit/>
        </w:trPr>
        <w:tc>
          <w:tcPr>
            <w:tcW w:w="2148" w:type="dxa"/>
            <w:tcBorders>
              <w:top w:val="single" w:sz="4" w:space="0" w:color="auto"/>
              <w:bottom w:val="single" w:sz="4" w:space="0" w:color="auto"/>
            </w:tcBorders>
            <w:shd w:val="clear" w:color="auto" w:fill="auto"/>
          </w:tcPr>
          <w:p w14:paraId="5297A0A4" w14:textId="77777777" w:rsidR="00FF48C2" w:rsidRPr="004A59B1" w:rsidRDefault="00FF48C2" w:rsidP="000A6242">
            <w:pPr>
              <w:pStyle w:val="Table"/>
              <w:keepLines w:val="0"/>
              <w:widowControl w:val="0"/>
              <w:tabs>
                <w:tab w:val="left" w:pos="0"/>
              </w:tabs>
              <w:spacing w:before="0" w:after="0"/>
              <w:rPr>
                <w:rFonts w:ascii="Times New Roman" w:hAnsi="Times New Roman"/>
                <w:color w:val="000000"/>
                <w:sz w:val="22"/>
                <w:szCs w:val="22"/>
              </w:rPr>
            </w:pPr>
            <w:r w:rsidRPr="004A59B1">
              <w:rPr>
                <w:rFonts w:ascii="Times New Roman" w:hAnsi="Times New Roman"/>
                <w:color w:val="000000"/>
                <w:sz w:val="22"/>
                <w:szCs w:val="22"/>
              </w:rPr>
              <w:t>konsolidacijsko zdravljenje</w:t>
            </w:r>
          </w:p>
        </w:tc>
        <w:tc>
          <w:tcPr>
            <w:tcW w:w="6732" w:type="dxa"/>
            <w:gridSpan w:val="4"/>
            <w:tcBorders>
              <w:top w:val="single" w:sz="4" w:space="0" w:color="auto"/>
              <w:bottom w:val="single" w:sz="4" w:space="0" w:color="auto"/>
            </w:tcBorders>
            <w:shd w:val="clear" w:color="auto" w:fill="auto"/>
          </w:tcPr>
          <w:p w14:paraId="5297A0A5" w14:textId="77777777" w:rsidR="00FF48C2" w:rsidRPr="004A59B1" w:rsidRDefault="00FF48C2" w:rsidP="000A6242">
            <w:pPr>
              <w:pStyle w:val="Table"/>
              <w:keepLines w:val="0"/>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izmenična kemoterapija: visokoodmerna kemoterapija z MTX 1 g/m</w:t>
            </w:r>
            <w:r w:rsidRPr="004A59B1">
              <w:rPr>
                <w:rFonts w:ascii="Times New Roman" w:hAnsi="Times New Roman"/>
                <w:color w:val="000000"/>
                <w:sz w:val="22"/>
                <w:szCs w:val="22"/>
                <w:vertAlign w:val="superscript"/>
              </w:rPr>
              <w:t>2</w:t>
            </w:r>
            <w:r w:rsidRPr="004A59B1">
              <w:rPr>
                <w:rFonts w:ascii="Times New Roman" w:hAnsi="Times New Roman"/>
                <w:color w:val="000000"/>
                <w:sz w:val="22"/>
                <w:szCs w:val="22"/>
              </w:rPr>
              <w:t xml:space="preserve"> i.v. (24 ur), 1.dan in Ara-C 2 g/m</w:t>
            </w:r>
            <w:r w:rsidRPr="004A59B1">
              <w:rPr>
                <w:rFonts w:ascii="Times New Roman" w:hAnsi="Times New Roman"/>
                <w:color w:val="000000"/>
                <w:sz w:val="22"/>
                <w:szCs w:val="22"/>
                <w:vertAlign w:val="superscript"/>
              </w:rPr>
              <w:t>2</w:t>
            </w:r>
            <w:r w:rsidRPr="004A59B1">
              <w:rPr>
                <w:rFonts w:ascii="Times New Roman" w:hAnsi="Times New Roman"/>
                <w:color w:val="000000"/>
                <w:sz w:val="22"/>
                <w:szCs w:val="22"/>
              </w:rPr>
              <w:t xml:space="preserve"> i.v. (na 12 ur), 2.-3. dan, v 4 ciklusih</w:t>
            </w:r>
          </w:p>
        </w:tc>
      </w:tr>
      <w:tr w:rsidR="00FF48C2" w:rsidRPr="004A59B1" w14:paraId="5297A0AA" w14:textId="77777777" w:rsidTr="000A6242">
        <w:trPr>
          <w:cantSplit/>
        </w:trPr>
        <w:tc>
          <w:tcPr>
            <w:tcW w:w="2148" w:type="dxa"/>
            <w:tcBorders>
              <w:top w:val="single" w:sz="4" w:space="0" w:color="auto"/>
              <w:bottom w:val="single" w:sz="4" w:space="0" w:color="auto"/>
            </w:tcBorders>
            <w:shd w:val="clear" w:color="auto" w:fill="auto"/>
          </w:tcPr>
          <w:p w14:paraId="5297A0A7" w14:textId="77777777" w:rsidR="00FF48C2" w:rsidRPr="004A59B1" w:rsidRDefault="00FF48C2" w:rsidP="000A6242">
            <w:pPr>
              <w:pStyle w:val="Table"/>
              <w:keepNext w:val="0"/>
              <w:keepLines w:val="0"/>
              <w:widowControl w:val="0"/>
              <w:tabs>
                <w:tab w:val="left" w:pos="0"/>
              </w:tabs>
              <w:spacing w:before="0" w:after="0"/>
              <w:rPr>
                <w:rFonts w:ascii="Times New Roman" w:hAnsi="Times New Roman"/>
                <w:color w:val="000000"/>
                <w:sz w:val="22"/>
                <w:szCs w:val="22"/>
              </w:rPr>
            </w:pPr>
            <w:r w:rsidRPr="004A59B1">
              <w:rPr>
                <w:rFonts w:ascii="Times New Roman" w:hAnsi="Times New Roman"/>
                <w:color w:val="000000"/>
                <w:sz w:val="22"/>
                <w:szCs w:val="22"/>
                <w:lang w:val="en-GB"/>
              </w:rPr>
              <w:t>vzdrževanje</w:t>
            </w:r>
          </w:p>
        </w:tc>
        <w:tc>
          <w:tcPr>
            <w:tcW w:w="6732" w:type="dxa"/>
            <w:gridSpan w:val="4"/>
            <w:tcBorders>
              <w:top w:val="single" w:sz="4" w:space="0" w:color="auto"/>
              <w:bottom w:val="single" w:sz="4" w:space="0" w:color="auto"/>
            </w:tcBorders>
            <w:shd w:val="clear" w:color="auto" w:fill="auto"/>
          </w:tcPr>
          <w:p w14:paraId="5297A0A8" w14:textId="77777777" w:rsidR="00FF48C2" w:rsidRPr="004A59B1" w:rsidRDefault="00FF48C2" w:rsidP="000A6242">
            <w:pPr>
              <w:pStyle w:val="Table"/>
              <w:keepNext w:val="0"/>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VCR 1,3 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i.v., 1. dan;</w:t>
            </w:r>
          </w:p>
          <w:p w14:paraId="5297A0A9" w14:textId="77777777" w:rsidR="00FF48C2" w:rsidRPr="004A59B1" w:rsidRDefault="00FF48C2" w:rsidP="000A6242">
            <w:pPr>
              <w:pStyle w:val="Table"/>
              <w:keepNext w:val="0"/>
              <w:keepLines w:val="0"/>
              <w:widowControl w:val="0"/>
              <w:spacing w:before="0" w:after="0"/>
              <w:rPr>
                <w:rFonts w:ascii="Times New Roman" w:hAnsi="Times New Roman"/>
                <w:color w:val="000000"/>
                <w:sz w:val="22"/>
                <w:szCs w:val="22"/>
                <w:lang w:val="es-ES"/>
              </w:rPr>
            </w:pPr>
            <w:r w:rsidRPr="004A59B1">
              <w:rPr>
                <w:rFonts w:ascii="Times New Roman" w:hAnsi="Times New Roman"/>
                <w:color w:val="000000"/>
                <w:sz w:val="22"/>
                <w:szCs w:val="22"/>
                <w:lang w:val="es-ES"/>
              </w:rPr>
              <w:t>prednizolon 60 mg/m</w:t>
            </w:r>
            <w:r w:rsidRPr="004A59B1">
              <w:rPr>
                <w:rFonts w:ascii="Times New Roman" w:hAnsi="Times New Roman"/>
                <w:color w:val="000000"/>
                <w:sz w:val="22"/>
                <w:szCs w:val="22"/>
                <w:vertAlign w:val="superscript"/>
                <w:lang w:val="es-ES"/>
              </w:rPr>
              <w:t>2</w:t>
            </w:r>
            <w:r w:rsidRPr="004A59B1">
              <w:rPr>
                <w:rFonts w:ascii="Times New Roman" w:hAnsi="Times New Roman"/>
                <w:color w:val="000000"/>
                <w:sz w:val="22"/>
                <w:szCs w:val="22"/>
                <w:lang w:val="es-ES"/>
              </w:rPr>
              <w:t xml:space="preserve"> peroralno, 1.-5. dan</w:t>
            </w:r>
          </w:p>
        </w:tc>
      </w:tr>
      <w:tr w:rsidR="00FF48C2" w:rsidRPr="004A59B1" w14:paraId="5297A0AF" w14:textId="77777777" w:rsidTr="000A6242">
        <w:trPr>
          <w:cantSplit/>
        </w:trPr>
        <w:tc>
          <w:tcPr>
            <w:tcW w:w="4800" w:type="dxa"/>
            <w:gridSpan w:val="2"/>
            <w:tcBorders>
              <w:top w:val="single" w:sz="4" w:space="0" w:color="auto"/>
              <w:bottom w:val="single" w:sz="4" w:space="0" w:color="auto"/>
            </w:tcBorders>
            <w:shd w:val="clear" w:color="auto" w:fill="auto"/>
          </w:tcPr>
          <w:p w14:paraId="5297A0AB" w14:textId="77777777" w:rsidR="00FF48C2" w:rsidRPr="004A59B1" w:rsidRDefault="00FF48C2" w:rsidP="000A6242">
            <w:pPr>
              <w:pStyle w:val="Table"/>
              <w:widowControl w:val="0"/>
              <w:spacing w:before="0" w:after="0"/>
              <w:rPr>
                <w:rFonts w:ascii="Times New Roman" w:hAnsi="Times New Roman"/>
                <w:color w:val="000000"/>
                <w:sz w:val="22"/>
                <w:szCs w:val="22"/>
              </w:rPr>
            </w:pPr>
            <w:r w:rsidRPr="004A59B1">
              <w:rPr>
                <w:rFonts w:ascii="Times New Roman" w:hAnsi="Times New Roman"/>
                <w:b/>
                <w:color w:val="000000"/>
                <w:sz w:val="22"/>
                <w:szCs w:val="22"/>
                <w:lang w:val="en-GB"/>
              </w:rPr>
              <w:lastRenderedPageBreak/>
              <w:t xml:space="preserve">Študija </w:t>
            </w:r>
            <w:r w:rsidRPr="004A59B1">
              <w:rPr>
                <w:rFonts w:ascii="Times New Roman" w:hAnsi="Times New Roman"/>
                <w:b/>
                <w:color w:val="000000"/>
                <w:sz w:val="22"/>
                <w:szCs w:val="22"/>
              </w:rPr>
              <w:t>AUS01</w:t>
            </w:r>
          </w:p>
        </w:tc>
        <w:tc>
          <w:tcPr>
            <w:tcW w:w="1080" w:type="dxa"/>
            <w:tcBorders>
              <w:top w:val="single" w:sz="4" w:space="0" w:color="auto"/>
              <w:bottom w:val="single" w:sz="4" w:space="0" w:color="auto"/>
            </w:tcBorders>
          </w:tcPr>
          <w:p w14:paraId="5297A0AC" w14:textId="77777777" w:rsidR="00FF48C2" w:rsidRPr="004A59B1" w:rsidRDefault="00FF48C2" w:rsidP="000A6242">
            <w:pPr>
              <w:pStyle w:val="Table"/>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5297A0AD" w14:textId="77777777" w:rsidR="00FF48C2" w:rsidRPr="004A59B1" w:rsidRDefault="00FF48C2" w:rsidP="000A6242">
            <w:pPr>
              <w:pStyle w:val="Table"/>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5297A0AE" w14:textId="77777777" w:rsidR="00FF48C2" w:rsidRPr="004A59B1" w:rsidRDefault="00FF48C2" w:rsidP="000A6242">
            <w:pPr>
              <w:pStyle w:val="Table"/>
              <w:widowControl w:val="0"/>
              <w:spacing w:before="0" w:after="0"/>
              <w:rPr>
                <w:rFonts w:ascii="Times New Roman" w:hAnsi="Times New Roman"/>
                <w:color w:val="000000"/>
                <w:sz w:val="22"/>
                <w:szCs w:val="22"/>
              </w:rPr>
            </w:pPr>
          </w:p>
        </w:tc>
      </w:tr>
      <w:tr w:rsidR="00FF48C2" w:rsidRPr="003B6568" w14:paraId="5297A0B5" w14:textId="77777777" w:rsidTr="000A6242">
        <w:trPr>
          <w:cantSplit/>
        </w:trPr>
        <w:tc>
          <w:tcPr>
            <w:tcW w:w="2148" w:type="dxa"/>
            <w:tcBorders>
              <w:top w:val="single" w:sz="4" w:space="0" w:color="auto"/>
              <w:bottom w:val="single" w:sz="4" w:space="0" w:color="auto"/>
            </w:tcBorders>
            <w:shd w:val="clear" w:color="auto" w:fill="auto"/>
          </w:tcPr>
          <w:p w14:paraId="5297A0B0" w14:textId="77777777" w:rsidR="00FF48C2" w:rsidRPr="004A59B1" w:rsidRDefault="00FF48C2" w:rsidP="000A6242">
            <w:pPr>
              <w:pStyle w:val="Table"/>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indukcijsko-konsolidacijsko zdravljenje</w:t>
            </w:r>
          </w:p>
        </w:tc>
        <w:tc>
          <w:tcPr>
            <w:tcW w:w="6732" w:type="dxa"/>
            <w:gridSpan w:val="4"/>
            <w:tcBorders>
              <w:top w:val="single" w:sz="4" w:space="0" w:color="auto"/>
              <w:bottom w:val="single" w:sz="4" w:space="0" w:color="auto"/>
            </w:tcBorders>
            <w:shd w:val="clear" w:color="auto" w:fill="auto"/>
          </w:tcPr>
          <w:p w14:paraId="5297A0B1" w14:textId="77777777" w:rsidR="00FF48C2" w:rsidRPr="002227FB" w:rsidRDefault="00FF48C2" w:rsidP="000A6242">
            <w:pPr>
              <w:pStyle w:val="Table"/>
              <w:widowControl w:val="0"/>
              <w:spacing w:before="0" w:after="0"/>
              <w:rPr>
                <w:rFonts w:ascii="Times New Roman" w:hAnsi="Times New Roman"/>
                <w:color w:val="000000"/>
                <w:sz w:val="22"/>
                <w:szCs w:val="22"/>
                <w:lang w:val="de-CH"/>
              </w:rPr>
            </w:pPr>
            <w:r w:rsidRPr="002227FB">
              <w:rPr>
                <w:rFonts w:ascii="Times New Roman" w:hAnsi="Times New Roman"/>
                <w:color w:val="000000"/>
                <w:sz w:val="22"/>
                <w:szCs w:val="22"/>
                <w:lang w:val="de-CH"/>
              </w:rPr>
              <w:t>hyper-CVAD shema: CP 300 mg/m</w:t>
            </w:r>
            <w:r w:rsidRPr="002227FB">
              <w:rPr>
                <w:rFonts w:ascii="Times New Roman" w:hAnsi="Times New Roman"/>
                <w:color w:val="000000"/>
                <w:sz w:val="22"/>
                <w:szCs w:val="22"/>
                <w:vertAlign w:val="superscript"/>
                <w:lang w:val="de-CH"/>
              </w:rPr>
              <w:t>2</w:t>
            </w:r>
            <w:r w:rsidRPr="002227FB">
              <w:rPr>
                <w:rFonts w:ascii="Times New Roman" w:hAnsi="Times New Roman"/>
                <w:color w:val="000000"/>
                <w:sz w:val="22"/>
                <w:szCs w:val="22"/>
                <w:lang w:val="de-CH"/>
              </w:rPr>
              <w:t xml:space="preserve"> i.v. (3 ure, na 12 ur), 1.-3. dan;</w:t>
            </w:r>
          </w:p>
          <w:p w14:paraId="5297A0B2" w14:textId="77777777" w:rsidR="00FF48C2" w:rsidRPr="004A59B1" w:rsidRDefault="00FF48C2" w:rsidP="000A6242">
            <w:pPr>
              <w:pStyle w:val="Table"/>
              <w:widowControl w:val="0"/>
              <w:spacing w:before="0" w:after="0"/>
              <w:rPr>
                <w:rFonts w:ascii="Times New Roman" w:hAnsi="Times New Roman"/>
                <w:color w:val="000000"/>
                <w:sz w:val="22"/>
                <w:szCs w:val="22"/>
                <w:lang w:val="de-DE"/>
              </w:rPr>
            </w:pPr>
            <w:r w:rsidRPr="004A59B1">
              <w:rPr>
                <w:rFonts w:ascii="Times New Roman" w:hAnsi="Times New Roman"/>
                <w:color w:val="000000"/>
                <w:sz w:val="22"/>
                <w:szCs w:val="22"/>
                <w:lang w:val="de-DE"/>
              </w:rPr>
              <w:t>vinkristin 2 mg i.v., 4., 11. dan;</w:t>
            </w:r>
          </w:p>
          <w:p w14:paraId="5297A0B3" w14:textId="77777777" w:rsidR="00FF48C2" w:rsidRPr="004A59B1" w:rsidRDefault="00FF48C2" w:rsidP="000A6242">
            <w:pPr>
              <w:pStyle w:val="Table"/>
              <w:widowControl w:val="0"/>
              <w:spacing w:before="0" w:after="0"/>
              <w:rPr>
                <w:rFonts w:ascii="Times New Roman" w:hAnsi="Times New Roman"/>
                <w:color w:val="000000"/>
                <w:sz w:val="22"/>
                <w:szCs w:val="22"/>
                <w:lang w:val="de-DE"/>
              </w:rPr>
            </w:pPr>
            <w:r w:rsidRPr="004A59B1">
              <w:rPr>
                <w:rFonts w:ascii="Times New Roman" w:hAnsi="Times New Roman"/>
                <w:color w:val="000000"/>
                <w:sz w:val="22"/>
                <w:szCs w:val="22"/>
                <w:lang w:val="de-DE"/>
              </w:rPr>
              <w:t>doksorubicin 50 mg/m</w:t>
            </w:r>
            <w:r w:rsidRPr="004A59B1">
              <w:rPr>
                <w:rFonts w:ascii="Times New Roman" w:hAnsi="Times New Roman"/>
                <w:color w:val="000000"/>
                <w:sz w:val="22"/>
                <w:szCs w:val="22"/>
                <w:vertAlign w:val="superscript"/>
                <w:lang w:val="de-DE"/>
              </w:rPr>
              <w:t>2</w:t>
            </w:r>
            <w:r w:rsidRPr="004A59B1">
              <w:rPr>
                <w:rFonts w:ascii="Times New Roman" w:hAnsi="Times New Roman"/>
                <w:color w:val="000000"/>
                <w:sz w:val="22"/>
                <w:szCs w:val="22"/>
                <w:lang w:val="de-DE"/>
              </w:rPr>
              <w:t xml:space="preserve"> i.v. (24 ur), 4. dan;</w:t>
            </w:r>
          </w:p>
          <w:p w14:paraId="5297A0B4" w14:textId="77777777" w:rsidR="00FF48C2" w:rsidRPr="004A59B1" w:rsidRDefault="00FF48C2" w:rsidP="000A6242">
            <w:pPr>
              <w:pStyle w:val="Table"/>
              <w:widowControl w:val="0"/>
              <w:spacing w:before="0" w:after="0"/>
              <w:rPr>
                <w:rFonts w:ascii="Times New Roman" w:hAnsi="Times New Roman"/>
                <w:color w:val="000000"/>
                <w:sz w:val="22"/>
                <w:szCs w:val="22"/>
                <w:lang w:val="de-DE"/>
              </w:rPr>
            </w:pPr>
            <w:r w:rsidRPr="004A59B1">
              <w:rPr>
                <w:rFonts w:ascii="Times New Roman" w:hAnsi="Times New Roman"/>
                <w:color w:val="000000"/>
                <w:sz w:val="22"/>
                <w:szCs w:val="22"/>
                <w:lang w:val="de-DE"/>
              </w:rPr>
              <w:t>DEX 40 mg/dan 1.-4. in 11.-14. dan, izmenjaje z MTX 1 g/m</w:t>
            </w:r>
            <w:r w:rsidRPr="004A59B1">
              <w:rPr>
                <w:rFonts w:ascii="Times New Roman" w:hAnsi="Times New Roman"/>
                <w:color w:val="000000"/>
                <w:sz w:val="22"/>
                <w:szCs w:val="22"/>
                <w:vertAlign w:val="superscript"/>
                <w:lang w:val="de-DE"/>
              </w:rPr>
              <w:t>2</w:t>
            </w:r>
            <w:r w:rsidRPr="004A59B1">
              <w:rPr>
                <w:rFonts w:ascii="Times New Roman" w:hAnsi="Times New Roman"/>
                <w:color w:val="000000"/>
                <w:sz w:val="22"/>
                <w:szCs w:val="22"/>
                <w:lang w:val="de-DE"/>
              </w:rPr>
              <w:t xml:space="preserve"> i.v. (24 ur), 1. dan, Ara-C 1 g/m</w:t>
            </w:r>
            <w:r w:rsidRPr="004A59B1">
              <w:rPr>
                <w:rFonts w:ascii="Times New Roman" w:hAnsi="Times New Roman"/>
                <w:color w:val="000000"/>
                <w:sz w:val="22"/>
                <w:szCs w:val="22"/>
                <w:vertAlign w:val="superscript"/>
                <w:lang w:val="de-DE"/>
              </w:rPr>
              <w:t>2</w:t>
            </w:r>
            <w:r w:rsidRPr="004A59B1">
              <w:rPr>
                <w:rFonts w:ascii="Times New Roman" w:hAnsi="Times New Roman"/>
                <w:color w:val="000000"/>
                <w:sz w:val="22"/>
                <w:szCs w:val="22"/>
                <w:lang w:val="de-DE"/>
              </w:rPr>
              <w:t xml:space="preserve"> i.v. (2 uri, na 12 ur), 2.-3. dan (skupno 8 kur)</w:t>
            </w:r>
          </w:p>
        </w:tc>
      </w:tr>
      <w:tr w:rsidR="00FF48C2" w:rsidRPr="004A59B1" w14:paraId="5297A0B9" w14:textId="77777777" w:rsidTr="000A6242">
        <w:trPr>
          <w:cantSplit/>
        </w:trPr>
        <w:tc>
          <w:tcPr>
            <w:tcW w:w="2148" w:type="dxa"/>
            <w:tcBorders>
              <w:top w:val="single" w:sz="4" w:space="0" w:color="auto"/>
              <w:bottom w:val="single" w:sz="4" w:space="0" w:color="auto"/>
            </w:tcBorders>
            <w:shd w:val="clear" w:color="auto" w:fill="auto"/>
          </w:tcPr>
          <w:p w14:paraId="5297A0B6" w14:textId="77777777" w:rsidR="00FF48C2" w:rsidRPr="004A59B1" w:rsidRDefault="00FF48C2" w:rsidP="000A6242">
            <w:pPr>
              <w:pStyle w:val="Table"/>
              <w:widowControl w:val="0"/>
              <w:spacing w:before="0" w:after="0"/>
              <w:rPr>
                <w:rFonts w:ascii="Times New Roman" w:hAnsi="Times New Roman"/>
                <w:color w:val="000000"/>
                <w:sz w:val="22"/>
                <w:szCs w:val="22"/>
              </w:rPr>
            </w:pPr>
            <w:r w:rsidRPr="004A59B1">
              <w:rPr>
                <w:rFonts w:ascii="Times New Roman" w:hAnsi="Times New Roman"/>
                <w:color w:val="000000"/>
                <w:sz w:val="22"/>
                <w:szCs w:val="22"/>
                <w:lang w:val="en-GB"/>
              </w:rPr>
              <w:t>vzdrževanje</w:t>
            </w:r>
          </w:p>
        </w:tc>
        <w:tc>
          <w:tcPr>
            <w:tcW w:w="6732" w:type="dxa"/>
            <w:gridSpan w:val="4"/>
            <w:tcBorders>
              <w:top w:val="single" w:sz="4" w:space="0" w:color="auto"/>
              <w:bottom w:val="single" w:sz="4" w:space="0" w:color="auto"/>
            </w:tcBorders>
            <w:shd w:val="clear" w:color="auto" w:fill="auto"/>
          </w:tcPr>
          <w:p w14:paraId="5297A0B7" w14:textId="77777777" w:rsidR="00FF48C2" w:rsidRPr="004A59B1" w:rsidRDefault="00FF48C2" w:rsidP="000A6242">
            <w:pPr>
              <w:pStyle w:val="Table"/>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VCR 2 mg i.v. mesečno v obdobju 13 mesecev;</w:t>
            </w:r>
          </w:p>
          <w:p w14:paraId="5297A0B8" w14:textId="77777777" w:rsidR="00FF48C2" w:rsidRPr="004A59B1" w:rsidRDefault="00FF48C2" w:rsidP="000A6242">
            <w:pPr>
              <w:pStyle w:val="Table"/>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prednizolon 200 mg peroralno, 5 dni na mesec v obdobju 13 mesecev</w:t>
            </w:r>
          </w:p>
        </w:tc>
      </w:tr>
      <w:tr w:rsidR="00FF48C2" w:rsidRPr="004A59B1" w14:paraId="5297A0BB" w14:textId="77777777" w:rsidTr="000A6242">
        <w:trPr>
          <w:cantSplit/>
        </w:trPr>
        <w:tc>
          <w:tcPr>
            <w:tcW w:w="8880" w:type="dxa"/>
            <w:gridSpan w:val="5"/>
            <w:tcBorders>
              <w:top w:val="single" w:sz="4" w:space="0" w:color="auto"/>
              <w:bottom w:val="single" w:sz="4" w:space="0" w:color="auto"/>
            </w:tcBorders>
            <w:shd w:val="clear" w:color="auto" w:fill="auto"/>
          </w:tcPr>
          <w:p w14:paraId="5297A0BA" w14:textId="77777777" w:rsidR="00FF48C2" w:rsidRPr="004A59B1" w:rsidRDefault="00FF48C2" w:rsidP="000A6242">
            <w:pPr>
              <w:pStyle w:val="Table"/>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Vse terapevtske sheme vključujejo aplikacijo kortikosteroidov za zaščito centralnega živčnega sistema.</w:t>
            </w:r>
          </w:p>
        </w:tc>
      </w:tr>
      <w:tr w:rsidR="00FF48C2" w:rsidRPr="004A59B1" w14:paraId="5297A0BD" w14:textId="77777777" w:rsidTr="000A6242">
        <w:trPr>
          <w:cantSplit/>
        </w:trPr>
        <w:tc>
          <w:tcPr>
            <w:tcW w:w="8880" w:type="dxa"/>
            <w:gridSpan w:val="5"/>
            <w:tcBorders>
              <w:top w:val="single" w:sz="4" w:space="0" w:color="auto"/>
              <w:bottom w:val="single" w:sz="4" w:space="0" w:color="auto"/>
            </w:tcBorders>
            <w:shd w:val="clear" w:color="auto" w:fill="auto"/>
          </w:tcPr>
          <w:p w14:paraId="5297A0BC" w14:textId="77777777" w:rsidR="00FF48C2" w:rsidRPr="004A59B1" w:rsidRDefault="00FF48C2" w:rsidP="000A6242">
            <w:pPr>
              <w:pStyle w:val="Table"/>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Ara-C: citozin arabinozid; CP: ciklofosfamid; DEX: deksametazon; MTX: metotreksat; 6-MP: 6-merkaptopurin; VM26: tenipozid; VCR: vinkristin; IDA: idarubicin; i.v.: intravensko</w:t>
            </w:r>
          </w:p>
        </w:tc>
      </w:tr>
    </w:tbl>
    <w:p w14:paraId="5297A0BE" w14:textId="77777777" w:rsidR="00FF48C2" w:rsidRPr="004A59B1" w:rsidRDefault="00FF48C2" w:rsidP="000A6242">
      <w:pPr>
        <w:pStyle w:val="Text"/>
        <w:widowControl w:val="0"/>
        <w:spacing w:before="0"/>
        <w:jc w:val="left"/>
        <w:rPr>
          <w:color w:val="000000"/>
          <w:sz w:val="22"/>
          <w:szCs w:val="22"/>
          <w:lang w:val="sl-SI"/>
        </w:rPr>
      </w:pPr>
    </w:p>
    <w:p w14:paraId="5297A0BF" w14:textId="77777777" w:rsidR="00FF48C2" w:rsidRPr="004A59B1" w:rsidRDefault="00FF48C2" w:rsidP="000A6242">
      <w:pPr>
        <w:pStyle w:val="EndnoteText"/>
        <w:widowControl w:val="0"/>
        <w:rPr>
          <w:color w:val="000000"/>
          <w:lang w:val="sl-SI"/>
        </w:rPr>
      </w:pPr>
      <w:r w:rsidRPr="004A59B1">
        <w:rPr>
          <w:i/>
          <w:color w:val="000000"/>
          <w:lang w:val="sl-SI"/>
        </w:rPr>
        <w:t>Pediatrični bolniki</w:t>
      </w:r>
      <w:r w:rsidRPr="004A59B1">
        <w:rPr>
          <w:color w:val="000000"/>
          <w:lang w:val="sl-SI"/>
        </w:rPr>
        <w:t>:</w:t>
      </w:r>
      <w:r w:rsidRPr="004A59B1">
        <w:rPr>
          <w:lang w:val="sl-SI"/>
        </w:rPr>
        <w:t xml:space="preserve"> V odprto, nerandomizirano, multicentrično </w:t>
      </w:r>
      <w:r w:rsidR="0027622D" w:rsidRPr="004A59B1">
        <w:rPr>
          <w:lang w:val="sl-SI"/>
        </w:rPr>
        <w:t xml:space="preserve">preizkušanje </w:t>
      </w:r>
      <w:r w:rsidRPr="004A59B1">
        <w:rPr>
          <w:lang w:val="sl-SI"/>
        </w:rPr>
        <w:t xml:space="preserve">faze III z oznako </w:t>
      </w:r>
      <w:r w:rsidRPr="004A59B1">
        <w:rPr>
          <w:color w:val="000000"/>
          <w:lang w:val="sl-SI"/>
        </w:rPr>
        <w:t>I2301 in z zaporednimi kohortami so vključili skupno 93 otrok, mladostnikov in mladih odraslih (starih od 1 do 22 let) s Ph+ ALL in jih zdravili z zdravilom Glivec (340 mg/m</w:t>
      </w:r>
      <w:r w:rsidRPr="004A59B1">
        <w:rPr>
          <w:color w:val="000000"/>
          <w:vertAlign w:val="superscript"/>
          <w:lang w:val="sl-SI"/>
        </w:rPr>
        <w:t>2</w:t>
      </w:r>
      <w:r w:rsidRPr="004A59B1">
        <w:rPr>
          <w:color w:val="000000"/>
          <w:lang w:val="sl-SI"/>
        </w:rPr>
        <w:t>/dan) v kombinaciji z intenzivno kemoterapijo po indukcijskem zdravljenju. Bolnikom v kohortah 1</w:t>
      </w:r>
      <w:r w:rsidRPr="004A59B1">
        <w:rPr>
          <w:color w:val="000000"/>
          <w:lang w:val="sl-SI"/>
        </w:rPr>
        <w:noBreakHyphen/>
        <w:t xml:space="preserve">5 so zdravilo Glivec odmerjali intermitentno, pri čemer je bilo v vsaki nadaljnji kohorti trajanje zdravljenja daljše, začetek zdravljenja z zdravilom Glivec pa zgodnejši, tako da je bila v 1. kohorti intenzivnost zdravljenja z zdravilom Glivec najnižja, v 5. kohorti pa najvišja (najdaljše trajanje zdravljenja glede na število dni neprekinjenega enkrat dnevnega odmerjanja zdravila Glivec pri prvem poteku kemoterapije). Pri bolnikih v 5. kohorti (n=50) je neprekinjena vsakodnevna izpostavljenost zdravilu Glivec zgodaj v poteku zdravljenja v kombinaciji s kemoterapijo povečala delež bolnikov s 4-letnim preživetjem brez dogodkov (EFS - </w:t>
      </w:r>
      <w:r w:rsidRPr="00304E94">
        <w:rPr>
          <w:i/>
          <w:color w:val="000000"/>
          <w:lang w:val="sl-SI"/>
        </w:rPr>
        <w:t>event-free survival</w:t>
      </w:r>
      <w:r w:rsidRPr="004A59B1">
        <w:rPr>
          <w:color w:val="000000"/>
          <w:lang w:val="sl-SI"/>
        </w:rPr>
        <w:t xml:space="preserve">) v primerjavi z zgodovinskimi kontrolami (n=120), </w:t>
      </w:r>
      <w:r w:rsidR="0027622D" w:rsidRPr="004A59B1">
        <w:rPr>
          <w:color w:val="000000"/>
          <w:lang w:val="sl-SI"/>
        </w:rPr>
        <w:t xml:space="preserve">kjer so bolniki prejeli </w:t>
      </w:r>
      <w:r w:rsidRPr="004A59B1">
        <w:rPr>
          <w:color w:val="000000"/>
          <w:lang w:val="sl-SI"/>
        </w:rPr>
        <w:t xml:space="preserve">standardno kemoterapijo brez zdravila Glivec (69,6 % v primerjavi z 31,6 %). Ocenjen delež bolnikov s 4-letnim celokupnim preživetjem (OS - </w:t>
      </w:r>
      <w:r w:rsidRPr="00304E94">
        <w:rPr>
          <w:i/>
          <w:color w:val="000000"/>
          <w:lang w:val="sl-SI"/>
        </w:rPr>
        <w:t>overall survival</w:t>
      </w:r>
      <w:r w:rsidRPr="004A59B1">
        <w:rPr>
          <w:color w:val="000000"/>
          <w:lang w:val="sl-SI"/>
        </w:rPr>
        <w:t>) v 5. kohorti je bil 83,6 % v primerjavi s 44,8 % pri zgodovinskih kontrolah. 20 od 50 bolniko</w:t>
      </w:r>
      <w:r w:rsidR="00A968A1" w:rsidRPr="004A59B1">
        <w:rPr>
          <w:color w:val="000000"/>
          <w:lang w:val="sl-SI"/>
        </w:rPr>
        <w:t>m</w:t>
      </w:r>
      <w:r w:rsidRPr="004A59B1">
        <w:rPr>
          <w:color w:val="000000"/>
          <w:lang w:val="sl-SI"/>
        </w:rPr>
        <w:t xml:space="preserve"> (40 %) v 5. kohorti so presadili krvotvorne matične celice.</w:t>
      </w:r>
    </w:p>
    <w:p w14:paraId="5297A0C0" w14:textId="77777777" w:rsidR="00FF48C2" w:rsidRPr="004A59B1" w:rsidRDefault="00FF48C2" w:rsidP="009C1193">
      <w:pPr>
        <w:pStyle w:val="EndnoteText"/>
        <w:widowControl w:val="0"/>
        <w:rPr>
          <w:color w:val="000000"/>
          <w:lang w:val="sl-SI"/>
        </w:rPr>
      </w:pPr>
    </w:p>
    <w:p w14:paraId="5297A0C1" w14:textId="77777777" w:rsidR="00FF48C2" w:rsidRPr="004A59B1" w:rsidRDefault="00FF48C2" w:rsidP="009C1193">
      <w:pPr>
        <w:pStyle w:val="EndnoteText"/>
        <w:keepNext/>
        <w:keepLines/>
        <w:widowControl w:val="0"/>
        <w:tabs>
          <w:tab w:val="clear" w:pos="567"/>
        </w:tabs>
        <w:ind w:left="1701" w:hanging="1701"/>
        <w:rPr>
          <w:b/>
          <w:color w:val="000000"/>
          <w:lang w:val="sl-SI"/>
        </w:rPr>
      </w:pPr>
      <w:r w:rsidRPr="004A59B1">
        <w:rPr>
          <w:b/>
          <w:color w:val="000000"/>
          <w:lang w:val="sl-SI"/>
        </w:rPr>
        <w:t>Preglednica </w:t>
      </w:r>
      <w:r w:rsidR="00A03157" w:rsidRPr="004A59B1">
        <w:rPr>
          <w:b/>
          <w:color w:val="000000"/>
          <w:lang w:val="sl-SI"/>
        </w:rPr>
        <w:t>5</w:t>
      </w:r>
      <w:r w:rsidRPr="004A59B1">
        <w:rPr>
          <w:b/>
          <w:color w:val="000000"/>
          <w:lang w:val="sl-SI"/>
        </w:rPr>
        <w:tab/>
      </w:r>
      <w:r w:rsidRPr="004A59B1">
        <w:rPr>
          <w:b/>
          <w:bCs/>
          <w:color w:val="000000"/>
          <w:szCs w:val="22"/>
          <w:lang w:val="sl-SI"/>
        </w:rPr>
        <w:t>K</w:t>
      </w:r>
      <w:r w:rsidRPr="004A59B1">
        <w:rPr>
          <w:b/>
          <w:color w:val="000000"/>
          <w:szCs w:val="22"/>
          <w:lang w:val="sl-SI"/>
        </w:rPr>
        <w:t>emoterapevtske sheme, uporabljene v kombinaciji z imatinibom</w:t>
      </w:r>
      <w:r w:rsidRPr="004A59B1">
        <w:rPr>
          <w:b/>
          <w:color w:val="000000"/>
          <w:lang w:val="sl-SI"/>
        </w:rPr>
        <w:t xml:space="preserve"> v študiji I2301</w:t>
      </w:r>
    </w:p>
    <w:p w14:paraId="5297A0C2" w14:textId="77777777" w:rsidR="00FF48C2" w:rsidRPr="004A59B1" w:rsidRDefault="00FF48C2" w:rsidP="009C1193">
      <w:pPr>
        <w:pStyle w:val="EndnoteText"/>
        <w:keepNext/>
        <w:keepLines/>
        <w:widowControl w:val="0"/>
        <w:rPr>
          <w:color w:val="000000"/>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3"/>
        <w:gridCol w:w="6728"/>
      </w:tblGrid>
      <w:tr w:rsidR="00FF48C2" w:rsidRPr="004A59B1" w14:paraId="5297A0CB" w14:textId="77777777" w:rsidTr="008F282C">
        <w:trPr>
          <w:cantSplit/>
        </w:trPr>
        <w:tc>
          <w:tcPr>
            <w:tcW w:w="2358" w:type="dxa"/>
            <w:shd w:val="clear" w:color="auto" w:fill="auto"/>
          </w:tcPr>
          <w:p w14:paraId="5297A0C3" w14:textId="77777777" w:rsidR="00FF48C2" w:rsidRPr="004A59B1" w:rsidRDefault="00FF48C2" w:rsidP="009C1193">
            <w:pPr>
              <w:pStyle w:val="EndnoteText"/>
              <w:keepNext/>
              <w:keepLines/>
              <w:widowControl w:val="0"/>
              <w:rPr>
                <w:color w:val="000000"/>
              </w:rPr>
            </w:pPr>
            <w:r w:rsidRPr="004A59B1">
              <w:rPr>
                <w:color w:val="000000"/>
              </w:rPr>
              <w:t>1. konsolidacijski blok</w:t>
            </w:r>
          </w:p>
          <w:p w14:paraId="5297A0C4" w14:textId="77777777" w:rsidR="00FF48C2" w:rsidRPr="004A59B1" w:rsidRDefault="00FF48C2" w:rsidP="009C1193">
            <w:pPr>
              <w:pStyle w:val="EndnoteText"/>
              <w:keepNext/>
              <w:keepLines/>
              <w:widowControl w:val="0"/>
              <w:rPr>
                <w:color w:val="000000"/>
              </w:rPr>
            </w:pPr>
            <w:r w:rsidRPr="004A59B1">
              <w:rPr>
                <w:color w:val="000000"/>
              </w:rPr>
              <w:t>(3 tedne)</w:t>
            </w:r>
          </w:p>
        </w:tc>
        <w:tc>
          <w:tcPr>
            <w:tcW w:w="6929" w:type="dxa"/>
            <w:shd w:val="clear" w:color="auto" w:fill="auto"/>
          </w:tcPr>
          <w:p w14:paraId="5297A0C5" w14:textId="77777777" w:rsidR="00FF48C2" w:rsidRPr="004A59B1" w:rsidRDefault="00FF48C2" w:rsidP="009C1193">
            <w:pPr>
              <w:pStyle w:val="EndnoteText"/>
              <w:keepNext/>
              <w:keepLines/>
              <w:widowControl w:val="0"/>
              <w:rPr>
                <w:color w:val="000000"/>
                <w:lang w:val="es-ES"/>
              </w:rPr>
            </w:pPr>
            <w:r w:rsidRPr="004A59B1">
              <w:rPr>
                <w:color w:val="000000"/>
                <w:lang w:val="es-ES"/>
              </w:rPr>
              <w:t>VP-16 (100 mg/m</w:t>
            </w:r>
            <w:r w:rsidRPr="004A59B1">
              <w:rPr>
                <w:color w:val="000000"/>
                <w:vertAlign w:val="superscript"/>
                <w:lang w:val="es-ES"/>
              </w:rPr>
              <w:t>2</w:t>
            </w:r>
            <w:r w:rsidRPr="004A59B1">
              <w:rPr>
                <w:color w:val="000000"/>
                <w:lang w:val="es-ES"/>
              </w:rPr>
              <w:t>/dan, i.v. ): 1.</w:t>
            </w:r>
            <w:r w:rsidRPr="004A59B1">
              <w:rPr>
                <w:color w:val="000000"/>
                <w:lang w:val="es-ES"/>
              </w:rPr>
              <w:noBreakHyphen/>
              <w:t>5. dan</w:t>
            </w:r>
          </w:p>
          <w:p w14:paraId="5297A0C6" w14:textId="77777777" w:rsidR="00FF48C2" w:rsidRPr="004A59B1" w:rsidRDefault="00FF48C2" w:rsidP="009C1193">
            <w:pPr>
              <w:pStyle w:val="EndnoteText"/>
              <w:keepNext/>
              <w:keepLines/>
              <w:widowControl w:val="0"/>
              <w:rPr>
                <w:color w:val="000000"/>
                <w:lang w:val="es-ES"/>
              </w:rPr>
            </w:pPr>
            <w:r w:rsidRPr="004A59B1">
              <w:rPr>
                <w:color w:val="000000"/>
                <w:lang w:val="es-ES"/>
              </w:rPr>
              <w:t>ifosfamid (1,8 g/m</w:t>
            </w:r>
            <w:r w:rsidRPr="004A59B1">
              <w:rPr>
                <w:color w:val="000000"/>
                <w:vertAlign w:val="superscript"/>
                <w:lang w:val="es-ES"/>
              </w:rPr>
              <w:t>2</w:t>
            </w:r>
            <w:r w:rsidRPr="004A59B1">
              <w:rPr>
                <w:color w:val="000000"/>
                <w:lang w:val="es-ES"/>
              </w:rPr>
              <w:t>/dan, i.v. ): 1.</w:t>
            </w:r>
            <w:r w:rsidRPr="004A59B1">
              <w:rPr>
                <w:color w:val="000000"/>
                <w:lang w:val="es-ES"/>
              </w:rPr>
              <w:noBreakHyphen/>
              <w:t>5. dan</w:t>
            </w:r>
          </w:p>
          <w:p w14:paraId="5297A0C7" w14:textId="77777777" w:rsidR="00FF48C2" w:rsidRPr="004A59B1" w:rsidRDefault="00FF48C2" w:rsidP="009C1193">
            <w:pPr>
              <w:pStyle w:val="EndnoteText"/>
              <w:keepNext/>
              <w:keepLines/>
              <w:widowControl w:val="0"/>
              <w:rPr>
                <w:color w:val="000000"/>
                <w:lang w:val="es-ES"/>
              </w:rPr>
            </w:pPr>
            <w:r w:rsidRPr="004A59B1">
              <w:rPr>
                <w:color w:val="000000"/>
                <w:lang w:val="es-ES"/>
              </w:rPr>
              <w:t>MESNA (360 mg/m</w:t>
            </w:r>
            <w:r w:rsidRPr="004A59B1">
              <w:rPr>
                <w:color w:val="000000"/>
                <w:vertAlign w:val="superscript"/>
                <w:lang w:val="es-ES"/>
              </w:rPr>
              <w:t>2</w:t>
            </w:r>
            <w:r w:rsidRPr="004A59B1">
              <w:rPr>
                <w:color w:val="000000"/>
                <w:lang w:val="es-ES"/>
              </w:rPr>
              <w:t>/odmerek vsake 3 ure, x 8 odmerkov/dan, i.v.): 1.</w:t>
            </w:r>
            <w:r w:rsidRPr="004A59B1">
              <w:rPr>
                <w:color w:val="000000"/>
                <w:lang w:val="es-ES"/>
              </w:rPr>
              <w:noBreakHyphen/>
              <w:t>5. dan</w:t>
            </w:r>
          </w:p>
          <w:p w14:paraId="5297A0C8" w14:textId="77777777" w:rsidR="00FF48C2" w:rsidRPr="004A59B1" w:rsidRDefault="00FF48C2" w:rsidP="009C1193">
            <w:pPr>
              <w:pStyle w:val="EndnoteText"/>
              <w:keepNext/>
              <w:keepLines/>
              <w:widowControl w:val="0"/>
              <w:rPr>
                <w:color w:val="000000"/>
                <w:lang w:val="es-ES"/>
              </w:rPr>
            </w:pPr>
            <w:r w:rsidRPr="004A59B1">
              <w:rPr>
                <w:color w:val="000000"/>
                <w:lang w:val="es-ES"/>
              </w:rPr>
              <w:t>G-CSF (5 </w:t>
            </w:r>
            <w:r w:rsidRPr="004A59B1">
              <w:rPr>
                <w:color w:val="000000"/>
              </w:rPr>
              <w:t>μ</w:t>
            </w:r>
            <w:r w:rsidRPr="004A59B1">
              <w:rPr>
                <w:color w:val="000000"/>
                <w:lang w:val="es-ES"/>
              </w:rPr>
              <w:t>g/kg, s.c.): 6.</w:t>
            </w:r>
            <w:r w:rsidRPr="004A59B1">
              <w:rPr>
                <w:color w:val="000000"/>
                <w:lang w:val="es-ES"/>
              </w:rPr>
              <w:noBreakHyphen/>
              <w:t>15. dan oziroma do ANC &gt; 1500 po doseženem najnižjem številu</w:t>
            </w:r>
          </w:p>
          <w:p w14:paraId="5297A0C9" w14:textId="77777777" w:rsidR="00FF48C2" w:rsidRPr="004A59B1" w:rsidRDefault="00FF48C2" w:rsidP="009C1193">
            <w:pPr>
              <w:pStyle w:val="EndnoteText"/>
              <w:keepNext/>
              <w:keepLines/>
              <w:widowControl w:val="0"/>
              <w:rPr>
                <w:color w:val="000000"/>
                <w:lang w:val="de-DE"/>
              </w:rPr>
            </w:pPr>
            <w:r w:rsidRPr="004A59B1">
              <w:rPr>
                <w:color w:val="000000"/>
                <w:lang w:val="de-DE"/>
              </w:rPr>
              <w:t>i.t. metotreksat (prilagojen na starost): SAMO 1. dan</w:t>
            </w:r>
          </w:p>
          <w:p w14:paraId="5297A0CA" w14:textId="77777777" w:rsidR="00FF48C2" w:rsidRPr="004A59B1" w:rsidRDefault="00FF48C2" w:rsidP="009C1193">
            <w:pPr>
              <w:pStyle w:val="EndnoteText"/>
              <w:keepNext/>
              <w:keepLines/>
              <w:widowControl w:val="0"/>
              <w:rPr>
                <w:color w:val="000000"/>
                <w:lang w:val="de-DE"/>
              </w:rPr>
            </w:pPr>
            <w:r w:rsidRPr="004A59B1">
              <w:rPr>
                <w:color w:val="000000"/>
                <w:lang w:val="de-DE"/>
              </w:rPr>
              <w:t>trojno i.t. zdravljenje (prilagojeno na starost): 8. in 15. </w:t>
            </w:r>
            <w:r w:rsidRPr="004A59B1">
              <w:rPr>
                <w:lang w:val="de-DE"/>
              </w:rPr>
              <w:t>dan</w:t>
            </w:r>
          </w:p>
        </w:tc>
      </w:tr>
      <w:tr w:rsidR="00FF48C2" w:rsidRPr="004A59B1" w14:paraId="5297A0D3" w14:textId="77777777" w:rsidTr="008F282C">
        <w:trPr>
          <w:cantSplit/>
        </w:trPr>
        <w:tc>
          <w:tcPr>
            <w:tcW w:w="2358" w:type="dxa"/>
            <w:shd w:val="clear" w:color="auto" w:fill="auto"/>
          </w:tcPr>
          <w:p w14:paraId="5297A0CC" w14:textId="77777777" w:rsidR="00FF48C2" w:rsidRPr="004A59B1" w:rsidRDefault="00FF48C2" w:rsidP="009C1193">
            <w:pPr>
              <w:pStyle w:val="EndnoteText"/>
              <w:widowControl w:val="0"/>
              <w:rPr>
                <w:color w:val="000000"/>
              </w:rPr>
            </w:pPr>
            <w:r w:rsidRPr="004A59B1">
              <w:rPr>
                <w:color w:val="000000"/>
              </w:rPr>
              <w:t>2. konsolidacijski blok</w:t>
            </w:r>
          </w:p>
          <w:p w14:paraId="5297A0CD" w14:textId="77777777" w:rsidR="00FF48C2" w:rsidRPr="004A59B1" w:rsidRDefault="00FF48C2" w:rsidP="009C1193">
            <w:pPr>
              <w:pStyle w:val="EndnoteText"/>
              <w:widowControl w:val="0"/>
              <w:rPr>
                <w:color w:val="000000"/>
              </w:rPr>
            </w:pPr>
            <w:r w:rsidRPr="004A59B1">
              <w:rPr>
                <w:color w:val="000000"/>
              </w:rPr>
              <w:t>(3 tedne)</w:t>
            </w:r>
          </w:p>
        </w:tc>
        <w:tc>
          <w:tcPr>
            <w:tcW w:w="6929" w:type="dxa"/>
            <w:shd w:val="clear" w:color="auto" w:fill="auto"/>
          </w:tcPr>
          <w:p w14:paraId="5297A0CE" w14:textId="77777777" w:rsidR="00FF48C2" w:rsidRPr="004A59B1" w:rsidRDefault="00FF48C2" w:rsidP="009C1193">
            <w:pPr>
              <w:pStyle w:val="EndnoteText"/>
              <w:widowControl w:val="0"/>
              <w:rPr>
                <w:color w:val="000000"/>
              </w:rPr>
            </w:pPr>
            <w:r w:rsidRPr="004A59B1">
              <w:rPr>
                <w:color w:val="000000"/>
              </w:rPr>
              <w:t>metotreksat (5 g/m</w:t>
            </w:r>
            <w:r w:rsidRPr="004A59B1">
              <w:rPr>
                <w:color w:val="000000"/>
                <w:vertAlign w:val="superscript"/>
              </w:rPr>
              <w:t>2</w:t>
            </w:r>
            <w:r w:rsidRPr="004A59B1">
              <w:rPr>
                <w:color w:val="000000"/>
              </w:rPr>
              <w:t xml:space="preserve"> v času 24 ur, i.v.): 1. dan</w:t>
            </w:r>
          </w:p>
          <w:p w14:paraId="5297A0CF" w14:textId="77777777" w:rsidR="00FF48C2" w:rsidRPr="004A59B1" w:rsidRDefault="00FF48C2" w:rsidP="009C1193">
            <w:pPr>
              <w:pStyle w:val="EndnoteText"/>
              <w:widowControl w:val="0"/>
              <w:rPr>
                <w:color w:val="000000"/>
              </w:rPr>
            </w:pPr>
            <w:r w:rsidRPr="004A59B1">
              <w:rPr>
                <w:color w:val="000000"/>
              </w:rPr>
              <w:t>levkovorin (75 mg/m</w:t>
            </w:r>
            <w:r w:rsidRPr="004A59B1">
              <w:rPr>
                <w:color w:val="000000"/>
                <w:vertAlign w:val="superscript"/>
              </w:rPr>
              <w:t>2</w:t>
            </w:r>
            <w:r w:rsidRPr="004A59B1">
              <w:rPr>
                <w:color w:val="000000"/>
              </w:rPr>
              <w:t xml:space="preserve"> 36 ur po začetku, i.v.; 15 mg/m</w:t>
            </w:r>
            <w:r w:rsidRPr="004A59B1">
              <w:rPr>
                <w:color w:val="000000"/>
                <w:vertAlign w:val="superscript"/>
              </w:rPr>
              <w:t>2</w:t>
            </w:r>
            <w:r w:rsidRPr="004A59B1">
              <w:rPr>
                <w:color w:val="000000"/>
              </w:rPr>
              <w:t xml:space="preserve"> i.v. ali peroralno vsakih 6 ur x 6 odmerkov) iii: 2. in 3. </w:t>
            </w:r>
            <w:r w:rsidRPr="004A59B1">
              <w:t>dan</w:t>
            </w:r>
          </w:p>
          <w:p w14:paraId="5297A0D0" w14:textId="77777777" w:rsidR="00FF48C2" w:rsidRPr="004A59B1" w:rsidRDefault="00FF48C2" w:rsidP="009C1193">
            <w:pPr>
              <w:pStyle w:val="EndnoteText"/>
              <w:widowControl w:val="0"/>
              <w:rPr>
                <w:color w:val="000000"/>
              </w:rPr>
            </w:pPr>
            <w:r w:rsidRPr="004A59B1">
              <w:rPr>
                <w:color w:val="000000"/>
              </w:rPr>
              <w:t>trojno i.t. zdravljenje (prilagojeno na starost): 1. dan</w:t>
            </w:r>
          </w:p>
          <w:p w14:paraId="5297A0D1" w14:textId="77777777" w:rsidR="00FF48C2" w:rsidRPr="004A59B1" w:rsidRDefault="00FF48C2" w:rsidP="009C1193">
            <w:pPr>
              <w:pStyle w:val="EndnoteText"/>
              <w:widowControl w:val="0"/>
              <w:rPr>
                <w:color w:val="000000"/>
              </w:rPr>
            </w:pPr>
            <w:r w:rsidRPr="004A59B1">
              <w:rPr>
                <w:color w:val="000000"/>
              </w:rPr>
              <w:t>ARA-C (3 g/m</w:t>
            </w:r>
            <w:r w:rsidRPr="004A59B1">
              <w:rPr>
                <w:color w:val="000000"/>
                <w:vertAlign w:val="superscript"/>
              </w:rPr>
              <w:t>2</w:t>
            </w:r>
            <w:r w:rsidRPr="004A59B1">
              <w:rPr>
                <w:color w:val="000000"/>
              </w:rPr>
              <w:t>/odmer</w:t>
            </w:r>
            <w:r w:rsidR="00A968A1" w:rsidRPr="004A59B1">
              <w:rPr>
                <w:color w:val="000000"/>
              </w:rPr>
              <w:t>e</w:t>
            </w:r>
            <w:r w:rsidRPr="004A59B1">
              <w:rPr>
                <w:color w:val="000000"/>
              </w:rPr>
              <w:t>k vsakih 12 ur x 4, i.v.):2. in 3. dan</w:t>
            </w:r>
          </w:p>
          <w:p w14:paraId="5297A0D2" w14:textId="77777777" w:rsidR="00FF48C2" w:rsidRPr="004A59B1" w:rsidRDefault="00FF48C2" w:rsidP="009C1193">
            <w:pPr>
              <w:pStyle w:val="EndnoteText"/>
              <w:widowControl w:val="0"/>
              <w:rPr>
                <w:color w:val="000000"/>
              </w:rPr>
            </w:pPr>
            <w:r w:rsidRPr="004A59B1">
              <w:rPr>
                <w:color w:val="000000"/>
              </w:rPr>
              <w:t>G-CSF (5 μg/kg, s.c.): 4.-13. </w:t>
            </w:r>
            <w:r w:rsidRPr="004A59B1">
              <w:t xml:space="preserve">dan oziroma </w:t>
            </w:r>
            <w:r w:rsidRPr="004A59B1">
              <w:rPr>
                <w:color w:val="000000"/>
              </w:rPr>
              <w:t>do ANC &gt; 1500 po doseženem najnižjem številu</w:t>
            </w:r>
          </w:p>
        </w:tc>
      </w:tr>
      <w:tr w:rsidR="00FF48C2" w:rsidRPr="003B6568" w14:paraId="5297A0DD" w14:textId="77777777" w:rsidTr="008F282C">
        <w:trPr>
          <w:cantSplit/>
        </w:trPr>
        <w:tc>
          <w:tcPr>
            <w:tcW w:w="2358" w:type="dxa"/>
            <w:shd w:val="clear" w:color="auto" w:fill="auto"/>
          </w:tcPr>
          <w:p w14:paraId="5297A0D4" w14:textId="77777777" w:rsidR="00FF48C2" w:rsidRPr="004A59B1" w:rsidRDefault="00FF48C2" w:rsidP="009C1193">
            <w:pPr>
              <w:pStyle w:val="EndnoteText"/>
              <w:widowControl w:val="0"/>
              <w:rPr>
                <w:color w:val="000000"/>
              </w:rPr>
            </w:pPr>
            <w:r w:rsidRPr="004A59B1">
              <w:rPr>
                <w:color w:val="000000"/>
              </w:rPr>
              <w:t>1. reindukcijski blok</w:t>
            </w:r>
          </w:p>
          <w:p w14:paraId="5297A0D5" w14:textId="77777777" w:rsidR="00FF48C2" w:rsidRPr="004A59B1" w:rsidRDefault="00FF48C2" w:rsidP="009C1193">
            <w:pPr>
              <w:pStyle w:val="EndnoteText"/>
              <w:widowControl w:val="0"/>
              <w:rPr>
                <w:color w:val="000000"/>
              </w:rPr>
            </w:pPr>
            <w:r w:rsidRPr="004A59B1">
              <w:rPr>
                <w:color w:val="000000"/>
              </w:rPr>
              <w:t>(3 tedne)</w:t>
            </w:r>
          </w:p>
        </w:tc>
        <w:tc>
          <w:tcPr>
            <w:tcW w:w="6929" w:type="dxa"/>
            <w:shd w:val="clear" w:color="auto" w:fill="auto"/>
          </w:tcPr>
          <w:p w14:paraId="5297A0D6" w14:textId="77777777" w:rsidR="00FF48C2" w:rsidRPr="003F2EE1" w:rsidRDefault="00FF48C2" w:rsidP="009C1193">
            <w:pPr>
              <w:pStyle w:val="EndnoteText"/>
              <w:widowControl w:val="0"/>
              <w:rPr>
                <w:color w:val="000000"/>
                <w:lang w:val="de-CH"/>
              </w:rPr>
            </w:pPr>
            <w:r w:rsidRPr="003F2EE1">
              <w:rPr>
                <w:color w:val="000000"/>
                <w:lang w:val="de-CH"/>
              </w:rPr>
              <w:t>VCR (1,5 mg/m</w:t>
            </w:r>
            <w:r w:rsidRPr="003F2EE1">
              <w:rPr>
                <w:color w:val="000000"/>
                <w:vertAlign w:val="superscript"/>
                <w:lang w:val="de-CH"/>
              </w:rPr>
              <w:t>2</w:t>
            </w:r>
            <w:r w:rsidRPr="003F2EE1">
              <w:rPr>
                <w:color w:val="000000"/>
                <w:lang w:val="de-CH"/>
              </w:rPr>
              <w:t>/dan, i.v.):1., 8. in 15. dan</w:t>
            </w:r>
          </w:p>
          <w:p w14:paraId="5297A0D7" w14:textId="77777777" w:rsidR="00FF48C2" w:rsidRPr="003F2EE1" w:rsidRDefault="00FF48C2" w:rsidP="009C1193">
            <w:pPr>
              <w:pStyle w:val="EndnoteText"/>
              <w:widowControl w:val="0"/>
              <w:rPr>
                <w:color w:val="000000"/>
                <w:lang w:val="de-CH"/>
              </w:rPr>
            </w:pPr>
            <w:r w:rsidRPr="003F2EE1">
              <w:rPr>
                <w:color w:val="000000"/>
                <w:lang w:val="de-CH"/>
              </w:rPr>
              <w:t>DAUN (45 mg/m</w:t>
            </w:r>
            <w:r w:rsidRPr="003F2EE1">
              <w:rPr>
                <w:color w:val="000000"/>
                <w:vertAlign w:val="superscript"/>
                <w:lang w:val="de-CH"/>
              </w:rPr>
              <w:t>2</w:t>
            </w:r>
            <w:r w:rsidRPr="003F2EE1">
              <w:rPr>
                <w:color w:val="000000"/>
                <w:lang w:val="de-CH"/>
              </w:rPr>
              <w:t>/dan bolus, i.v.): 1. in 2. dan</w:t>
            </w:r>
          </w:p>
          <w:p w14:paraId="5297A0D8" w14:textId="77777777" w:rsidR="00FF48C2" w:rsidRPr="003F2EE1" w:rsidRDefault="00FF48C2" w:rsidP="009C1193">
            <w:pPr>
              <w:pStyle w:val="EndnoteText"/>
              <w:widowControl w:val="0"/>
              <w:rPr>
                <w:color w:val="000000"/>
                <w:lang w:val="de-CH"/>
              </w:rPr>
            </w:pPr>
            <w:r w:rsidRPr="003F2EE1">
              <w:rPr>
                <w:color w:val="000000"/>
                <w:lang w:val="de-CH"/>
              </w:rPr>
              <w:t>CPM (250 mg/m</w:t>
            </w:r>
            <w:r w:rsidRPr="003F2EE1">
              <w:rPr>
                <w:color w:val="000000"/>
                <w:vertAlign w:val="superscript"/>
                <w:lang w:val="de-CH"/>
              </w:rPr>
              <w:t>2</w:t>
            </w:r>
            <w:r w:rsidRPr="003F2EE1">
              <w:rPr>
                <w:color w:val="000000"/>
                <w:lang w:val="de-CH"/>
              </w:rPr>
              <w:t>/odmerek vsakih 12 ur x 4 odmerki, i.v.): 3. in 4. dan</w:t>
            </w:r>
          </w:p>
          <w:p w14:paraId="5297A0D9" w14:textId="77777777" w:rsidR="00FF48C2" w:rsidRPr="004A59B1" w:rsidRDefault="00FF48C2" w:rsidP="009C1193">
            <w:pPr>
              <w:pStyle w:val="EndnoteText"/>
              <w:widowControl w:val="0"/>
              <w:rPr>
                <w:color w:val="000000"/>
                <w:lang w:val="es-ES"/>
              </w:rPr>
            </w:pPr>
            <w:r w:rsidRPr="004A59B1">
              <w:rPr>
                <w:color w:val="000000"/>
                <w:lang w:val="es-ES"/>
              </w:rPr>
              <w:t>PEG-ASP (2500 i.e./m</w:t>
            </w:r>
            <w:r w:rsidRPr="004A59B1">
              <w:rPr>
                <w:color w:val="000000"/>
                <w:vertAlign w:val="superscript"/>
                <w:lang w:val="es-ES"/>
              </w:rPr>
              <w:t>2</w:t>
            </w:r>
            <w:r w:rsidRPr="004A59B1">
              <w:rPr>
                <w:color w:val="000000"/>
                <w:lang w:val="es-ES"/>
              </w:rPr>
              <w:t>,i.m.): 4. dan</w:t>
            </w:r>
          </w:p>
          <w:p w14:paraId="5297A0DA" w14:textId="77777777" w:rsidR="00FF48C2" w:rsidRPr="004A59B1" w:rsidRDefault="00FF48C2" w:rsidP="009C1193">
            <w:pPr>
              <w:pStyle w:val="EndnoteText"/>
              <w:widowControl w:val="0"/>
              <w:rPr>
                <w:color w:val="000000"/>
                <w:lang w:val="es-ES"/>
              </w:rPr>
            </w:pPr>
            <w:r w:rsidRPr="004A59B1">
              <w:rPr>
                <w:color w:val="000000"/>
                <w:lang w:val="es-ES"/>
              </w:rPr>
              <w:t>G-CSF (5 </w:t>
            </w:r>
            <w:r w:rsidRPr="004A59B1">
              <w:rPr>
                <w:color w:val="000000"/>
              </w:rPr>
              <w:t>μ</w:t>
            </w:r>
            <w:r w:rsidRPr="004A59B1">
              <w:rPr>
                <w:color w:val="000000"/>
                <w:lang w:val="es-ES"/>
              </w:rPr>
              <w:t>g/kg, s.c.): 5.</w:t>
            </w:r>
            <w:r w:rsidRPr="004A59B1">
              <w:rPr>
                <w:color w:val="000000"/>
                <w:lang w:val="es-ES"/>
              </w:rPr>
              <w:noBreakHyphen/>
              <w:t>14. dan o</w:t>
            </w:r>
            <w:r w:rsidRPr="004A59B1">
              <w:rPr>
                <w:lang w:val="es-ES"/>
              </w:rPr>
              <w:t xml:space="preserve">ziroma </w:t>
            </w:r>
            <w:r w:rsidRPr="004A59B1">
              <w:rPr>
                <w:color w:val="000000"/>
                <w:lang w:val="es-ES"/>
              </w:rPr>
              <w:t>do ANC &gt; 1500 po doseženem najnižjem številu</w:t>
            </w:r>
          </w:p>
          <w:p w14:paraId="5297A0DB" w14:textId="77777777" w:rsidR="00FF48C2" w:rsidRPr="004A59B1" w:rsidRDefault="00FF48C2" w:rsidP="009C1193">
            <w:pPr>
              <w:pStyle w:val="EndnoteText"/>
              <w:widowControl w:val="0"/>
              <w:rPr>
                <w:color w:val="000000"/>
                <w:lang w:val="es-ES"/>
              </w:rPr>
            </w:pPr>
            <w:r w:rsidRPr="004A59B1">
              <w:rPr>
                <w:color w:val="000000"/>
                <w:lang w:val="es-ES"/>
              </w:rPr>
              <w:t>trojno i.t. zdravljenje (prilagojeno na starost): 1. in 15. dan</w:t>
            </w:r>
          </w:p>
          <w:p w14:paraId="5297A0DC" w14:textId="77777777" w:rsidR="00FF48C2" w:rsidRPr="004A59B1" w:rsidRDefault="00FF48C2" w:rsidP="009C1193">
            <w:pPr>
              <w:pStyle w:val="EndnoteText"/>
              <w:widowControl w:val="0"/>
              <w:rPr>
                <w:color w:val="000000"/>
                <w:lang w:val="es-ES"/>
              </w:rPr>
            </w:pPr>
            <w:r w:rsidRPr="004A59B1">
              <w:rPr>
                <w:color w:val="000000"/>
                <w:lang w:val="es-ES"/>
              </w:rPr>
              <w:t>DEX (6 mg/m</w:t>
            </w:r>
            <w:r w:rsidRPr="004A59B1">
              <w:rPr>
                <w:color w:val="000000"/>
                <w:vertAlign w:val="superscript"/>
                <w:lang w:val="es-ES"/>
              </w:rPr>
              <w:t>2</w:t>
            </w:r>
            <w:r w:rsidRPr="004A59B1">
              <w:rPr>
                <w:color w:val="000000"/>
                <w:lang w:val="es-ES"/>
              </w:rPr>
              <w:t>/dan, peroralno): 1.</w:t>
            </w:r>
            <w:r w:rsidRPr="004A59B1">
              <w:rPr>
                <w:color w:val="000000"/>
                <w:lang w:val="es-ES"/>
              </w:rPr>
              <w:noBreakHyphen/>
              <w:t>7. dan in 15.</w:t>
            </w:r>
            <w:r w:rsidRPr="004A59B1">
              <w:rPr>
                <w:color w:val="000000"/>
                <w:lang w:val="es-ES"/>
              </w:rPr>
              <w:noBreakHyphen/>
              <w:t>21. dan</w:t>
            </w:r>
          </w:p>
        </w:tc>
      </w:tr>
      <w:tr w:rsidR="00FF48C2" w:rsidRPr="004A59B1" w14:paraId="5297A0E9" w14:textId="77777777" w:rsidTr="008F282C">
        <w:trPr>
          <w:cantSplit/>
        </w:trPr>
        <w:tc>
          <w:tcPr>
            <w:tcW w:w="2358" w:type="dxa"/>
            <w:shd w:val="clear" w:color="auto" w:fill="auto"/>
          </w:tcPr>
          <w:p w14:paraId="5297A0DE" w14:textId="77777777" w:rsidR="00FF48C2" w:rsidRPr="004A59B1" w:rsidRDefault="00FF48C2" w:rsidP="009C1193">
            <w:pPr>
              <w:pStyle w:val="EndnoteText"/>
              <w:widowControl w:val="0"/>
              <w:rPr>
                <w:color w:val="000000"/>
              </w:rPr>
            </w:pPr>
            <w:r w:rsidRPr="004A59B1">
              <w:rPr>
                <w:color w:val="000000"/>
              </w:rPr>
              <w:lastRenderedPageBreak/>
              <w:t xml:space="preserve">1. intenzifikacijski blok </w:t>
            </w:r>
          </w:p>
          <w:p w14:paraId="5297A0DF" w14:textId="77777777" w:rsidR="00FF48C2" w:rsidRPr="004A59B1" w:rsidRDefault="00FF48C2" w:rsidP="009C1193">
            <w:pPr>
              <w:pStyle w:val="EndnoteText"/>
              <w:widowControl w:val="0"/>
              <w:rPr>
                <w:color w:val="000000"/>
              </w:rPr>
            </w:pPr>
            <w:r w:rsidRPr="004A59B1">
              <w:rPr>
                <w:color w:val="000000"/>
              </w:rPr>
              <w:t>(9 tednov)</w:t>
            </w:r>
          </w:p>
        </w:tc>
        <w:tc>
          <w:tcPr>
            <w:tcW w:w="6929" w:type="dxa"/>
            <w:shd w:val="clear" w:color="auto" w:fill="auto"/>
          </w:tcPr>
          <w:p w14:paraId="5297A0E0" w14:textId="77777777" w:rsidR="00FF48C2" w:rsidRPr="003F2EE1" w:rsidRDefault="00FF48C2" w:rsidP="009C1193">
            <w:pPr>
              <w:pStyle w:val="EndnoteText"/>
              <w:widowControl w:val="0"/>
              <w:rPr>
                <w:color w:val="000000"/>
                <w:lang w:val="de-CH"/>
              </w:rPr>
            </w:pPr>
            <w:r w:rsidRPr="003F2EE1">
              <w:rPr>
                <w:color w:val="000000"/>
                <w:lang w:val="de-CH"/>
              </w:rPr>
              <w:t>metotreksat (5 g/m</w:t>
            </w:r>
            <w:r w:rsidRPr="003F2EE1">
              <w:rPr>
                <w:color w:val="000000"/>
                <w:vertAlign w:val="superscript"/>
                <w:lang w:val="de-CH"/>
              </w:rPr>
              <w:t>2</w:t>
            </w:r>
            <w:r w:rsidRPr="003F2EE1">
              <w:rPr>
                <w:color w:val="000000"/>
                <w:lang w:val="de-CH"/>
              </w:rPr>
              <w:t xml:space="preserve"> v času 24 ur, i.v.): 1. in 15. dan</w:t>
            </w:r>
          </w:p>
          <w:p w14:paraId="5297A0E1" w14:textId="77777777" w:rsidR="00FF48C2" w:rsidRPr="003F2EE1" w:rsidRDefault="00FF48C2" w:rsidP="009C1193">
            <w:pPr>
              <w:pStyle w:val="EndnoteText"/>
              <w:widowControl w:val="0"/>
              <w:rPr>
                <w:color w:val="000000"/>
                <w:lang w:val="de-CH"/>
              </w:rPr>
            </w:pPr>
            <w:r w:rsidRPr="003F2EE1">
              <w:rPr>
                <w:color w:val="000000"/>
                <w:lang w:val="de-CH"/>
              </w:rPr>
              <w:t>levkovorin (75 mg/m</w:t>
            </w:r>
            <w:r w:rsidRPr="003F2EE1">
              <w:rPr>
                <w:color w:val="000000"/>
                <w:vertAlign w:val="superscript"/>
                <w:lang w:val="de-CH"/>
              </w:rPr>
              <w:t>2</w:t>
            </w:r>
            <w:r w:rsidRPr="003F2EE1">
              <w:rPr>
                <w:color w:val="000000"/>
                <w:lang w:val="de-CH"/>
              </w:rPr>
              <w:t xml:space="preserve"> 36 ur po začetku, i.v.; 15 mg/m</w:t>
            </w:r>
            <w:r w:rsidRPr="003F2EE1">
              <w:rPr>
                <w:color w:val="000000"/>
                <w:vertAlign w:val="superscript"/>
                <w:lang w:val="de-CH"/>
              </w:rPr>
              <w:t>2</w:t>
            </w:r>
            <w:r w:rsidRPr="003F2EE1">
              <w:rPr>
                <w:color w:val="000000"/>
                <w:lang w:val="de-CH"/>
              </w:rPr>
              <w:t xml:space="preserve"> i.v. ali peroralno vsakih 6 ur x 6 odmerkov) iii: 2., 3., 16. in 17. dan</w:t>
            </w:r>
          </w:p>
          <w:p w14:paraId="5297A0E2" w14:textId="77777777" w:rsidR="00FF48C2" w:rsidRPr="003F2EE1" w:rsidRDefault="00FF48C2" w:rsidP="009C1193">
            <w:pPr>
              <w:pStyle w:val="EndnoteText"/>
              <w:widowControl w:val="0"/>
              <w:rPr>
                <w:color w:val="000000"/>
                <w:lang w:val="de-CH"/>
              </w:rPr>
            </w:pPr>
            <w:r w:rsidRPr="003F2EE1">
              <w:rPr>
                <w:color w:val="000000"/>
                <w:lang w:val="de-CH"/>
              </w:rPr>
              <w:t>trojno i.t. zdravljenje (prilagojeno na starost): 1. in 22. dan</w:t>
            </w:r>
          </w:p>
          <w:p w14:paraId="5297A0E3" w14:textId="77777777" w:rsidR="00FF48C2" w:rsidRPr="004A59B1" w:rsidRDefault="00FF48C2" w:rsidP="009C1193">
            <w:pPr>
              <w:pStyle w:val="EndnoteText"/>
              <w:widowControl w:val="0"/>
              <w:rPr>
                <w:color w:val="000000"/>
                <w:lang w:val="es-ES"/>
              </w:rPr>
            </w:pPr>
            <w:r w:rsidRPr="004A59B1">
              <w:rPr>
                <w:color w:val="000000"/>
                <w:lang w:val="es-ES"/>
              </w:rPr>
              <w:t>VP-16 (100 mg/m</w:t>
            </w:r>
            <w:r w:rsidRPr="004A59B1">
              <w:rPr>
                <w:color w:val="000000"/>
                <w:vertAlign w:val="superscript"/>
                <w:lang w:val="es-ES"/>
              </w:rPr>
              <w:t>2</w:t>
            </w:r>
            <w:r w:rsidRPr="004A59B1">
              <w:rPr>
                <w:color w:val="000000"/>
                <w:lang w:val="es-ES"/>
              </w:rPr>
              <w:t>/dan, i.v.): 22.</w:t>
            </w:r>
            <w:r w:rsidRPr="004A59B1">
              <w:rPr>
                <w:color w:val="000000"/>
                <w:lang w:val="es-ES"/>
              </w:rPr>
              <w:noBreakHyphen/>
              <w:t>26. dan</w:t>
            </w:r>
          </w:p>
          <w:p w14:paraId="5297A0E4" w14:textId="77777777" w:rsidR="00FF48C2" w:rsidRPr="004A59B1" w:rsidRDefault="00FF48C2" w:rsidP="009C1193">
            <w:pPr>
              <w:pStyle w:val="EndnoteText"/>
              <w:widowControl w:val="0"/>
              <w:rPr>
                <w:color w:val="000000"/>
                <w:lang w:val="es-ES"/>
              </w:rPr>
            </w:pPr>
            <w:r w:rsidRPr="004A59B1">
              <w:rPr>
                <w:color w:val="000000"/>
                <w:lang w:val="es-ES"/>
              </w:rPr>
              <w:t>CPM (300 mg/m</w:t>
            </w:r>
            <w:r w:rsidRPr="004A59B1">
              <w:rPr>
                <w:color w:val="000000"/>
                <w:vertAlign w:val="superscript"/>
                <w:lang w:val="es-ES"/>
              </w:rPr>
              <w:t>2</w:t>
            </w:r>
            <w:r w:rsidRPr="004A59B1">
              <w:rPr>
                <w:color w:val="000000"/>
                <w:lang w:val="es-ES"/>
              </w:rPr>
              <w:t>/dan, i.v.): 22.</w:t>
            </w:r>
            <w:r w:rsidRPr="004A59B1">
              <w:rPr>
                <w:color w:val="000000"/>
                <w:lang w:val="es-ES"/>
              </w:rPr>
              <w:noBreakHyphen/>
              <w:t>26. dan</w:t>
            </w:r>
          </w:p>
          <w:p w14:paraId="5297A0E5" w14:textId="77777777" w:rsidR="00FF48C2" w:rsidRPr="004A59B1" w:rsidRDefault="00FF48C2" w:rsidP="009C1193">
            <w:pPr>
              <w:pStyle w:val="EndnoteText"/>
              <w:widowControl w:val="0"/>
              <w:rPr>
                <w:color w:val="000000"/>
                <w:lang w:val="es-ES"/>
              </w:rPr>
            </w:pPr>
            <w:r w:rsidRPr="004A59B1">
              <w:rPr>
                <w:color w:val="000000"/>
                <w:lang w:val="es-ES"/>
              </w:rPr>
              <w:t>MESNA (150 mg/m</w:t>
            </w:r>
            <w:r w:rsidRPr="004A59B1">
              <w:rPr>
                <w:color w:val="000000"/>
                <w:vertAlign w:val="superscript"/>
                <w:lang w:val="es-ES"/>
              </w:rPr>
              <w:t>2</w:t>
            </w:r>
            <w:r w:rsidRPr="004A59B1">
              <w:rPr>
                <w:color w:val="000000"/>
                <w:lang w:val="es-ES"/>
              </w:rPr>
              <w:t>/dan, i.v.): 22.</w:t>
            </w:r>
            <w:r w:rsidRPr="004A59B1">
              <w:rPr>
                <w:color w:val="000000"/>
                <w:lang w:val="es-ES"/>
              </w:rPr>
              <w:noBreakHyphen/>
              <w:t>26. dan</w:t>
            </w:r>
          </w:p>
          <w:p w14:paraId="5297A0E6" w14:textId="77777777" w:rsidR="00FF48C2" w:rsidRPr="004A59B1" w:rsidRDefault="00FF48C2" w:rsidP="009C1193">
            <w:pPr>
              <w:pStyle w:val="EndnoteText"/>
              <w:widowControl w:val="0"/>
              <w:rPr>
                <w:color w:val="000000"/>
                <w:lang w:val="es-ES"/>
              </w:rPr>
            </w:pPr>
            <w:r w:rsidRPr="004A59B1">
              <w:rPr>
                <w:color w:val="000000"/>
                <w:lang w:val="es-ES"/>
              </w:rPr>
              <w:t>G-CSF (5 </w:t>
            </w:r>
            <w:r w:rsidRPr="004A59B1">
              <w:rPr>
                <w:color w:val="000000"/>
              </w:rPr>
              <w:t>μ</w:t>
            </w:r>
            <w:r w:rsidRPr="004A59B1">
              <w:rPr>
                <w:color w:val="000000"/>
                <w:lang w:val="es-ES"/>
              </w:rPr>
              <w:t>g/kg, s.c.):27.-36. dan o</w:t>
            </w:r>
            <w:r w:rsidRPr="004A59B1">
              <w:rPr>
                <w:lang w:val="es-ES"/>
              </w:rPr>
              <w:t xml:space="preserve">ziroma </w:t>
            </w:r>
            <w:r w:rsidRPr="004A59B1">
              <w:rPr>
                <w:color w:val="000000"/>
                <w:lang w:val="es-ES"/>
              </w:rPr>
              <w:t>do ANC &gt; 1500 po doseženem najnižjem številu</w:t>
            </w:r>
          </w:p>
          <w:p w14:paraId="5297A0E7" w14:textId="77777777" w:rsidR="00FF48C2" w:rsidRPr="004A59B1" w:rsidRDefault="00FF48C2" w:rsidP="009C1193">
            <w:pPr>
              <w:pStyle w:val="EndnoteText"/>
              <w:widowControl w:val="0"/>
              <w:rPr>
                <w:color w:val="000000"/>
                <w:lang w:val="es-ES"/>
              </w:rPr>
            </w:pPr>
            <w:r w:rsidRPr="004A59B1">
              <w:rPr>
                <w:color w:val="000000"/>
                <w:lang w:val="es-ES"/>
              </w:rPr>
              <w:t>ARA-C (3 g/m</w:t>
            </w:r>
            <w:r w:rsidRPr="004A59B1">
              <w:rPr>
                <w:color w:val="000000"/>
                <w:vertAlign w:val="superscript"/>
                <w:lang w:val="es-ES"/>
              </w:rPr>
              <w:t>2</w:t>
            </w:r>
            <w:r w:rsidRPr="004A59B1">
              <w:rPr>
                <w:color w:val="000000"/>
                <w:lang w:val="es-ES"/>
              </w:rPr>
              <w:t>, vsakih 12 ur, i.v.): 43. in 44. dan</w:t>
            </w:r>
          </w:p>
          <w:p w14:paraId="5297A0E8" w14:textId="77777777" w:rsidR="00FF48C2" w:rsidRPr="004A59B1" w:rsidRDefault="00FF48C2" w:rsidP="009C1193">
            <w:pPr>
              <w:pStyle w:val="EndnoteText"/>
              <w:widowControl w:val="0"/>
              <w:rPr>
                <w:color w:val="000000"/>
                <w:lang w:val="es-ES"/>
              </w:rPr>
            </w:pPr>
            <w:r w:rsidRPr="004A59B1">
              <w:rPr>
                <w:color w:val="000000"/>
                <w:lang w:val="es-ES"/>
              </w:rPr>
              <w:t>L-ASP (6000 i.e./m</w:t>
            </w:r>
            <w:r w:rsidRPr="004A59B1">
              <w:rPr>
                <w:color w:val="000000"/>
                <w:vertAlign w:val="superscript"/>
                <w:lang w:val="es-ES"/>
              </w:rPr>
              <w:t>2</w:t>
            </w:r>
            <w:r w:rsidRPr="004A59B1">
              <w:rPr>
                <w:color w:val="000000"/>
                <w:lang w:val="es-ES"/>
              </w:rPr>
              <w:t>, i.m.): 44. dan</w:t>
            </w:r>
          </w:p>
        </w:tc>
      </w:tr>
      <w:tr w:rsidR="00FF48C2" w:rsidRPr="003B6568" w14:paraId="5297A0F3" w14:textId="77777777" w:rsidTr="008F282C">
        <w:trPr>
          <w:cantSplit/>
        </w:trPr>
        <w:tc>
          <w:tcPr>
            <w:tcW w:w="2358" w:type="dxa"/>
            <w:shd w:val="clear" w:color="auto" w:fill="auto"/>
          </w:tcPr>
          <w:p w14:paraId="5297A0EA" w14:textId="77777777" w:rsidR="00FF48C2" w:rsidRPr="004A59B1" w:rsidRDefault="00FF48C2" w:rsidP="009C1193">
            <w:pPr>
              <w:pStyle w:val="EndnoteText"/>
              <w:widowControl w:val="0"/>
              <w:rPr>
                <w:color w:val="000000"/>
              </w:rPr>
            </w:pPr>
            <w:r w:rsidRPr="004A59B1">
              <w:rPr>
                <w:color w:val="000000"/>
              </w:rPr>
              <w:t>2. reindukcijski blok</w:t>
            </w:r>
          </w:p>
          <w:p w14:paraId="5297A0EB" w14:textId="77777777" w:rsidR="00FF48C2" w:rsidRPr="004A59B1" w:rsidRDefault="00FF48C2" w:rsidP="009C1193">
            <w:pPr>
              <w:pStyle w:val="EndnoteText"/>
              <w:widowControl w:val="0"/>
              <w:rPr>
                <w:color w:val="000000"/>
              </w:rPr>
            </w:pPr>
            <w:r w:rsidRPr="004A59B1">
              <w:rPr>
                <w:color w:val="000000"/>
              </w:rPr>
              <w:t>(3 tedne)</w:t>
            </w:r>
          </w:p>
        </w:tc>
        <w:tc>
          <w:tcPr>
            <w:tcW w:w="6929" w:type="dxa"/>
            <w:shd w:val="clear" w:color="auto" w:fill="auto"/>
          </w:tcPr>
          <w:p w14:paraId="5297A0EC" w14:textId="77777777" w:rsidR="00FF48C2" w:rsidRPr="003F2EE1" w:rsidRDefault="00FF48C2" w:rsidP="009C1193">
            <w:pPr>
              <w:pStyle w:val="EndnoteText"/>
              <w:widowControl w:val="0"/>
              <w:rPr>
                <w:color w:val="000000"/>
                <w:lang w:val="de-CH"/>
              </w:rPr>
            </w:pPr>
            <w:r w:rsidRPr="003F2EE1">
              <w:rPr>
                <w:color w:val="000000"/>
                <w:lang w:val="de-CH"/>
              </w:rPr>
              <w:t>VCR (1,5 mg/m</w:t>
            </w:r>
            <w:r w:rsidRPr="003F2EE1">
              <w:rPr>
                <w:color w:val="000000"/>
                <w:vertAlign w:val="superscript"/>
                <w:lang w:val="de-CH"/>
              </w:rPr>
              <w:t>2</w:t>
            </w:r>
            <w:r w:rsidRPr="003F2EE1">
              <w:rPr>
                <w:color w:val="000000"/>
                <w:lang w:val="de-CH"/>
              </w:rPr>
              <w:t>/dan, i.v.): 1., 8. in 15. dan</w:t>
            </w:r>
          </w:p>
          <w:p w14:paraId="5297A0ED" w14:textId="77777777" w:rsidR="00FF48C2" w:rsidRPr="003F2EE1" w:rsidRDefault="00FF48C2" w:rsidP="009C1193">
            <w:pPr>
              <w:pStyle w:val="EndnoteText"/>
              <w:widowControl w:val="0"/>
              <w:rPr>
                <w:color w:val="000000"/>
                <w:lang w:val="de-CH"/>
              </w:rPr>
            </w:pPr>
            <w:r w:rsidRPr="003F2EE1">
              <w:rPr>
                <w:color w:val="000000"/>
                <w:lang w:val="de-CH"/>
              </w:rPr>
              <w:t>DAUN (45 mg/m</w:t>
            </w:r>
            <w:r w:rsidRPr="003F2EE1">
              <w:rPr>
                <w:color w:val="000000"/>
                <w:vertAlign w:val="superscript"/>
                <w:lang w:val="de-CH"/>
              </w:rPr>
              <w:t>2</w:t>
            </w:r>
            <w:r w:rsidRPr="003F2EE1">
              <w:rPr>
                <w:color w:val="000000"/>
                <w:lang w:val="de-CH"/>
              </w:rPr>
              <w:t>/dan bolus, i.v.): 1. in 2. dan</w:t>
            </w:r>
          </w:p>
          <w:p w14:paraId="5297A0EE" w14:textId="77777777" w:rsidR="00FF48C2" w:rsidRPr="003F2EE1" w:rsidRDefault="00FF48C2" w:rsidP="009C1193">
            <w:pPr>
              <w:pStyle w:val="EndnoteText"/>
              <w:widowControl w:val="0"/>
              <w:rPr>
                <w:color w:val="000000"/>
                <w:lang w:val="de-CH"/>
              </w:rPr>
            </w:pPr>
            <w:r w:rsidRPr="003F2EE1">
              <w:rPr>
                <w:color w:val="000000"/>
                <w:lang w:val="de-CH"/>
              </w:rPr>
              <w:t>CPM (250 mg/m</w:t>
            </w:r>
            <w:r w:rsidRPr="003F2EE1">
              <w:rPr>
                <w:color w:val="000000"/>
                <w:vertAlign w:val="superscript"/>
                <w:lang w:val="de-CH"/>
              </w:rPr>
              <w:t>2</w:t>
            </w:r>
            <w:r w:rsidRPr="003F2EE1">
              <w:rPr>
                <w:color w:val="000000"/>
                <w:lang w:val="de-CH"/>
              </w:rPr>
              <w:t>/odmerek vsakih 12 ur x 4 odmerki, i.v.): 3. in 4. dan</w:t>
            </w:r>
          </w:p>
          <w:p w14:paraId="5297A0EF" w14:textId="77777777" w:rsidR="00FF48C2" w:rsidRPr="004A59B1" w:rsidRDefault="00FF48C2" w:rsidP="009C1193">
            <w:pPr>
              <w:pStyle w:val="EndnoteText"/>
              <w:widowControl w:val="0"/>
              <w:rPr>
                <w:color w:val="000000"/>
                <w:lang w:val="es-ES"/>
              </w:rPr>
            </w:pPr>
            <w:r w:rsidRPr="004A59B1">
              <w:rPr>
                <w:color w:val="000000"/>
                <w:lang w:val="es-ES"/>
              </w:rPr>
              <w:t>PEG-ASP (2500 i.e./m</w:t>
            </w:r>
            <w:r w:rsidRPr="004A59B1">
              <w:rPr>
                <w:color w:val="000000"/>
                <w:vertAlign w:val="superscript"/>
                <w:lang w:val="es-ES"/>
              </w:rPr>
              <w:t>2</w:t>
            </w:r>
            <w:r w:rsidRPr="004A59B1">
              <w:rPr>
                <w:color w:val="000000"/>
                <w:lang w:val="es-ES"/>
              </w:rPr>
              <w:t>, i.m.): 4. dan</w:t>
            </w:r>
          </w:p>
          <w:p w14:paraId="5297A0F0" w14:textId="77777777" w:rsidR="00FF48C2" w:rsidRPr="004A59B1" w:rsidRDefault="00FF48C2" w:rsidP="009C1193">
            <w:pPr>
              <w:pStyle w:val="EndnoteText"/>
              <w:widowControl w:val="0"/>
              <w:rPr>
                <w:color w:val="000000"/>
                <w:lang w:val="es-ES"/>
              </w:rPr>
            </w:pPr>
            <w:r w:rsidRPr="004A59B1">
              <w:rPr>
                <w:color w:val="000000"/>
                <w:lang w:val="es-ES"/>
              </w:rPr>
              <w:t>G-CSF (5 </w:t>
            </w:r>
            <w:r w:rsidRPr="004A59B1">
              <w:rPr>
                <w:color w:val="000000"/>
              </w:rPr>
              <w:t>μ</w:t>
            </w:r>
            <w:r w:rsidRPr="004A59B1">
              <w:rPr>
                <w:color w:val="000000"/>
                <w:lang w:val="es-ES"/>
              </w:rPr>
              <w:t>g/kg, s.c.):5.-14. dan o</w:t>
            </w:r>
            <w:r w:rsidRPr="004A59B1">
              <w:rPr>
                <w:lang w:val="es-ES"/>
              </w:rPr>
              <w:t xml:space="preserve">ziroma </w:t>
            </w:r>
            <w:r w:rsidRPr="004A59B1">
              <w:rPr>
                <w:color w:val="000000"/>
                <w:lang w:val="es-ES"/>
              </w:rPr>
              <w:t>do ANC &gt; 1500 po doseženem najnižjem številu</w:t>
            </w:r>
          </w:p>
          <w:p w14:paraId="5297A0F1" w14:textId="77777777" w:rsidR="00FF48C2" w:rsidRPr="004A59B1" w:rsidRDefault="00FF48C2" w:rsidP="009C1193">
            <w:pPr>
              <w:pStyle w:val="EndnoteText"/>
              <w:widowControl w:val="0"/>
              <w:rPr>
                <w:color w:val="000000"/>
                <w:lang w:val="es-ES"/>
              </w:rPr>
            </w:pPr>
            <w:r w:rsidRPr="004A59B1">
              <w:rPr>
                <w:color w:val="000000"/>
                <w:lang w:val="es-ES"/>
              </w:rPr>
              <w:t>trojno i.t. zdravljenje (prilagojeno na starost): 1. in 15. </w:t>
            </w:r>
            <w:r w:rsidRPr="004A59B1">
              <w:rPr>
                <w:lang w:val="es-ES"/>
              </w:rPr>
              <w:t>dan</w:t>
            </w:r>
          </w:p>
          <w:p w14:paraId="5297A0F2" w14:textId="77777777" w:rsidR="00FF48C2" w:rsidRPr="004A59B1" w:rsidRDefault="00FF48C2" w:rsidP="009C1193">
            <w:pPr>
              <w:pStyle w:val="EndnoteText"/>
              <w:widowControl w:val="0"/>
              <w:rPr>
                <w:color w:val="000000"/>
                <w:lang w:val="es-ES"/>
              </w:rPr>
            </w:pPr>
            <w:r w:rsidRPr="004A59B1">
              <w:rPr>
                <w:color w:val="000000"/>
                <w:lang w:val="es-ES"/>
              </w:rPr>
              <w:t>DEX (6 mg/m</w:t>
            </w:r>
            <w:r w:rsidRPr="004A59B1">
              <w:rPr>
                <w:color w:val="000000"/>
                <w:vertAlign w:val="superscript"/>
                <w:lang w:val="es-ES"/>
              </w:rPr>
              <w:t>2</w:t>
            </w:r>
            <w:r w:rsidRPr="004A59B1">
              <w:rPr>
                <w:color w:val="000000"/>
                <w:lang w:val="es-ES"/>
              </w:rPr>
              <w:t>/dan, peroralno): 1.</w:t>
            </w:r>
            <w:r w:rsidRPr="004A59B1">
              <w:rPr>
                <w:color w:val="000000"/>
                <w:lang w:val="es-ES"/>
              </w:rPr>
              <w:noBreakHyphen/>
              <w:t>7. dan in 15.</w:t>
            </w:r>
            <w:r w:rsidRPr="004A59B1">
              <w:rPr>
                <w:color w:val="000000"/>
                <w:lang w:val="es-ES"/>
              </w:rPr>
              <w:noBreakHyphen/>
              <w:t>21. dan</w:t>
            </w:r>
          </w:p>
        </w:tc>
      </w:tr>
      <w:tr w:rsidR="00FF48C2" w:rsidRPr="004A59B1" w14:paraId="5297A0FF" w14:textId="77777777" w:rsidTr="008F282C">
        <w:trPr>
          <w:cantSplit/>
        </w:trPr>
        <w:tc>
          <w:tcPr>
            <w:tcW w:w="2358" w:type="dxa"/>
            <w:shd w:val="clear" w:color="auto" w:fill="auto"/>
          </w:tcPr>
          <w:p w14:paraId="5297A0F4" w14:textId="77777777" w:rsidR="00FF48C2" w:rsidRPr="004A59B1" w:rsidRDefault="00FF48C2" w:rsidP="009C1193">
            <w:pPr>
              <w:pStyle w:val="EndnoteText"/>
              <w:widowControl w:val="0"/>
              <w:rPr>
                <w:color w:val="000000"/>
              </w:rPr>
            </w:pPr>
            <w:r w:rsidRPr="004A59B1">
              <w:rPr>
                <w:color w:val="000000"/>
              </w:rPr>
              <w:t xml:space="preserve">2. intenzifikacijski blok </w:t>
            </w:r>
          </w:p>
          <w:p w14:paraId="5297A0F5" w14:textId="77777777" w:rsidR="00FF48C2" w:rsidRPr="004A59B1" w:rsidRDefault="00FF48C2" w:rsidP="009C1193">
            <w:pPr>
              <w:pStyle w:val="EndnoteText"/>
              <w:widowControl w:val="0"/>
              <w:rPr>
                <w:color w:val="000000"/>
              </w:rPr>
            </w:pPr>
            <w:r w:rsidRPr="004A59B1">
              <w:rPr>
                <w:color w:val="000000"/>
              </w:rPr>
              <w:t>(9 tednov)</w:t>
            </w:r>
          </w:p>
        </w:tc>
        <w:tc>
          <w:tcPr>
            <w:tcW w:w="6929" w:type="dxa"/>
            <w:shd w:val="clear" w:color="auto" w:fill="auto"/>
          </w:tcPr>
          <w:p w14:paraId="5297A0F6" w14:textId="77777777" w:rsidR="00FF48C2" w:rsidRPr="003F2EE1" w:rsidRDefault="00FF48C2" w:rsidP="009C1193">
            <w:pPr>
              <w:pStyle w:val="EndnoteText"/>
              <w:widowControl w:val="0"/>
              <w:rPr>
                <w:color w:val="000000"/>
                <w:lang w:val="de-CH"/>
              </w:rPr>
            </w:pPr>
            <w:r w:rsidRPr="003F2EE1">
              <w:rPr>
                <w:color w:val="000000"/>
                <w:lang w:val="de-CH"/>
              </w:rPr>
              <w:t>metotreksat (5 g/m</w:t>
            </w:r>
            <w:r w:rsidRPr="003F2EE1">
              <w:rPr>
                <w:color w:val="000000"/>
                <w:vertAlign w:val="superscript"/>
                <w:lang w:val="de-CH"/>
              </w:rPr>
              <w:t>2</w:t>
            </w:r>
            <w:r w:rsidRPr="003F2EE1">
              <w:rPr>
                <w:color w:val="000000"/>
                <w:lang w:val="de-CH"/>
              </w:rPr>
              <w:t xml:space="preserve"> v času 24 ur, i.v.): 1. in 15. dan</w:t>
            </w:r>
          </w:p>
          <w:p w14:paraId="5297A0F7" w14:textId="77777777" w:rsidR="00FF48C2" w:rsidRPr="003F2EE1" w:rsidRDefault="00FF48C2" w:rsidP="009C1193">
            <w:pPr>
              <w:pStyle w:val="EndnoteText"/>
              <w:widowControl w:val="0"/>
              <w:rPr>
                <w:color w:val="000000"/>
                <w:lang w:val="de-CH"/>
              </w:rPr>
            </w:pPr>
            <w:r w:rsidRPr="003F2EE1">
              <w:rPr>
                <w:color w:val="000000"/>
                <w:lang w:val="de-CH"/>
              </w:rPr>
              <w:t>levkovorin (75 mg/m</w:t>
            </w:r>
            <w:r w:rsidRPr="003F2EE1">
              <w:rPr>
                <w:color w:val="000000"/>
                <w:vertAlign w:val="superscript"/>
                <w:lang w:val="de-CH"/>
              </w:rPr>
              <w:t>2</w:t>
            </w:r>
            <w:r w:rsidRPr="003F2EE1">
              <w:rPr>
                <w:color w:val="000000"/>
                <w:lang w:val="de-CH"/>
              </w:rPr>
              <w:t xml:space="preserve"> 36 ur po začetku, i.v.; 15 mg/m</w:t>
            </w:r>
            <w:r w:rsidRPr="003F2EE1">
              <w:rPr>
                <w:color w:val="000000"/>
                <w:vertAlign w:val="superscript"/>
                <w:lang w:val="de-CH"/>
              </w:rPr>
              <w:t>2</w:t>
            </w:r>
            <w:r w:rsidRPr="003F2EE1">
              <w:rPr>
                <w:color w:val="000000"/>
                <w:lang w:val="de-CH"/>
              </w:rPr>
              <w:t xml:space="preserve"> i.v. ali peroralno vsakih 6 ur x 6 odmerkov) iii: 2., 3., 16. in 17. </w:t>
            </w:r>
            <w:r w:rsidRPr="003F2EE1">
              <w:rPr>
                <w:lang w:val="de-CH"/>
              </w:rPr>
              <w:t>dan</w:t>
            </w:r>
          </w:p>
          <w:p w14:paraId="5297A0F8" w14:textId="77777777" w:rsidR="00FF48C2" w:rsidRPr="003F2EE1" w:rsidRDefault="00FF48C2" w:rsidP="009C1193">
            <w:pPr>
              <w:pStyle w:val="EndnoteText"/>
              <w:widowControl w:val="0"/>
              <w:rPr>
                <w:color w:val="000000"/>
                <w:lang w:val="de-CH"/>
              </w:rPr>
            </w:pPr>
            <w:r w:rsidRPr="003F2EE1">
              <w:rPr>
                <w:color w:val="000000"/>
                <w:lang w:val="de-CH"/>
              </w:rPr>
              <w:t>trojno i.t. zdravljenje (prilagojeno na starost): 1. in 22. </w:t>
            </w:r>
            <w:r w:rsidRPr="003F2EE1">
              <w:rPr>
                <w:lang w:val="de-CH"/>
              </w:rPr>
              <w:t>dan</w:t>
            </w:r>
          </w:p>
          <w:p w14:paraId="5297A0F9" w14:textId="77777777" w:rsidR="00FF48C2" w:rsidRPr="004A59B1" w:rsidRDefault="00FF48C2" w:rsidP="009C1193">
            <w:pPr>
              <w:pStyle w:val="EndnoteText"/>
              <w:widowControl w:val="0"/>
              <w:rPr>
                <w:color w:val="000000"/>
                <w:lang w:val="es-ES"/>
              </w:rPr>
            </w:pPr>
            <w:r w:rsidRPr="004A59B1">
              <w:rPr>
                <w:color w:val="000000"/>
                <w:lang w:val="es-ES"/>
              </w:rPr>
              <w:t>VP-16 (100 mg/m</w:t>
            </w:r>
            <w:r w:rsidRPr="004A59B1">
              <w:rPr>
                <w:color w:val="000000"/>
                <w:vertAlign w:val="superscript"/>
                <w:lang w:val="es-ES"/>
              </w:rPr>
              <w:t>2</w:t>
            </w:r>
            <w:r w:rsidRPr="004A59B1">
              <w:rPr>
                <w:color w:val="000000"/>
                <w:lang w:val="es-ES"/>
              </w:rPr>
              <w:t>/dan, i.v.): 22.</w:t>
            </w:r>
            <w:r w:rsidRPr="004A59B1">
              <w:rPr>
                <w:color w:val="000000"/>
                <w:lang w:val="es-ES"/>
              </w:rPr>
              <w:noBreakHyphen/>
              <w:t>26. dan</w:t>
            </w:r>
          </w:p>
          <w:p w14:paraId="5297A0FA" w14:textId="77777777" w:rsidR="00FF48C2" w:rsidRPr="004A59B1" w:rsidRDefault="00FF48C2" w:rsidP="009C1193">
            <w:pPr>
              <w:pStyle w:val="EndnoteText"/>
              <w:widowControl w:val="0"/>
              <w:rPr>
                <w:color w:val="000000"/>
                <w:lang w:val="es-ES"/>
              </w:rPr>
            </w:pPr>
            <w:r w:rsidRPr="004A59B1">
              <w:rPr>
                <w:color w:val="000000"/>
                <w:lang w:val="es-ES"/>
              </w:rPr>
              <w:t>CPM (300 mg/m</w:t>
            </w:r>
            <w:r w:rsidRPr="004A59B1">
              <w:rPr>
                <w:color w:val="000000"/>
                <w:vertAlign w:val="superscript"/>
                <w:lang w:val="es-ES"/>
              </w:rPr>
              <w:t>2</w:t>
            </w:r>
            <w:r w:rsidRPr="004A59B1">
              <w:rPr>
                <w:color w:val="000000"/>
                <w:lang w:val="es-ES"/>
              </w:rPr>
              <w:t>/dan, i.v.): 22.</w:t>
            </w:r>
            <w:r w:rsidRPr="004A59B1">
              <w:rPr>
                <w:color w:val="000000"/>
                <w:lang w:val="es-ES"/>
              </w:rPr>
              <w:noBreakHyphen/>
              <w:t>26. dan</w:t>
            </w:r>
          </w:p>
          <w:p w14:paraId="5297A0FB" w14:textId="77777777" w:rsidR="00FF48C2" w:rsidRPr="004A59B1" w:rsidRDefault="00FF48C2" w:rsidP="009C1193">
            <w:pPr>
              <w:pStyle w:val="EndnoteText"/>
              <w:widowControl w:val="0"/>
              <w:rPr>
                <w:color w:val="000000"/>
                <w:lang w:val="es-ES"/>
              </w:rPr>
            </w:pPr>
            <w:r w:rsidRPr="004A59B1">
              <w:rPr>
                <w:color w:val="000000"/>
                <w:lang w:val="es-ES"/>
              </w:rPr>
              <w:t>MESNA (150 mg/m</w:t>
            </w:r>
            <w:r w:rsidRPr="004A59B1">
              <w:rPr>
                <w:color w:val="000000"/>
                <w:vertAlign w:val="superscript"/>
                <w:lang w:val="es-ES"/>
              </w:rPr>
              <w:t>2</w:t>
            </w:r>
            <w:r w:rsidRPr="004A59B1">
              <w:rPr>
                <w:color w:val="000000"/>
                <w:lang w:val="es-ES"/>
              </w:rPr>
              <w:t>/dan, i.v.): 22.</w:t>
            </w:r>
            <w:r w:rsidRPr="004A59B1">
              <w:rPr>
                <w:color w:val="000000"/>
                <w:lang w:val="es-ES"/>
              </w:rPr>
              <w:noBreakHyphen/>
              <w:t>26. dan</w:t>
            </w:r>
          </w:p>
          <w:p w14:paraId="5297A0FC" w14:textId="77777777" w:rsidR="00FF48C2" w:rsidRPr="004A59B1" w:rsidRDefault="00FF48C2" w:rsidP="009C1193">
            <w:pPr>
              <w:pStyle w:val="EndnoteText"/>
              <w:widowControl w:val="0"/>
              <w:rPr>
                <w:color w:val="000000"/>
                <w:lang w:val="es-ES"/>
              </w:rPr>
            </w:pPr>
            <w:r w:rsidRPr="004A59B1">
              <w:rPr>
                <w:color w:val="000000"/>
                <w:lang w:val="es-ES"/>
              </w:rPr>
              <w:t>G-CSF (5 </w:t>
            </w:r>
            <w:r w:rsidRPr="004A59B1">
              <w:rPr>
                <w:color w:val="000000"/>
              </w:rPr>
              <w:t>μ</w:t>
            </w:r>
            <w:r w:rsidRPr="004A59B1">
              <w:rPr>
                <w:color w:val="000000"/>
                <w:lang w:val="es-ES"/>
              </w:rPr>
              <w:t>g/kg, s.c.): 27.-36. dan o</w:t>
            </w:r>
            <w:r w:rsidRPr="004A59B1">
              <w:rPr>
                <w:lang w:val="es-ES"/>
              </w:rPr>
              <w:t xml:space="preserve">ziroma </w:t>
            </w:r>
            <w:r w:rsidRPr="004A59B1">
              <w:rPr>
                <w:color w:val="000000"/>
                <w:lang w:val="es-ES"/>
              </w:rPr>
              <w:t>do ANC &gt; 1500 po doseženem najnižjem številu</w:t>
            </w:r>
          </w:p>
          <w:p w14:paraId="5297A0FD" w14:textId="77777777" w:rsidR="00FF48C2" w:rsidRPr="004A59B1" w:rsidRDefault="00FF48C2" w:rsidP="009C1193">
            <w:pPr>
              <w:pStyle w:val="EndnoteText"/>
              <w:widowControl w:val="0"/>
              <w:rPr>
                <w:color w:val="000000"/>
                <w:lang w:val="es-ES"/>
              </w:rPr>
            </w:pPr>
            <w:r w:rsidRPr="004A59B1">
              <w:rPr>
                <w:color w:val="000000"/>
                <w:lang w:val="es-ES"/>
              </w:rPr>
              <w:t>ARA-C (3 g/m</w:t>
            </w:r>
            <w:r w:rsidRPr="004A59B1">
              <w:rPr>
                <w:color w:val="000000"/>
                <w:vertAlign w:val="superscript"/>
                <w:lang w:val="es-ES"/>
              </w:rPr>
              <w:t>2</w:t>
            </w:r>
            <w:r w:rsidRPr="004A59B1">
              <w:rPr>
                <w:color w:val="000000"/>
                <w:lang w:val="es-ES"/>
              </w:rPr>
              <w:t>, vsakih 12 ur, i.v.): 43. in 44. dan</w:t>
            </w:r>
          </w:p>
          <w:p w14:paraId="5297A0FE" w14:textId="77777777" w:rsidR="00FF48C2" w:rsidRPr="004A59B1" w:rsidRDefault="00FF48C2" w:rsidP="009C1193">
            <w:pPr>
              <w:pStyle w:val="EndnoteText"/>
              <w:widowControl w:val="0"/>
              <w:rPr>
                <w:color w:val="000000"/>
                <w:lang w:val="es-ES"/>
              </w:rPr>
            </w:pPr>
            <w:r w:rsidRPr="004A59B1">
              <w:rPr>
                <w:color w:val="000000"/>
                <w:lang w:val="es-ES"/>
              </w:rPr>
              <w:t>L-ASP (6000 i.e./m</w:t>
            </w:r>
            <w:r w:rsidRPr="004A59B1">
              <w:rPr>
                <w:color w:val="000000"/>
                <w:vertAlign w:val="superscript"/>
                <w:lang w:val="es-ES"/>
              </w:rPr>
              <w:t>2</w:t>
            </w:r>
            <w:r w:rsidRPr="004A59B1">
              <w:rPr>
                <w:color w:val="000000"/>
                <w:lang w:val="es-ES"/>
              </w:rPr>
              <w:t xml:space="preserve">, i.m.): 44. dan </w:t>
            </w:r>
          </w:p>
        </w:tc>
      </w:tr>
      <w:tr w:rsidR="00FF48C2" w:rsidRPr="003B6568" w14:paraId="5297A10E" w14:textId="77777777" w:rsidTr="008F282C">
        <w:trPr>
          <w:cantSplit/>
        </w:trPr>
        <w:tc>
          <w:tcPr>
            <w:tcW w:w="2358" w:type="dxa"/>
            <w:shd w:val="clear" w:color="auto" w:fill="auto"/>
          </w:tcPr>
          <w:p w14:paraId="5297A100" w14:textId="77777777" w:rsidR="00FF48C2" w:rsidRPr="004A59B1" w:rsidRDefault="00FF48C2" w:rsidP="009C1193">
            <w:pPr>
              <w:pStyle w:val="EndnoteText"/>
              <w:widowControl w:val="0"/>
              <w:rPr>
                <w:color w:val="000000"/>
                <w:lang w:val="es-ES"/>
              </w:rPr>
            </w:pPr>
            <w:r w:rsidRPr="004A59B1">
              <w:rPr>
                <w:color w:val="000000"/>
                <w:lang w:val="es-ES"/>
              </w:rPr>
              <w:t>vzdrževalno zdravljenje</w:t>
            </w:r>
          </w:p>
          <w:p w14:paraId="5297A101" w14:textId="77777777" w:rsidR="00FF48C2" w:rsidRPr="004A59B1" w:rsidRDefault="00FF48C2" w:rsidP="009C1193">
            <w:pPr>
              <w:pStyle w:val="EndnoteText"/>
              <w:widowControl w:val="0"/>
              <w:rPr>
                <w:color w:val="000000"/>
                <w:lang w:val="es-ES"/>
              </w:rPr>
            </w:pPr>
            <w:r w:rsidRPr="004A59B1">
              <w:rPr>
                <w:color w:val="000000"/>
                <w:lang w:val="es-ES"/>
              </w:rPr>
              <w:t>(8-tedenski ciklusi)</w:t>
            </w:r>
          </w:p>
          <w:p w14:paraId="5297A102" w14:textId="77777777" w:rsidR="00FF48C2" w:rsidRPr="004A59B1" w:rsidRDefault="00FF48C2" w:rsidP="009C1193">
            <w:pPr>
              <w:pStyle w:val="EndnoteText"/>
              <w:widowControl w:val="0"/>
              <w:rPr>
                <w:color w:val="000000"/>
                <w:lang w:val="es-ES"/>
              </w:rPr>
            </w:pPr>
            <w:r w:rsidRPr="004A59B1">
              <w:rPr>
                <w:color w:val="000000"/>
                <w:lang w:val="es-ES"/>
              </w:rPr>
              <w:t>1.</w:t>
            </w:r>
            <w:r w:rsidRPr="004A59B1">
              <w:rPr>
                <w:color w:val="000000"/>
                <w:lang w:val="es-ES"/>
              </w:rPr>
              <w:noBreakHyphen/>
              <w:t>4. ciklus</w:t>
            </w:r>
          </w:p>
        </w:tc>
        <w:tc>
          <w:tcPr>
            <w:tcW w:w="6929" w:type="dxa"/>
            <w:shd w:val="clear" w:color="auto" w:fill="auto"/>
          </w:tcPr>
          <w:p w14:paraId="5297A103" w14:textId="77777777" w:rsidR="00FF48C2" w:rsidRPr="004A59B1" w:rsidRDefault="00FF48C2" w:rsidP="009C1193">
            <w:pPr>
              <w:pStyle w:val="EndnoteText"/>
              <w:widowControl w:val="0"/>
              <w:rPr>
                <w:color w:val="000000"/>
                <w:lang w:val="es-ES"/>
              </w:rPr>
            </w:pPr>
            <w:r w:rsidRPr="004A59B1">
              <w:rPr>
                <w:color w:val="000000"/>
                <w:lang w:val="es-ES"/>
              </w:rPr>
              <w:t>MTX (5 g/m2 v času 24 ur, i.v.): 1. dan</w:t>
            </w:r>
          </w:p>
          <w:p w14:paraId="5297A104" w14:textId="77777777" w:rsidR="00FF48C2" w:rsidRPr="004A59B1" w:rsidRDefault="00FF48C2" w:rsidP="009C1193">
            <w:pPr>
              <w:pStyle w:val="EndnoteText"/>
              <w:widowControl w:val="0"/>
              <w:rPr>
                <w:color w:val="000000"/>
                <w:lang w:val="es-ES"/>
              </w:rPr>
            </w:pPr>
            <w:r w:rsidRPr="004A59B1">
              <w:rPr>
                <w:color w:val="000000"/>
                <w:lang w:val="es-ES"/>
              </w:rPr>
              <w:t>levkovorin (75 mg/m2 36 ur po začetku, i.v.; 15 mg/m2 i.v. ali peroralno vsakih 6 ur x 6 odmerkov) iii: 2. in 3. dan</w:t>
            </w:r>
          </w:p>
          <w:p w14:paraId="5297A105" w14:textId="77777777" w:rsidR="00FF48C2" w:rsidRPr="004A59B1" w:rsidRDefault="00FF48C2" w:rsidP="009C1193">
            <w:pPr>
              <w:pStyle w:val="EndnoteText"/>
              <w:widowControl w:val="0"/>
              <w:rPr>
                <w:color w:val="000000"/>
                <w:lang w:val="es-ES"/>
              </w:rPr>
            </w:pPr>
            <w:r w:rsidRPr="004A59B1">
              <w:rPr>
                <w:color w:val="000000"/>
                <w:lang w:val="es-ES"/>
              </w:rPr>
              <w:t>trojno i.t. zdravljenje (prilagojeno na starost): 1. in 29.dan</w:t>
            </w:r>
          </w:p>
          <w:p w14:paraId="5297A106" w14:textId="77777777" w:rsidR="00FF48C2" w:rsidRPr="004A59B1" w:rsidRDefault="00FF48C2" w:rsidP="009C1193">
            <w:pPr>
              <w:pStyle w:val="EndnoteText"/>
              <w:widowControl w:val="0"/>
              <w:rPr>
                <w:color w:val="000000"/>
                <w:lang w:val="es-ES"/>
              </w:rPr>
            </w:pPr>
            <w:r w:rsidRPr="004A59B1">
              <w:rPr>
                <w:color w:val="000000"/>
                <w:lang w:val="es-ES"/>
              </w:rPr>
              <w:t>VCR (1,5 mg/m</w:t>
            </w:r>
            <w:r w:rsidRPr="004A59B1">
              <w:rPr>
                <w:color w:val="000000"/>
                <w:vertAlign w:val="superscript"/>
                <w:lang w:val="es-ES"/>
              </w:rPr>
              <w:t>2</w:t>
            </w:r>
            <w:r w:rsidRPr="004A59B1">
              <w:rPr>
                <w:color w:val="000000"/>
                <w:lang w:val="es-ES"/>
              </w:rPr>
              <w:t>/dan, i.v.): 1. in 29. dan</w:t>
            </w:r>
          </w:p>
          <w:p w14:paraId="5297A107" w14:textId="77777777" w:rsidR="00FF48C2" w:rsidRPr="004A59B1" w:rsidRDefault="00FF48C2" w:rsidP="009C1193">
            <w:pPr>
              <w:pStyle w:val="EndnoteText"/>
              <w:widowControl w:val="0"/>
              <w:rPr>
                <w:color w:val="000000"/>
                <w:lang w:val="es-ES"/>
              </w:rPr>
            </w:pPr>
            <w:r w:rsidRPr="004A59B1">
              <w:rPr>
                <w:color w:val="000000"/>
                <w:lang w:val="es-ES"/>
              </w:rPr>
              <w:t>DEX (6 mg/m</w:t>
            </w:r>
            <w:r w:rsidRPr="004A59B1">
              <w:rPr>
                <w:color w:val="000000"/>
                <w:vertAlign w:val="superscript"/>
                <w:lang w:val="es-ES"/>
              </w:rPr>
              <w:t>2</w:t>
            </w:r>
            <w:r w:rsidRPr="004A59B1">
              <w:rPr>
                <w:color w:val="000000"/>
                <w:lang w:val="es-ES"/>
              </w:rPr>
              <w:t>/dan, peroralno): 1.</w:t>
            </w:r>
            <w:r w:rsidRPr="004A59B1">
              <w:rPr>
                <w:color w:val="000000"/>
                <w:lang w:val="es-ES"/>
              </w:rPr>
              <w:noBreakHyphen/>
              <w:t>5. dan in 29.</w:t>
            </w:r>
            <w:r w:rsidRPr="004A59B1">
              <w:rPr>
                <w:color w:val="000000"/>
                <w:lang w:val="es-ES"/>
              </w:rPr>
              <w:noBreakHyphen/>
              <w:t>33. dan</w:t>
            </w:r>
          </w:p>
          <w:p w14:paraId="5297A108" w14:textId="77777777" w:rsidR="00FF48C2" w:rsidRPr="004A59B1" w:rsidRDefault="00FF48C2" w:rsidP="009C1193">
            <w:pPr>
              <w:pStyle w:val="EndnoteText"/>
              <w:widowControl w:val="0"/>
              <w:rPr>
                <w:color w:val="000000"/>
                <w:lang w:val="es-ES"/>
              </w:rPr>
            </w:pPr>
            <w:r w:rsidRPr="004A59B1">
              <w:rPr>
                <w:color w:val="000000"/>
                <w:lang w:val="es-ES"/>
              </w:rPr>
              <w:t>6-MP (75 mg/m</w:t>
            </w:r>
            <w:r w:rsidRPr="00304E94">
              <w:rPr>
                <w:color w:val="000000"/>
                <w:vertAlign w:val="superscript"/>
                <w:lang w:val="es-ES"/>
              </w:rPr>
              <w:t>2</w:t>
            </w:r>
            <w:r w:rsidRPr="004A59B1">
              <w:rPr>
                <w:color w:val="000000"/>
                <w:lang w:val="es-ES"/>
              </w:rPr>
              <w:t>/dan, peroralno: 8.-28. dan</w:t>
            </w:r>
          </w:p>
          <w:p w14:paraId="5297A109" w14:textId="77777777" w:rsidR="00FF48C2" w:rsidRPr="004A59B1" w:rsidRDefault="00FF48C2" w:rsidP="009C1193">
            <w:pPr>
              <w:pStyle w:val="EndnoteText"/>
              <w:widowControl w:val="0"/>
              <w:rPr>
                <w:color w:val="000000"/>
                <w:lang w:val="es-ES"/>
              </w:rPr>
            </w:pPr>
            <w:r w:rsidRPr="004A59B1">
              <w:rPr>
                <w:color w:val="000000"/>
                <w:lang w:val="es-ES"/>
              </w:rPr>
              <w:t>metotreksat (20 mg/m</w:t>
            </w:r>
            <w:r w:rsidRPr="004A59B1">
              <w:rPr>
                <w:color w:val="000000"/>
                <w:vertAlign w:val="superscript"/>
                <w:lang w:val="es-ES"/>
              </w:rPr>
              <w:t>2</w:t>
            </w:r>
            <w:r w:rsidRPr="004A59B1">
              <w:rPr>
                <w:color w:val="000000"/>
                <w:lang w:val="es-ES"/>
              </w:rPr>
              <w:t>/teden, peroralno):8., 15. in 22. dan</w:t>
            </w:r>
          </w:p>
          <w:p w14:paraId="5297A10A" w14:textId="77777777" w:rsidR="00FF48C2" w:rsidRPr="004A59B1" w:rsidRDefault="00FF48C2" w:rsidP="009C1193">
            <w:pPr>
              <w:pStyle w:val="EndnoteText"/>
              <w:widowControl w:val="0"/>
              <w:rPr>
                <w:color w:val="000000"/>
                <w:lang w:val="es-ES"/>
              </w:rPr>
            </w:pPr>
            <w:r w:rsidRPr="004A59B1">
              <w:rPr>
                <w:color w:val="000000"/>
                <w:lang w:val="es-ES"/>
              </w:rPr>
              <w:t>VP-16 (100 mg/m</w:t>
            </w:r>
            <w:r w:rsidRPr="004A59B1">
              <w:rPr>
                <w:color w:val="000000"/>
                <w:vertAlign w:val="superscript"/>
                <w:lang w:val="es-ES"/>
              </w:rPr>
              <w:t>2</w:t>
            </w:r>
            <w:r w:rsidRPr="004A59B1">
              <w:rPr>
                <w:color w:val="000000"/>
                <w:lang w:val="es-ES"/>
              </w:rPr>
              <w:t xml:space="preserve"> i.v.): 29.</w:t>
            </w:r>
            <w:r w:rsidRPr="004A59B1">
              <w:rPr>
                <w:color w:val="000000"/>
                <w:lang w:val="es-ES"/>
              </w:rPr>
              <w:noBreakHyphen/>
              <w:t>33. dan</w:t>
            </w:r>
          </w:p>
          <w:p w14:paraId="5297A10B" w14:textId="77777777" w:rsidR="00FF48C2" w:rsidRPr="004A59B1" w:rsidRDefault="00FF48C2" w:rsidP="009C1193">
            <w:pPr>
              <w:pStyle w:val="EndnoteText"/>
              <w:widowControl w:val="0"/>
              <w:rPr>
                <w:color w:val="000000"/>
                <w:lang w:val="es-ES"/>
              </w:rPr>
            </w:pPr>
            <w:r w:rsidRPr="004A59B1">
              <w:rPr>
                <w:color w:val="000000"/>
                <w:lang w:val="es-ES"/>
              </w:rPr>
              <w:t>CPM (300 mg/m</w:t>
            </w:r>
            <w:r w:rsidRPr="004A59B1">
              <w:rPr>
                <w:color w:val="000000"/>
                <w:vertAlign w:val="superscript"/>
                <w:lang w:val="es-ES"/>
              </w:rPr>
              <w:t>2</w:t>
            </w:r>
            <w:r w:rsidRPr="004A59B1">
              <w:rPr>
                <w:color w:val="000000"/>
                <w:lang w:val="es-ES"/>
              </w:rPr>
              <w:t xml:space="preserve"> i.v.): 29.</w:t>
            </w:r>
            <w:r w:rsidRPr="004A59B1">
              <w:rPr>
                <w:color w:val="000000"/>
                <w:lang w:val="es-ES"/>
              </w:rPr>
              <w:noBreakHyphen/>
              <w:t>33. dan</w:t>
            </w:r>
          </w:p>
          <w:p w14:paraId="5297A10C" w14:textId="77777777" w:rsidR="00FF48C2" w:rsidRPr="004A59B1" w:rsidRDefault="00FF48C2" w:rsidP="009C1193">
            <w:pPr>
              <w:pStyle w:val="EndnoteText"/>
              <w:widowControl w:val="0"/>
              <w:rPr>
                <w:color w:val="000000"/>
                <w:lang w:val="es-ES"/>
              </w:rPr>
            </w:pPr>
            <w:r w:rsidRPr="004A59B1">
              <w:rPr>
                <w:color w:val="000000"/>
                <w:lang w:val="es-ES"/>
              </w:rPr>
              <w:t>MESNA i.v.: 29.</w:t>
            </w:r>
            <w:r w:rsidRPr="004A59B1">
              <w:rPr>
                <w:color w:val="000000"/>
                <w:lang w:val="es-ES"/>
              </w:rPr>
              <w:noBreakHyphen/>
              <w:t>33. dan</w:t>
            </w:r>
          </w:p>
          <w:p w14:paraId="5297A10D" w14:textId="77777777" w:rsidR="00FF48C2" w:rsidRPr="004A59B1" w:rsidRDefault="00FF48C2" w:rsidP="009C1193">
            <w:pPr>
              <w:pStyle w:val="EndnoteText"/>
              <w:widowControl w:val="0"/>
              <w:rPr>
                <w:color w:val="000000"/>
                <w:lang w:val="es-ES"/>
              </w:rPr>
            </w:pPr>
            <w:r w:rsidRPr="004A59B1">
              <w:rPr>
                <w:color w:val="000000"/>
                <w:lang w:val="es-ES"/>
              </w:rPr>
              <w:t>G-CSF (5 </w:t>
            </w:r>
            <w:r w:rsidRPr="004A59B1">
              <w:rPr>
                <w:color w:val="000000"/>
              </w:rPr>
              <w:t>μ</w:t>
            </w:r>
            <w:r w:rsidRPr="004A59B1">
              <w:rPr>
                <w:color w:val="000000"/>
                <w:lang w:val="es-ES"/>
              </w:rPr>
              <w:t>g/kg, s.c.): 34.</w:t>
            </w:r>
            <w:r w:rsidRPr="004A59B1">
              <w:rPr>
                <w:color w:val="000000"/>
                <w:lang w:val="es-ES"/>
              </w:rPr>
              <w:noBreakHyphen/>
              <w:t>43. dan</w:t>
            </w:r>
          </w:p>
        </w:tc>
      </w:tr>
      <w:tr w:rsidR="00FF48C2" w:rsidRPr="003B6568" w14:paraId="5297A119" w14:textId="77777777" w:rsidTr="008F282C">
        <w:trPr>
          <w:cantSplit/>
        </w:trPr>
        <w:tc>
          <w:tcPr>
            <w:tcW w:w="2358" w:type="dxa"/>
            <w:shd w:val="clear" w:color="auto" w:fill="auto"/>
          </w:tcPr>
          <w:p w14:paraId="5297A10F" w14:textId="77777777" w:rsidR="00FF48C2" w:rsidRPr="004A59B1" w:rsidRDefault="00FF48C2" w:rsidP="009C1193">
            <w:pPr>
              <w:pStyle w:val="EndnoteText"/>
              <w:widowControl w:val="0"/>
              <w:rPr>
                <w:color w:val="000000"/>
                <w:lang w:val="es-ES"/>
              </w:rPr>
            </w:pPr>
            <w:r w:rsidRPr="004A59B1">
              <w:rPr>
                <w:color w:val="000000"/>
                <w:lang w:val="es-ES"/>
              </w:rPr>
              <w:t>vzdrževalno zdravljenje</w:t>
            </w:r>
          </w:p>
          <w:p w14:paraId="5297A110" w14:textId="77777777" w:rsidR="00FF48C2" w:rsidRPr="004A59B1" w:rsidRDefault="00FF48C2" w:rsidP="009C1193">
            <w:pPr>
              <w:pStyle w:val="EndnoteText"/>
              <w:widowControl w:val="0"/>
              <w:rPr>
                <w:color w:val="000000"/>
                <w:lang w:val="es-ES"/>
              </w:rPr>
            </w:pPr>
            <w:r w:rsidRPr="004A59B1">
              <w:rPr>
                <w:color w:val="000000"/>
                <w:lang w:val="es-ES"/>
              </w:rPr>
              <w:t>(8-tedenski ciklusi)</w:t>
            </w:r>
          </w:p>
          <w:p w14:paraId="5297A111" w14:textId="77777777" w:rsidR="00FF48C2" w:rsidRPr="004A59B1" w:rsidRDefault="00FF48C2" w:rsidP="009C1193">
            <w:pPr>
              <w:pStyle w:val="EndnoteText"/>
              <w:widowControl w:val="0"/>
              <w:rPr>
                <w:color w:val="000000"/>
                <w:lang w:val="es-ES"/>
              </w:rPr>
            </w:pPr>
            <w:r w:rsidRPr="004A59B1">
              <w:rPr>
                <w:color w:val="000000"/>
                <w:lang w:val="es-ES"/>
              </w:rPr>
              <w:t>5. ciklus</w:t>
            </w:r>
          </w:p>
        </w:tc>
        <w:tc>
          <w:tcPr>
            <w:tcW w:w="6929" w:type="dxa"/>
            <w:shd w:val="clear" w:color="auto" w:fill="auto"/>
          </w:tcPr>
          <w:p w14:paraId="5297A112" w14:textId="77777777" w:rsidR="00FF48C2" w:rsidRPr="004A59B1" w:rsidRDefault="00FF48C2" w:rsidP="009C1193">
            <w:pPr>
              <w:pStyle w:val="EndnoteText"/>
              <w:widowControl w:val="0"/>
              <w:rPr>
                <w:color w:val="000000"/>
                <w:lang w:val="es-ES"/>
              </w:rPr>
            </w:pPr>
            <w:r w:rsidRPr="004A59B1">
              <w:rPr>
                <w:color w:val="000000"/>
                <w:lang w:val="es-ES"/>
              </w:rPr>
              <w:t>obsevanje glave (samo 5. blok)</w:t>
            </w:r>
          </w:p>
          <w:p w14:paraId="5297A113" w14:textId="77777777" w:rsidR="00FF48C2" w:rsidRPr="004A59B1" w:rsidRDefault="00FF48C2" w:rsidP="009C1193">
            <w:pPr>
              <w:pStyle w:val="EndnoteText"/>
              <w:widowControl w:val="0"/>
              <w:rPr>
                <w:color w:val="000000"/>
                <w:lang w:val="es-ES"/>
              </w:rPr>
            </w:pPr>
            <w:r w:rsidRPr="004A59B1">
              <w:rPr>
                <w:color w:val="000000"/>
                <w:lang w:val="es-ES"/>
              </w:rPr>
              <w:t>12 Gy v 8 frakcijah za vse bolnike, ki imajo ob postavitvi diagnoze CNS1 in CNS2</w:t>
            </w:r>
          </w:p>
          <w:p w14:paraId="5297A114" w14:textId="77777777" w:rsidR="00FF48C2" w:rsidRPr="004A59B1" w:rsidRDefault="00FF48C2" w:rsidP="009C1193">
            <w:pPr>
              <w:pStyle w:val="EndnoteText"/>
              <w:widowControl w:val="0"/>
              <w:rPr>
                <w:color w:val="000000"/>
                <w:lang w:val="es-ES"/>
              </w:rPr>
            </w:pPr>
            <w:r w:rsidRPr="004A59B1">
              <w:rPr>
                <w:color w:val="000000"/>
                <w:lang w:val="es-ES"/>
              </w:rPr>
              <w:t>18 Gy v 10 frakcijah za bolnike, ki imajo ob postavitvi diagnoze CNS3</w:t>
            </w:r>
          </w:p>
          <w:p w14:paraId="5297A115" w14:textId="77777777" w:rsidR="00FF48C2" w:rsidRPr="004A59B1" w:rsidRDefault="00FF48C2" w:rsidP="009C1193">
            <w:pPr>
              <w:pStyle w:val="EndnoteText"/>
              <w:widowControl w:val="0"/>
              <w:rPr>
                <w:color w:val="000000"/>
                <w:lang w:val="es-ES"/>
              </w:rPr>
            </w:pPr>
            <w:r w:rsidRPr="004A59B1">
              <w:rPr>
                <w:color w:val="000000"/>
                <w:lang w:val="es-ES"/>
              </w:rPr>
              <w:t>VCR (1,5 mg/m</w:t>
            </w:r>
            <w:r w:rsidRPr="004A59B1">
              <w:rPr>
                <w:color w:val="000000"/>
                <w:vertAlign w:val="superscript"/>
                <w:lang w:val="es-ES"/>
              </w:rPr>
              <w:t>2</w:t>
            </w:r>
            <w:r w:rsidRPr="004A59B1">
              <w:rPr>
                <w:color w:val="000000"/>
                <w:lang w:val="es-ES"/>
              </w:rPr>
              <w:t>/dan, i.v.): 1. in 29. dan</w:t>
            </w:r>
          </w:p>
          <w:p w14:paraId="5297A116" w14:textId="77777777" w:rsidR="00FF48C2" w:rsidRPr="004A59B1" w:rsidRDefault="00FF48C2" w:rsidP="009C1193">
            <w:pPr>
              <w:pStyle w:val="EndnoteText"/>
              <w:widowControl w:val="0"/>
              <w:rPr>
                <w:color w:val="000000"/>
                <w:lang w:val="es-ES"/>
              </w:rPr>
            </w:pPr>
            <w:r w:rsidRPr="004A59B1">
              <w:rPr>
                <w:color w:val="000000"/>
                <w:lang w:val="es-ES"/>
              </w:rPr>
              <w:t>DEX (6 mg/m</w:t>
            </w:r>
            <w:r w:rsidRPr="004A59B1">
              <w:rPr>
                <w:color w:val="000000"/>
                <w:vertAlign w:val="superscript"/>
                <w:lang w:val="es-ES"/>
              </w:rPr>
              <w:t>2</w:t>
            </w:r>
            <w:r w:rsidRPr="004A59B1">
              <w:rPr>
                <w:color w:val="000000"/>
                <w:lang w:val="es-ES"/>
              </w:rPr>
              <w:t>/dan, peroralno): 1.</w:t>
            </w:r>
            <w:r w:rsidRPr="004A59B1">
              <w:rPr>
                <w:color w:val="000000"/>
                <w:lang w:val="es-ES"/>
              </w:rPr>
              <w:noBreakHyphen/>
              <w:t>5. dan in 29.</w:t>
            </w:r>
            <w:r w:rsidRPr="004A59B1">
              <w:rPr>
                <w:color w:val="000000"/>
                <w:lang w:val="es-ES"/>
              </w:rPr>
              <w:noBreakHyphen/>
              <w:t>33. dan</w:t>
            </w:r>
          </w:p>
          <w:p w14:paraId="5297A117" w14:textId="77777777" w:rsidR="00FF48C2" w:rsidRPr="004A59B1" w:rsidRDefault="00FF48C2" w:rsidP="009C1193">
            <w:pPr>
              <w:pStyle w:val="EndnoteText"/>
              <w:widowControl w:val="0"/>
              <w:rPr>
                <w:color w:val="000000"/>
                <w:lang w:val="es-ES"/>
              </w:rPr>
            </w:pPr>
            <w:r w:rsidRPr="004A59B1">
              <w:rPr>
                <w:color w:val="000000"/>
                <w:lang w:val="es-ES"/>
              </w:rPr>
              <w:t>6-MP (75 mg/m</w:t>
            </w:r>
            <w:r w:rsidRPr="004A59B1">
              <w:rPr>
                <w:color w:val="000000"/>
                <w:vertAlign w:val="superscript"/>
                <w:lang w:val="es-ES"/>
              </w:rPr>
              <w:t>2</w:t>
            </w:r>
            <w:r w:rsidRPr="004A59B1">
              <w:rPr>
                <w:color w:val="000000"/>
                <w:lang w:val="es-ES"/>
              </w:rPr>
              <w:t>/dan, peroralno): 11.</w:t>
            </w:r>
            <w:r w:rsidRPr="004A59B1">
              <w:rPr>
                <w:color w:val="000000"/>
                <w:lang w:val="es-ES"/>
              </w:rPr>
              <w:noBreakHyphen/>
              <w:t>56. dan (prekiniti 6-MP na 6.</w:t>
            </w:r>
            <w:r w:rsidRPr="004A59B1">
              <w:rPr>
                <w:color w:val="000000"/>
                <w:lang w:val="es-ES"/>
              </w:rPr>
              <w:noBreakHyphen/>
              <w:t>10. dan obsevanja glave z začetkom štetja na 1. dan 5. ciklusa; ponovno začeti 6-MP na 1. dan po zaključenem obsevanju glave.)</w:t>
            </w:r>
          </w:p>
          <w:p w14:paraId="5297A118" w14:textId="77777777" w:rsidR="00FF48C2" w:rsidRPr="003F2EE1" w:rsidRDefault="00FF48C2" w:rsidP="009C1193">
            <w:pPr>
              <w:pStyle w:val="EndnoteText"/>
              <w:widowControl w:val="0"/>
              <w:rPr>
                <w:color w:val="000000"/>
                <w:lang w:val="de-CH"/>
              </w:rPr>
            </w:pPr>
            <w:r w:rsidRPr="003F2EE1">
              <w:rPr>
                <w:color w:val="000000"/>
                <w:lang w:val="de-CH"/>
              </w:rPr>
              <w:t>metotreksat (20 mg/m</w:t>
            </w:r>
            <w:r w:rsidRPr="003F2EE1">
              <w:rPr>
                <w:color w:val="000000"/>
                <w:vertAlign w:val="superscript"/>
                <w:lang w:val="de-CH"/>
              </w:rPr>
              <w:t>2</w:t>
            </w:r>
            <w:r w:rsidRPr="003F2EE1">
              <w:rPr>
                <w:color w:val="000000"/>
                <w:lang w:val="de-CH"/>
              </w:rPr>
              <w:t>/teden, peroralno): 8., 15., 22., 29., 36., 43. in 50. dan</w:t>
            </w:r>
          </w:p>
        </w:tc>
      </w:tr>
      <w:tr w:rsidR="00FF48C2" w:rsidRPr="003B6568" w14:paraId="5297A121" w14:textId="77777777" w:rsidTr="008F282C">
        <w:trPr>
          <w:cantSplit/>
        </w:trPr>
        <w:tc>
          <w:tcPr>
            <w:tcW w:w="2358" w:type="dxa"/>
            <w:shd w:val="clear" w:color="auto" w:fill="auto"/>
          </w:tcPr>
          <w:p w14:paraId="5297A11A" w14:textId="77777777" w:rsidR="00FF48C2" w:rsidRPr="003F2EE1" w:rsidRDefault="00FF48C2" w:rsidP="000A6242">
            <w:pPr>
              <w:pStyle w:val="EndnoteText"/>
              <w:keepNext/>
              <w:keepLines/>
              <w:widowControl w:val="0"/>
              <w:rPr>
                <w:color w:val="000000"/>
                <w:lang w:val="de-CH"/>
              </w:rPr>
            </w:pPr>
            <w:r w:rsidRPr="003F2EE1">
              <w:rPr>
                <w:color w:val="000000"/>
                <w:lang w:val="de-CH"/>
              </w:rPr>
              <w:lastRenderedPageBreak/>
              <w:t>vzdrževalno zdravljenje</w:t>
            </w:r>
          </w:p>
          <w:p w14:paraId="5297A11B" w14:textId="77777777" w:rsidR="00FF48C2" w:rsidRPr="003F2EE1" w:rsidRDefault="00FF48C2" w:rsidP="000A6242">
            <w:pPr>
              <w:pStyle w:val="EndnoteText"/>
              <w:keepNext/>
              <w:keepLines/>
              <w:widowControl w:val="0"/>
              <w:rPr>
                <w:color w:val="000000"/>
                <w:lang w:val="de-CH"/>
              </w:rPr>
            </w:pPr>
            <w:r w:rsidRPr="003F2EE1">
              <w:rPr>
                <w:color w:val="000000"/>
                <w:lang w:val="de-CH"/>
              </w:rPr>
              <w:t>(8-tedenski ciklusi)</w:t>
            </w:r>
          </w:p>
          <w:p w14:paraId="5297A11C" w14:textId="77777777" w:rsidR="00FF48C2" w:rsidRPr="003F2EE1" w:rsidRDefault="00FF48C2" w:rsidP="000A6242">
            <w:pPr>
              <w:pStyle w:val="EndnoteText"/>
              <w:keepNext/>
              <w:keepLines/>
              <w:widowControl w:val="0"/>
              <w:rPr>
                <w:color w:val="000000"/>
                <w:lang w:val="de-CH"/>
              </w:rPr>
            </w:pPr>
            <w:r w:rsidRPr="003F2EE1">
              <w:rPr>
                <w:color w:val="000000"/>
                <w:lang w:val="de-CH"/>
              </w:rPr>
              <w:t>6.</w:t>
            </w:r>
            <w:r w:rsidRPr="003F2EE1">
              <w:rPr>
                <w:color w:val="000000"/>
                <w:lang w:val="de-CH"/>
              </w:rPr>
              <w:noBreakHyphen/>
              <w:t xml:space="preserve">12. ciklus </w:t>
            </w:r>
          </w:p>
        </w:tc>
        <w:tc>
          <w:tcPr>
            <w:tcW w:w="6929" w:type="dxa"/>
            <w:shd w:val="clear" w:color="auto" w:fill="auto"/>
          </w:tcPr>
          <w:p w14:paraId="5297A11D" w14:textId="77777777" w:rsidR="00FF48C2" w:rsidRPr="004A59B1" w:rsidRDefault="00FF48C2" w:rsidP="000A6242">
            <w:pPr>
              <w:pStyle w:val="EndnoteText"/>
              <w:keepNext/>
              <w:keepLines/>
              <w:widowControl w:val="0"/>
              <w:rPr>
                <w:color w:val="000000"/>
                <w:lang w:val="es-ES"/>
              </w:rPr>
            </w:pPr>
            <w:r w:rsidRPr="004A59B1">
              <w:rPr>
                <w:color w:val="000000"/>
                <w:lang w:val="es-ES"/>
              </w:rPr>
              <w:t>VCR (1,5 mg/m</w:t>
            </w:r>
            <w:r w:rsidRPr="004A59B1">
              <w:rPr>
                <w:color w:val="000000"/>
                <w:vertAlign w:val="superscript"/>
                <w:lang w:val="es-ES"/>
              </w:rPr>
              <w:t>2</w:t>
            </w:r>
            <w:r w:rsidRPr="004A59B1">
              <w:rPr>
                <w:color w:val="000000"/>
                <w:lang w:val="es-ES"/>
              </w:rPr>
              <w:t>/dan, i.v.): 1. in 29. dan</w:t>
            </w:r>
          </w:p>
          <w:p w14:paraId="5297A11E" w14:textId="77777777" w:rsidR="00FF48C2" w:rsidRPr="004A59B1" w:rsidRDefault="00FF48C2" w:rsidP="000A6242">
            <w:pPr>
              <w:pStyle w:val="EndnoteText"/>
              <w:keepNext/>
              <w:keepLines/>
              <w:widowControl w:val="0"/>
              <w:rPr>
                <w:color w:val="000000"/>
                <w:lang w:val="es-ES"/>
              </w:rPr>
            </w:pPr>
            <w:r w:rsidRPr="004A59B1">
              <w:rPr>
                <w:color w:val="000000"/>
                <w:lang w:val="es-ES"/>
              </w:rPr>
              <w:t>DEX (6 mg/m</w:t>
            </w:r>
            <w:r w:rsidRPr="004A59B1">
              <w:rPr>
                <w:color w:val="000000"/>
                <w:vertAlign w:val="superscript"/>
                <w:lang w:val="es-ES"/>
              </w:rPr>
              <w:t>2</w:t>
            </w:r>
            <w:r w:rsidRPr="004A59B1">
              <w:rPr>
                <w:color w:val="000000"/>
                <w:lang w:val="es-ES"/>
              </w:rPr>
              <w:t>/dan, peroralno): 1.</w:t>
            </w:r>
            <w:r w:rsidRPr="004A59B1">
              <w:rPr>
                <w:color w:val="000000"/>
                <w:lang w:val="es-ES"/>
              </w:rPr>
              <w:noBreakHyphen/>
              <w:t>5. dan in 29.</w:t>
            </w:r>
            <w:r w:rsidRPr="004A59B1">
              <w:rPr>
                <w:color w:val="000000"/>
                <w:lang w:val="es-ES"/>
              </w:rPr>
              <w:noBreakHyphen/>
              <w:t>33. dan</w:t>
            </w:r>
          </w:p>
          <w:p w14:paraId="5297A11F" w14:textId="77777777" w:rsidR="00FF48C2" w:rsidRPr="004A59B1" w:rsidRDefault="00FF48C2" w:rsidP="000A6242">
            <w:pPr>
              <w:pStyle w:val="EndnoteText"/>
              <w:keepNext/>
              <w:keepLines/>
              <w:widowControl w:val="0"/>
              <w:rPr>
                <w:color w:val="000000"/>
                <w:lang w:val="es-ES"/>
              </w:rPr>
            </w:pPr>
            <w:r w:rsidRPr="004A59B1">
              <w:rPr>
                <w:color w:val="000000"/>
                <w:lang w:val="es-ES"/>
              </w:rPr>
              <w:t>6-MP (75 mg/m</w:t>
            </w:r>
            <w:r w:rsidRPr="004A59B1">
              <w:rPr>
                <w:color w:val="000000"/>
                <w:vertAlign w:val="superscript"/>
                <w:lang w:val="es-ES"/>
              </w:rPr>
              <w:t>2</w:t>
            </w:r>
            <w:r w:rsidRPr="004A59B1">
              <w:rPr>
                <w:color w:val="000000"/>
                <w:lang w:val="es-ES"/>
              </w:rPr>
              <w:t>/dan, peroralno</w:t>
            </w:r>
            <w:r w:rsidR="00A968A1" w:rsidRPr="004A59B1">
              <w:rPr>
                <w:color w:val="000000"/>
                <w:lang w:val="es-ES"/>
              </w:rPr>
              <w:t>)</w:t>
            </w:r>
            <w:r w:rsidRPr="004A59B1">
              <w:rPr>
                <w:color w:val="000000"/>
                <w:lang w:val="es-ES"/>
              </w:rPr>
              <w:t>: 1.-5</w:t>
            </w:r>
            <w:r w:rsidR="00C04078" w:rsidRPr="004A59B1">
              <w:rPr>
                <w:color w:val="000000"/>
                <w:lang w:val="es-ES"/>
              </w:rPr>
              <w:t>6</w:t>
            </w:r>
            <w:r w:rsidRPr="004A59B1">
              <w:rPr>
                <w:color w:val="000000"/>
                <w:lang w:val="es-ES"/>
              </w:rPr>
              <w:t>. dan</w:t>
            </w:r>
          </w:p>
          <w:p w14:paraId="5297A120" w14:textId="77777777" w:rsidR="00FF48C2" w:rsidRPr="003F2EE1" w:rsidRDefault="00FF48C2" w:rsidP="000A6242">
            <w:pPr>
              <w:pStyle w:val="EndnoteText"/>
              <w:keepNext/>
              <w:keepLines/>
              <w:widowControl w:val="0"/>
              <w:rPr>
                <w:color w:val="000000"/>
                <w:lang w:val="de-CH"/>
              </w:rPr>
            </w:pPr>
            <w:r w:rsidRPr="003F2EE1">
              <w:rPr>
                <w:color w:val="000000"/>
                <w:lang w:val="de-CH"/>
              </w:rPr>
              <w:t>metotreksat (20 mg/m</w:t>
            </w:r>
            <w:r w:rsidRPr="003F2EE1">
              <w:rPr>
                <w:color w:val="000000"/>
                <w:vertAlign w:val="superscript"/>
                <w:lang w:val="de-CH"/>
              </w:rPr>
              <w:t>2</w:t>
            </w:r>
            <w:r w:rsidRPr="003F2EE1">
              <w:rPr>
                <w:color w:val="000000"/>
                <w:lang w:val="de-CH"/>
              </w:rPr>
              <w:t>/teden, peroralno): 1., 8., 15., 22., 29., 36., 43. in 50. dan</w:t>
            </w:r>
          </w:p>
        </w:tc>
      </w:tr>
    </w:tbl>
    <w:p w14:paraId="5297A122" w14:textId="77777777" w:rsidR="00FF48C2" w:rsidRPr="003F2EE1" w:rsidRDefault="00FF48C2" w:rsidP="000A6242">
      <w:pPr>
        <w:pStyle w:val="EndnoteText"/>
        <w:keepNext/>
        <w:keepLines/>
        <w:widowControl w:val="0"/>
        <w:rPr>
          <w:color w:val="000000"/>
          <w:szCs w:val="22"/>
          <w:lang w:val="de-CH"/>
        </w:rPr>
      </w:pPr>
      <w:r w:rsidRPr="003F2EE1">
        <w:rPr>
          <w:color w:val="000000"/>
          <w:szCs w:val="22"/>
          <w:lang w:val="de-CH"/>
        </w:rPr>
        <w:t>G-CSF = rastni dejavnik za granulocite (</w:t>
      </w:r>
      <w:r w:rsidRPr="003F2EE1">
        <w:rPr>
          <w:i/>
          <w:color w:val="000000"/>
          <w:szCs w:val="22"/>
          <w:lang w:val="de-CH"/>
        </w:rPr>
        <w:t>granulocyte colony stimulating factor</w:t>
      </w:r>
      <w:r w:rsidRPr="003F2EE1">
        <w:rPr>
          <w:color w:val="000000"/>
          <w:szCs w:val="22"/>
          <w:lang w:val="de-CH"/>
        </w:rPr>
        <w:t>), VP-16 = etopozid, MTX = metotreksat, i.v. = intravensko, s.c. = subkutano, i.t. = intratekalno, i.m. = intramuskularno, ARA-C = citarabin, CPM = ciklofosfamid, VCR = vinkristin, DEX = deksametazon, DAUN = daunorubicin, 6-MP = 6-merkaptopurin, E.Coli L-ASP = L-asparaginaza, PEG-ASP = PEG asparaginaza, MESNA= natrijev 2-merkaptoetan sulfonat, iii= oziroma dokler koncentracija MTX ni &lt; 0,1 µM, Gy= Gray</w:t>
      </w:r>
    </w:p>
    <w:p w14:paraId="5297A123" w14:textId="77777777" w:rsidR="00FF48C2" w:rsidRPr="003F2EE1" w:rsidRDefault="00FF48C2" w:rsidP="009C1193">
      <w:pPr>
        <w:pStyle w:val="EndnoteText"/>
        <w:widowControl w:val="0"/>
        <w:jc w:val="both"/>
        <w:rPr>
          <w:color w:val="000000"/>
          <w:sz w:val="20"/>
          <w:lang w:val="de-CH"/>
        </w:rPr>
      </w:pPr>
    </w:p>
    <w:p w14:paraId="5297A124" w14:textId="77777777" w:rsidR="00FF48C2" w:rsidRPr="003F2EE1" w:rsidRDefault="00FF48C2" w:rsidP="009C1193">
      <w:pPr>
        <w:pStyle w:val="EndnoteText"/>
        <w:widowControl w:val="0"/>
        <w:rPr>
          <w:color w:val="000000"/>
          <w:lang w:val="de-CH"/>
        </w:rPr>
      </w:pPr>
      <w:r w:rsidRPr="003F2EE1">
        <w:rPr>
          <w:color w:val="000000"/>
          <w:szCs w:val="22"/>
          <w:lang w:val="de-CH"/>
        </w:rPr>
        <w:t>Študija AIT07 je bila multicentrična, odprta, randomizirana študija faze II/III, v katero so vključili 128 bolnikov (starih od 1 do manj kot 18 let) in jih zdravili z imatinibom v kombinaciji s kemoterapijo. Kaže, da se podatki o varnosti iz te študije ujemajo z varnostnim profilom imatiniba pri bolnikih s Ph+ ALL.</w:t>
      </w:r>
    </w:p>
    <w:p w14:paraId="5297A125" w14:textId="77777777" w:rsidR="00FF48C2" w:rsidRPr="004A59B1" w:rsidRDefault="00FF48C2" w:rsidP="009C1193">
      <w:pPr>
        <w:pStyle w:val="Text"/>
        <w:widowControl w:val="0"/>
        <w:spacing w:before="0"/>
        <w:jc w:val="left"/>
        <w:rPr>
          <w:i/>
          <w:color w:val="000000"/>
          <w:sz w:val="22"/>
          <w:szCs w:val="22"/>
          <w:lang w:val="sl-SI"/>
        </w:rPr>
      </w:pPr>
    </w:p>
    <w:p w14:paraId="5297A126" w14:textId="77777777" w:rsidR="00FF48C2" w:rsidRPr="004A59B1" w:rsidRDefault="00FF48C2" w:rsidP="009C1193">
      <w:pPr>
        <w:pStyle w:val="Text"/>
        <w:widowControl w:val="0"/>
        <w:spacing w:before="0"/>
        <w:jc w:val="left"/>
        <w:rPr>
          <w:color w:val="000000"/>
          <w:sz w:val="22"/>
          <w:szCs w:val="22"/>
          <w:lang w:val="sl-SI"/>
        </w:rPr>
      </w:pPr>
      <w:r w:rsidRPr="004A59B1">
        <w:rPr>
          <w:i/>
          <w:color w:val="000000"/>
          <w:sz w:val="22"/>
          <w:szCs w:val="22"/>
          <w:lang w:val="sl-SI"/>
        </w:rPr>
        <w:t>Relaps/neodzivna Ph+ ALL:</w:t>
      </w:r>
      <w:r w:rsidRPr="004A59B1">
        <w:rPr>
          <w:color w:val="000000"/>
          <w:sz w:val="22"/>
          <w:szCs w:val="22"/>
          <w:lang w:val="sl-SI"/>
        </w:rPr>
        <w:t xml:space="preserve"> Zdravljenje z imatinibom kot edinim zdravilom pri bolnikih z relapsom/neodzivno Ph+ ALL je povzročilo pri 53 od 411 za oceno odziva primernih bolnikov stopnjo hematološkega odziva 30 % (v 9 % popolni hematološki odziv) in stopnjo pomembnega citogenetičnega odziva 23 %. (V pojasnilo: od 411 bolnikov jih je bilo 353 zdravljenih v programu razširjenega dostopa brez zbranih podatkov o primarnem odzivu.) Mediani čas do napredovanja bolezni je bil pri vseh 411 bolnikih z relapsom/neodzivno Ph+ ALL v obsegu od 2,6 do 3,1 meseca, mediano preživetje nasploh pa je bilo pri 401 za oceno primernih bolnikov v obsegu od 4,9 do 9 mesecev. Podatki so bili podobni pri ponovni analizi, v katero so vključili le bolnike, stare 55 let ali več.</w:t>
      </w:r>
    </w:p>
    <w:p w14:paraId="5297A127" w14:textId="77777777" w:rsidR="00FF48C2" w:rsidRPr="004A59B1" w:rsidRDefault="00FF48C2" w:rsidP="009C1193">
      <w:pPr>
        <w:pStyle w:val="EndnoteText"/>
        <w:widowControl w:val="0"/>
        <w:tabs>
          <w:tab w:val="clear" w:pos="567"/>
        </w:tabs>
        <w:rPr>
          <w:color w:val="000000"/>
          <w:szCs w:val="22"/>
          <w:lang w:val="sl-SI"/>
        </w:rPr>
      </w:pPr>
    </w:p>
    <w:p w14:paraId="5297A128" w14:textId="77777777" w:rsidR="00FF48C2" w:rsidRPr="004A59B1" w:rsidRDefault="00FF48C2" w:rsidP="009C1193">
      <w:pPr>
        <w:pStyle w:val="EndnoteText"/>
        <w:keepNext/>
        <w:widowControl w:val="0"/>
        <w:rPr>
          <w:color w:val="000000"/>
          <w:u w:val="single"/>
          <w:lang w:val="sl-SI"/>
        </w:rPr>
      </w:pPr>
      <w:r w:rsidRPr="004A59B1">
        <w:rPr>
          <w:color w:val="000000"/>
          <w:u w:val="single"/>
          <w:lang w:val="sl-SI"/>
        </w:rPr>
        <w:t>Klinične študije pri MDS/MPD</w:t>
      </w:r>
    </w:p>
    <w:p w14:paraId="5297A129" w14:textId="77777777" w:rsidR="00965AFB" w:rsidRDefault="00FF48C2" w:rsidP="009C1193">
      <w:pPr>
        <w:pStyle w:val="EndnoteText"/>
        <w:widowControl w:val="0"/>
        <w:tabs>
          <w:tab w:val="clear" w:pos="567"/>
        </w:tabs>
        <w:rPr>
          <w:rFonts w:eastAsia="MS Mincho"/>
          <w:color w:val="000000"/>
          <w:lang w:val="sl-SI" w:eastAsia="ja-JP"/>
        </w:rPr>
      </w:pPr>
      <w:r w:rsidRPr="004A59B1">
        <w:rPr>
          <w:color w:val="000000"/>
          <w:szCs w:val="22"/>
          <w:lang w:val="sl-SI"/>
        </w:rPr>
        <w:t xml:space="preserve">Za to indikacijo </w:t>
      </w:r>
      <w:r w:rsidR="00A968A1" w:rsidRPr="004A59B1">
        <w:rPr>
          <w:color w:val="000000"/>
          <w:szCs w:val="22"/>
          <w:lang w:val="sl-SI"/>
        </w:rPr>
        <w:t xml:space="preserve">je </w:t>
      </w:r>
      <w:r w:rsidRPr="004A59B1">
        <w:rPr>
          <w:color w:val="000000"/>
          <w:szCs w:val="22"/>
          <w:lang w:val="sl-SI"/>
        </w:rPr>
        <w:t>izkuš</w:t>
      </w:r>
      <w:r w:rsidR="00A968A1" w:rsidRPr="004A59B1">
        <w:rPr>
          <w:color w:val="000000"/>
          <w:szCs w:val="22"/>
          <w:lang w:val="sl-SI"/>
        </w:rPr>
        <w:t>e</w:t>
      </w:r>
      <w:r w:rsidRPr="004A59B1">
        <w:rPr>
          <w:color w:val="000000"/>
          <w:szCs w:val="22"/>
          <w:lang w:val="sl-SI"/>
        </w:rPr>
        <w:t xml:space="preserve">nj z zdravilom Glivec zelo </w:t>
      </w:r>
      <w:r w:rsidR="00A968A1" w:rsidRPr="004A59B1">
        <w:rPr>
          <w:color w:val="000000"/>
          <w:szCs w:val="22"/>
          <w:lang w:val="sl-SI"/>
        </w:rPr>
        <w:t xml:space="preserve">malo </w:t>
      </w:r>
      <w:r w:rsidRPr="004A59B1">
        <w:rPr>
          <w:color w:val="000000"/>
          <w:szCs w:val="22"/>
          <w:lang w:val="sl-SI"/>
        </w:rPr>
        <w:t xml:space="preserve">in temeljijo na hematološki in citogenetični odzivnosti. Kontroliranih preskušanj, ki bi dokazovala klinično koristnost ali podaljšanje preživetja, ni. V enem odprtem multicentričnem kliničnem preskušanju faze II (študija B2225) so preskušali zdravilo Glivec pri različnih populacijah bolnikov z </w:t>
      </w:r>
      <w:r w:rsidRPr="004A59B1">
        <w:rPr>
          <w:rFonts w:eastAsia="MS Mincho"/>
          <w:color w:val="000000"/>
          <w:lang w:val="sl-SI" w:eastAsia="ja-JP"/>
        </w:rPr>
        <w:t>življensko ogrožujočimi boleznimi v povezavi z Abl, Kit ali PDGFR protein tirozin kinazami. Ta študija je vključevala 7 bolnikov z MDS/MPD, ki so bili zdravljeni z odmerkom zdravila Glivec 400 mg na dan. Trije bolniki so dosegli popolni hematološki odziv (CHR), en bolnik pa je dosegel delni hematološki odziv (PHR</w:t>
      </w:r>
      <w:r w:rsidR="00A968A1" w:rsidRPr="004A59B1">
        <w:rPr>
          <w:rFonts w:eastAsia="MS Mincho"/>
          <w:color w:val="000000"/>
          <w:lang w:val="sl-SI" w:eastAsia="ja-JP"/>
        </w:rPr>
        <w:t xml:space="preserve"> - </w:t>
      </w:r>
      <w:r w:rsidR="00A968A1" w:rsidRPr="004A59B1">
        <w:rPr>
          <w:i/>
          <w:color w:val="000000"/>
          <w:szCs w:val="22"/>
          <w:lang w:val="sl-SI"/>
        </w:rPr>
        <w:t>partial haematological response</w:t>
      </w:r>
      <w:r w:rsidRPr="004A59B1">
        <w:rPr>
          <w:rFonts w:eastAsia="MS Mincho"/>
          <w:color w:val="000000"/>
          <w:lang w:val="sl-SI" w:eastAsia="ja-JP"/>
        </w:rPr>
        <w:t>). V času prvotne analize so trije od štirih bolnikov z dokazano preureditvijo gena za PDGFR dosegli hematološki odziv (2 sta dosegla popolni in 1 delni hematološki odziv). Starost teh bolnikov je bila od 20 do 72 let.</w:t>
      </w:r>
    </w:p>
    <w:p w14:paraId="5297A12A" w14:textId="77777777" w:rsidR="00965AFB" w:rsidRDefault="00965AFB" w:rsidP="009C1193">
      <w:pPr>
        <w:pStyle w:val="EndnoteText"/>
        <w:widowControl w:val="0"/>
        <w:tabs>
          <w:tab w:val="clear" w:pos="567"/>
        </w:tabs>
        <w:rPr>
          <w:rFonts w:eastAsia="MS Mincho"/>
          <w:color w:val="000000"/>
          <w:lang w:val="sl-SI" w:eastAsia="ja-JP"/>
        </w:rPr>
      </w:pPr>
    </w:p>
    <w:p w14:paraId="5297A12B" w14:textId="77777777" w:rsidR="00965AFB" w:rsidRDefault="00965AFB" w:rsidP="009C1193">
      <w:pPr>
        <w:pStyle w:val="EndnoteText"/>
        <w:widowControl w:val="0"/>
        <w:tabs>
          <w:tab w:val="clear" w:pos="567"/>
        </w:tabs>
        <w:rPr>
          <w:rFonts w:eastAsia="MS Mincho"/>
          <w:color w:val="000000"/>
          <w:lang w:val="sl-SI" w:eastAsia="ja-JP"/>
        </w:rPr>
      </w:pPr>
      <w:r>
        <w:rPr>
          <w:rFonts w:eastAsia="MS Mincho"/>
          <w:color w:val="000000"/>
          <w:lang w:val="sl-SI" w:eastAsia="ja-JP"/>
        </w:rPr>
        <w:t xml:space="preserve">Pri bolnikih z mieloproliferativnimi neoplazmami s preureditvijo PDGFR-β, ki so se zdravili z zdravilom Glivec, je bila izvedena opazovalna študija (študija L2401) in sicer uvedba registra za </w:t>
      </w:r>
      <w:r w:rsidRPr="00531CB5">
        <w:rPr>
          <w:rFonts w:eastAsia="MS Mincho"/>
          <w:color w:val="000000"/>
          <w:lang w:val="sl-SI" w:eastAsia="ja-JP"/>
        </w:rPr>
        <w:t>dolgoročno</w:t>
      </w:r>
      <w:r w:rsidRPr="00965AFB">
        <w:rPr>
          <w:rFonts w:eastAsia="MS Mincho"/>
          <w:color w:val="000000"/>
          <w:lang w:val="sl-SI" w:eastAsia="ja-JP"/>
        </w:rPr>
        <w:t xml:space="preserve"> zbiranj</w:t>
      </w:r>
      <w:r w:rsidRPr="00531CB5">
        <w:rPr>
          <w:rFonts w:eastAsia="MS Mincho"/>
          <w:color w:val="000000"/>
          <w:lang w:val="sl-SI" w:eastAsia="ja-JP"/>
        </w:rPr>
        <w:t>e p</w:t>
      </w:r>
      <w:r w:rsidRPr="00965AFB">
        <w:rPr>
          <w:rFonts w:eastAsia="MS Mincho"/>
          <w:color w:val="000000"/>
          <w:lang w:val="sl-SI" w:eastAsia="ja-JP"/>
        </w:rPr>
        <w:t>odatkov</w:t>
      </w:r>
      <w:r>
        <w:rPr>
          <w:rFonts w:eastAsia="MS Mincho"/>
          <w:color w:val="000000"/>
          <w:lang w:val="sl-SI" w:eastAsia="ja-JP"/>
        </w:rPr>
        <w:t xml:space="preserve"> o varnosti in učinkovitosti. 23 bolnikov, ki so bili vključeni v register, je prejemalo zdravilo Glivec z mediano dnevnega odmerka 264 mg (v razponu od 100 do 400 mg) in z mediano trajanja zdravljenja 7,2 leti (v razponu od 0,1 do 12,7 leta). Glede na opazovalno naravo registra so bile ocene hematoloških podatkov na voljo za 22, ocene citogenetskih podatkov za 9 in ocene molekularnih podatkov za 17 od 23 vključenih bolnikov. Ob konzervativni oceni, da gre pri bolnikih z manjkajočimi podatki za bolnike brez odgovora na zdravljenje, je bil CHR opažen pri 20/23 (87 %) bolnikov, CCyR pri 9/23 (39,1 %) bolnikov in MR pri 11/23 (47,8 %) bolnikov. Če se delež odziva izračuna pri bolnikih z vsaj eno veljavno oceno je delež odziva 20/22 (90,9 %) za CHR, 9/9 (100 %) za CCyR in 11/17 (64,7 %) za MR.</w:t>
      </w:r>
    </w:p>
    <w:p w14:paraId="5297A12C" w14:textId="77777777" w:rsidR="00965AFB" w:rsidRDefault="00965AFB" w:rsidP="009C1193">
      <w:pPr>
        <w:pStyle w:val="EndnoteText"/>
        <w:widowControl w:val="0"/>
        <w:tabs>
          <w:tab w:val="clear" w:pos="567"/>
        </w:tabs>
        <w:rPr>
          <w:rFonts w:eastAsia="MS Mincho"/>
          <w:color w:val="000000"/>
          <w:lang w:val="sl-SI" w:eastAsia="ja-JP"/>
        </w:rPr>
      </w:pPr>
    </w:p>
    <w:p w14:paraId="5297A12D" w14:textId="77777777" w:rsidR="00FF48C2" w:rsidRPr="004A59B1" w:rsidRDefault="00FF48C2" w:rsidP="009C1193">
      <w:pPr>
        <w:pStyle w:val="EndnoteText"/>
        <w:widowControl w:val="0"/>
        <w:tabs>
          <w:tab w:val="clear" w:pos="567"/>
        </w:tabs>
        <w:rPr>
          <w:rFonts w:eastAsia="MS Mincho"/>
          <w:color w:val="000000"/>
          <w:lang w:val="sl-SI" w:eastAsia="ja-JP"/>
        </w:rPr>
      </w:pPr>
      <w:r w:rsidRPr="004A59B1">
        <w:rPr>
          <w:rFonts w:eastAsia="MS Mincho"/>
          <w:color w:val="000000"/>
          <w:lang w:val="sl-SI" w:eastAsia="ja-JP"/>
        </w:rPr>
        <w:t xml:space="preserve">Poleg tega so v 13 publikacijah poročali o nadaljnjih 24 bolnikih z </w:t>
      </w:r>
      <w:r w:rsidRPr="004A59B1">
        <w:rPr>
          <w:color w:val="000000"/>
          <w:szCs w:val="22"/>
          <w:lang w:val="sl-SI"/>
        </w:rPr>
        <w:t xml:space="preserve">MDS/MPD. 21 bolnikov je prejemalo zdravilo Glivec v odmerku 400 mg na dan, drugi 3 bolniki pa so prejemali </w:t>
      </w:r>
      <w:r w:rsidR="00A968A1" w:rsidRPr="004A59B1">
        <w:rPr>
          <w:color w:val="000000"/>
          <w:szCs w:val="22"/>
          <w:lang w:val="sl-SI"/>
        </w:rPr>
        <w:t>manjše</w:t>
      </w:r>
      <w:r w:rsidRPr="004A59B1">
        <w:rPr>
          <w:color w:val="000000"/>
          <w:szCs w:val="22"/>
          <w:lang w:val="sl-SI"/>
        </w:rPr>
        <w:t xml:space="preserve"> odmerke. Pri enajstih bolnikih so odkrili preureditev gena za PDGFR, 9 izmed njih je doseglo popolni hematološki odziv, 1 pa delni hematološki odziv.</w:t>
      </w:r>
      <w:r w:rsidRPr="004A59B1">
        <w:rPr>
          <w:rFonts w:eastAsia="MS Mincho"/>
          <w:color w:val="000000"/>
          <w:lang w:val="sl-SI" w:eastAsia="ja-JP"/>
        </w:rPr>
        <w:t xml:space="preserve"> Starost teh bolnikov je bila od 2 do 79 let. Nedavno objavljeni dopolnjeni podatki za 6 od teh 11 bolnikov razkrivajo, da so vsi ti bolniki ostali v citogenetični remisiji (po 32 do 38 mesecih). V isti publikaciji poročajo o podatkih z dolgoročnih </w:t>
      </w:r>
      <w:r w:rsidRPr="004A59B1">
        <w:rPr>
          <w:rFonts w:eastAsia="MS Mincho"/>
          <w:color w:val="000000"/>
          <w:lang w:val="sl-SI" w:eastAsia="ja-JP"/>
        </w:rPr>
        <w:lastRenderedPageBreak/>
        <w:t>kontrolnih pregledov za 12 bolnikov z MDS/MPD s preureditvijo gena za PDGFR (5 bolnikov iz študije B2225). Ti bolniki so prejemali zdravilo Glivec mediano 47 mesecev (od 24 dni do 60 mesecev). 6 od teh bolnikov zdaj spremljajo že več kot 4 leta. 11 bolnikov je doseglo hiter popolni hematološki odziv, pri desetih je prišlo do popolne normalizacije citogenetičnih nepravilnosti in zmanjšanja oziroma izginotja fuzijskih transkriptov, kot so izmerili z verižno reakcijo s polimerazo v realnem času (RT-PCR). Hematološki odzivi so ostali enaki mediano 49 mesecev (od 19 do 60), citogenetični odzivi pa 47 mesecev (od 16 do 59). Celotno preživetje je 65 mesecev od postavitve diagnoze (od 25 do 234 mesecev). Uporaba zdravila Glivec pri bolnikih brez genetske translokacije večinoma ni povzročila izboljšanja.</w:t>
      </w:r>
    </w:p>
    <w:p w14:paraId="5297A12E" w14:textId="77777777" w:rsidR="00FF48C2" w:rsidRPr="004A59B1" w:rsidRDefault="00FF48C2" w:rsidP="009C1193">
      <w:pPr>
        <w:pStyle w:val="EndnoteText"/>
        <w:widowControl w:val="0"/>
        <w:tabs>
          <w:tab w:val="clear" w:pos="567"/>
        </w:tabs>
        <w:rPr>
          <w:color w:val="000000"/>
          <w:szCs w:val="22"/>
          <w:lang w:val="sl-SI"/>
        </w:rPr>
      </w:pPr>
    </w:p>
    <w:p w14:paraId="5297A12F" w14:textId="77777777" w:rsidR="00FF48C2" w:rsidRPr="004A59B1" w:rsidRDefault="00FF48C2" w:rsidP="009C1193">
      <w:pPr>
        <w:pStyle w:val="EndnoteText"/>
        <w:widowControl w:val="0"/>
        <w:tabs>
          <w:tab w:val="clear" w:pos="567"/>
        </w:tabs>
        <w:rPr>
          <w:color w:val="000000"/>
          <w:szCs w:val="22"/>
          <w:lang w:val="sl-SI"/>
        </w:rPr>
      </w:pPr>
      <w:r w:rsidRPr="004A59B1">
        <w:rPr>
          <w:color w:val="000000"/>
          <w:szCs w:val="22"/>
          <w:lang w:val="sl-SI"/>
        </w:rPr>
        <w:t xml:space="preserve">Pri pediatričnih bolnikih z MDS/MPD niso opravili nobenega kontroliranega preskušanja. V 4 publikacijah so objavljeni podatki petih (5) bolnikov </w:t>
      </w:r>
      <w:r w:rsidRPr="004A59B1">
        <w:rPr>
          <w:rFonts w:eastAsia="MS Mincho"/>
          <w:color w:val="000000"/>
          <w:lang w:val="sl-SI" w:eastAsia="ja-JP"/>
        </w:rPr>
        <w:t>z MDS/MPD s preureditvijo gena za PDGFR. Ti bolniki so bili stari od 3 </w:t>
      </w:r>
      <w:r w:rsidRPr="004A59B1">
        <w:rPr>
          <w:rFonts w:eastAsia="MS Mincho"/>
          <w:lang w:val="sl-SI"/>
        </w:rPr>
        <w:t xml:space="preserve">mesece do 4 leta, imatinib pa so prejemali v odmerku 50 mg na dan oziroma v odmerkih od </w:t>
      </w:r>
      <w:r w:rsidRPr="004A59B1">
        <w:rPr>
          <w:color w:val="000000"/>
          <w:szCs w:val="22"/>
          <w:lang w:val="sl-SI"/>
        </w:rPr>
        <w:t>92,5</w:t>
      </w:r>
      <w:r w:rsidR="00A968A1" w:rsidRPr="004A59B1">
        <w:rPr>
          <w:color w:val="000000"/>
          <w:szCs w:val="22"/>
          <w:lang w:val="sl-SI"/>
        </w:rPr>
        <w:t> mg/m</w:t>
      </w:r>
      <w:r w:rsidR="00A968A1" w:rsidRPr="004A59B1">
        <w:rPr>
          <w:color w:val="000000"/>
          <w:szCs w:val="22"/>
          <w:vertAlign w:val="superscript"/>
          <w:lang w:val="sl-SI"/>
        </w:rPr>
        <w:t>2</w:t>
      </w:r>
      <w:r w:rsidRPr="004A59B1">
        <w:rPr>
          <w:color w:val="000000"/>
          <w:szCs w:val="22"/>
          <w:lang w:val="sl-SI"/>
        </w:rPr>
        <w:t xml:space="preserve"> do 340 mg/m</w:t>
      </w:r>
      <w:r w:rsidRPr="004A59B1">
        <w:rPr>
          <w:color w:val="000000"/>
          <w:szCs w:val="22"/>
          <w:vertAlign w:val="superscript"/>
          <w:lang w:val="sl-SI"/>
        </w:rPr>
        <w:t>2</w:t>
      </w:r>
      <w:r w:rsidRPr="004A59B1">
        <w:rPr>
          <w:color w:val="000000"/>
          <w:szCs w:val="22"/>
          <w:lang w:val="sl-SI"/>
        </w:rPr>
        <w:t xml:space="preserve"> na dan. Pri vseh bolnikih je prišlo do popolnega hematološkega odziva, do citogenetičnega odziva in/ali do kliničnega odziva.</w:t>
      </w:r>
    </w:p>
    <w:p w14:paraId="5297A130" w14:textId="77777777" w:rsidR="00FF48C2" w:rsidRPr="004A59B1" w:rsidRDefault="00FF48C2" w:rsidP="009C1193">
      <w:pPr>
        <w:pStyle w:val="EndnoteText"/>
        <w:widowControl w:val="0"/>
        <w:tabs>
          <w:tab w:val="clear" w:pos="567"/>
        </w:tabs>
        <w:rPr>
          <w:color w:val="000000"/>
          <w:szCs w:val="22"/>
          <w:u w:val="single"/>
          <w:lang w:val="sl-SI"/>
        </w:rPr>
      </w:pPr>
    </w:p>
    <w:p w14:paraId="5297A131" w14:textId="77777777" w:rsidR="00FF48C2" w:rsidRPr="004A59B1" w:rsidRDefault="00FF48C2" w:rsidP="009C1193">
      <w:pPr>
        <w:pStyle w:val="EndnoteText"/>
        <w:keepNext/>
        <w:widowControl w:val="0"/>
        <w:tabs>
          <w:tab w:val="clear" w:pos="567"/>
        </w:tabs>
        <w:rPr>
          <w:color w:val="000000"/>
          <w:szCs w:val="22"/>
          <w:u w:val="single"/>
          <w:lang w:val="sl-SI"/>
        </w:rPr>
      </w:pPr>
      <w:r w:rsidRPr="004A59B1">
        <w:rPr>
          <w:color w:val="000000"/>
          <w:szCs w:val="22"/>
          <w:u w:val="single"/>
          <w:lang w:val="sl-SI"/>
        </w:rPr>
        <w:t>Klinične študije pri HES/CEL</w:t>
      </w:r>
    </w:p>
    <w:p w14:paraId="5297A132" w14:textId="77777777" w:rsidR="00FF48C2" w:rsidRPr="004A59B1" w:rsidRDefault="00FF48C2" w:rsidP="009C1193">
      <w:pPr>
        <w:pStyle w:val="Text"/>
        <w:widowControl w:val="0"/>
        <w:spacing w:before="0"/>
        <w:jc w:val="left"/>
        <w:rPr>
          <w:rFonts w:eastAsia="MS Mincho"/>
          <w:color w:val="000000"/>
          <w:sz w:val="22"/>
          <w:lang w:val="sl-SI" w:eastAsia="ja-JP"/>
        </w:rPr>
      </w:pPr>
      <w:r w:rsidRPr="004A59B1">
        <w:rPr>
          <w:rFonts w:eastAsia="MS Mincho"/>
          <w:color w:val="000000"/>
          <w:sz w:val="22"/>
          <w:lang w:val="sl-SI" w:eastAsia="ja-JP"/>
        </w:rPr>
        <w:t xml:space="preserve">V enem odprtem multicentričnem kliničnem preskušanju faze II (študija B2225) so preskušali zdravilo Glivec pri različnih populacijah bolnikov z življensko ogrožujočimi boleznimi v povezavi z Abl, Kit ali PDGFR protein tirozin kinazami. V tej študiji je 14 bolnikov s HES/CEL prejemalo od 100 mg do 1.000 mg zdravila Glivec na dan. Nadaljnjih 162 bolnikov s HES/CEL, o katerih so poročali v 35 objavljenih opisih primerov in skupinah primerov, je prejemalo zdravilo Glivec v odmerkih od 75 mg do 800 mg na dan. Citogenetske nepravilnosti so pregledali pri 117 bolnikih od celotne populacije 176 bolnikov. Pri 61 od teh 117 bolnikov so odkrili </w:t>
      </w:r>
      <w:r w:rsidRPr="004A59B1">
        <w:rPr>
          <w:color w:val="000000"/>
          <w:sz w:val="22"/>
          <w:szCs w:val="22"/>
          <w:lang w:val="sl-SI"/>
        </w:rPr>
        <w:t>FIP1L1-PDGFR</w:t>
      </w:r>
      <w:r w:rsidRPr="004A59B1">
        <w:rPr>
          <w:color w:val="000000"/>
          <w:sz w:val="22"/>
          <w:szCs w:val="22"/>
          <w:lang w:val="en-GB"/>
        </w:rPr>
        <w:t>α</w:t>
      </w:r>
      <w:r w:rsidRPr="004A59B1">
        <w:rPr>
          <w:color w:val="000000"/>
          <w:sz w:val="22"/>
          <w:szCs w:val="22"/>
          <w:lang w:val="sl-SI"/>
        </w:rPr>
        <w:t xml:space="preserve"> fuzijsko kinazo. FIP1L1-PDGFR</w:t>
      </w:r>
      <w:r w:rsidRPr="004A59B1">
        <w:rPr>
          <w:color w:val="000000"/>
          <w:sz w:val="22"/>
          <w:szCs w:val="22"/>
          <w:lang w:val="en-GB"/>
        </w:rPr>
        <w:t>α</w:t>
      </w:r>
      <w:r w:rsidRPr="004A59B1">
        <w:rPr>
          <w:color w:val="000000"/>
          <w:sz w:val="22"/>
          <w:szCs w:val="22"/>
          <w:lang w:val="sl-SI"/>
        </w:rPr>
        <w:t xml:space="preserve"> pozitivni so bili še štirje bolniki s HES, ki so jih opisovali v drugih 3 objavljenih poročilih. Vseh 65 bolnikov z dokazano FIP1L1-PDGFR</w:t>
      </w:r>
      <w:r w:rsidRPr="004A59B1">
        <w:rPr>
          <w:color w:val="000000"/>
          <w:sz w:val="22"/>
          <w:szCs w:val="22"/>
          <w:lang w:val="en-GB"/>
        </w:rPr>
        <w:t>α</w:t>
      </w:r>
      <w:r w:rsidRPr="004A59B1">
        <w:rPr>
          <w:color w:val="000000"/>
          <w:sz w:val="22"/>
          <w:szCs w:val="22"/>
          <w:lang w:val="sl-SI"/>
        </w:rPr>
        <w:t xml:space="preserve"> fuzijsko kinazo je doseglo popolni hematološki odziv in ga ohranilo mesece (od več kot 1 mesec do več kot 44 mesecev, ocenjeno v času poročanja). Kot so nedavno objavili, je 21 od teh 65 bolnikov doseglo tudi popolno molekularno remisijo po mediano 28 mesecih spremljanja (od 13 do 67 mesecev). Ti bolniki so bili stari od 25 do 72 let. Poleg navedenega so raziskovalci v opisih primerov poročali tudi o izboljšanju simptomatike in nepravilnosti delovanja drugih organov. Navajali so izboljšanje na področju srca, živčevja, kože/podkožnega tkiva, dihalnega/torakalnega/mediastinalnega organskega sistema, mišičnoskeletnega/vezivnotkivnega/žilnega organskega sistema in prebavil.</w:t>
      </w:r>
    </w:p>
    <w:p w14:paraId="5297A133" w14:textId="77777777" w:rsidR="00FF48C2" w:rsidRPr="004A59B1" w:rsidRDefault="00FF48C2" w:rsidP="009C1193">
      <w:pPr>
        <w:pStyle w:val="EndnoteText"/>
        <w:widowControl w:val="0"/>
        <w:tabs>
          <w:tab w:val="clear" w:pos="567"/>
        </w:tabs>
        <w:rPr>
          <w:color w:val="000000"/>
          <w:szCs w:val="22"/>
          <w:u w:val="single"/>
          <w:lang w:val="sl-SI"/>
        </w:rPr>
      </w:pPr>
    </w:p>
    <w:p w14:paraId="5297A134" w14:textId="77777777" w:rsidR="00FF48C2" w:rsidRPr="004A59B1" w:rsidRDefault="00FF48C2" w:rsidP="009C1193">
      <w:pPr>
        <w:pStyle w:val="Text"/>
        <w:widowControl w:val="0"/>
        <w:spacing w:before="0"/>
        <w:jc w:val="left"/>
        <w:rPr>
          <w:color w:val="000000"/>
          <w:sz w:val="22"/>
          <w:szCs w:val="22"/>
          <w:lang w:val="sl-SI"/>
        </w:rPr>
      </w:pPr>
      <w:r w:rsidRPr="004A59B1">
        <w:rPr>
          <w:color w:val="000000"/>
          <w:sz w:val="22"/>
          <w:szCs w:val="22"/>
          <w:lang w:val="sl-SI"/>
        </w:rPr>
        <w:t>Pri pediatričnih bolnikih s HES/CEL niso opravili nobenega kontroliranega preskušanja. V 3 publikacijah so objavljeni podatki treh (3) bolnikov s HES oziroma CEL s preureditvijo gena za PDGFR. Ti bolniki so bili stari od 2 do 16 let, imatinib pa so prejemali v odmerku 300 mg/m</w:t>
      </w:r>
      <w:r w:rsidRPr="004A59B1">
        <w:rPr>
          <w:color w:val="000000"/>
          <w:sz w:val="22"/>
          <w:szCs w:val="22"/>
          <w:vertAlign w:val="superscript"/>
          <w:lang w:val="sl-SI"/>
        </w:rPr>
        <w:t>2</w:t>
      </w:r>
      <w:r w:rsidRPr="004A59B1">
        <w:rPr>
          <w:color w:val="000000"/>
          <w:sz w:val="22"/>
          <w:szCs w:val="22"/>
          <w:lang w:val="sl-SI"/>
        </w:rPr>
        <w:t xml:space="preserve"> na dan oziroma v odmerkih od 200</w:t>
      </w:r>
      <w:r w:rsidR="00A968A1" w:rsidRPr="004A59B1">
        <w:rPr>
          <w:color w:val="000000"/>
          <w:sz w:val="22"/>
          <w:szCs w:val="22"/>
          <w:lang w:val="sl-SI"/>
        </w:rPr>
        <w:t> mg</w:t>
      </w:r>
      <w:r w:rsidRPr="004A59B1">
        <w:rPr>
          <w:color w:val="000000"/>
          <w:sz w:val="22"/>
          <w:szCs w:val="22"/>
          <w:lang w:val="sl-SI"/>
        </w:rPr>
        <w:t xml:space="preserve"> do 400 mg na dan. Pri vseh bolnikih je prišlo do popolnega hematološkega odziva, do popolnega citogenetičnega odziva in/ali do popolnega molekularnega odziva.</w:t>
      </w:r>
    </w:p>
    <w:p w14:paraId="5297A135" w14:textId="77777777" w:rsidR="00FF48C2" w:rsidRPr="004A59B1" w:rsidRDefault="00FF48C2" w:rsidP="009C1193">
      <w:pPr>
        <w:pStyle w:val="EndnoteText"/>
        <w:widowControl w:val="0"/>
        <w:tabs>
          <w:tab w:val="clear" w:pos="567"/>
        </w:tabs>
        <w:rPr>
          <w:color w:val="000000"/>
          <w:szCs w:val="22"/>
          <w:u w:val="single"/>
          <w:lang w:val="sl-SI"/>
        </w:rPr>
      </w:pPr>
    </w:p>
    <w:p w14:paraId="5297A136" w14:textId="77777777" w:rsidR="00FF48C2" w:rsidRPr="004A59B1" w:rsidRDefault="00FF48C2" w:rsidP="009C1193">
      <w:pPr>
        <w:pStyle w:val="EndnoteText"/>
        <w:keepNext/>
        <w:widowControl w:val="0"/>
        <w:tabs>
          <w:tab w:val="clear" w:pos="567"/>
        </w:tabs>
        <w:rPr>
          <w:color w:val="000000"/>
          <w:szCs w:val="22"/>
          <w:u w:val="single"/>
          <w:lang w:val="sl-SI"/>
        </w:rPr>
      </w:pPr>
      <w:r w:rsidRPr="004A59B1">
        <w:rPr>
          <w:color w:val="000000"/>
          <w:szCs w:val="22"/>
          <w:u w:val="single"/>
          <w:lang w:val="sl-SI"/>
        </w:rPr>
        <w:t>Klinične študije pri neresektabilnih in/ali metastatskih GIST</w:t>
      </w:r>
    </w:p>
    <w:p w14:paraId="5297A137" w14:textId="77777777" w:rsidR="00FF48C2" w:rsidRPr="004A59B1" w:rsidRDefault="00FF48C2" w:rsidP="009C1193">
      <w:pPr>
        <w:pStyle w:val="EndnoteText"/>
        <w:widowControl w:val="0"/>
        <w:tabs>
          <w:tab w:val="clear" w:pos="567"/>
        </w:tabs>
        <w:rPr>
          <w:color w:val="000000"/>
          <w:szCs w:val="22"/>
          <w:lang w:val="sl-SI"/>
        </w:rPr>
      </w:pPr>
      <w:r w:rsidRPr="004A59B1">
        <w:rPr>
          <w:color w:val="000000"/>
          <w:szCs w:val="22"/>
          <w:lang w:val="sl-SI"/>
        </w:rPr>
        <w:t xml:space="preserve">Eno odprto, randomizirano, nekontrolirano, večnacionalno študijo druge faze so opravili pri bolnikih z neresektabilnimi ali metastatičnimi malignimi gastrointestinalnimi stromalnimi tumorji (GIST). V to študijo so vključili 147 bolnikov, ki so bili razporejeni po metodi naključne izbire, da so dobivali bodisi po 400 mg bodisi po 600 mg zdravila </w:t>
      </w:r>
      <w:r w:rsidR="00A968A1" w:rsidRPr="004A59B1">
        <w:rPr>
          <w:color w:val="000000"/>
          <w:szCs w:val="22"/>
          <w:lang w:val="sl-SI"/>
        </w:rPr>
        <w:t xml:space="preserve">na dan </w:t>
      </w:r>
      <w:r w:rsidRPr="004A59B1">
        <w:rPr>
          <w:color w:val="000000"/>
          <w:szCs w:val="22"/>
          <w:lang w:val="sl-SI"/>
        </w:rPr>
        <w:t>peroralno v obdobju do 36 mesecev. Ti bolniki so bili stari od 18 do 83 let in so imeli patološko diagnozo Kit-pozitivnega malignega GIST, ki je bil neresektabilen in/ali metastatičen. Imunohistokemijo so rutinsko opravljali s protitelesi Kit (A-4502, kunčji poliklonalni antiserum, 1:100; DAKO Corporation, Carpinteria, CA) v skladu z analizo z metodo avidin-biotin-peroksidaznega kompleksa po ponovni pridobitvi antigena.</w:t>
      </w:r>
    </w:p>
    <w:p w14:paraId="5297A138" w14:textId="77777777" w:rsidR="00FF48C2" w:rsidRPr="004A59B1" w:rsidRDefault="00FF48C2" w:rsidP="009C1193">
      <w:pPr>
        <w:pStyle w:val="EndnoteText"/>
        <w:widowControl w:val="0"/>
        <w:tabs>
          <w:tab w:val="clear" w:pos="567"/>
        </w:tabs>
        <w:rPr>
          <w:color w:val="000000"/>
          <w:szCs w:val="22"/>
          <w:lang w:val="sl-SI"/>
        </w:rPr>
      </w:pPr>
    </w:p>
    <w:p w14:paraId="5297A139" w14:textId="77777777" w:rsidR="00FF48C2" w:rsidRPr="004A59B1" w:rsidRDefault="00FF48C2" w:rsidP="009C1193">
      <w:pPr>
        <w:pStyle w:val="EndnoteText"/>
        <w:widowControl w:val="0"/>
        <w:tabs>
          <w:tab w:val="clear" w:pos="567"/>
        </w:tabs>
        <w:rPr>
          <w:color w:val="000000"/>
          <w:szCs w:val="22"/>
          <w:lang w:val="sl-SI"/>
        </w:rPr>
      </w:pPr>
      <w:r w:rsidRPr="004A59B1">
        <w:rPr>
          <w:color w:val="000000"/>
          <w:szCs w:val="22"/>
          <w:lang w:val="sl-SI"/>
        </w:rPr>
        <w:t>Primarni dokaz učinkovitosti je temeljil na objektivni odzivnosti. Tumorji so morali biti merljivi vsaj na eni bolezenski lokaciji, karakterizacija odzivnosti pa je temeljila na merilih Southwestern Oncology Group (SWOG). Rezultati so prikazani v preglednici </w:t>
      </w:r>
      <w:r w:rsidR="00A968A1" w:rsidRPr="004A59B1">
        <w:rPr>
          <w:color w:val="000000"/>
          <w:szCs w:val="22"/>
          <w:lang w:val="sl-SI"/>
        </w:rPr>
        <w:t>6</w:t>
      </w:r>
      <w:r w:rsidRPr="004A59B1">
        <w:rPr>
          <w:color w:val="000000"/>
          <w:szCs w:val="22"/>
          <w:lang w:val="sl-SI"/>
        </w:rPr>
        <w:t>.</w:t>
      </w:r>
    </w:p>
    <w:p w14:paraId="5297A13A" w14:textId="77777777" w:rsidR="00FF48C2" w:rsidRPr="004A59B1" w:rsidRDefault="00FF48C2" w:rsidP="009C1193">
      <w:pPr>
        <w:pStyle w:val="EndnoteText"/>
        <w:widowControl w:val="0"/>
        <w:tabs>
          <w:tab w:val="clear" w:pos="567"/>
        </w:tabs>
        <w:rPr>
          <w:color w:val="000000"/>
          <w:szCs w:val="22"/>
          <w:lang w:val="sl-SI"/>
        </w:rPr>
      </w:pPr>
    </w:p>
    <w:p w14:paraId="5297A13B" w14:textId="77777777" w:rsidR="00FF48C2" w:rsidRPr="004A59B1" w:rsidRDefault="00FF48C2" w:rsidP="009C1193">
      <w:pPr>
        <w:pStyle w:val="EndnoteText"/>
        <w:keepNext/>
        <w:keepLines/>
        <w:widowControl w:val="0"/>
        <w:tabs>
          <w:tab w:val="clear" w:pos="567"/>
          <w:tab w:val="left" w:pos="1701"/>
        </w:tabs>
        <w:rPr>
          <w:b/>
          <w:color w:val="000000"/>
          <w:szCs w:val="22"/>
          <w:lang w:val="sl-SI"/>
        </w:rPr>
      </w:pPr>
      <w:r w:rsidRPr="004A59B1">
        <w:rPr>
          <w:b/>
          <w:color w:val="000000"/>
          <w:szCs w:val="22"/>
          <w:lang w:val="sl-SI"/>
        </w:rPr>
        <w:lastRenderedPageBreak/>
        <w:t>Preglednica </w:t>
      </w:r>
      <w:r w:rsidR="00A968A1" w:rsidRPr="004A59B1">
        <w:rPr>
          <w:b/>
          <w:color w:val="000000"/>
          <w:szCs w:val="22"/>
          <w:lang w:val="sl-SI"/>
        </w:rPr>
        <w:t>6</w:t>
      </w:r>
      <w:r w:rsidRPr="004A59B1">
        <w:rPr>
          <w:b/>
          <w:color w:val="000000"/>
          <w:szCs w:val="22"/>
          <w:lang w:val="sl-SI"/>
        </w:rPr>
        <w:tab/>
        <w:t>Najboljši tumorski odziv v preskušanju STIB2222 (GIST)</w:t>
      </w:r>
    </w:p>
    <w:p w14:paraId="5297A13C" w14:textId="77777777" w:rsidR="00FF48C2" w:rsidRPr="004A59B1" w:rsidRDefault="00FF48C2" w:rsidP="009C1193">
      <w:pPr>
        <w:pStyle w:val="EndnoteText"/>
        <w:keepNext/>
        <w:keepLines/>
        <w:widowControl w:val="0"/>
        <w:tabs>
          <w:tab w:val="clear" w:pos="567"/>
        </w:tabs>
        <w:rPr>
          <w:color w:val="000000"/>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FF48C2" w:rsidRPr="004A59B1" w14:paraId="5297A145" w14:textId="77777777" w:rsidTr="000A6242">
        <w:trPr>
          <w:cantSplit/>
        </w:trPr>
        <w:tc>
          <w:tcPr>
            <w:tcW w:w="4643" w:type="dxa"/>
            <w:tcBorders>
              <w:left w:val="nil"/>
              <w:bottom w:val="single" w:sz="4" w:space="0" w:color="auto"/>
              <w:right w:val="nil"/>
            </w:tcBorders>
          </w:tcPr>
          <w:p w14:paraId="5297A13D" w14:textId="77777777" w:rsidR="00FF48C2" w:rsidRPr="004A59B1" w:rsidRDefault="00FF48C2" w:rsidP="009C1193">
            <w:pPr>
              <w:pStyle w:val="EndnoteText"/>
              <w:keepNext/>
              <w:keepLines/>
              <w:widowControl w:val="0"/>
              <w:tabs>
                <w:tab w:val="clear" w:pos="567"/>
              </w:tabs>
              <w:rPr>
                <w:color w:val="000000"/>
                <w:szCs w:val="22"/>
                <w:lang w:val="sl-SI"/>
              </w:rPr>
            </w:pPr>
          </w:p>
          <w:p w14:paraId="5297A13E" w14:textId="77777777" w:rsidR="00FF48C2" w:rsidRPr="004A59B1" w:rsidRDefault="00FF48C2" w:rsidP="009C1193">
            <w:pPr>
              <w:pStyle w:val="EndnoteText"/>
              <w:keepNext/>
              <w:keepLines/>
              <w:widowControl w:val="0"/>
              <w:tabs>
                <w:tab w:val="clear" w:pos="567"/>
              </w:tabs>
              <w:rPr>
                <w:color w:val="000000"/>
                <w:szCs w:val="22"/>
                <w:lang w:val="sl-SI"/>
              </w:rPr>
            </w:pPr>
          </w:p>
          <w:p w14:paraId="5297A13F" w14:textId="77777777" w:rsidR="00FF48C2" w:rsidRPr="004A59B1" w:rsidRDefault="00FF48C2" w:rsidP="009C1193">
            <w:pPr>
              <w:pStyle w:val="EndnoteText"/>
              <w:keepNext/>
              <w:keepLines/>
              <w:widowControl w:val="0"/>
              <w:tabs>
                <w:tab w:val="clear" w:pos="567"/>
              </w:tabs>
              <w:rPr>
                <w:color w:val="000000"/>
                <w:szCs w:val="22"/>
                <w:lang w:val="sl-SI"/>
              </w:rPr>
            </w:pPr>
          </w:p>
          <w:p w14:paraId="5297A140" w14:textId="77777777" w:rsidR="00FF48C2" w:rsidRPr="004A59B1" w:rsidRDefault="00FF48C2" w:rsidP="009C1193">
            <w:pPr>
              <w:pStyle w:val="EndnoteText"/>
              <w:keepNext/>
              <w:keepLines/>
              <w:widowControl w:val="0"/>
              <w:tabs>
                <w:tab w:val="clear" w:pos="567"/>
              </w:tabs>
              <w:rPr>
                <w:color w:val="000000"/>
                <w:szCs w:val="22"/>
              </w:rPr>
            </w:pPr>
            <w:r w:rsidRPr="004A59B1">
              <w:rPr>
                <w:color w:val="000000"/>
                <w:szCs w:val="22"/>
              </w:rPr>
              <w:t>najboljši odziv</w:t>
            </w:r>
          </w:p>
        </w:tc>
        <w:tc>
          <w:tcPr>
            <w:tcW w:w="4643" w:type="dxa"/>
            <w:tcBorders>
              <w:left w:val="nil"/>
              <w:bottom w:val="single" w:sz="4" w:space="0" w:color="auto"/>
              <w:right w:val="nil"/>
            </w:tcBorders>
          </w:tcPr>
          <w:p w14:paraId="5297A141" w14:textId="77777777" w:rsidR="00FF48C2" w:rsidRPr="004A59B1" w:rsidRDefault="00FF48C2" w:rsidP="009C1193">
            <w:pPr>
              <w:pStyle w:val="EndnoteText"/>
              <w:keepNext/>
              <w:keepLines/>
              <w:widowControl w:val="0"/>
              <w:tabs>
                <w:tab w:val="clear" w:pos="567"/>
              </w:tabs>
              <w:jc w:val="center"/>
              <w:rPr>
                <w:color w:val="000000"/>
                <w:szCs w:val="22"/>
                <w:lang w:val="pt-BR"/>
              </w:rPr>
            </w:pPr>
            <w:r w:rsidRPr="004A59B1">
              <w:rPr>
                <w:color w:val="000000"/>
                <w:szCs w:val="22"/>
                <w:lang w:val="pt-BR"/>
              </w:rPr>
              <w:t>Vsi odmerki (n=147)</w:t>
            </w:r>
          </w:p>
          <w:p w14:paraId="5297A142" w14:textId="77777777" w:rsidR="00FF48C2" w:rsidRPr="004A59B1" w:rsidRDefault="00FF48C2" w:rsidP="009C1193">
            <w:pPr>
              <w:pStyle w:val="EndnoteText"/>
              <w:keepNext/>
              <w:keepLines/>
              <w:widowControl w:val="0"/>
              <w:tabs>
                <w:tab w:val="clear" w:pos="567"/>
              </w:tabs>
              <w:jc w:val="center"/>
              <w:rPr>
                <w:color w:val="000000"/>
                <w:szCs w:val="22"/>
                <w:lang w:val="pt-BR"/>
              </w:rPr>
            </w:pPr>
            <w:r w:rsidRPr="004A59B1">
              <w:rPr>
                <w:color w:val="000000"/>
                <w:szCs w:val="22"/>
                <w:lang w:val="pt-BR"/>
              </w:rPr>
              <w:t>400 mg (n=73)</w:t>
            </w:r>
          </w:p>
          <w:p w14:paraId="5297A143" w14:textId="77777777" w:rsidR="00FF48C2" w:rsidRPr="004A59B1" w:rsidRDefault="00FF48C2" w:rsidP="009C1193">
            <w:pPr>
              <w:pStyle w:val="EndnoteText"/>
              <w:keepNext/>
              <w:keepLines/>
              <w:widowControl w:val="0"/>
              <w:tabs>
                <w:tab w:val="clear" w:pos="567"/>
              </w:tabs>
              <w:jc w:val="center"/>
              <w:rPr>
                <w:color w:val="000000"/>
                <w:szCs w:val="22"/>
              </w:rPr>
            </w:pPr>
            <w:r w:rsidRPr="004A59B1">
              <w:rPr>
                <w:color w:val="000000"/>
                <w:szCs w:val="22"/>
              </w:rPr>
              <w:t>600 mg (n=74)</w:t>
            </w:r>
          </w:p>
          <w:p w14:paraId="5297A144" w14:textId="77777777" w:rsidR="00FF48C2" w:rsidRPr="004A59B1" w:rsidRDefault="00FF48C2" w:rsidP="009C1193">
            <w:pPr>
              <w:pStyle w:val="EndnoteText"/>
              <w:keepNext/>
              <w:keepLines/>
              <w:widowControl w:val="0"/>
              <w:tabs>
                <w:tab w:val="clear" w:pos="567"/>
              </w:tabs>
              <w:jc w:val="center"/>
              <w:rPr>
                <w:color w:val="000000"/>
                <w:szCs w:val="22"/>
              </w:rPr>
            </w:pPr>
            <w:r w:rsidRPr="004A59B1">
              <w:rPr>
                <w:color w:val="000000"/>
                <w:szCs w:val="22"/>
              </w:rPr>
              <w:t>n (%)</w:t>
            </w:r>
          </w:p>
        </w:tc>
      </w:tr>
      <w:tr w:rsidR="00FF48C2" w:rsidRPr="004A59B1" w14:paraId="5297A148" w14:textId="77777777" w:rsidTr="000A6242">
        <w:trPr>
          <w:cantSplit/>
        </w:trPr>
        <w:tc>
          <w:tcPr>
            <w:tcW w:w="4643" w:type="dxa"/>
            <w:tcBorders>
              <w:top w:val="nil"/>
              <w:left w:val="nil"/>
              <w:bottom w:val="nil"/>
              <w:right w:val="nil"/>
            </w:tcBorders>
          </w:tcPr>
          <w:p w14:paraId="5297A146" w14:textId="77777777" w:rsidR="00FF48C2" w:rsidRPr="004A59B1" w:rsidRDefault="00FF48C2" w:rsidP="009C1193">
            <w:pPr>
              <w:pStyle w:val="EndnoteText"/>
              <w:keepNext/>
              <w:keepLines/>
              <w:widowControl w:val="0"/>
              <w:tabs>
                <w:tab w:val="clear" w:pos="567"/>
              </w:tabs>
              <w:rPr>
                <w:color w:val="000000"/>
                <w:szCs w:val="22"/>
              </w:rPr>
            </w:pPr>
            <w:r w:rsidRPr="004A59B1">
              <w:rPr>
                <w:color w:val="000000"/>
                <w:szCs w:val="22"/>
              </w:rPr>
              <w:t>popoln odziv</w:t>
            </w:r>
          </w:p>
        </w:tc>
        <w:tc>
          <w:tcPr>
            <w:tcW w:w="4643" w:type="dxa"/>
            <w:tcBorders>
              <w:top w:val="nil"/>
              <w:left w:val="nil"/>
              <w:bottom w:val="nil"/>
              <w:right w:val="nil"/>
            </w:tcBorders>
          </w:tcPr>
          <w:p w14:paraId="5297A147" w14:textId="77777777" w:rsidR="00FF48C2" w:rsidRPr="004A59B1" w:rsidRDefault="00FF48C2" w:rsidP="009C1193">
            <w:pPr>
              <w:pStyle w:val="EndnoteText"/>
              <w:keepNext/>
              <w:keepLines/>
              <w:widowControl w:val="0"/>
              <w:tabs>
                <w:tab w:val="clear" w:pos="567"/>
              </w:tabs>
              <w:jc w:val="center"/>
              <w:rPr>
                <w:color w:val="000000"/>
                <w:szCs w:val="22"/>
              </w:rPr>
            </w:pPr>
            <w:r w:rsidRPr="004A59B1">
              <w:rPr>
                <w:rFonts w:eastAsia="MS Mincho"/>
                <w:color w:val="000000"/>
                <w:szCs w:val="22"/>
              </w:rPr>
              <w:t>1 (0,7)</w:t>
            </w:r>
          </w:p>
        </w:tc>
      </w:tr>
      <w:tr w:rsidR="00FF48C2" w:rsidRPr="004A59B1" w14:paraId="5297A14B" w14:textId="77777777" w:rsidTr="000A6242">
        <w:trPr>
          <w:cantSplit/>
        </w:trPr>
        <w:tc>
          <w:tcPr>
            <w:tcW w:w="4643" w:type="dxa"/>
            <w:tcBorders>
              <w:top w:val="nil"/>
              <w:left w:val="nil"/>
              <w:bottom w:val="nil"/>
              <w:right w:val="nil"/>
            </w:tcBorders>
          </w:tcPr>
          <w:p w14:paraId="5297A149" w14:textId="77777777" w:rsidR="00FF48C2" w:rsidRPr="004A59B1" w:rsidRDefault="00FF48C2" w:rsidP="009C1193">
            <w:pPr>
              <w:pStyle w:val="EndnoteText"/>
              <w:keepNext/>
              <w:keepLines/>
              <w:widowControl w:val="0"/>
              <w:tabs>
                <w:tab w:val="clear" w:pos="567"/>
              </w:tabs>
              <w:rPr>
                <w:color w:val="000000"/>
                <w:szCs w:val="22"/>
              </w:rPr>
            </w:pPr>
            <w:r w:rsidRPr="004A59B1">
              <w:rPr>
                <w:color w:val="000000"/>
                <w:szCs w:val="22"/>
              </w:rPr>
              <w:t>delni odziv</w:t>
            </w:r>
          </w:p>
        </w:tc>
        <w:tc>
          <w:tcPr>
            <w:tcW w:w="4643" w:type="dxa"/>
            <w:tcBorders>
              <w:top w:val="nil"/>
              <w:left w:val="nil"/>
              <w:bottom w:val="nil"/>
              <w:right w:val="nil"/>
            </w:tcBorders>
          </w:tcPr>
          <w:p w14:paraId="5297A14A" w14:textId="77777777" w:rsidR="00FF48C2" w:rsidRPr="004A59B1" w:rsidRDefault="00FF48C2" w:rsidP="009C1193">
            <w:pPr>
              <w:pStyle w:val="EndnoteText"/>
              <w:keepNext/>
              <w:keepLines/>
              <w:widowControl w:val="0"/>
              <w:tabs>
                <w:tab w:val="clear" w:pos="567"/>
              </w:tabs>
              <w:jc w:val="center"/>
              <w:rPr>
                <w:color w:val="000000"/>
                <w:szCs w:val="22"/>
              </w:rPr>
            </w:pPr>
            <w:r w:rsidRPr="004A59B1">
              <w:rPr>
                <w:rFonts w:eastAsia="MS Mincho"/>
                <w:color w:val="000000"/>
                <w:szCs w:val="22"/>
              </w:rPr>
              <w:t>98 (66,7)</w:t>
            </w:r>
          </w:p>
        </w:tc>
      </w:tr>
      <w:tr w:rsidR="00FF48C2" w:rsidRPr="004A59B1" w14:paraId="5297A14E" w14:textId="77777777" w:rsidTr="000A6242">
        <w:trPr>
          <w:cantSplit/>
        </w:trPr>
        <w:tc>
          <w:tcPr>
            <w:tcW w:w="4643" w:type="dxa"/>
            <w:tcBorders>
              <w:top w:val="nil"/>
              <w:left w:val="nil"/>
              <w:bottom w:val="nil"/>
              <w:right w:val="nil"/>
            </w:tcBorders>
          </w:tcPr>
          <w:p w14:paraId="5297A14C" w14:textId="77777777" w:rsidR="00FF48C2" w:rsidRPr="004A59B1" w:rsidRDefault="00FF48C2" w:rsidP="009C1193">
            <w:pPr>
              <w:pStyle w:val="EndnoteText"/>
              <w:keepNext/>
              <w:keepLines/>
              <w:widowControl w:val="0"/>
              <w:tabs>
                <w:tab w:val="clear" w:pos="567"/>
              </w:tabs>
              <w:rPr>
                <w:color w:val="000000"/>
                <w:szCs w:val="22"/>
              </w:rPr>
            </w:pPr>
            <w:r w:rsidRPr="004A59B1">
              <w:rPr>
                <w:color w:val="000000"/>
                <w:szCs w:val="22"/>
              </w:rPr>
              <w:t>stabilna bolezen</w:t>
            </w:r>
          </w:p>
        </w:tc>
        <w:tc>
          <w:tcPr>
            <w:tcW w:w="4643" w:type="dxa"/>
            <w:tcBorders>
              <w:top w:val="nil"/>
              <w:left w:val="nil"/>
              <w:bottom w:val="nil"/>
              <w:right w:val="nil"/>
            </w:tcBorders>
          </w:tcPr>
          <w:p w14:paraId="5297A14D" w14:textId="77777777" w:rsidR="00FF48C2" w:rsidRPr="004A59B1" w:rsidRDefault="00FF48C2" w:rsidP="009C1193">
            <w:pPr>
              <w:pStyle w:val="EndnoteText"/>
              <w:keepNext/>
              <w:keepLines/>
              <w:widowControl w:val="0"/>
              <w:tabs>
                <w:tab w:val="clear" w:pos="567"/>
              </w:tabs>
              <w:jc w:val="center"/>
              <w:rPr>
                <w:color w:val="000000"/>
                <w:szCs w:val="22"/>
              </w:rPr>
            </w:pPr>
            <w:r w:rsidRPr="004A59B1">
              <w:rPr>
                <w:rFonts w:eastAsia="MS Mincho"/>
                <w:color w:val="000000"/>
                <w:szCs w:val="22"/>
              </w:rPr>
              <w:t>23 (15,6)</w:t>
            </w:r>
          </w:p>
        </w:tc>
      </w:tr>
      <w:tr w:rsidR="00FF48C2" w:rsidRPr="004A59B1" w14:paraId="5297A151" w14:textId="77777777" w:rsidTr="000A6242">
        <w:trPr>
          <w:cantSplit/>
        </w:trPr>
        <w:tc>
          <w:tcPr>
            <w:tcW w:w="4643" w:type="dxa"/>
            <w:tcBorders>
              <w:top w:val="nil"/>
              <w:left w:val="nil"/>
              <w:bottom w:val="nil"/>
              <w:right w:val="nil"/>
            </w:tcBorders>
          </w:tcPr>
          <w:p w14:paraId="5297A14F" w14:textId="77777777" w:rsidR="00FF48C2" w:rsidRPr="004A59B1" w:rsidRDefault="00FF48C2" w:rsidP="009C1193">
            <w:pPr>
              <w:pStyle w:val="EndnoteText"/>
              <w:keepNext/>
              <w:keepLines/>
              <w:widowControl w:val="0"/>
              <w:tabs>
                <w:tab w:val="clear" w:pos="567"/>
              </w:tabs>
              <w:rPr>
                <w:color w:val="000000"/>
                <w:szCs w:val="22"/>
              </w:rPr>
            </w:pPr>
            <w:r w:rsidRPr="004A59B1">
              <w:rPr>
                <w:color w:val="000000"/>
                <w:szCs w:val="22"/>
              </w:rPr>
              <w:t>napredujoča bolezen</w:t>
            </w:r>
          </w:p>
        </w:tc>
        <w:tc>
          <w:tcPr>
            <w:tcW w:w="4643" w:type="dxa"/>
            <w:tcBorders>
              <w:top w:val="nil"/>
              <w:left w:val="nil"/>
              <w:bottom w:val="nil"/>
              <w:right w:val="nil"/>
            </w:tcBorders>
          </w:tcPr>
          <w:p w14:paraId="5297A150" w14:textId="77777777" w:rsidR="00FF48C2" w:rsidRPr="004A59B1" w:rsidRDefault="00FF48C2" w:rsidP="009C1193">
            <w:pPr>
              <w:pStyle w:val="EndnoteText"/>
              <w:keepNext/>
              <w:keepLines/>
              <w:widowControl w:val="0"/>
              <w:tabs>
                <w:tab w:val="clear" w:pos="567"/>
              </w:tabs>
              <w:jc w:val="center"/>
              <w:rPr>
                <w:color w:val="000000"/>
                <w:szCs w:val="22"/>
              </w:rPr>
            </w:pPr>
            <w:r w:rsidRPr="004A59B1">
              <w:rPr>
                <w:rFonts w:eastAsia="MS Mincho"/>
                <w:color w:val="000000"/>
                <w:szCs w:val="22"/>
              </w:rPr>
              <w:t>18 (12,2)</w:t>
            </w:r>
          </w:p>
        </w:tc>
      </w:tr>
      <w:tr w:rsidR="00FF48C2" w:rsidRPr="004A59B1" w14:paraId="5297A154" w14:textId="77777777" w:rsidTr="000A6242">
        <w:trPr>
          <w:cantSplit/>
        </w:trPr>
        <w:tc>
          <w:tcPr>
            <w:tcW w:w="4643" w:type="dxa"/>
            <w:tcBorders>
              <w:top w:val="nil"/>
              <w:left w:val="nil"/>
              <w:bottom w:val="nil"/>
              <w:right w:val="nil"/>
            </w:tcBorders>
          </w:tcPr>
          <w:p w14:paraId="5297A152" w14:textId="77777777" w:rsidR="00FF48C2" w:rsidRPr="004A59B1" w:rsidRDefault="00FF48C2" w:rsidP="009C1193">
            <w:pPr>
              <w:pStyle w:val="EndnoteText"/>
              <w:keepNext/>
              <w:keepLines/>
              <w:widowControl w:val="0"/>
              <w:tabs>
                <w:tab w:val="clear" w:pos="567"/>
              </w:tabs>
              <w:rPr>
                <w:color w:val="000000"/>
                <w:szCs w:val="22"/>
              </w:rPr>
            </w:pPr>
            <w:r w:rsidRPr="004A59B1">
              <w:rPr>
                <w:color w:val="000000"/>
                <w:szCs w:val="22"/>
              </w:rPr>
              <w:t>ni možno oceniti</w:t>
            </w:r>
          </w:p>
        </w:tc>
        <w:tc>
          <w:tcPr>
            <w:tcW w:w="4643" w:type="dxa"/>
            <w:tcBorders>
              <w:top w:val="nil"/>
              <w:left w:val="nil"/>
              <w:bottom w:val="nil"/>
              <w:right w:val="nil"/>
            </w:tcBorders>
          </w:tcPr>
          <w:p w14:paraId="5297A153" w14:textId="77777777" w:rsidR="00FF48C2" w:rsidRPr="004A59B1" w:rsidRDefault="00FF48C2" w:rsidP="009C1193">
            <w:pPr>
              <w:pStyle w:val="EndnoteText"/>
              <w:keepNext/>
              <w:keepLines/>
              <w:widowControl w:val="0"/>
              <w:tabs>
                <w:tab w:val="clear" w:pos="567"/>
              </w:tabs>
              <w:jc w:val="center"/>
              <w:rPr>
                <w:color w:val="000000"/>
                <w:szCs w:val="22"/>
              </w:rPr>
            </w:pPr>
            <w:r w:rsidRPr="004A59B1">
              <w:rPr>
                <w:rFonts w:eastAsia="MS Mincho"/>
                <w:color w:val="000000"/>
                <w:szCs w:val="22"/>
              </w:rPr>
              <w:t>5 (3,4)</w:t>
            </w:r>
          </w:p>
        </w:tc>
      </w:tr>
      <w:tr w:rsidR="00FF48C2" w:rsidRPr="004A59B1" w14:paraId="5297A157" w14:textId="77777777" w:rsidTr="000A6242">
        <w:trPr>
          <w:cantSplit/>
        </w:trPr>
        <w:tc>
          <w:tcPr>
            <w:tcW w:w="4643" w:type="dxa"/>
            <w:tcBorders>
              <w:top w:val="nil"/>
              <w:left w:val="nil"/>
              <w:right w:val="nil"/>
            </w:tcBorders>
          </w:tcPr>
          <w:p w14:paraId="5297A155" w14:textId="77777777" w:rsidR="00FF48C2" w:rsidRPr="004A59B1" w:rsidRDefault="00FF48C2" w:rsidP="009C1193">
            <w:pPr>
              <w:pStyle w:val="EndnoteText"/>
              <w:keepNext/>
              <w:keepLines/>
              <w:widowControl w:val="0"/>
              <w:tabs>
                <w:tab w:val="clear" w:pos="567"/>
              </w:tabs>
              <w:rPr>
                <w:color w:val="000000"/>
                <w:szCs w:val="22"/>
              </w:rPr>
            </w:pPr>
            <w:r w:rsidRPr="004A59B1">
              <w:rPr>
                <w:color w:val="000000"/>
                <w:szCs w:val="22"/>
              </w:rPr>
              <w:t>neznano</w:t>
            </w:r>
          </w:p>
        </w:tc>
        <w:tc>
          <w:tcPr>
            <w:tcW w:w="4643" w:type="dxa"/>
            <w:tcBorders>
              <w:top w:val="nil"/>
              <w:left w:val="nil"/>
              <w:right w:val="nil"/>
            </w:tcBorders>
          </w:tcPr>
          <w:p w14:paraId="5297A156" w14:textId="77777777" w:rsidR="00FF48C2" w:rsidRPr="004A59B1" w:rsidRDefault="00FF48C2" w:rsidP="009C1193">
            <w:pPr>
              <w:pStyle w:val="EndnoteText"/>
              <w:keepNext/>
              <w:keepLines/>
              <w:widowControl w:val="0"/>
              <w:tabs>
                <w:tab w:val="clear" w:pos="567"/>
              </w:tabs>
              <w:jc w:val="center"/>
              <w:rPr>
                <w:color w:val="000000"/>
                <w:szCs w:val="22"/>
              </w:rPr>
            </w:pPr>
            <w:r w:rsidRPr="004A59B1">
              <w:rPr>
                <w:color w:val="000000"/>
                <w:szCs w:val="22"/>
              </w:rPr>
              <w:t>2 (1,4)</w:t>
            </w:r>
          </w:p>
        </w:tc>
      </w:tr>
    </w:tbl>
    <w:p w14:paraId="5297A158" w14:textId="77777777" w:rsidR="00FF48C2" w:rsidRPr="004A59B1" w:rsidRDefault="00FF48C2" w:rsidP="009C1193">
      <w:pPr>
        <w:pStyle w:val="EndnoteText"/>
        <w:widowControl w:val="0"/>
        <w:tabs>
          <w:tab w:val="clear" w:pos="567"/>
        </w:tabs>
        <w:rPr>
          <w:color w:val="000000"/>
          <w:szCs w:val="22"/>
        </w:rPr>
      </w:pPr>
    </w:p>
    <w:p w14:paraId="5297A159" w14:textId="77777777" w:rsidR="00FF48C2" w:rsidRPr="004A59B1" w:rsidRDefault="00FF48C2" w:rsidP="009C1193">
      <w:pPr>
        <w:pStyle w:val="EndnoteText"/>
        <w:widowControl w:val="0"/>
        <w:tabs>
          <w:tab w:val="clear" w:pos="567"/>
        </w:tabs>
        <w:rPr>
          <w:color w:val="000000"/>
          <w:szCs w:val="22"/>
        </w:rPr>
      </w:pPr>
      <w:r w:rsidRPr="004A59B1">
        <w:rPr>
          <w:color w:val="000000"/>
          <w:szCs w:val="22"/>
          <w:lang w:val="sl-SI"/>
        </w:rPr>
        <w:t>Med obema skupinama z različnima odmerkoma ni bilo razlik v odzivnosti</w:t>
      </w:r>
      <w:r w:rsidRPr="004A59B1">
        <w:rPr>
          <w:color w:val="000000"/>
          <w:szCs w:val="22"/>
        </w:rPr>
        <w:t xml:space="preserve">. </w:t>
      </w:r>
      <w:r w:rsidRPr="004A59B1">
        <w:rPr>
          <w:color w:val="000000"/>
          <w:szCs w:val="22"/>
          <w:lang w:val="sl-SI"/>
        </w:rPr>
        <w:t>Pomembno število bolnikov, ki so imeli v času vmesne analize stabilno bolezen</w:t>
      </w:r>
      <w:r w:rsidRPr="004A59B1">
        <w:rPr>
          <w:color w:val="000000"/>
          <w:szCs w:val="22"/>
        </w:rPr>
        <w:t>, je doseglo pri daljšem zdravljenju delni odziv (mediano obdobje spremljanja je bilo 31 mesecev). Mediani čas do odziva je bil 13 tednov (95</w:t>
      </w:r>
      <w:r w:rsidRPr="004A59B1">
        <w:rPr>
          <w:color w:val="000000"/>
          <w:szCs w:val="22"/>
        </w:rPr>
        <w:noBreakHyphen/>
        <w:t>odstotni interval zaupanja 12–23). Mediani čas do neuspeha zdravljenja pri odzivnih bolnikih je bil 122 tednov (95</w:t>
      </w:r>
      <w:r w:rsidRPr="004A59B1">
        <w:rPr>
          <w:color w:val="000000"/>
          <w:szCs w:val="22"/>
        </w:rPr>
        <w:noBreakHyphen/>
        <w:t>odstotni interval zaupanja 106–147), medtem ko je bil pri celotni populaciji študije 84 tednov (95</w:t>
      </w:r>
      <w:r w:rsidRPr="004A59B1">
        <w:rPr>
          <w:color w:val="000000"/>
          <w:szCs w:val="22"/>
        </w:rPr>
        <w:noBreakHyphen/>
        <w:t>odstotni interval zaupanja 71–109). Mediano celotno preživetje ni bilo doseženo. Kaplan-Meierjeva ocena za preživetje po 36</w:t>
      </w:r>
      <w:r w:rsidRPr="004A59B1">
        <w:rPr>
          <w:color w:val="000000"/>
          <w:szCs w:val="22"/>
        </w:rPr>
        <w:noBreakHyphen/>
        <w:t>mesečnem spremljanju je 68 %.</w:t>
      </w:r>
    </w:p>
    <w:p w14:paraId="5297A15A" w14:textId="77777777" w:rsidR="00FF48C2" w:rsidRPr="004A59B1" w:rsidRDefault="00FF48C2" w:rsidP="009C1193">
      <w:pPr>
        <w:pStyle w:val="EndnoteText"/>
        <w:widowControl w:val="0"/>
        <w:tabs>
          <w:tab w:val="clear" w:pos="567"/>
        </w:tabs>
        <w:rPr>
          <w:color w:val="000000"/>
          <w:szCs w:val="22"/>
        </w:rPr>
      </w:pPr>
    </w:p>
    <w:p w14:paraId="5297A15B" w14:textId="77777777" w:rsidR="00FF48C2" w:rsidRPr="004A59B1" w:rsidRDefault="00FF48C2" w:rsidP="009C1193">
      <w:pPr>
        <w:pStyle w:val="EndnoteText"/>
        <w:widowControl w:val="0"/>
        <w:tabs>
          <w:tab w:val="clear" w:pos="567"/>
        </w:tabs>
        <w:rPr>
          <w:color w:val="000000"/>
          <w:szCs w:val="22"/>
          <w:lang w:val="da-DK"/>
        </w:rPr>
      </w:pPr>
      <w:r w:rsidRPr="004A59B1">
        <w:rPr>
          <w:rFonts w:eastAsia="MS Mincho"/>
          <w:color w:val="000000"/>
          <w:szCs w:val="22"/>
          <w:lang w:eastAsia="ja-JP"/>
        </w:rPr>
        <w:t>V dveh kliničnih študijah (študija B2222 in študija med skupinami S0033) so pri bolnikih, pri katerih je pri manjših odmerkih 400 mg ali 600 mg</w:t>
      </w:r>
      <w:r w:rsidR="00A968A1" w:rsidRPr="004A59B1">
        <w:rPr>
          <w:rFonts w:eastAsia="MS Mincho"/>
          <w:color w:val="000000"/>
          <w:szCs w:val="22"/>
          <w:lang w:eastAsia="ja-JP"/>
        </w:rPr>
        <w:t xml:space="preserve"> na dan</w:t>
      </w:r>
      <w:r w:rsidRPr="004A59B1">
        <w:rPr>
          <w:rFonts w:eastAsia="MS Mincho"/>
          <w:color w:val="000000"/>
          <w:szCs w:val="22"/>
          <w:lang w:eastAsia="ja-JP"/>
        </w:rPr>
        <w:t>, bolezen napredovala, zvečali odmerek zdravila Glivec na 800 mg</w:t>
      </w:r>
      <w:r w:rsidR="00A968A1" w:rsidRPr="004A59B1">
        <w:rPr>
          <w:rFonts w:eastAsia="MS Mincho"/>
          <w:color w:val="000000"/>
          <w:szCs w:val="22"/>
          <w:lang w:eastAsia="ja-JP"/>
        </w:rPr>
        <w:t xml:space="preserve"> na dan</w:t>
      </w:r>
      <w:r w:rsidRPr="004A59B1">
        <w:rPr>
          <w:rFonts w:eastAsia="MS Mincho"/>
          <w:color w:val="000000"/>
          <w:szCs w:val="22"/>
          <w:lang w:eastAsia="ja-JP"/>
        </w:rPr>
        <w:t>.</w:t>
      </w:r>
      <w:r w:rsidR="00A968A1" w:rsidRPr="004A59B1" w:rsidDel="00A968A1">
        <w:rPr>
          <w:rFonts w:eastAsia="MS Mincho"/>
          <w:color w:val="000000"/>
          <w:szCs w:val="22"/>
          <w:lang w:eastAsia="ja-JP"/>
        </w:rPr>
        <w:t xml:space="preserve"> </w:t>
      </w:r>
      <w:r w:rsidR="00A968A1" w:rsidRPr="004A59B1">
        <w:rPr>
          <w:rFonts w:eastAsia="MS Mincho"/>
          <w:color w:val="000000"/>
          <w:szCs w:val="22"/>
          <w:lang w:eastAsia="ja-JP"/>
        </w:rPr>
        <w:t>O</w:t>
      </w:r>
      <w:r w:rsidRPr="004A59B1">
        <w:rPr>
          <w:rFonts w:eastAsia="MS Mincho"/>
          <w:color w:val="000000"/>
          <w:szCs w:val="22"/>
          <w:lang w:eastAsia="ja-JP"/>
        </w:rPr>
        <w:t xml:space="preserve">dmerek so zvečali na 800 mg </w:t>
      </w:r>
      <w:r w:rsidR="00A968A1" w:rsidRPr="004A59B1">
        <w:rPr>
          <w:rFonts w:eastAsia="MS Mincho"/>
          <w:color w:val="000000"/>
          <w:szCs w:val="22"/>
          <w:lang w:eastAsia="ja-JP"/>
        </w:rPr>
        <w:t xml:space="preserve">na dan </w:t>
      </w:r>
      <w:r w:rsidRPr="004A59B1">
        <w:rPr>
          <w:rFonts w:eastAsia="MS Mincho"/>
          <w:color w:val="000000"/>
          <w:szCs w:val="22"/>
          <w:lang w:eastAsia="ja-JP"/>
        </w:rPr>
        <w:t xml:space="preserve">pri vsega skupaj 103 bolnikih; po zvečanju odmerka je 6 bolnikov doseglo delni odziv, 21 pa stabilizacijo svoje bolezni, kar je pomenilo celotno klinično koristnost 26 %. </w:t>
      </w:r>
      <w:r w:rsidRPr="004A59B1">
        <w:rPr>
          <w:rFonts w:eastAsia="MS Mincho"/>
          <w:color w:val="000000"/>
          <w:szCs w:val="22"/>
          <w:lang w:val="da-DK" w:eastAsia="ja-JP"/>
        </w:rPr>
        <w:t>Razpoložljivi varnostni podatki ne kažejo, da bi zvečanje odmerka na 800 mg na dan pri bolnikih, pri katerih je pri manjših odmerkih 400 mg ali 600 mg na dan bolezen napredovala, vplivalo na varnostni profil zdravila Glivec.</w:t>
      </w:r>
    </w:p>
    <w:p w14:paraId="5297A15C" w14:textId="77777777" w:rsidR="00FF48C2" w:rsidRPr="004A59B1" w:rsidRDefault="00FF48C2" w:rsidP="009C1193">
      <w:pPr>
        <w:pStyle w:val="EndnoteText"/>
        <w:widowControl w:val="0"/>
        <w:tabs>
          <w:tab w:val="clear" w:pos="567"/>
        </w:tabs>
        <w:rPr>
          <w:color w:val="000000"/>
          <w:szCs w:val="22"/>
        </w:rPr>
      </w:pPr>
    </w:p>
    <w:p w14:paraId="5297A15D" w14:textId="77777777" w:rsidR="00FF48C2" w:rsidRPr="004A59B1" w:rsidRDefault="00FF48C2" w:rsidP="009C1193">
      <w:pPr>
        <w:pStyle w:val="Nottoc-headings"/>
        <w:widowControl w:val="0"/>
        <w:spacing w:before="0" w:after="0"/>
        <w:rPr>
          <w:rFonts w:ascii="Times New Roman" w:eastAsia="MS Mincho" w:hAnsi="Times New Roman"/>
          <w:b w:val="0"/>
          <w:color w:val="000000"/>
          <w:sz w:val="22"/>
          <w:szCs w:val="22"/>
          <w:u w:val="single"/>
          <w:lang w:eastAsia="ja-JP"/>
        </w:rPr>
      </w:pPr>
      <w:r w:rsidRPr="004A59B1">
        <w:rPr>
          <w:rFonts w:ascii="Times New Roman" w:eastAsia="MS Mincho" w:hAnsi="Times New Roman"/>
          <w:b w:val="0"/>
          <w:color w:val="000000"/>
          <w:sz w:val="22"/>
          <w:szCs w:val="22"/>
          <w:u w:val="single"/>
          <w:lang w:eastAsia="ja-JP"/>
        </w:rPr>
        <w:t>Klinične študije z adjuvantnim zdravljenjem GIST</w:t>
      </w:r>
    </w:p>
    <w:p w14:paraId="5297A15E" w14:textId="77777777" w:rsidR="00FF48C2" w:rsidRPr="004A59B1" w:rsidRDefault="00FF48C2" w:rsidP="009C1193">
      <w:pPr>
        <w:pStyle w:val="Text"/>
        <w:widowControl w:val="0"/>
        <w:spacing w:before="0"/>
        <w:jc w:val="left"/>
        <w:rPr>
          <w:rFonts w:eastAsia="MS Mincho"/>
          <w:color w:val="000000"/>
          <w:sz w:val="22"/>
          <w:szCs w:val="22"/>
          <w:lang w:eastAsia="ja-JP"/>
        </w:rPr>
      </w:pPr>
      <w:r w:rsidRPr="004A59B1">
        <w:rPr>
          <w:rFonts w:eastAsia="MS Mincho"/>
          <w:color w:val="000000"/>
          <w:sz w:val="22"/>
          <w:szCs w:val="22"/>
          <w:lang w:eastAsia="ja-JP"/>
        </w:rPr>
        <w:t>V okviru adjuvantnega zdravljenja so zdravilo Glivec raziskovali v multicentrični, dvojno slepi, dolgoročni, s placebom kontrolirani študiji faze III (Z9001), ki je vključevala 773 bolnikov. Starost bolnikov je segala od 18 do 91 let. Vključili so bolnike, ki so imeli histološko diagnozo primarnega GIST z imunokemično določenim izražanjem proteina Kit in velikost tumorja ≥ 3 cm v največjem premeru ter makroskopsko popolnoma odstranjen primarni GIST v 14</w:t>
      </w:r>
      <w:r w:rsidRPr="004A59B1">
        <w:rPr>
          <w:rFonts w:eastAsia="MS Mincho"/>
          <w:color w:val="000000"/>
          <w:sz w:val="22"/>
          <w:szCs w:val="22"/>
          <w:lang w:eastAsia="ja-JP"/>
        </w:rPr>
        <w:noBreakHyphen/>
        <w:t>70 dneh pred vključitvijo v študijo. Po resekciji primarnega GIST so bolnike randomizirali v enega od dveh krakov: z zdravilom Glivec v odmerku 400 mg/dan ali s skladnim placebom za eno leto.</w:t>
      </w:r>
    </w:p>
    <w:p w14:paraId="5297A15F" w14:textId="77777777" w:rsidR="00FF48C2" w:rsidRPr="004A59B1" w:rsidRDefault="00FF48C2" w:rsidP="009C1193">
      <w:pPr>
        <w:pStyle w:val="Text"/>
        <w:widowControl w:val="0"/>
        <w:spacing w:before="0"/>
        <w:jc w:val="left"/>
        <w:rPr>
          <w:rFonts w:eastAsia="MS Mincho"/>
          <w:color w:val="000000"/>
          <w:sz w:val="22"/>
          <w:szCs w:val="22"/>
          <w:lang w:eastAsia="ja-JP"/>
        </w:rPr>
      </w:pPr>
    </w:p>
    <w:p w14:paraId="5297A160" w14:textId="77777777" w:rsidR="00FF48C2" w:rsidRPr="004A59B1" w:rsidRDefault="00FF48C2" w:rsidP="009C1193">
      <w:pPr>
        <w:pStyle w:val="Text"/>
        <w:widowControl w:val="0"/>
        <w:spacing w:before="0"/>
        <w:jc w:val="left"/>
        <w:rPr>
          <w:rFonts w:eastAsia="MS Mincho"/>
          <w:color w:val="000000"/>
          <w:sz w:val="22"/>
          <w:szCs w:val="22"/>
          <w:lang w:eastAsia="ja-JP"/>
        </w:rPr>
      </w:pPr>
      <w:r w:rsidRPr="004A59B1">
        <w:rPr>
          <w:rFonts w:eastAsia="MS Mincho"/>
          <w:color w:val="000000"/>
          <w:sz w:val="22"/>
          <w:szCs w:val="22"/>
          <w:lang w:eastAsia="ja-JP"/>
        </w:rPr>
        <w:t>Primarni cilj opazovanja te študije je bilo preživetje brez ponovitve bolezni (RFS), ki je bilo opredeljeno kot čas od dneva randomizacije do dneva ponovitve bolezni ali smrti iz kateregakoli vzroka.</w:t>
      </w:r>
    </w:p>
    <w:p w14:paraId="5297A161" w14:textId="77777777" w:rsidR="00FF48C2" w:rsidRPr="004A59B1" w:rsidRDefault="00FF48C2" w:rsidP="009C1193">
      <w:pPr>
        <w:pStyle w:val="Text"/>
        <w:widowControl w:val="0"/>
        <w:spacing w:before="0"/>
        <w:jc w:val="left"/>
        <w:rPr>
          <w:rFonts w:eastAsia="MS Mincho"/>
          <w:color w:val="000000"/>
          <w:sz w:val="22"/>
          <w:szCs w:val="22"/>
          <w:lang w:eastAsia="ja-JP"/>
        </w:rPr>
      </w:pPr>
    </w:p>
    <w:p w14:paraId="5297A162" w14:textId="77777777" w:rsidR="00FF48C2" w:rsidRPr="004A59B1" w:rsidRDefault="00FF48C2" w:rsidP="009C1193">
      <w:pPr>
        <w:pStyle w:val="Text"/>
        <w:widowControl w:val="0"/>
        <w:spacing w:before="0"/>
        <w:jc w:val="left"/>
        <w:rPr>
          <w:rFonts w:eastAsia="MS Mincho"/>
          <w:color w:val="000000"/>
          <w:sz w:val="22"/>
          <w:szCs w:val="22"/>
          <w:lang w:eastAsia="ja-JP"/>
        </w:rPr>
      </w:pPr>
      <w:r w:rsidRPr="004A59B1">
        <w:rPr>
          <w:rFonts w:eastAsia="MS Mincho"/>
          <w:color w:val="000000"/>
          <w:sz w:val="22"/>
          <w:szCs w:val="22"/>
          <w:lang w:eastAsia="ja-JP"/>
        </w:rPr>
        <w:t>Zdravilo Glivec je statistično značilno podaljšalo preživetje brez ponovitve bolezni, saj je bilo v skupini z zdravilom Glivec 75% bolnikov brez ponovitve bolezni 38 mesecev v primerjavi z 20 meseci v skupini s placebom (95% IZ: [30 – neocenljivo] oziroma [14 – neocenljivo]); (razmerje tveganj = 0,398 [0,259</w:t>
      </w:r>
      <w:r w:rsidRPr="004A59B1">
        <w:rPr>
          <w:rFonts w:eastAsia="MS Mincho"/>
          <w:color w:val="000000"/>
          <w:sz w:val="22"/>
          <w:szCs w:val="22"/>
          <w:lang w:eastAsia="ja-JP"/>
        </w:rPr>
        <w:noBreakHyphen/>
        <w:t>0,610], p&lt;0,0001). Po enem letu je bilo preživetje brez ponovitve bolezni statistično značilno boljše v skupini z zdravilom Glivec (97,7%) v primerjavi s skupino s placebom (82,3%), (p&lt;0,0001). Tveganje za ponovitev bolezni je bilo torej zmanjšano za približno 89% v primerjavi s placebom (razmerje tveganj = 0,113 [0,049</w:t>
      </w:r>
      <w:r w:rsidRPr="004A59B1">
        <w:rPr>
          <w:rFonts w:eastAsia="MS Mincho"/>
          <w:color w:val="000000"/>
          <w:sz w:val="22"/>
          <w:szCs w:val="22"/>
          <w:lang w:eastAsia="ja-JP"/>
        </w:rPr>
        <w:noBreakHyphen/>
        <w:t>0,264]).</w:t>
      </w:r>
    </w:p>
    <w:p w14:paraId="5297A163" w14:textId="77777777" w:rsidR="00FF48C2" w:rsidRPr="008F282C" w:rsidRDefault="00FF48C2" w:rsidP="009C1193">
      <w:pPr>
        <w:pStyle w:val="Text"/>
        <w:widowControl w:val="0"/>
        <w:spacing w:before="0"/>
        <w:jc w:val="left"/>
        <w:rPr>
          <w:rFonts w:eastAsia="MS Mincho"/>
          <w:color w:val="000000"/>
          <w:sz w:val="22"/>
          <w:szCs w:val="22"/>
          <w:lang w:eastAsia="ja-JP"/>
        </w:rPr>
      </w:pPr>
    </w:p>
    <w:p w14:paraId="5297A164" w14:textId="77777777" w:rsidR="00FF48C2" w:rsidRPr="004A59B1" w:rsidRDefault="00FF48C2" w:rsidP="009C1193">
      <w:pPr>
        <w:pStyle w:val="Text"/>
        <w:widowControl w:val="0"/>
        <w:spacing w:before="0"/>
        <w:jc w:val="left"/>
        <w:rPr>
          <w:color w:val="000000"/>
        </w:rPr>
      </w:pPr>
      <w:r w:rsidRPr="004A59B1">
        <w:rPr>
          <w:rFonts w:eastAsia="MS Mincho"/>
          <w:color w:val="000000"/>
          <w:sz w:val="22"/>
          <w:szCs w:val="22"/>
          <w:lang w:eastAsia="ja-JP"/>
        </w:rPr>
        <w:t>Tveganje za ponovitev bolezni pri bolnikih po operaciji primarnega GIST so ocenjevali retrospektivno glede na naslednje prognostične dejavnike: velikost tumorja, mitotski indeks in mesto tumorja. Podatki o mitotskem indeksu so bili dostopni za 556 od 713 bolnikov, ki so jih nameravali zdraviti v študiji (populacija ITT). Rezultati analize podskupin bolnikov, razvrščenih glede na klasifikaciji tveganj Ameriškega državnega inštituta za zdravje (</w:t>
      </w:r>
      <w:r w:rsidRPr="00304E94">
        <w:rPr>
          <w:rFonts w:eastAsia="MS Mincho"/>
          <w:i/>
          <w:color w:val="000000"/>
          <w:sz w:val="22"/>
          <w:szCs w:val="22"/>
          <w:lang w:eastAsia="ja-JP"/>
        </w:rPr>
        <w:t>United States National Institutes of Health</w:t>
      </w:r>
      <w:r w:rsidRPr="004A59B1">
        <w:rPr>
          <w:rFonts w:eastAsia="MS Mincho"/>
          <w:color w:val="000000"/>
          <w:sz w:val="22"/>
          <w:szCs w:val="22"/>
          <w:lang w:eastAsia="ja-JP"/>
        </w:rPr>
        <w:t xml:space="preserve"> - NIH) in Inštituta za patologijo ameriških kopenskih sil (</w:t>
      </w:r>
      <w:r w:rsidR="00681414" w:rsidRPr="004A59B1">
        <w:rPr>
          <w:rFonts w:eastAsia="MS Mincho"/>
          <w:color w:val="000000"/>
          <w:sz w:val="22"/>
          <w:szCs w:val="22"/>
          <w:lang w:eastAsia="ja-JP"/>
        </w:rPr>
        <w:t xml:space="preserve">AFIP - </w:t>
      </w:r>
      <w:r w:rsidRPr="00304E94">
        <w:rPr>
          <w:rFonts w:eastAsia="MS Mincho"/>
          <w:i/>
          <w:color w:val="000000"/>
          <w:sz w:val="22"/>
          <w:szCs w:val="22"/>
          <w:lang w:eastAsia="ja-JP"/>
        </w:rPr>
        <w:t>Armed Forces Institute of Pathology</w:t>
      </w:r>
      <w:r w:rsidRPr="004A59B1">
        <w:rPr>
          <w:rFonts w:eastAsia="MS Mincho"/>
          <w:color w:val="000000"/>
          <w:sz w:val="22"/>
          <w:szCs w:val="22"/>
          <w:lang w:eastAsia="ja-JP"/>
        </w:rPr>
        <w:t>), so prikazani v preglednici </w:t>
      </w:r>
      <w:r w:rsidR="00A968A1" w:rsidRPr="004A59B1">
        <w:rPr>
          <w:rFonts w:eastAsia="MS Mincho"/>
          <w:color w:val="000000"/>
          <w:sz w:val="22"/>
          <w:szCs w:val="22"/>
          <w:lang w:eastAsia="ja-JP"/>
        </w:rPr>
        <w:t>7</w:t>
      </w:r>
      <w:r w:rsidRPr="004A59B1">
        <w:rPr>
          <w:rFonts w:eastAsia="MS Mincho"/>
          <w:color w:val="000000"/>
          <w:sz w:val="22"/>
          <w:szCs w:val="22"/>
          <w:lang w:eastAsia="ja-JP"/>
        </w:rPr>
        <w:t xml:space="preserve">. V skupinah bolnikov z majhnim oziroma z zelo majhnim tveganjem niso </w:t>
      </w:r>
      <w:r w:rsidRPr="004A59B1">
        <w:rPr>
          <w:rFonts w:eastAsia="MS Mincho"/>
          <w:color w:val="000000"/>
          <w:sz w:val="22"/>
          <w:szCs w:val="22"/>
          <w:lang w:eastAsia="ja-JP"/>
        </w:rPr>
        <w:lastRenderedPageBreak/>
        <w:t>opažali nobene koristi zdravljenja. Prav tako niso opažali, da bi zdravljenje izboljšalo celotno preživetje.</w:t>
      </w:r>
    </w:p>
    <w:p w14:paraId="5297A165" w14:textId="77777777" w:rsidR="00FF48C2" w:rsidRPr="008F282C" w:rsidRDefault="00FF48C2" w:rsidP="009C1193">
      <w:pPr>
        <w:pStyle w:val="Text"/>
        <w:widowControl w:val="0"/>
        <w:spacing w:before="0"/>
        <w:jc w:val="left"/>
        <w:rPr>
          <w:rFonts w:eastAsia="MS Mincho"/>
          <w:color w:val="000000"/>
          <w:sz w:val="22"/>
          <w:szCs w:val="22"/>
          <w:lang w:eastAsia="ja-JP"/>
        </w:rPr>
      </w:pPr>
    </w:p>
    <w:p w14:paraId="5297A166" w14:textId="77777777" w:rsidR="00FF48C2" w:rsidRPr="004A59B1" w:rsidRDefault="00FF48C2" w:rsidP="000A6242">
      <w:pPr>
        <w:pStyle w:val="Heading6"/>
        <w:keepLines/>
        <w:widowControl w:val="0"/>
        <w:tabs>
          <w:tab w:val="clear" w:pos="567"/>
          <w:tab w:val="clear" w:pos="4536"/>
          <w:tab w:val="left" w:pos="1134"/>
        </w:tabs>
        <w:spacing w:line="240" w:lineRule="auto"/>
        <w:ind w:left="1695" w:hanging="1695"/>
        <w:rPr>
          <w:rFonts w:eastAsia="MS Mincho"/>
          <w:b/>
          <w:i w:val="0"/>
          <w:color w:val="000000"/>
          <w:szCs w:val="22"/>
          <w:lang w:val="en-US" w:eastAsia="ja-JP"/>
        </w:rPr>
      </w:pPr>
      <w:r w:rsidRPr="004A59B1">
        <w:rPr>
          <w:rFonts w:eastAsia="MS Mincho"/>
          <w:b/>
          <w:i w:val="0"/>
          <w:color w:val="000000"/>
          <w:szCs w:val="22"/>
          <w:lang w:val="en-US" w:eastAsia="ja-JP"/>
        </w:rPr>
        <w:t>Preglednica </w:t>
      </w:r>
      <w:r w:rsidR="00A968A1" w:rsidRPr="004A59B1">
        <w:rPr>
          <w:rFonts w:eastAsia="MS Mincho"/>
          <w:b/>
          <w:i w:val="0"/>
          <w:color w:val="000000"/>
          <w:szCs w:val="22"/>
          <w:lang w:val="en-US" w:eastAsia="ja-JP"/>
        </w:rPr>
        <w:t>7</w:t>
      </w:r>
      <w:r w:rsidRPr="004A59B1">
        <w:rPr>
          <w:rFonts w:eastAsia="MS Mincho"/>
          <w:b/>
          <w:i w:val="0"/>
          <w:color w:val="000000"/>
          <w:szCs w:val="22"/>
          <w:lang w:val="en-US" w:eastAsia="ja-JP"/>
        </w:rPr>
        <w:tab/>
        <w:t>Povzetek študije Z9001: analiza preživetja brez ponovitve bolezni po klasifikacijah tveganj NIH in AFIP</w:t>
      </w:r>
    </w:p>
    <w:p w14:paraId="5297A167" w14:textId="77777777" w:rsidR="00FF48C2" w:rsidRPr="004A59B1" w:rsidRDefault="00FF48C2" w:rsidP="000A6242">
      <w:pPr>
        <w:keepNext/>
        <w:keepLines/>
        <w:widowControl w:val="0"/>
        <w:spacing w:line="240" w:lineRule="auto"/>
        <w:rPr>
          <w:rFonts w:eastAsia="MS Mincho"/>
          <w:color w:val="000000"/>
          <w:lang w:val="en-US" w:eastAsia="ja-JP"/>
        </w:rPr>
      </w:pP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4"/>
        <w:gridCol w:w="1316"/>
        <w:gridCol w:w="961"/>
        <w:gridCol w:w="1717"/>
        <w:gridCol w:w="1357"/>
        <w:gridCol w:w="1440"/>
        <w:gridCol w:w="1360"/>
      </w:tblGrid>
      <w:tr w:rsidR="00FF48C2" w:rsidRPr="004A59B1" w14:paraId="5297A16F" w14:textId="77777777" w:rsidTr="000A6242">
        <w:trPr>
          <w:cantSplit/>
        </w:trPr>
        <w:tc>
          <w:tcPr>
            <w:tcW w:w="934" w:type="dxa"/>
            <w:vMerge w:val="restart"/>
          </w:tcPr>
          <w:p w14:paraId="5297A168" w14:textId="77777777" w:rsidR="00FF48C2" w:rsidRPr="004A59B1" w:rsidRDefault="00FF48C2" w:rsidP="000A6242">
            <w:pPr>
              <w:pStyle w:val="Table"/>
              <w:widowControl w:val="0"/>
              <w:spacing w:before="0" w:after="0"/>
              <w:jc w:val="center"/>
              <w:rPr>
                <w:rFonts w:ascii="Times New Roman" w:hAnsi="Times New Roman"/>
                <w:b/>
                <w:color w:val="000000"/>
                <w:sz w:val="22"/>
                <w:szCs w:val="22"/>
              </w:rPr>
            </w:pPr>
            <w:r w:rsidRPr="004A59B1">
              <w:rPr>
                <w:rFonts w:ascii="Times New Roman" w:hAnsi="Times New Roman"/>
                <w:b/>
                <w:color w:val="000000"/>
                <w:sz w:val="22"/>
                <w:szCs w:val="22"/>
              </w:rPr>
              <w:t>klasifi- kacija tveganj</w:t>
            </w:r>
          </w:p>
        </w:tc>
        <w:tc>
          <w:tcPr>
            <w:tcW w:w="1316" w:type="dxa"/>
            <w:vMerge w:val="restart"/>
            <w:tcBorders>
              <w:right w:val="single" w:sz="4" w:space="0" w:color="auto"/>
            </w:tcBorders>
          </w:tcPr>
          <w:p w14:paraId="5297A169" w14:textId="77777777" w:rsidR="00FF48C2" w:rsidRPr="004A59B1" w:rsidRDefault="00FF48C2" w:rsidP="000A6242">
            <w:pPr>
              <w:pStyle w:val="Table"/>
              <w:widowControl w:val="0"/>
              <w:spacing w:before="0" w:after="0"/>
              <w:rPr>
                <w:rFonts w:ascii="Times New Roman" w:hAnsi="Times New Roman"/>
                <w:b/>
                <w:color w:val="000000"/>
                <w:sz w:val="22"/>
                <w:szCs w:val="22"/>
              </w:rPr>
            </w:pPr>
            <w:r w:rsidRPr="004A59B1">
              <w:rPr>
                <w:rFonts w:ascii="Times New Roman" w:hAnsi="Times New Roman"/>
                <w:b/>
                <w:color w:val="000000"/>
                <w:sz w:val="22"/>
                <w:szCs w:val="22"/>
              </w:rPr>
              <w:t>velikost tveganja</w:t>
            </w:r>
          </w:p>
          <w:p w14:paraId="5297A16A" w14:textId="77777777" w:rsidR="00FF48C2" w:rsidRPr="004A59B1" w:rsidRDefault="00FF48C2" w:rsidP="000A6242">
            <w:pPr>
              <w:pStyle w:val="Table"/>
              <w:widowControl w:val="0"/>
              <w:spacing w:before="0" w:after="0"/>
              <w:rPr>
                <w:rFonts w:ascii="Times New Roman" w:hAnsi="Times New Roman"/>
                <w:b/>
                <w:color w:val="000000"/>
                <w:sz w:val="22"/>
                <w:szCs w:val="22"/>
              </w:rPr>
            </w:pPr>
          </w:p>
        </w:tc>
        <w:tc>
          <w:tcPr>
            <w:tcW w:w="961" w:type="dxa"/>
            <w:vMerge w:val="restart"/>
            <w:tcBorders>
              <w:left w:val="single" w:sz="4" w:space="0" w:color="auto"/>
              <w:right w:val="single" w:sz="4" w:space="0" w:color="auto"/>
            </w:tcBorders>
          </w:tcPr>
          <w:p w14:paraId="5297A16B" w14:textId="77777777" w:rsidR="00FF48C2" w:rsidRPr="004A59B1" w:rsidRDefault="00FF48C2" w:rsidP="000A6242">
            <w:pPr>
              <w:pStyle w:val="Table"/>
              <w:widowControl w:val="0"/>
              <w:spacing w:before="0" w:after="0"/>
              <w:jc w:val="center"/>
              <w:rPr>
                <w:rFonts w:ascii="Times New Roman" w:hAnsi="Times New Roman"/>
                <w:b/>
                <w:color w:val="000000"/>
                <w:sz w:val="22"/>
                <w:szCs w:val="22"/>
              </w:rPr>
            </w:pPr>
            <w:r w:rsidRPr="004A59B1">
              <w:rPr>
                <w:rFonts w:ascii="Times New Roman" w:hAnsi="Times New Roman"/>
                <w:b/>
                <w:color w:val="000000"/>
                <w:sz w:val="22"/>
                <w:szCs w:val="22"/>
              </w:rPr>
              <w:t>% bolni-kov</w:t>
            </w:r>
          </w:p>
        </w:tc>
        <w:tc>
          <w:tcPr>
            <w:tcW w:w="1717" w:type="dxa"/>
            <w:vMerge w:val="restart"/>
            <w:tcBorders>
              <w:left w:val="single" w:sz="4" w:space="0" w:color="auto"/>
              <w:right w:val="single" w:sz="4" w:space="0" w:color="auto"/>
            </w:tcBorders>
          </w:tcPr>
          <w:p w14:paraId="5297A16C" w14:textId="77777777" w:rsidR="00FF48C2" w:rsidRPr="004A59B1" w:rsidRDefault="00FF48C2" w:rsidP="000A6242">
            <w:pPr>
              <w:pStyle w:val="Table"/>
              <w:widowControl w:val="0"/>
              <w:spacing w:before="0" w:after="0"/>
              <w:jc w:val="center"/>
              <w:rPr>
                <w:rFonts w:ascii="Times New Roman" w:hAnsi="Times New Roman"/>
                <w:b/>
                <w:color w:val="000000"/>
                <w:sz w:val="22"/>
                <w:szCs w:val="22"/>
              </w:rPr>
            </w:pPr>
            <w:r w:rsidRPr="004A59B1">
              <w:rPr>
                <w:rFonts w:ascii="Times New Roman" w:hAnsi="Times New Roman"/>
                <w:b/>
                <w:color w:val="000000"/>
                <w:sz w:val="22"/>
                <w:szCs w:val="22"/>
              </w:rPr>
              <w:t>št. dogodkov/</w:t>
            </w:r>
            <w:r w:rsidRPr="004A59B1">
              <w:rPr>
                <w:rFonts w:ascii="Times New Roman" w:hAnsi="Times New Roman"/>
                <w:b/>
                <w:color w:val="000000"/>
                <w:sz w:val="22"/>
                <w:szCs w:val="22"/>
              </w:rPr>
              <w:br/>
              <w:t>št. bolnikov</w:t>
            </w:r>
          </w:p>
        </w:tc>
        <w:tc>
          <w:tcPr>
            <w:tcW w:w="1357" w:type="dxa"/>
            <w:vMerge w:val="restart"/>
            <w:tcBorders>
              <w:left w:val="single" w:sz="4" w:space="0" w:color="auto"/>
              <w:right w:val="single" w:sz="4" w:space="0" w:color="auto"/>
            </w:tcBorders>
          </w:tcPr>
          <w:p w14:paraId="5297A16D" w14:textId="77777777" w:rsidR="00FF48C2" w:rsidRPr="004A59B1" w:rsidRDefault="00FF48C2" w:rsidP="000A6242">
            <w:pPr>
              <w:pStyle w:val="Table"/>
              <w:widowControl w:val="0"/>
              <w:spacing w:before="0" w:after="0"/>
              <w:jc w:val="center"/>
              <w:rPr>
                <w:rFonts w:ascii="Times New Roman" w:hAnsi="Times New Roman"/>
                <w:b/>
                <w:color w:val="000000"/>
                <w:sz w:val="22"/>
                <w:szCs w:val="22"/>
              </w:rPr>
            </w:pPr>
            <w:r w:rsidRPr="004A59B1">
              <w:rPr>
                <w:rFonts w:ascii="Times New Roman" w:hAnsi="Times New Roman"/>
                <w:b/>
                <w:color w:val="000000"/>
                <w:sz w:val="22"/>
                <w:szCs w:val="22"/>
              </w:rPr>
              <w:t>skupno razmerje tveganj (95 % IZ)*</w:t>
            </w:r>
          </w:p>
        </w:tc>
        <w:tc>
          <w:tcPr>
            <w:tcW w:w="2800" w:type="dxa"/>
            <w:gridSpan w:val="2"/>
            <w:tcBorders>
              <w:left w:val="single" w:sz="4" w:space="0" w:color="auto"/>
            </w:tcBorders>
          </w:tcPr>
          <w:p w14:paraId="5297A16E" w14:textId="77777777" w:rsidR="00FF48C2" w:rsidRPr="004A59B1" w:rsidRDefault="00FF48C2" w:rsidP="000A6242">
            <w:pPr>
              <w:pStyle w:val="Table"/>
              <w:widowControl w:val="0"/>
              <w:spacing w:before="0" w:after="0"/>
              <w:jc w:val="center"/>
              <w:rPr>
                <w:rFonts w:ascii="Times New Roman" w:hAnsi="Times New Roman"/>
                <w:b/>
                <w:color w:val="000000"/>
                <w:sz w:val="22"/>
                <w:szCs w:val="22"/>
              </w:rPr>
            </w:pPr>
            <w:r w:rsidRPr="004A59B1">
              <w:rPr>
                <w:rFonts w:ascii="Times New Roman" w:hAnsi="Times New Roman"/>
                <w:b/>
                <w:color w:val="000000"/>
                <w:sz w:val="22"/>
                <w:szCs w:val="22"/>
              </w:rPr>
              <w:t>delež bolnikov s preživetjem brez ponovitve bolezni (%)</w:t>
            </w:r>
          </w:p>
        </w:tc>
      </w:tr>
      <w:tr w:rsidR="00FF48C2" w:rsidRPr="004A59B1" w14:paraId="5297A177" w14:textId="77777777" w:rsidTr="000A6242">
        <w:trPr>
          <w:cantSplit/>
        </w:trPr>
        <w:tc>
          <w:tcPr>
            <w:tcW w:w="934" w:type="dxa"/>
            <w:vMerge/>
          </w:tcPr>
          <w:p w14:paraId="5297A170" w14:textId="77777777" w:rsidR="00FF48C2" w:rsidRPr="004A59B1" w:rsidRDefault="00FF48C2" w:rsidP="000A6242">
            <w:pPr>
              <w:pStyle w:val="Table"/>
              <w:widowControl w:val="0"/>
              <w:spacing w:before="0" w:after="0"/>
              <w:rPr>
                <w:rFonts w:ascii="Times New Roman" w:hAnsi="Times New Roman"/>
                <w:b/>
                <w:color w:val="000000"/>
                <w:sz w:val="22"/>
                <w:szCs w:val="22"/>
              </w:rPr>
            </w:pPr>
          </w:p>
        </w:tc>
        <w:tc>
          <w:tcPr>
            <w:tcW w:w="1316" w:type="dxa"/>
            <w:vMerge/>
            <w:tcBorders>
              <w:right w:val="single" w:sz="4" w:space="0" w:color="auto"/>
            </w:tcBorders>
          </w:tcPr>
          <w:p w14:paraId="5297A171" w14:textId="77777777" w:rsidR="00FF48C2" w:rsidRPr="004A59B1" w:rsidRDefault="00FF48C2" w:rsidP="000A6242">
            <w:pPr>
              <w:pStyle w:val="Table"/>
              <w:widowControl w:val="0"/>
              <w:spacing w:before="0" w:after="0"/>
              <w:rPr>
                <w:rFonts w:ascii="Times New Roman" w:hAnsi="Times New Roman"/>
                <w:b/>
                <w:color w:val="000000"/>
                <w:sz w:val="22"/>
                <w:szCs w:val="22"/>
              </w:rPr>
            </w:pPr>
          </w:p>
        </w:tc>
        <w:tc>
          <w:tcPr>
            <w:tcW w:w="961" w:type="dxa"/>
            <w:vMerge/>
            <w:tcBorders>
              <w:left w:val="single" w:sz="4" w:space="0" w:color="auto"/>
              <w:right w:val="single" w:sz="4" w:space="0" w:color="auto"/>
            </w:tcBorders>
          </w:tcPr>
          <w:p w14:paraId="5297A172" w14:textId="77777777" w:rsidR="00FF48C2" w:rsidRPr="004A59B1" w:rsidRDefault="00FF48C2" w:rsidP="000A6242">
            <w:pPr>
              <w:pStyle w:val="Table"/>
              <w:widowControl w:val="0"/>
              <w:spacing w:before="0" w:after="0"/>
              <w:jc w:val="center"/>
              <w:rPr>
                <w:rFonts w:ascii="Times New Roman" w:hAnsi="Times New Roman"/>
                <w:b/>
                <w:color w:val="000000"/>
                <w:sz w:val="22"/>
                <w:szCs w:val="22"/>
              </w:rPr>
            </w:pPr>
          </w:p>
        </w:tc>
        <w:tc>
          <w:tcPr>
            <w:tcW w:w="1717" w:type="dxa"/>
            <w:vMerge/>
            <w:tcBorders>
              <w:left w:val="single" w:sz="4" w:space="0" w:color="auto"/>
              <w:right w:val="single" w:sz="4" w:space="0" w:color="auto"/>
            </w:tcBorders>
          </w:tcPr>
          <w:p w14:paraId="5297A173" w14:textId="77777777" w:rsidR="00FF48C2" w:rsidRPr="004A59B1" w:rsidRDefault="00FF48C2" w:rsidP="000A6242">
            <w:pPr>
              <w:pStyle w:val="Table"/>
              <w:widowControl w:val="0"/>
              <w:spacing w:before="0" w:after="0"/>
              <w:jc w:val="center"/>
              <w:rPr>
                <w:rFonts w:ascii="Times New Roman" w:hAnsi="Times New Roman"/>
                <w:b/>
                <w:color w:val="000000"/>
                <w:sz w:val="22"/>
                <w:szCs w:val="22"/>
              </w:rPr>
            </w:pPr>
          </w:p>
        </w:tc>
        <w:tc>
          <w:tcPr>
            <w:tcW w:w="1357" w:type="dxa"/>
            <w:vMerge/>
            <w:tcBorders>
              <w:left w:val="single" w:sz="4" w:space="0" w:color="auto"/>
              <w:right w:val="single" w:sz="4" w:space="0" w:color="auto"/>
            </w:tcBorders>
          </w:tcPr>
          <w:p w14:paraId="5297A174" w14:textId="77777777" w:rsidR="00FF48C2" w:rsidRPr="004A59B1" w:rsidRDefault="00FF48C2" w:rsidP="000A6242">
            <w:pPr>
              <w:pStyle w:val="Table"/>
              <w:widowControl w:val="0"/>
              <w:spacing w:before="0" w:after="0"/>
              <w:rPr>
                <w:rFonts w:ascii="Times New Roman" w:hAnsi="Times New Roman"/>
                <w:b/>
                <w:color w:val="000000"/>
                <w:sz w:val="22"/>
                <w:szCs w:val="22"/>
              </w:rPr>
            </w:pPr>
          </w:p>
        </w:tc>
        <w:tc>
          <w:tcPr>
            <w:tcW w:w="1440" w:type="dxa"/>
            <w:tcBorders>
              <w:left w:val="single" w:sz="4" w:space="0" w:color="auto"/>
              <w:right w:val="single" w:sz="4" w:space="0" w:color="auto"/>
            </w:tcBorders>
          </w:tcPr>
          <w:p w14:paraId="5297A175" w14:textId="77777777" w:rsidR="00FF48C2" w:rsidRPr="004A59B1" w:rsidRDefault="00FF48C2" w:rsidP="000A6242">
            <w:pPr>
              <w:pStyle w:val="Table"/>
              <w:widowControl w:val="0"/>
              <w:spacing w:before="0" w:after="0"/>
              <w:jc w:val="center"/>
              <w:rPr>
                <w:rFonts w:ascii="Times New Roman" w:hAnsi="Times New Roman"/>
                <w:b/>
                <w:color w:val="000000"/>
                <w:sz w:val="22"/>
                <w:szCs w:val="22"/>
              </w:rPr>
            </w:pPr>
            <w:r w:rsidRPr="004A59B1">
              <w:rPr>
                <w:rFonts w:ascii="Times New Roman" w:hAnsi="Times New Roman"/>
                <w:b/>
                <w:color w:val="000000"/>
                <w:sz w:val="22"/>
                <w:szCs w:val="22"/>
              </w:rPr>
              <w:t>12 mesecev</w:t>
            </w:r>
          </w:p>
        </w:tc>
        <w:tc>
          <w:tcPr>
            <w:tcW w:w="1360" w:type="dxa"/>
            <w:tcBorders>
              <w:left w:val="single" w:sz="4" w:space="0" w:color="auto"/>
            </w:tcBorders>
          </w:tcPr>
          <w:p w14:paraId="5297A176" w14:textId="77777777" w:rsidR="00FF48C2" w:rsidRPr="004A59B1" w:rsidRDefault="00FF48C2" w:rsidP="000A6242">
            <w:pPr>
              <w:pStyle w:val="Table"/>
              <w:widowControl w:val="0"/>
              <w:spacing w:before="0" w:after="0"/>
              <w:jc w:val="center"/>
              <w:rPr>
                <w:rFonts w:ascii="Times New Roman" w:hAnsi="Times New Roman"/>
                <w:b/>
                <w:color w:val="000000"/>
                <w:sz w:val="22"/>
                <w:szCs w:val="22"/>
              </w:rPr>
            </w:pPr>
            <w:r w:rsidRPr="004A59B1">
              <w:rPr>
                <w:rFonts w:ascii="Times New Roman" w:hAnsi="Times New Roman"/>
                <w:b/>
                <w:color w:val="000000"/>
                <w:sz w:val="22"/>
                <w:szCs w:val="22"/>
              </w:rPr>
              <w:t>24 mesecev</w:t>
            </w:r>
          </w:p>
        </w:tc>
      </w:tr>
      <w:tr w:rsidR="00FF48C2" w:rsidRPr="004A59B1" w14:paraId="5297A182" w14:textId="77777777" w:rsidTr="000A6242">
        <w:trPr>
          <w:cantSplit/>
        </w:trPr>
        <w:tc>
          <w:tcPr>
            <w:tcW w:w="934" w:type="dxa"/>
            <w:vMerge/>
          </w:tcPr>
          <w:p w14:paraId="5297A178" w14:textId="77777777" w:rsidR="00FF48C2" w:rsidRPr="004A59B1" w:rsidRDefault="00FF48C2" w:rsidP="000A6242">
            <w:pPr>
              <w:pStyle w:val="Table"/>
              <w:widowControl w:val="0"/>
              <w:spacing w:before="0" w:after="0"/>
              <w:rPr>
                <w:rFonts w:ascii="Times New Roman" w:hAnsi="Times New Roman"/>
                <w:b/>
                <w:color w:val="000000"/>
                <w:sz w:val="22"/>
                <w:szCs w:val="22"/>
              </w:rPr>
            </w:pPr>
          </w:p>
        </w:tc>
        <w:tc>
          <w:tcPr>
            <w:tcW w:w="1316" w:type="dxa"/>
            <w:vMerge/>
            <w:tcBorders>
              <w:right w:val="single" w:sz="4" w:space="0" w:color="auto"/>
            </w:tcBorders>
          </w:tcPr>
          <w:p w14:paraId="5297A179" w14:textId="77777777" w:rsidR="00FF48C2" w:rsidRPr="004A59B1" w:rsidRDefault="00FF48C2" w:rsidP="000A6242">
            <w:pPr>
              <w:pStyle w:val="Table"/>
              <w:widowControl w:val="0"/>
              <w:spacing w:before="0" w:after="0"/>
              <w:rPr>
                <w:rFonts w:ascii="Times New Roman" w:hAnsi="Times New Roman"/>
                <w:b/>
                <w:color w:val="000000"/>
                <w:sz w:val="22"/>
                <w:szCs w:val="22"/>
              </w:rPr>
            </w:pPr>
          </w:p>
        </w:tc>
        <w:tc>
          <w:tcPr>
            <w:tcW w:w="961" w:type="dxa"/>
            <w:vMerge/>
            <w:tcBorders>
              <w:left w:val="single" w:sz="4" w:space="0" w:color="auto"/>
              <w:right w:val="single" w:sz="4" w:space="0" w:color="auto"/>
            </w:tcBorders>
          </w:tcPr>
          <w:p w14:paraId="5297A17A" w14:textId="77777777" w:rsidR="00FF48C2" w:rsidRPr="004A59B1" w:rsidRDefault="00FF48C2" w:rsidP="000A6242">
            <w:pPr>
              <w:pStyle w:val="Table"/>
              <w:widowControl w:val="0"/>
              <w:spacing w:before="0" w:after="0"/>
              <w:jc w:val="center"/>
              <w:rPr>
                <w:rFonts w:ascii="Times New Roman" w:hAnsi="Times New Roman"/>
                <w:b/>
                <w:color w:val="000000"/>
                <w:sz w:val="22"/>
                <w:szCs w:val="22"/>
              </w:rPr>
            </w:pPr>
          </w:p>
        </w:tc>
        <w:tc>
          <w:tcPr>
            <w:tcW w:w="1717" w:type="dxa"/>
            <w:tcBorders>
              <w:left w:val="single" w:sz="4" w:space="0" w:color="auto"/>
              <w:bottom w:val="single" w:sz="4" w:space="0" w:color="auto"/>
              <w:right w:val="single" w:sz="4" w:space="0" w:color="auto"/>
            </w:tcBorders>
          </w:tcPr>
          <w:p w14:paraId="5297A17B" w14:textId="77777777" w:rsidR="00FF48C2" w:rsidRPr="004A59B1" w:rsidRDefault="00FF48C2" w:rsidP="000A6242">
            <w:pPr>
              <w:pStyle w:val="Table"/>
              <w:widowControl w:val="0"/>
              <w:spacing w:before="0" w:after="0"/>
              <w:jc w:val="center"/>
              <w:rPr>
                <w:rFonts w:ascii="Times New Roman" w:hAnsi="Times New Roman"/>
                <w:b/>
                <w:color w:val="000000"/>
                <w:sz w:val="22"/>
                <w:szCs w:val="22"/>
              </w:rPr>
            </w:pPr>
            <w:r w:rsidRPr="004A59B1">
              <w:rPr>
                <w:rFonts w:ascii="Times New Roman" w:hAnsi="Times New Roman"/>
                <w:b/>
                <w:color w:val="000000"/>
                <w:sz w:val="22"/>
                <w:szCs w:val="22"/>
              </w:rPr>
              <w:t>Glivec v primerjavi</w:t>
            </w:r>
          </w:p>
          <w:p w14:paraId="5297A17C" w14:textId="77777777" w:rsidR="00FF48C2" w:rsidRPr="004A59B1" w:rsidRDefault="00FF48C2" w:rsidP="000A6242">
            <w:pPr>
              <w:pStyle w:val="Table"/>
              <w:widowControl w:val="0"/>
              <w:spacing w:before="0" w:after="0"/>
              <w:jc w:val="center"/>
              <w:rPr>
                <w:rFonts w:ascii="Times New Roman" w:hAnsi="Times New Roman"/>
                <w:b/>
                <w:color w:val="000000"/>
                <w:sz w:val="22"/>
                <w:szCs w:val="22"/>
              </w:rPr>
            </w:pPr>
            <w:r w:rsidRPr="004A59B1">
              <w:rPr>
                <w:rFonts w:ascii="Times New Roman" w:hAnsi="Times New Roman"/>
                <w:b/>
                <w:color w:val="000000"/>
                <w:sz w:val="22"/>
                <w:szCs w:val="22"/>
              </w:rPr>
              <w:t>s placebom</w:t>
            </w:r>
          </w:p>
        </w:tc>
        <w:tc>
          <w:tcPr>
            <w:tcW w:w="1357" w:type="dxa"/>
            <w:vMerge/>
            <w:tcBorders>
              <w:left w:val="single" w:sz="4" w:space="0" w:color="auto"/>
              <w:bottom w:val="single" w:sz="4" w:space="0" w:color="auto"/>
              <w:right w:val="single" w:sz="4" w:space="0" w:color="auto"/>
            </w:tcBorders>
          </w:tcPr>
          <w:p w14:paraId="5297A17D" w14:textId="77777777" w:rsidR="00FF48C2" w:rsidRPr="004A59B1" w:rsidRDefault="00FF48C2" w:rsidP="000A6242">
            <w:pPr>
              <w:pStyle w:val="Table"/>
              <w:widowControl w:val="0"/>
              <w:spacing w:before="0" w:after="0"/>
              <w:jc w:val="center"/>
              <w:rPr>
                <w:rFonts w:ascii="Times New Roman" w:hAnsi="Times New Roman"/>
                <w:b/>
                <w:color w:val="000000"/>
                <w:sz w:val="22"/>
                <w:szCs w:val="22"/>
              </w:rPr>
            </w:pPr>
          </w:p>
        </w:tc>
        <w:tc>
          <w:tcPr>
            <w:tcW w:w="1440" w:type="dxa"/>
            <w:tcBorders>
              <w:left w:val="single" w:sz="4" w:space="0" w:color="auto"/>
              <w:bottom w:val="single" w:sz="4" w:space="0" w:color="auto"/>
              <w:right w:val="single" w:sz="4" w:space="0" w:color="auto"/>
            </w:tcBorders>
          </w:tcPr>
          <w:p w14:paraId="5297A17E" w14:textId="77777777" w:rsidR="00FF48C2" w:rsidRPr="004A59B1" w:rsidRDefault="00FF48C2" w:rsidP="000A6242">
            <w:pPr>
              <w:pStyle w:val="Table"/>
              <w:widowControl w:val="0"/>
              <w:spacing w:before="0" w:after="0"/>
              <w:jc w:val="center"/>
              <w:rPr>
                <w:rFonts w:ascii="Times New Roman" w:hAnsi="Times New Roman"/>
                <w:b/>
                <w:color w:val="000000"/>
                <w:sz w:val="22"/>
                <w:szCs w:val="22"/>
              </w:rPr>
            </w:pPr>
            <w:r w:rsidRPr="004A59B1">
              <w:rPr>
                <w:rFonts w:ascii="Times New Roman" w:hAnsi="Times New Roman"/>
                <w:b/>
                <w:color w:val="000000"/>
                <w:sz w:val="22"/>
                <w:szCs w:val="22"/>
              </w:rPr>
              <w:t>Glivec v primerjavi</w:t>
            </w:r>
          </w:p>
          <w:p w14:paraId="5297A17F" w14:textId="77777777" w:rsidR="00FF48C2" w:rsidRPr="004A59B1" w:rsidRDefault="00FF48C2" w:rsidP="000A6242">
            <w:pPr>
              <w:pStyle w:val="Table"/>
              <w:widowControl w:val="0"/>
              <w:spacing w:before="0" w:after="0"/>
              <w:jc w:val="center"/>
              <w:rPr>
                <w:rFonts w:ascii="Times New Roman" w:hAnsi="Times New Roman"/>
                <w:b/>
                <w:color w:val="000000"/>
                <w:sz w:val="22"/>
                <w:szCs w:val="22"/>
              </w:rPr>
            </w:pPr>
            <w:r w:rsidRPr="004A59B1">
              <w:rPr>
                <w:rFonts w:ascii="Times New Roman" w:hAnsi="Times New Roman"/>
                <w:b/>
                <w:color w:val="000000"/>
                <w:sz w:val="22"/>
                <w:szCs w:val="22"/>
              </w:rPr>
              <w:t>s placebom</w:t>
            </w:r>
          </w:p>
        </w:tc>
        <w:tc>
          <w:tcPr>
            <w:tcW w:w="1360" w:type="dxa"/>
            <w:tcBorders>
              <w:left w:val="single" w:sz="4" w:space="0" w:color="auto"/>
            </w:tcBorders>
          </w:tcPr>
          <w:p w14:paraId="5297A180" w14:textId="77777777" w:rsidR="00FF48C2" w:rsidRPr="004A59B1" w:rsidRDefault="00FF48C2" w:rsidP="000A6242">
            <w:pPr>
              <w:pStyle w:val="Table"/>
              <w:widowControl w:val="0"/>
              <w:spacing w:before="0" w:after="0"/>
              <w:jc w:val="center"/>
              <w:rPr>
                <w:rFonts w:ascii="Times New Roman" w:hAnsi="Times New Roman"/>
                <w:b/>
                <w:color w:val="000000"/>
                <w:sz w:val="22"/>
                <w:szCs w:val="22"/>
              </w:rPr>
            </w:pPr>
            <w:r w:rsidRPr="004A59B1">
              <w:rPr>
                <w:rFonts w:ascii="Times New Roman" w:hAnsi="Times New Roman"/>
                <w:b/>
                <w:color w:val="000000"/>
                <w:sz w:val="22"/>
                <w:szCs w:val="22"/>
              </w:rPr>
              <w:t>Glivec v primerjavi</w:t>
            </w:r>
          </w:p>
          <w:p w14:paraId="5297A181" w14:textId="77777777" w:rsidR="00FF48C2" w:rsidRPr="004A59B1" w:rsidRDefault="00FF48C2" w:rsidP="000A6242">
            <w:pPr>
              <w:pStyle w:val="Table"/>
              <w:widowControl w:val="0"/>
              <w:spacing w:before="0" w:after="0"/>
              <w:jc w:val="center"/>
              <w:rPr>
                <w:rFonts w:ascii="Times New Roman" w:hAnsi="Times New Roman"/>
                <w:b/>
                <w:color w:val="000000"/>
                <w:sz w:val="22"/>
                <w:szCs w:val="22"/>
              </w:rPr>
            </w:pPr>
            <w:r w:rsidRPr="004A59B1">
              <w:rPr>
                <w:rFonts w:ascii="Times New Roman" w:hAnsi="Times New Roman"/>
                <w:b/>
                <w:color w:val="000000"/>
                <w:sz w:val="22"/>
                <w:szCs w:val="22"/>
              </w:rPr>
              <w:t>s placebom</w:t>
            </w:r>
          </w:p>
        </w:tc>
      </w:tr>
      <w:tr w:rsidR="00FF48C2" w:rsidRPr="004A59B1" w14:paraId="5297A191" w14:textId="77777777" w:rsidTr="000A6242">
        <w:trPr>
          <w:cantSplit/>
        </w:trPr>
        <w:tc>
          <w:tcPr>
            <w:tcW w:w="934" w:type="dxa"/>
            <w:vMerge w:val="restart"/>
            <w:shd w:val="clear" w:color="auto" w:fill="auto"/>
          </w:tcPr>
          <w:p w14:paraId="5297A183" w14:textId="77777777" w:rsidR="00FF48C2" w:rsidRPr="004A59B1" w:rsidRDefault="00FF48C2" w:rsidP="000A6242">
            <w:pPr>
              <w:keepNext/>
              <w:keepLines/>
              <w:widowControl w:val="0"/>
              <w:spacing w:line="240" w:lineRule="auto"/>
              <w:rPr>
                <w:color w:val="000000"/>
                <w:szCs w:val="22"/>
              </w:rPr>
            </w:pPr>
            <w:r w:rsidRPr="004A59B1">
              <w:rPr>
                <w:color w:val="000000"/>
                <w:szCs w:val="22"/>
              </w:rPr>
              <w:t>NIH</w:t>
            </w:r>
          </w:p>
          <w:p w14:paraId="5297A184" w14:textId="77777777" w:rsidR="00FF48C2" w:rsidRPr="004A59B1" w:rsidRDefault="00FF48C2" w:rsidP="000A6242">
            <w:pPr>
              <w:pStyle w:val="Text"/>
              <w:keepNext/>
              <w:keepLines/>
              <w:widowControl w:val="0"/>
              <w:spacing w:before="0"/>
              <w:rPr>
                <w:color w:val="000000"/>
                <w:sz w:val="22"/>
                <w:szCs w:val="22"/>
              </w:rPr>
            </w:pPr>
          </w:p>
        </w:tc>
        <w:tc>
          <w:tcPr>
            <w:tcW w:w="1316" w:type="dxa"/>
            <w:tcBorders>
              <w:bottom w:val="nil"/>
              <w:right w:val="single" w:sz="4" w:space="0" w:color="auto"/>
            </w:tcBorders>
            <w:vAlign w:val="bottom"/>
          </w:tcPr>
          <w:p w14:paraId="5297A185" w14:textId="77777777" w:rsidR="00FF48C2" w:rsidRPr="004A59B1" w:rsidRDefault="00FF48C2" w:rsidP="000A6242">
            <w:pPr>
              <w:keepNext/>
              <w:keepLines/>
              <w:widowControl w:val="0"/>
              <w:spacing w:line="240" w:lineRule="auto"/>
              <w:ind w:left="57" w:hanging="57"/>
              <w:rPr>
                <w:color w:val="000000"/>
                <w:szCs w:val="22"/>
              </w:rPr>
            </w:pPr>
            <w:r w:rsidRPr="004A59B1">
              <w:rPr>
                <w:color w:val="000000"/>
                <w:szCs w:val="22"/>
              </w:rPr>
              <w:t>majhno</w:t>
            </w:r>
          </w:p>
        </w:tc>
        <w:tc>
          <w:tcPr>
            <w:tcW w:w="961" w:type="dxa"/>
            <w:tcBorders>
              <w:left w:val="single" w:sz="4" w:space="0" w:color="auto"/>
              <w:bottom w:val="nil"/>
              <w:right w:val="single" w:sz="4" w:space="0" w:color="auto"/>
            </w:tcBorders>
            <w:vAlign w:val="bottom"/>
          </w:tcPr>
          <w:p w14:paraId="5297A186" w14:textId="77777777" w:rsidR="00FF48C2" w:rsidRPr="004A59B1" w:rsidRDefault="00FF48C2" w:rsidP="000A6242">
            <w:pPr>
              <w:keepNext/>
              <w:keepLines/>
              <w:widowControl w:val="0"/>
              <w:spacing w:line="240" w:lineRule="auto"/>
              <w:ind w:left="57" w:hanging="57"/>
              <w:jc w:val="center"/>
              <w:rPr>
                <w:color w:val="000000"/>
                <w:szCs w:val="22"/>
              </w:rPr>
            </w:pPr>
            <w:r w:rsidRPr="004A59B1">
              <w:rPr>
                <w:color w:val="000000"/>
                <w:szCs w:val="22"/>
              </w:rPr>
              <w:t>29,5</w:t>
            </w:r>
          </w:p>
        </w:tc>
        <w:tc>
          <w:tcPr>
            <w:tcW w:w="1717" w:type="dxa"/>
            <w:tcBorders>
              <w:left w:val="single" w:sz="4" w:space="0" w:color="auto"/>
              <w:bottom w:val="nil"/>
              <w:right w:val="single" w:sz="4" w:space="0" w:color="auto"/>
            </w:tcBorders>
            <w:vAlign w:val="bottom"/>
          </w:tcPr>
          <w:p w14:paraId="5297A187" w14:textId="77777777" w:rsidR="00FF48C2" w:rsidRPr="004A59B1" w:rsidRDefault="00FF48C2" w:rsidP="000A6242">
            <w:pPr>
              <w:keepNext/>
              <w:keepLines/>
              <w:widowControl w:val="0"/>
              <w:tabs>
                <w:tab w:val="clear" w:pos="567"/>
              </w:tabs>
              <w:spacing w:line="240" w:lineRule="auto"/>
              <w:ind w:left="57" w:hanging="57"/>
              <w:jc w:val="center"/>
              <w:rPr>
                <w:color w:val="000000"/>
                <w:szCs w:val="22"/>
              </w:rPr>
            </w:pPr>
            <w:r w:rsidRPr="004A59B1">
              <w:rPr>
                <w:color w:val="000000"/>
                <w:szCs w:val="22"/>
              </w:rPr>
              <w:t>0/86</w:t>
            </w:r>
          </w:p>
          <w:p w14:paraId="5297A188" w14:textId="77777777" w:rsidR="00FF48C2" w:rsidRPr="004A59B1" w:rsidRDefault="00FF48C2" w:rsidP="000A6242">
            <w:pPr>
              <w:keepNext/>
              <w:keepLines/>
              <w:widowControl w:val="0"/>
              <w:tabs>
                <w:tab w:val="clear" w:pos="567"/>
              </w:tabs>
              <w:spacing w:line="240" w:lineRule="auto"/>
              <w:ind w:left="57" w:hanging="57"/>
              <w:jc w:val="center"/>
              <w:rPr>
                <w:bCs/>
                <w:color w:val="000000"/>
                <w:szCs w:val="22"/>
              </w:rPr>
            </w:pPr>
            <w:r w:rsidRPr="004A59B1">
              <w:rPr>
                <w:bCs/>
                <w:color w:val="000000"/>
                <w:szCs w:val="22"/>
              </w:rPr>
              <w:t>v pr.</w:t>
            </w:r>
          </w:p>
          <w:p w14:paraId="5297A189" w14:textId="77777777" w:rsidR="00FF48C2" w:rsidRPr="004A59B1" w:rsidRDefault="00FF48C2" w:rsidP="000A6242">
            <w:pPr>
              <w:keepNext/>
              <w:keepLines/>
              <w:widowControl w:val="0"/>
              <w:tabs>
                <w:tab w:val="clear" w:pos="567"/>
              </w:tabs>
              <w:spacing w:line="240" w:lineRule="auto"/>
              <w:ind w:left="57" w:hanging="57"/>
              <w:jc w:val="center"/>
              <w:rPr>
                <w:color w:val="000000"/>
                <w:szCs w:val="22"/>
              </w:rPr>
            </w:pPr>
            <w:r w:rsidRPr="004A59B1">
              <w:rPr>
                <w:bCs/>
                <w:color w:val="000000"/>
                <w:szCs w:val="22"/>
              </w:rPr>
              <w:t>z</w:t>
            </w:r>
            <w:r w:rsidRPr="004A59B1">
              <w:rPr>
                <w:color w:val="000000"/>
                <w:szCs w:val="22"/>
              </w:rPr>
              <w:t xml:space="preserve"> 2/90</w:t>
            </w:r>
          </w:p>
        </w:tc>
        <w:tc>
          <w:tcPr>
            <w:tcW w:w="1357" w:type="dxa"/>
            <w:tcBorders>
              <w:left w:val="single" w:sz="4" w:space="0" w:color="auto"/>
              <w:bottom w:val="nil"/>
              <w:right w:val="single" w:sz="4" w:space="0" w:color="auto"/>
            </w:tcBorders>
            <w:vAlign w:val="bottom"/>
          </w:tcPr>
          <w:p w14:paraId="5297A18A" w14:textId="77777777" w:rsidR="00FF48C2" w:rsidRPr="004A59B1" w:rsidRDefault="00FF48C2" w:rsidP="000A6242">
            <w:pPr>
              <w:keepNext/>
              <w:keepLines/>
              <w:widowControl w:val="0"/>
              <w:spacing w:line="240" w:lineRule="auto"/>
              <w:ind w:left="57" w:hanging="57"/>
              <w:jc w:val="center"/>
              <w:rPr>
                <w:color w:val="000000"/>
                <w:szCs w:val="22"/>
              </w:rPr>
            </w:pPr>
            <w:r w:rsidRPr="004A59B1">
              <w:rPr>
                <w:color w:val="000000"/>
                <w:szCs w:val="22"/>
              </w:rPr>
              <w:t>NO</w:t>
            </w:r>
          </w:p>
        </w:tc>
        <w:tc>
          <w:tcPr>
            <w:tcW w:w="1440" w:type="dxa"/>
            <w:tcBorders>
              <w:left w:val="single" w:sz="4" w:space="0" w:color="auto"/>
              <w:bottom w:val="nil"/>
              <w:right w:val="single" w:sz="4" w:space="0" w:color="auto"/>
            </w:tcBorders>
            <w:vAlign w:val="bottom"/>
          </w:tcPr>
          <w:p w14:paraId="5297A18B" w14:textId="77777777" w:rsidR="00FF48C2" w:rsidRPr="004A59B1" w:rsidRDefault="00FF48C2" w:rsidP="000A6242">
            <w:pPr>
              <w:keepNext/>
              <w:keepLines/>
              <w:widowControl w:val="0"/>
              <w:spacing w:line="240" w:lineRule="auto"/>
              <w:ind w:left="57" w:hanging="57"/>
              <w:jc w:val="center"/>
              <w:rPr>
                <w:color w:val="000000"/>
                <w:szCs w:val="22"/>
              </w:rPr>
            </w:pPr>
            <w:r w:rsidRPr="004A59B1">
              <w:rPr>
                <w:color w:val="000000"/>
                <w:szCs w:val="22"/>
              </w:rPr>
              <w:t>100</w:t>
            </w:r>
          </w:p>
          <w:p w14:paraId="5297A18C" w14:textId="77777777" w:rsidR="00FF48C2" w:rsidRPr="004A59B1" w:rsidRDefault="00FF48C2" w:rsidP="000A6242">
            <w:pPr>
              <w:keepNext/>
              <w:keepLines/>
              <w:widowControl w:val="0"/>
              <w:spacing w:line="240" w:lineRule="auto"/>
              <w:ind w:left="57" w:hanging="57"/>
              <w:jc w:val="center"/>
              <w:rPr>
                <w:bCs/>
                <w:color w:val="000000"/>
                <w:szCs w:val="22"/>
              </w:rPr>
            </w:pPr>
            <w:r w:rsidRPr="004A59B1">
              <w:rPr>
                <w:bCs/>
                <w:color w:val="000000"/>
                <w:szCs w:val="22"/>
              </w:rPr>
              <w:t>v pr.</w:t>
            </w:r>
          </w:p>
          <w:p w14:paraId="5297A18D" w14:textId="77777777" w:rsidR="00FF48C2" w:rsidRPr="004A59B1" w:rsidRDefault="00FF48C2" w:rsidP="000A6242">
            <w:pPr>
              <w:keepNext/>
              <w:keepLines/>
              <w:widowControl w:val="0"/>
              <w:spacing w:line="240" w:lineRule="auto"/>
              <w:ind w:left="57" w:hanging="57"/>
              <w:jc w:val="center"/>
              <w:rPr>
                <w:color w:val="000000"/>
                <w:szCs w:val="22"/>
              </w:rPr>
            </w:pPr>
            <w:r w:rsidRPr="004A59B1">
              <w:rPr>
                <w:bCs/>
                <w:color w:val="000000"/>
                <w:szCs w:val="22"/>
              </w:rPr>
              <w:t>z</w:t>
            </w:r>
            <w:r w:rsidRPr="004A59B1">
              <w:rPr>
                <w:color w:val="000000"/>
                <w:szCs w:val="22"/>
              </w:rPr>
              <w:t xml:space="preserve"> 98,7</w:t>
            </w:r>
          </w:p>
        </w:tc>
        <w:tc>
          <w:tcPr>
            <w:tcW w:w="1360" w:type="dxa"/>
            <w:tcBorders>
              <w:left w:val="single" w:sz="4" w:space="0" w:color="auto"/>
              <w:bottom w:val="nil"/>
            </w:tcBorders>
            <w:vAlign w:val="bottom"/>
          </w:tcPr>
          <w:p w14:paraId="5297A18E" w14:textId="77777777" w:rsidR="00FF48C2" w:rsidRPr="004A59B1" w:rsidRDefault="00FF48C2" w:rsidP="000A6242">
            <w:pPr>
              <w:keepNext/>
              <w:keepLines/>
              <w:widowControl w:val="0"/>
              <w:spacing w:line="240" w:lineRule="auto"/>
              <w:ind w:left="57" w:hanging="57"/>
              <w:jc w:val="center"/>
              <w:rPr>
                <w:color w:val="000000"/>
                <w:szCs w:val="22"/>
              </w:rPr>
            </w:pPr>
            <w:r w:rsidRPr="004A59B1">
              <w:rPr>
                <w:color w:val="000000"/>
                <w:szCs w:val="22"/>
              </w:rPr>
              <w:t>100</w:t>
            </w:r>
          </w:p>
          <w:p w14:paraId="5297A18F" w14:textId="77777777" w:rsidR="00FF48C2" w:rsidRPr="004A59B1" w:rsidRDefault="00FF48C2" w:rsidP="000A6242">
            <w:pPr>
              <w:keepNext/>
              <w:keepLines/>
              <w:widowControl w:val="0"/>
              <w:spacing w:line="240" w:lineRule="auto"/>
              <w:ind w:left="57" w:hanging="57"/>
              <w:jc w:val="center"/>
              <w:rPr>
                <w:bCs/>
                <w:color w:val="000000"/>
                <w:szCs w:val="22"/>
              </w:rPr>
            </w:pPr>
            <w:r w:rsidRPr="004A59B1">
              <w:rPr>
                <w:bCs/>
                <w:color w:val="000000"/>
                <w:szCs w:val="22"/>
              </w:rPr>
              <w:t>v pr.</w:t>
            </w:r>
          </w:p>
          <w:p w14:paraId="5297A190" w14:textId="77777777" w:rsidR="00FF48C2" w:rsidRPr="004A59B1" w:rsidRDefault="00FF48C2" w:rsidP="000A6242">
            <w:pPr>
              <w:keepNext/>
              <w:keepLines/>
              <w:widowControl w:val="0"/>
              <w:spacing w:line="240" w:lineRule="auto"/>
              <w:ind w:left="57" w:hanging="57"/>
              <w:jc w:val="center"/>
              <w:rPr>
                <w:color w:val="000000"/>
                <w:szCs w:val="22"/>
              </w:rPr>
            </w:pPr>
            <w:r w:rsidRPr="004A59B1">
              <w:rPr>
                <w:bCs/>
                <w:color w:val="000000"/>
                <w:szCs w:val="22"/>
              </w:rPr>
              <w:t>s</w:t>
            </w:r>
            <w:r w:rsidRPr="004A59B1">
              <w:rPr>
                <w:color w:val="000000"/>
                <w:szCs w:val="22"/>
              </w:rPr>
              <w:t xml:space="preserve"> 95,5</w:t>
            </w:r>
          </w:p>
        </w:tc>
      </w:tr>
      <w:tr w:rsidR="00FF48C2" w:rsidRPr="004A59B1" w14:paraId="5297A1A0" w14:textId="77777777" w:rsidTr="000A6242">
        <w:trPr>
          <w:cantSplit/>
        </w:trPr>
        <w:tc>
          <w:tcPr>
            <w:tcW w:w="934" w:type="dxa"/>
            <w:vMerge/>
            <w:shd w:val="clear" w:color="auto" w:fill="auto"/>
          </w:tcPr>
          <w:p w14:paraId="5297A192" w14:textId="77777777" w:rsidR="00FF48C2" w:rsidRPr="004A59B1" w:rsidRDefault="00FF48C2" w:rsidP="000A6242">
            <w:pPr>
              <w:keepNext/>
              <w:keepLines/>
              <w:widowControl w:val="0"/>
              <w:spacing w:line="240" w:lineRule="auto"/>
              <w:rPr>
                <w:color w:val="000000"/>
                <w:szCs w:val="22"/>
              </w:rPr>
            </w:pPr>
          </w:p>
        </w:tc>
        <w:tc>
          <w:tcPr>
            <w:tcW w:w="1316" w:type="dxa"/>
            <w:tcBorders>
              <w:top w:val="nil"/>
              <w:bottom w:val="nil"/>
              <w:right w:val="single" w:sz="4" w:space="0" w:color="auto"/>
            </w:tcBorders>
            <w:vAlign w:val="bottom"/>
          </w:tcPr>
          <w:p w14:paraId="5297A193" w14:textId="77777777" w:rsidR="00FF48C2" w:rsidRPr="004A59B1" w:rsidRDefault="00FF48C2" w:rsidP="000A6242">
            <w:pPr>
              <w:pStyle w:val="Table"/>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zmerno</w:t>
            </w:r>
          </w:p>
        </w:tc>
        <w:tc>
          <w:tcPr>
            <w:tcW w:w="961" w:type="dxa"/>
            <w:tcBorders>
              <w:top w:val="nil"/>
              <w:left w:val="single" w:sz="4" w:space="0" w:color="auto"/>
              <w:bottom w:val="nil"/>
              <w:right w:val="single" w:sz="4" w:space="0" w:color="auto"/>
            </w:tcBorders>
            <w:vAlign w:val="bottom"/>
          </w:tcPr>
          <w:p w14:paraId="5297A194"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25,7</w:t>
            </w:r>
          </w:p>
        </w:tc>
        <w:tc>
          <w:tcPr>
            <w:tcW w:w="1717" w:type="dxa"/>
            <w:tcBorders>
              <w:top w:val="nil"/>
              <w:left w:val="single" w:sz="4" w:space="0" w:color="auto"/>
              <w:bottom w:val="nil"/>
              <w:right w:val="single" w:sz="4" w:space="0" w:color="auto"/>
            </w:tcBorders>
            <w:vAlign w:val="bottom"/>
          </w:tcPr>
          <w:p w14:paraId="5297A195"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4/75</w:t>
            </w:r>
          </w:p>
          <w:p w14:paraId="5297A196"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A197"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s 6/78</w:t>
            </w:r>
          </w:p>
        </w:tc>
        <w:tc>
          <w:tcPr>
            <w:tcW w:w="1357" w:type="dxa"/>
            <w:tcBorders>
              <w:top w:val="nil"/>
              <w:left w:val="single" w:sz="4" w:space="0" w:color="auto"/>
              <w:bottom w:val="nil"/>
              <w:right w:val="single" w:sz="4" w:space="0" w:color="auto"/>
            </w:tcBorders>
            <w:vAlign w:val="bottom"/>
          </w:tcPr>
          <w:p w14:paraId="5297A198"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0,59</w:t>
            </w:r>
          </w:p>
          <w:p w14:paraId="5297A199"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(0,17; 2,10)</w:t>
            </w:r>
          </w:p>
        </w:tc>
        <w:tc>
          <w:tcPr>
            <w:tcW w:w="1440" w:type="dxa"/>
            <w:tcBorders>
              <w:top w:val="nil"/>
              <w:left w:val="single" w:sz="4" w:space="0" w:color="auto"/>
              <w:bottom w:val="nil"/>
              <w:right w:val="single" w:sz="4" w:space="0" w:color="auto"/>
            </w:tcBorders>
            <w:vAlign w:val="bottom"/>
          </w:tcPr>
          <w:p w14:paraId="5297A19A"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100</w:t>
            </w:r>
          </w:p>
          <w:p w14:paraId="5297A19B"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A19C"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s 94,8</w:t>
            </w:r>
          </w:p>
        </w:tc>
        <w:tc>
          <w:tcPr>
            <w:tcW w:w="1360" w:type="dxa"/>
            <w:tcBorders>
              <w:top w:val="nil"/>
              <w:left w:val="single" w:sz="4" w:space="0" w:color="auto"/>
              <w:bottom w:val="nil"/>
            </w:tcBorders>
            <w:vAlign w:val="bottom"/>
          </w:tcPr>
          <w:p w14:paraId="5297A19D"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97,8</w:t>
            </w:r>
          </w:p>
          <w:p w14:paraId="5297A19E"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A19F"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z 89,5</w:t>
            </w:r>
          </w:p>
        </w:tc>
      </w:tr>
      <w:tr w:rsidR="00FF48C2" w:rsidRPr="004A59B1" w14:paraId="5297A1AF" w14:textId="77777777" w:rsidTr="000A6242">
        <w:trPr>
          <w:cantSplit/>
        </w:trPr>
        <w:tc>
          <w:tcPr>
            <w:tcW w:w="934" w:type="dxa"/>
            <w:vMerge/>
            <w:shd w:val="clear" w:color="auto" w:fill="auto"/>
          </w:tcPr>
          <w:p w14:paraId="5297A1A1" w14:textId="77777777" w:rsidR="00FF48C2" w:rsidRPr="004A59B1" w:rsidRDefault="00FF48C2" w:rsidP="000A6242">
            <w:pPr>
              <w:pStyle w:val="Table"/>
              <w:widowControl w:val="0"/>
              <w:spacing w:before="0" w:after="0"/>
              <w:rPr>
                <w:rFonts w:ascii="Times New Roman" w:hAnsi="Times New Roman"/>
                <w:color w:val="000000"/>
                <w:sz w:val="22"/>
                <w:szCs w:val="22"/>
              </w:rPr>
            </w:pPr>
          </w:p>
        </w:tc>
        <w:tc>
          <w:tcPr>
            <w:tcW w:w="1316" w:type="dxa"/>
            <w:tcBorders>
              <w:top w:val="nil"/>
              <w:right w:val="single" w:sz="4" w:space="0" w:color="auto"/>
            </w:tcBorders>
            <w:vAlign w:val="bottom"/>
          </w:tcPr>
          <w:p w14:paraId="5297A1A2" w14:textId="77777777" w:rsidR="00FF48C2" w:rsidRPr="004A59B1" w:rsidRDefault="00FF48C2" w:rsidP="000A6242">
            <w:pPr>
              <w:pStyle w:val="Table"/>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veliko</w:t>
            </w:r>
          </w:p>
        </w:tc>
        <w:tc>
          <w:tcPr>
            <w:tcW w:w="961" w:type="dxa"/>
            <w:tcBorders>
              <w:top w:val="nil"/>
              <w:left w:val="single" w:sz="4" w:space="0" w:color="auto"/>
              <w:right w:val="single" w:sz="4" w:space="0" w:color="auto"/>
            </w:tcBorders>
            <w:vAlign w:val="bottom"/>
          </w:tcPr>
          <w:p w14:paraId="5297A1A3"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44,8</w:t>
            </w:r>
          </w:p>
        </w:tc>
        <w:tc>
          <w:tcPr>
            <w:tcW w:w="1717" w:type="dxa"/>
            <w:tcBorders>
              <w:top w:val="nil"/>
              <w:left w:val="single" w:sz="4" w:space="0" w:color="auto"/>
              <w:right w:val="single" w:sz="4" w:space="0" w:color="auto"/>
            </w:tcBorders>
            <w:vAlign w:val="bottom"/>
          </w:tcPr>
          <w:p w14:paraId="5297A1A4"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21/140</w:t>
            </w:r>
          </w:p>
          <w:p w14:paraId="5297A1A5"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A1A6"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z 51/127</w:t>
            </w:r>
          </w:p>
        </w:tc>
        <w:tc>
          <w:tcPr>
            <w:tcW w:w="1357" w:type="dxa"/>
            <w:tcBorders>
              <w:top w:val="nil"/>
              <w:left w:val="single" w:sz="4" w:space="0" w:color="auto"/>
              <w:right w:val="single" w:sz="4" w:space="0" w:color="auto"/>
            </w:tcBorders>
            <w:vAlign w:val="bottom"/>
          </w:tcPr>
          <w:p w14:paraId="5297A1A7"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0,29</w:t>
            </w:r>
          </w:p>
          <w:p w14:paraId="5297A1A8"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(0,18; 0,49)</w:t>
            </w:r>
          </w:p>
        </w:tc>
        <w:tc>
          <w:tcPr>
            <w:tcW w:w="1440" w:type="dxa"/>
            <w:tcBorders>
              <w:top w:val="nil"/>
              <w:left w:val="single" w:sz="4" w:space="0" w:color="auto"/>
              <w:right w:val="single" w:sz="4" w:space="0" w:color="auto"/>
            </w:tcBorders>
            <w:vAlign w:val="bottom"/>
          </w:tcPr>
          <w:p w14:paraId="5297A1A9"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94,8</w:t>
            </w:r>
          </w:p>
          <w:p w14:paraId="5297A1AA"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A1AB"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s 64,0</w:t>
            </w:r>
          </w:p>
        </w:tc>
        <w:tc>
          <w:tcPr>
            <w:tcW w:w="1360" w:type="dxa"/>
            <w:tcBorders>
              <w:top w:val="nil"/>
              <w:left w:val="single" w:sz="4" w:space="0" w:color="auto"/>
            </w:tcBorders>
            <w:vAlign w:val="bottom"/>
          </w:tcPr>
          <w:p w14:paraId="5297A1AC"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80,7</w:t>
            </w:r>
          </w:p>
          <w:p w14:paraId="5297A1AD"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A1AE"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s 46,6</w:t>
            </w:r>
          </w:p>
        </w:tc>
      </w:tr>
      <w:tr w:rsidR="00FF48C2" w:rsidRPr="004A59B1" w14:paraId="5297A1BE" w14:textId="77777777" w:rsidTr="000A6242">
        <w:trPr>
          <w:cantSplit/>
        </w:trPr>
        <w:tc>
          <w:tcPr>
            <w:tcW w:w="934" w:type="dxa"/>
            <w:vMerge w:val="restart"/>
            <w:shd w:val="clear" w:color="auto" w:fill="auto"/>
          </w:tcPr>
          <w:p w14:paraId="5297A1B0" w14:textId="77777777" w:rsidR="00FF48C2" w:rsidRPr="004A59B1" w:rsidRDefault="00FF48C2" w:rsidP="000A6242">
            <w:pPr>
              <w:pStyle w:val="Table"/>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AFIP</w:t>
            </w:r>
          </w:p>
          <w:p w14:paraId="5297A1B1" w14:textId="77777777" w:rsidR="00FF48C2" w:rsidRPr="004A59B1" w:rsidRDefault="00FF48C2" w:rsidP="000A6242">
            <w:pPr>
              <w:pStyle w:val="Table"/>
              <w:widowControl w:val="0"/>
              <w:spacing w:before="0" w:after="0"/>
              <w:rPr>
                <w:rFonts w:ascii="Times New Roman" w:hAnsi="Times New Roman"/>
                <w:color w:val="000000"/>
                <w:sz w:val="22"/>
                <w:szCs w:val="22"/>
              </w:rPr>
            </w:pPr>
          </w:p>
        </w:tc>
        <w:tc>
          <w:tcPr>
            <w:tcW w:w="1316" w:type="dxa"/>
            <w:tcBorders>
              <w:bottom w:val="nil"/>
              <w:right w:val="single" w:sz="4" w:space="0" w:color="auto"/>
            </w:tcBorders>
            <w:vAlign w:val="bottom"/>
          </w:tcPr>
          <w:p w14:paraId="5297A1B2" w14:textId="77777777" w:rsidR="00FF48C2" w:rsidRPr="004A59B1" w:rsidRDefault="00FF48C2" w:rsidP="000A6242">
            <w:pPr>
              <w:pStyle w:val="Table"/>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zelo majhno</w:t>
            </w:r>
          </w:p>
        </w:tc>
        <w:tc>
          <w:tcPr>
            <w:tcW w:w="961" w:type="dxa"/>
            <w:tcBorders>
              <w:left w:val="single" w:sz="4" w:space="0" w:color="auto"/>
              <w:bottom w:val="nil"/>
              <w:right w:val="single" w:sz="4" w:space="0" w:color="auto"/>
            </w:tcBorders>
            <w:vAlign w:val="bottom"/>
          </w:tcPr>
          <w:p w14:paraId="5297A1B3"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20,7</w:t>
            </w:r>
          </w:p>
        </w:tc>
        <w:tc>
          <w:tcPr>
            <w:tcW w:w="1717" w:type="dxa"/>
            <w:tcBorders>
              <w:left w:val="single" w:sz="4" w:space="0" w:color="auto"/>
              <w:bottom w:val="nil"/>
              <w:right w:val="single" w:sz="4" w:space="0" w:color="auto"/>
            </w:tcBorders>
            <w:vAlign w:val="bottom"/>
          </w:tcPr>
          <w:p w14:paraId="5297A1B4"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0/52</w:t>
            </w:r>
          </w:p>
          <w:p w14:paraId="5297A1B5"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A1B6"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z 2/63</w:t>
            </w:r>
          </w:p>
        </w:tc>
        <w:tc>
          <w:tcPr>
            <w:tcW w:w="1357" w:type="dxa"/>
            <w:tcBorders>
              <w:left w:val="single" w:sz="4" w:space="0" w:color="auto"/>
              <w:bottom w:val="nil"/>
              <w:right w:val="single" w:sz="4" w:space="0" w:color="auto"/>
            </w:tcBorders>
            <w:vAlign w:val="bottom"/>
          </w:tcPr>
          <w:p w14:paraId="5297A1B7"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NO</w:t>
            </w:r>
          </w:p>
        </w:tc>
        <w:tc>
          <w:tcPr>
            <w:tcW w:w="1440" w:type="dxa"/>
            <w:tcBorders>
              <w:left w:val="single" w:sz="4" w:space="0" w:color="auto"/>
              <w:bottom w:val="nil"/>
              <w:right w:val="single" w:sz="4" w:space="0" w:color="auto"/>
            </w:tcBorders>
            <w:vAlign w:val="bottom"/>
          </w:tcPr>
          <w:p w14:paraId="5297A1B8"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100</w:t>
            </w:r>
          </w:p>
          <w:p w14:paraId="5297A1B9"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A1BA"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z 98,1</w:t>
            </w:r>
          </w:p>
        </w:tc>
        <w:tc>
          <w:tcPr>
            <w:tcW w:w="1360" w:type="dxa"/>
            <w:tcBorders>
              <w:left w:val="single" w:sz="4" w:space="0" w:color="auto"/>
              <w:bottom w:val="nil"/>
            </w:tcBorders>
            <w:vAlign w:val="bottom"/>
          </w:tcPr>
          <w:p w14:paraId="5297A1BB"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100</w:t>
            </w:r>
          </w:p>
          <w:p w14:paraId="5297A1BC"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A1BD"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s 93,0</w:t>
            </w:r>
          </w:p>
        </w:tc>
      </w:tr>
      <w:tr w:rsidR="00FF48C2" w:rsidRPr="004A59B1" w14:paraId="5297A1CC" w14:textId="77777777" w:rsidTr="000A6242">
        <w:trPr>
          <w:cantSplit/>
        </w:trPr>
        <w:tc>
          <w:tcPr>
            <w:tcW w:w="934" w:type="dxa"/>
            <w:vMerge/>
            <w:shd w:val="clear" w:color="auto" w:fill="auto"/>
          </w:tcPr>
          <w:p w14:paraId="5297A1BF" w14:textId="77777777" w:rsidR="00FF48C2" w:rsidRPr="004A59B1" w:rsidRDefault="00FF48C2" w:rsidP="000A6242">
            <w:pPr>
              <w:pStyle w:val="Table"/>
              <w:widowControl w:val="0"/>
              <w:spacing w:before="0" w:after="0"/>
              <w:rPr>
                <w:rFonts w:ascii="Times New Roman" w:hAnsi="Times New Roman"/>
                <w:color w:val="000000"/>
                <w:sz w:val="22"/>
                <w:szCs w:val="22"/>
              </w:rPr>
            </w:pPr>
          </w:p>
        </w:tc>
        <w:tc>
          <w:tcPr>
            <w:tcW w:w="1316" w:type="dxa"/>
            <w:tcBorders>
              <w:top w:val="nil"/>
              <w:bottom w:val="nil"/>
              <w:right w:val="single" w:sz="4" w:space="0" w:color="auto"/>
            </w:tcBorders>
            <w:vAlign w:val="bottom"/>
          </w:tcPr>
          <w:p w14:paraId="5297A1C0" w14:textId="77777777" w:rsidR="00FF48C2" w:rsidRPr="004A59B1" w:rsidRDefault="00FF48C2" w:rsidP="000A6242">
            <w:pPr>
              <w:pStyle w:val="Table"/>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majhno</w:t>
            </w:r>
          </w:p>
        </w:tc>
        <w:tc>
          <w:tcPr>
            <w:tcW w:w="961" w:type="dxa"/>
            <w:tcBorders>
              <w:top w:val="nil"/>
              <w:left w:val="single" w:sz="4" w:space="0" w:color="auto"/>
              <w:bottom w:val="nil"/>
              <w:right w:val="single" w:sz="4" w:space="0" w:color="auto"/>
            </w:tcBorders>
            <w:vAlign w:val="bottom"/>
          </w:tcPr>
          <w:p w14:paraId="5297A1C1"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25,0</w:t>
            </w:r>
          </w:p>
        </w:tc>
        <w:tc>
          <w:tcPr>
            <w:tcW w:w="1717" w:type="dxa"/>
            <w:tcBorders>
              <w:top w:val="nil"/>
              <w:left w:val="single" w:sz="4" w:space="0" w:color="auto"/>
              <w:bottom w:val="nil"/>
              <w:right w:val="single" w:sz="4" w:space="0" w:color="auto"/>
            </w:tcBorders>
            <w:vAlign w:val="bottom"/>
          </w:tcPr>
          <w:p w14:paraId="5297A1C2"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2/70</w:t>
            </w:r>
          </w:p>
          <w:p w14:paraId="5297A1C3"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A1C4"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z 0/69</w:t>
            </w:r>
          </w:p>
        </w:tc>
        <w:tc>
          <w:tcPr>
            <w:tcW w:w="1357" w:type="dxa"/>
            <w:tcBorders>
              <w:top w:val="nil"/>
              <w:left w:val="single" w:sz="4" w:space="0" w:color="auto"/>
              <w:bottom w:val="nil"/>
              <w:right w:val="single" w:sz="4" w:space="0" w:color="auto"/>
            </w:tcBorders>
            <w:vAlign w:val="bottom"/>
          </w:tcPr>
          <w:p w14:paraId="5297A1C5"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NO</w:t>
            </w:r>
          </w:p>
        </w:tc>
        <w:tc>
          <w:tcPr>
            <w:tcW w:w="1440" w:type="dxa"/>
            <w:tcBorders>
              <w:top w:val="nil"/>
              <w:left w:val="single" w:sz="4" w:space="0" w:color="auto"/>
              <w:bottom w:val="nil"/>
              <w:right w:val="single" w:sz="4" w:space="0" w:color="auto"/>
            </w:tcBorders>
            <w:vAlign w:val="bottom"/>
          </w:tcPr>
          <w:p w14:paraId="5297A1C6"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100</w:t>
            </w:r>
          </w:p>
          <w:p w14:paraId="5297A1C7"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A1C8"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s 100</w:t>
            </w:r>
          </w:p>
        </w:tc>
        <w:tc>
          <w:tcPr>
            <w:tcW w:w="1360" w:type="dxa"/>
            <w:tcBorders>
              <w:top w:val="nil"/>
              <w:left w:val="single" w:sz="4" w:space="0" w:color="auto"/>
              <w:bottom w:val="nil"/>
            </w:tcBorders>
            <w:vAlign w:val="bottom"/>
          </w:tcPr>
          <w:p w14:paraId="5297A1C9"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97,8</w:t>
            </w:r>
          </w:p>
          <w:p w14:paraId="5297A1CA"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A1CB"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s 100</w:t>
            </w:r>
          </w:p>
        </w:tc>
      </w:tr>
      <w:tr w:rsidR="00FF48C2" w:rsidRPr="004A59B1" w14:paraId="5297A1DB" w14:textId="77777777" w:rsidTr="000A6242">
        <w:trPr>
          <w:cantSplit/>
        </w:trPr>
        <w:tc>
          <w:tcPr>
            <w:tcW w:w="934" w:type="dxa"/>
            <w:vMerge/>
            <w:shd w:val="clear" w:color="auto" w:fill="auto"/>
          </w:tcPr>
          <w:p w14:paraId="5297A1CD" w14:textId="77777777" w:rsidR="00FF48C2" w:rsidRPr="004A59B1" w:rsidRDefault="00FF48C2" w:rsidP="000A6242">
            <w:pPr>
              <w:pStyle w:val="Table"/>
              <w:widowControl w:val="0"/>
              <w:spacing w:before="0" w:after="0"/>
              <w:rPr>
                <w:rFonts w:ascii="Times New Roman" w:hAnsi="Times New Roman"/>
                <w:b/>
                <w:color w:val="000000"/>
                <w:sz w:val="22"/>
                <w:szCs w:val="22"/>
              </w:rPr>
            </w:pPr>
          </w:p>
        </w:tc>
        <w:tc>
          <w:tcPr>
            <w:tcW w:w="1316" w:type="dxa"/>
            <w:tcBorders>
              <w:top w:val="nil"/>
              <w:bottom w:val="nil"/>
              <w:right w:val="single" w:sz="4" w:space="0" w:color="auto"/>
            </w:tcBorders>
            <w:vAlign w:val="bottom"/>
          </w:tcPr>
          <w:p w14:paraId="5297A1CE" w14:textId="77777777" w:rsidR="00FF48C2" w:rsidRPr="004A59B1" w:rsidRDefault="00FF48C2" w:rsidP="000A6242">
            <w:pPr>
              <w:pStyle w:val="Table"/>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zmerno</w:t>
            </w:r>
          </w:p>
        </w:tc>
        <w:tc>
          <w:tcPr>
            <w:tcW w:w="961" w:type="dxa"/>
            <w:tcBorders>
              <w:top w:val="nil"/>
              <w:left w:val="single" w:sz="4" w:space="0" w:color="auto"/>
              <w:bottom w:val="nil"/>
              <w:right w:val="single" w:sz="4" w:space="0" w:color="auto"/>
            </w:tcBorders>
            <w:vAlign w:val="bottom"/>
          </w:tcPr>
          <w:p w14:paraId="5297A1CF"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24,6</w:t>
            </w:r>
          </w:p>
        </w:tc>
        <w:tc>
          <w:tcPr>
            <w:tcW w:w="1717" w:type="dxa"/>
            <w:tcBorders>
              <w:top w:val="nil"/>
              <w:left w:val="single" w:sz="4" w:space="0" w:color="auto"/>
              <w:bottom w:val="nil"/>
              <w:right w:val="single" w:sz="4" w:space="0" w:color="auto"/>
            </w:tcBorders>
            <w:vAlign w:val="bottom"/>
          </w:tcPr>
          <w:p w14:paraId="5297A1D0"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2/70</w:t>
            </w:r>
          </w:p>
          <w:p w14:paraId="5297A1D1"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A1D2"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z 11/67</w:t>
            </w:r>
          </w:p>
        </w:tc>
        <w:tc>
          <w:tcPr>
            <w:tcW w:w="1357" w:type="dxa"/>
            <w:tcBorders>
              <w:top w:val="nil"/>
              <w:left w:val="single" w:sz="4" w:space="0" w:color="auto"/>
              <w:bottom w:val="nil"/>
              <w:right w:val="single" w:sz="4" w:space="0" w:color="auto"/>
            </w:tcBorders>
            <w:vAlign w:val="bottom"/>
          </w:tcPr>
          <w:p w14:paraId="5297A1D3"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0,16</w:t>
            </w:r>
          </w:p>
          <w:p w14:paraId="5297A1D4"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(0,03; 0,70)</w:t>
            </w:r>
          </w:p>
        </w:tc>
        <w:tc>
          <w:tcPr>
            <w:tcW w:w="1440" w:type="dxa"/>
            <w:tcBorders>
              <w:top w:val="nil"/>
              <w:left w:val="single" w:sz="4" w:space="0" w:color="auto"/>
              <w:bottom w:val="nil"/>
              <w:right w:val="single" w:sz="4" w:space="0" w:color="auto"/>
            </w:tcBorders>
            <w:vAlign w:val="bottom"/>
          </w:tcPr>
          <w:p w14:paraId="5297A1D5"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97,9</w:t>
            </w:r>
          </w:p>
          <w:p w14:paraId="5297A1D6"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A1D7"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z 90,8</w:t>
            </w:r>
          </w:p>
        </w:tc>
        <w:tc>
          <w:tcPr>
            <w:tcW w:w="1360" w:type="dxa"/>
            <w:tcBorders>
              <w:top w:val="nil"/>
              <w:left w:val="single" w:sz="4" w:space="0" w:color="auto"/>
              <w:bottom w:val="nil"/>
            </w:tcBorders>
            <w:vAlign w:val="bottom"/>
          </w:tcPr>
          <w:p w14:paraId="5297A1D8"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97,9</w:t>
            </w:r>
          </w:p>
          <w:p w14:paraId="5297A1D9"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A1DA"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s 73,3</w:t>
            </w:r>
          </w:p>
        </w:tc>
      </w:tr>
      <w:tr w:rsidR="00FF48C2" w:rsidRPr="004A59B1" w14:paraId="5297A1EA" w14:textId="77777777" w:rsidTr="000A6242">
        <w:trPr>
          <w:cantSplit/>
        </w:trPr>
        <w:tc>
          <w:tcPr>
            <w:tcW w:w="934" w:type="dxa"/>
            <w:vMerge/>
            <w:tcBorders>
              <w:bottom w:val="single" w:sz="4" w:space="0" w:color="auto"/>
            </w:tcBorders>
            <w:shd w:val="clear" w:color="auto" w:fill="auto"/>
          </w:tcPr>
          <w:p w14:paraId="5297A1DC" w14:textId="77777777" w:rsidR="00FF48C2" w:rsidRPr="004A59B1" w:rsidRDefault="00FF48C2" w:rsidP="000A6242">
            <w:pPr>
              <w:pStyle w:val="Table"/>
              <w:widowControl w:val="0"/>
              <w:spacing w:before="0" w:after="0"/>
              <w:rPr>
                <w:rFonts w:ascii="Times New Roman" w:hAnsi="Times New Roman"/>
                <w:color w:val="000000"/>
                <w:sz w:val="22"/>
                <w:szCs w:val="22"/>
              </w:rPr>
            </w:pPr>
          </w:p>
        </w:tc>
        <w:tc>
          <w:tcPr>
            <w:tcW w:w="1316" w:type="dxa"/>
            <w:tcBorders>
              <w:top w:val="nil"/>
              <w:bottom w:val="single" w:sz="4" w:space="0" w:color="auto"/>
              <w:right w:val="single" w:sz="4" w:space="0" w:color="auto"/>
            </w:tcBorders>
            <w:vAlign w:val="bottom"/>
          </w:tcPr>
          <w:p w14:paraId="5297A1DD" w14:textId="77777777" w:rsidR="00FF48C2" w:rsidRPr="004A59B1" w:rsidRDefault="00FF48C2" w:rsidP="000A6242">
            <w:pPr>
              <w:pStyle w:val="Table"/>
              <w:widowControl w:val="0"/>
              <w:spacing w:before="0" w:after="0"/>
              <w:rPr>
                <w:rFonts w:ascii="Times New Roman" w:hAnsi="Times New Roman"/>
                <w:color w:val="000000"/>
                <w:sz w:val="22"/>
                <w:szCs w:val="22"/>
              </w:rPr>
            </w:pPr>
            <w:r w:rsidRPr="004A59B1">
              <w:rPr>
                <w:rFonts w:ascii="Times New Roman" w:hAnsi="Times New Roman"/>
                <w:color w:val="000000"/>
                <w:sz w:val="22"/>
                <w:szCs w:val="22"/>
              </w:rPr>
              <w:t>veliko</w:t>
            </w:r>
          </w:p>
        </w:tc>
        <w:tc>
          <w:tcPr>
            <w:tcW w:w="961" w:type="dxa"/>
            <w:tcBorders>
              <w:top w:val="nil"/>
              <w:left w:val="single" w:sz="4" w:space="0" w:color="auto"/>
              <w:bottom w:val="single" w:sz="4" w:space="0" w:color="auto"/>
              <w:right w:val="single" w:sz="4" w:space="0" w:color="auto"/>
            </w:tcBorders>
            <w:vAlign w:val="bottom"/>
          </w:tcPr>
          <w:p w14:paraId="5297A1DE" w14:textId="77777777" w:rsidR="00FF48C2" w:rsidRPr="004A59B1" w:rsidRDefault="00FF48C2" w:rsidP="000A6242">
            <w:pPr>
              <w:pStyle w:val="Table"/>
              <w:widowControl w:val="0"/>
              <w:spacing w:before="0" w:after="0"/>
              <w:ind w:right="-3"/>
              <w:jc w:val="center"/>
              <w:rPr>
                <w:rFonts w:ascii="Times New Roman" w:hAnsi="Times New Roman"/>
                <w:color w:val="000000"/>
                <w:sz w:val="22"/>
                <w:szCs w:val="22"/>
              </w:rPr>
            </w:pPr>
            <w:r w:rsidRPr="004A59B1">
              <w:rPr>
                <w:rFonts w:ascii="Times New Roman" w:hAnsi="Times New Roman"/>
                <w:color w:val="000000"/>
                <w:sz w:val="22"/>
                <w:szCs w:val="22"/>
              </w:rPr>
              <w:t>29,7</w:t>
            </w:r>
          </w:p>
        </w:tc>
        <w:tc>
          <w:tcPr>
            <w:tcW w:w="1717" w:type="dxa"/>
            <w:tcBorders>
              <w:top w:val="nil"/>
              <w:left w:val="single" w:sz="4" w:space="0" w:color="auto"/>
              <w:bottom w:val="single" w:sz="4" w:space="0" w:color="auto"/>
              <w:right w:val="single" w:sz="4" w:space="0" w:color="auto"/>
            </w:tcBorders>
            <w:vAlign w:val="bottom"/>
          </w:tcPr>
          <w:p w14:paraId="5297A1DF"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16/84</w:t>
            </w:r>
          </w:p>
          <w:p w14:paraId="5297A1E0"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A1E1"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z 39/81</w:t>
            </w:r>
          </w:p>
        </w:tc>
        <w:tc>
          <w:tcPr>
            <w:tcW w:w="1357" w:type="dxa"/>
            <w:tcBorders>
              <w:top w:val="nil"/>
              <w:left w:val="single" w:sz="4" w:space="0" w:color="auto"/>
              <w:bottom w:val="single" w:sz="4" w:space="0" w:color="auto"/>
              <w:right w:val="single" w:sz="4" w:space="0" w:color="auto"/>
            </w:tcBorders>
            <w:vAlign w:val="bottom"/>
          </w:tcPr>
          <w:p w14:paraId="5297A1E2"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0,27</w:t>
            </w:r>
          </w:p>
          <w:p w14:paraId="5297A1E3"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(0,15; 0,48)</w:t>
            </w:r>
          </w:p>
        </w:tc>
        <w:tc>
          <w:tcPr>
            <w:tcW w:w="1440" w:type="dxa"/>
            <w:tcBorders>
              <w:top w:val="nil"/>
              <w:left w:val="single" w:sz="4" w:space="0" w:color="auto"/>
              <w:bottom w:val="single" w:sz="4" w:space="0" w:color="auto"/>
              <w:right w:val="single" w:sz="4" w:space="0" w:color="auto"/>
            </w:tcBorders>
            <w:vAlign w:val="bottom"/>
          </w:tcPr>
          <w:p w14:paraId="5297A1E4"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98,7</w:t>
            </w:r>
          </w:p>
          <w:p w14:paraId="5297A1E5"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A1E6"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s 56,1</w:t>
            </w:r>
          </w:p>
        </w:tc>
        <w:tc>
          <w:tcPr>
            <w:tcW w:w="1360" w:type="dxa"/>
            <w:tcBorders>
              <w:top w:val="nil"/>
              <w:left w:val="single" w:sz="4" w:space="0" w:color="auto"/>
              <w:bottom w:val="single" w:sz="4" w:space="0" w:color="auto"/>
            </w:tcBorders>
            <w:vAlign w:val="bottom"/>
          </w:tcPr>
          <w:p w14:paraId="5297A1E7"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79,9</w:t>
            </w:r>
          </w:p>
          <w:p w14:paraId="5297A1E8"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v pr.</w:t>
            </w:r>
          </w:p>
          <w:p w14:paraId="5297A1E9" w14:textId="77777777" w:rsidR="00FF48C2" w:rsidRPr="004A59B1" w:rsidRDefault="00FF48C2" w:rsidP="000A6242">
            <w:pPr>
              <w:pStyle w:val="Table"/>
              <w:widowControl w:val="0"/>
              <w:spacing w:before="0" w:after="0"/>
              <w:jc w:val="center"/>
              <w:rPr>
                <w:rFonts w:ascii="Times New Roman" w:hAnsi="Times New Roman"/>
                <w:color w:val="000000"/>
                <w:sz w:val="22"/>
                <w:szCs w:val="22"/>
              </w:rPr>
            </w:pPr>
            <w:r w:rsidRPr="004A59B1">
              <w:rPr>
                <w:rFonts w:ascii="Times New Roman" w:hAnsi="Times New Roman"/>
                <w:color w:val="000000"/>
                <w:sz w:val="22"/>
                <w:szCs w:val="22"/>
              </w:rPr>
              <w:t>z 41,5</w:t>
            </w:r>
          </w:p>
        </w:tc>
      </w:tr>
    </w:tbl>
    <w:p w14:paraId="5297A1EB" w14:textId="77777777" w:rsidR="00FF48C2" w:rsidRPr="004A59B1" w:rsidRDefault="00FF48C2" w:rsidP="000A6242">
      <w:pPr>
        <w:pStyle w:val="Text"/>
        <w:keepNext/>
        <w:keepLines/>
        <w:widowControl w:val="0"/>
        <w:spacing w:before="0"/>
        <w:rPr>
          <w:color w:val="000000"/>
          <w:sz w:val="22"/>
          <w:szCs w:val="22"/>
          <w:lang w:val="es-ES"/>
        </w:rPr>
      </w:pPr>
      <w:r w:rsidRPr="004A59B1">
        <w:rPr>
          <w:color w:val="000000"/>
          <w:sz w:val="22"/>
          <w:szCs w:val="22"/>
          <w:lang w:val="es-ES"/>
        </w:rPr>
        <w:t>* celotno obdobje spremljanja; NO – ni mogoče oceniti</w:t>
      </w:r>
    </w:p>
    <w:p w14:paraId="5297A1EC" w14:textId="77777777" w:rsidR="00FF48C2" w:rsidRPr="004A59B1" w:rsidRDefault="00FF48C2" w:rsidP="000A6242">
      <w:pPr>
        <w:pStyle w:val="Text"/>
        <w:widowControl w:val="0"/>
        <w:spacing w:before="0"/>
        <w:rPr>
          <w:rFonts w:eastAsia="MS Mincho"/>
          <w:color w:val="000000"/>
          <w:lang w:val="es-ES" w:eastAsia="ja-JP"/>
        </w:rPr>
      </w:pPr>
    </w:p>
    <w:p w14:paraId="5297A1ED" w14:textId="77777777" w:rsidR="00FF48C2" w:rsidRPr="004A59B1" w:rsidRDefault="00FF48C2" w:rsidP="009C1193">
      <w:pPr>
        <w:widowControl w:val="0"/>
        <w:tabs>
          <w:tab w:val="clear" w:pos="567"/>
        </w:tabs>
        <w:spacing w:line="240" w:lineRule="auto"/>
        <w:rPr>
          <w:rFonts w:eastAsia="MS Mincho"/>
          <w:iCs/>
          <w:szCs w:val="22"/>
          <w:lang w:val="es-ES" w:eastAsia="ja-JP"/>
        </w:rPr>
      </w:pPr>
      <w:r w:rsidRPr="004A59B1">
        <w:rPr>
          <w:rFonts w:eastAsia="MS Mincho"/>
          <w:color w:val="000000"/>
          <w:szCs w:val="22"/>
          <w:lang w:val="es-ES" w:eastAsia="ja-JP"/>
        </w:rPr>
        <w:t>V drugi multicentrični, odprti študiji faze III (</w:t>
      </w:r>
      <w:r w:rsidRPr="004A59B1">
        <w:rPr>
          <w:rFonts w:eastAsia="MS Mincho"/>
          <w:szCs w:val="22"/>
          <w:lang w:val="es-ES" w:eastAsia="ja-JP"/>
        </w:rPr>
        <w:t>SSG XVIII/AIO</w:t>
      </w:r>
      <w:r w:rsidRPr="004A59B1">
        <w:rPr>
          <w:rFonts w:eastAsia="MS Mincho"/>
          <w:color w:val="000000"/>
          <w:szCs w:val="22"/>
          <w:lang w:val="es-ES" w:eastAsia="ja-JP"/>
        </w:rPr>
        <w:t xml:space="preserve">) so primerjali 12-mesečno zdravljenje z odmerkom </w:t>
      </w:r>
      <w:r w:rsidRPr="004A59B1">
        <w:rPr>
          <w:rFonts w:eastAsia="MS Mincho"/>
          <w:szCs w:val="22"/>
          <w:lang w:val="es-ES" w:eastAsia="ja-JP"/>
        </w:rPr>
        <w:t xml:space="preserve">400 mg zdravila Glivec na dan s 36-mesečnim zdravljenjem pri bolnikih po kirurški resekciji GIST z eno od naslednjih možnosti: premer tumorja </w:t>
      </w:r>
      <w:r w:rsidRPr="004A59B1">
        <w:rPr>
          <w:rFonts w:eastAsia="MS Mincho"/>
          <w:iCs/>
          <w:szCs w:val="22"/>
          <w:lang w:val="es-ES" w:eastAsia="ja-JP"/>
        </w:rPr>
        <w:t>&gt; 5</w:t>
      </w:r>
      <w:r w:rsidRPr="004A59B1">
        <w:rPr>
          <w:rFonts w:eastAsia="MS Mincho"/>
          <w:szCs w:val="22"/>
          <w:lang w:val="es-ES" w:eastAsia="ja-JP"/>
        </w:rPr>
        <w:t> </w:t>
      </w:r>
      <w:r w:rsidRPr="004A59B1">
        <w:rPr>
          <w:rFonts w:eastAsia="MS Mincho"/>
          <w:iCs/>
          <w:szCs w:val="22"/>
          <w:lang w:val="es-ES" w:eastAsia="ja-JP"/>
        </w:rPr>
        <w:t>cm in število mitoz &gt; 5/50 v vidnem polju mikroskopa pri veliki povečavi (</w:t>
      </w:r>
      <w:r w:rsidR="00A968A1" w:rsidRPr="004A59B1">
        <w:rPr>
          <w:rFonts w:eastAsia="MS Mincho"/>
          <w:iCs/>
          <w:szCs w:val="22"/>
          <w:lang w:val="es-ES" w:eastAsia="ja-JP"/>
        </w:rPr>
        <w:t xml:space="preserve">HPF - </w:t>
      </w:r>
      <w:r w:rsidRPr="00304E94">
        <w:rPr>
          <w:rFonts w:eastAsia="MS Mincho"/>
          <w:i/>
          <w:iCs/>
          <w:szCs w:val="22"/>
          <w:lang w:val="es-ES" w:eastAsia="ja-JP"/>
        </w:rPr>
        <w:t>high power fields</w:t>
      </w:r>
      <w:r w:rsidRPr="004A59B1">
        <w:rPr>
          <w:rFonts w:eastAsia="MS Mincho"/>
          <w:iCs/>
          <w:szCs w:val="22"/>
          <w:lang w:val="es-ES" w:eastAsia="ja-JP"/>
        </w:rPr>
        <w:t>) ali premer tumorja &gt; 10</w:t>
      </w:r>
      <w:r w:rsidRPr="004A59B1">
        <w:rPr>
          <w:rFonts w:eastAsia="MS Mincho"/>
          <w:szCs w:val="22"/>
          <w:lang w:val="es-ES" w:eastAsia="ja-JP"/>
        </w:rPr>
        <w:t> </w:t>
      </w:r>
      <w:r w:rsidRPr="004A59B1">
        <w:rPr>
          <w:rFonts w:eastAsia="MS Mincho"/>
          <w:iCs/>
          <w:szCs w:val="22"/>
          <w:lang w:val="es-ES" w:eastAsia="ja-JP"/>
        </w:rPr>
        <w:t>cm in kakršnokoli število mitoz ali kakršnakoli velikost tumorja in število mitoz &gt; 10/50 HPF ali pa razpok tumorja v peritonealno votlino. V sodelovanje v študiji je privolilo skupaj 397</w:t>
      </w:r>
      <w:r w:rsidRPr="004A59B1">
        <w:rPr>
          <w:rFonts w:eastAsia="MS Mincho"/>
          <w:szCs w:val="22"/>
          <w:lang w:val="es-ES" w:eastAsia="ja-JP"/>
        </w:rPr>
        <w:t xml:space="preserve"> bolnikov, ki so jih randomizirali </w:t>
      </w:r>
      <w:r w:rsidRPr="004A59B1">
        <w:rPr>
          <w:rFonts w:eastAsia="MS Mincho"/>
          <w:iCs/>
          <w:szCs w:val="22"/>
          <w:lang w:val="es-ES" w:eastAsia="ja-JP"/>
        </w:rPr>
        <w:t>(199</w:t>
      </w:r>
      <w:r w:rsidRPr="004A59B1">
        <w:rPr>
          <w:rFonts w:eastAsia="MS Mincho"/>
          <w:szCs w:val="22"/>
          <w:lang w:val="es-ES" w:eastAsia="ja-JP"/>
        </w:rPr>
        <w:t xml:space="preserve"> bolnikov v skupino z 12-mesečnim zdravljenjem, </w:t>
      </w:r>
      <w:r w:rsidRPr="004A59B1">
        <w:rPr>
          <w:rFonts w:eastAsia="MS Mincho"/>
          <w:iCs/>
          <w:szCs w:val="22"/>
          <w:lang w:val="es-ES" w:eastAsia="ja-JP"/>
        </w:rPr>
        <w:t>198</w:t>
      </w:r>
      <w:r w:rsidRPr="004A59B1">
        <w:rPr>
          <w:rFonts w:eastAsia="MS Mincho"/>
          <w:szCs w:val="22"/>
          <w:lang w:val="es-ES" w:eastAsia="ja-JP"/>
        </w:rPr>
        <w:t> bolnikov pa v skupino s 36-mesečnim zdravljenjem</w:t>
      </w:r>
      <w:r w:rsidRPr="004A59B1">
        <w:rPr>
          <w:rFonts w:eastAsia="MS Mincho"/>
          <w:iCs/>
          <w:szCs w:val="22"/>
          <w:lang w:val="es-ES" w:eastAsia="ja-JP"/>
        </w:rPr>
        <w:t xml:space="preserve">), pri čemer je bila srednja vrednost starosti bolnikov </w:t>
      </w:r>
      <w:r w:rsidRPr="004A59B1">
        <w:rPr>
          <w:rFonts w:eastAsia="MS Mincho"/>
          <w:bCs/>
          <w:iCs/>
          <w:szCs w:val="22"/>
          <w:lang w:val="es-ES" w:eastAsia="ja-JP"/>
        </w:rPr>
        <w:t>61</w:t>
      </w:r>
      <w:r w:rsidRPr="004A59B1">
        <w:rPr>
          <w:rFonts w:eastAsia="MS Mincho"/>
          <w:szCs w:val="22"/>
          <w:lang w:val="es-ES" w:eastAsia="ja-JP"/>
        </w:rPr>
        <w:t> let</w:t>
      </w:r>
      <w:r w:rsidRPr="004A59B1">
        <w:rPr>
          <w:rFonts w:eastAsia="MS Mincho"/>
          <w:iCs/>
          <w:szCs w:val="22"/>
          <w:lang w:val="es-ES" w:eastAsia="ja-JP"/>
        </w:rPr>
        <w:t xml:space="preserve"> (v okviru od 22 do 84</w:t>
      </w:r>
      <w:r w:rsidRPr="004A59B1">
        <w:rPr>
          <w:rFonts w:eastAsia="MS Mincho"/>
          <w:szCs w:val="22"/>
          <w:lang w:val="es-ES" w:eastAsia="ja-JP"/>
        </w:rPr>
        <w:t> let</w:t>
      </w:r>
      <w:r w:rsidRPr="004A59B1">
        <w:rPr>
          <w:rFonts w:eastAsia="MS Mincho"/>
          <w:iCs/>
          <w:szCs w:val="22"/>
          <w:lang w:val="es-ES" w:eastAsia="ja-JP"/>
        </w:rPr>
        <w:t>). Srednja vrednost trajanja spremljanja bolnikov je bila 54</w:t>
      </w:r>
      <w:r w:rsidRPr="004A59B1">
        <w:rPr>
          <w:rFonts w:eastAsia="MS Mincho"/>
          <w:szCs w:val="22"/>
          <w:lang w:val="es-ES" w:eastAsia="ja-JP"/>
        </w:rPr>
        <w:t> </w:t>
      </w:r>
      <w:r w:rsidRPr="004A59B1">
        <w:rPr>
          <w:rFonts w:eastAsia="MS Mincho"/>
          <w:iCs/>
          <w:szCs w:val="22"/>
          <w:lang w:val="es-ES" w:eastAsia="ja-JP"/>
        </w:rPr>
        <w:t>mesecev (od datuma randomizacije do predvidenega zaključka zbiranja podatkov), pri čemer je med randomizacijo prvega bolnika in datumom zaključka zbiranja podatkov minilo 83</w:t>
      </w:r>
      <w:r w:rsidRPr="004A59B1">
        <w:rPr>
          <w:rFonts w:eastAsia="MS Mincho"/>
          <w:szCs w:val="22"/>
          <w:lang w:val="es-ES" w:eastAsia="ja-JP"/>
        </w:rPr>
        <w:t> </w:t>
      </w:r>
      <w:r w:rsidRPr="004A59B1">
        <w:rPr>
          <w:rFonts w:eastAsia="MS Mincho"/>
          <w:iCs/>
          <w:szCs w:val="22"/>
          <w:lang w:val="es-ES" w:eastAsia="ja-JP"/>
        </w:rPr>
        <w:t>mesecev.</w:t>
      </w:r>
    </w:p>
    <w:p w14:paraId="5297A1EE" w14:textId="77777777" w:rsidR="00FF48C2" w:rsidRPr="004A59B1" w:rsidRDefault="00FF48C2" w:rsidP="009C1193">
      <w:pPr>
        <w:widowControl w:val="0"/>
        <w:tabs>
          <w:tab w:val="clear" w:pos="567"/>
        </w:tabs>
        <w:spacing w:line="240" w:lineRule="auto"/>
        <w:rPr>
          <w:rFonts w:eastAsia="MS Mincho"/>
          <w:iCs/>
          <w:szCs w:val="22"/>
          <w:lang w:val="es-ES" w:eastAsia="ja-JP"/>
        </w:rPr>
      </w:pPr>
    </w:p>
    <w:p w14:paraId="5297A1EF" w14:textId="77777777" w:rsidR="00FF48C2" w:rsidRPr="004A59B1" w:rsidRDefault="00FF48C2" w:rsidP="009C1193">
      <w:pPr>
        <w:pStyle w:val="Text"/>
        <w:widowControl w:val="0"/>
        <w:spacing w:before="0"/>
        <w:jc w:val="left"/>
        <w:rPr>
          <w:rFonts w:eastAsia="MS Mincho"/>
          <w:color w:val="000000"/>
          <w:sz w:val="22"/>
          <w:szCs w:val="22"/>
          <w:lang w:val="es-ES" w:eastAsia="ja-JP"/>
        </w:rPr>
      </w:pPr>
      <w:r w:rsidRPr="004A59B1">
        <w:rPr>
          <w:rFonts w:eastAsia="MS Mincho"/>
          <w:color w:val="000000"/>
          <w:sz w:val="22"/>
          <w:szCs w:val="22"/>
          <w:lang w:val="es-ES" w:eastAsia="ja-JP"/>
        </w:rPr>
        <w:t>Primarni cilj opazovanja te študije je bilo preživetje brez ponovitve bolezni (RFS), ki je bilo opredeljeno kot čas od dneva randomizacije do dneva ponovitve bolezni ali smrti iz kateregakoli vzroka.</w:t>
      </w:r>
    </w:p>
    <w:p w14:paraId="5297A1F0" w14:textId="77777777" w:rsidR="00FF48C2" w:rsidRPr="004A59B1" w:rsidRDefault="00FF48C2" w:rsidP="009C1193">
      <w:pPr>
        <w:widowControl w:val="0"/>
        <w:tabs>
          <w:tab w:val="clear" w:pos="567"/>
        </w:tabs>
        <w:spacing w:line="240" w:lineRule="auto"/>
        <w:rPr>
          <w:rFonts w:eastAsia="MS Mincho"/>
          <w:szCs w:val="22"/>
          <w:lang w:val="es-ES" w:eastAsia="ja-JP"/>
        </w:rPr>
      </w:pPr>
    </w:p>
    <w:p w14:paraId="5297A1F1" w14:textId="77777777" w:rsidR="00FF48C2" w:rsidRPr="004A59B1" w:rsidRDefault="00FF48C2" w:rsidP="009C1193">
      <w:pPr>
        <w:widowControl w:val="0"/>
        <w:tabs>
          <w:tab w:val="clear" w:pos="567"/>
        </w:tabs>
        <w:spacing w:line="240" w:lineRule="auto"/>
        <w:rPr>
          <w:rFonts w:eastAsia="MS Mincho"/>
          <w:iCs/>
          <w:color w:val="000000"/>
          <w:szCs w:val="22"/>
          <w:lang w:val="es-ES" w:eastAsia="ja-JP"/>
        </w:rPr>
      </w:pPr>
      <w:r w:rsidRPr="004A59B1">
        <w:rPr>
          <w:rFonts w:eastAsia="MS Mincho"/>
          <w:iCs/>
          <w:szCs w:val="22"/>
          <w:lang w:val="es-ES" w:eastAsia="ja-JP"/>
        </w:rPr>
        <w:t xml:space="preserve">Šestintrideset (36) mesecev zdravljenja z zdravilom Glivec je </w:t>
      </w:r>
      <w:r w:rsidRPr="004A59B1">
        <w:rPr>
          <w:rFonts w:eastAsia="MS Mincho"/>
          <w:color w:val="000000"/>
          <w:szCs w:val="22"/>
          <w:lang w:val="es-ES" w:eastAsia="ja-JP"/>
        </w:rPr>
        <w:t xml:space="preserve">statistično značilno bolj podaljšalo preživetje brez ponovitve bolezni v primerjavi z 12 meseci zdravljenja z zdravilom Glivec </w:t>
      </w:r>
      <w:r w:rsidRPr="004A59B1">
        <w:rPr>
          <w:rFonts w:eastAsia="MS Mincho"/>
          <w:iCs/>
          <w:color w:val="000000"/>
          <w:szCs w:val="22"/>
          <w:lang w:val="es-ES" w:eastAsia="ja-JP"/>
        </w:rPr>
        <w:t>(z razmerjem tveganj 0,46 [0,32, 0,65], p&lt;0,0001) (preglednica</w:t>
      </w:r>
      <w:r w:rsidRPr="004A59B1">
        <w:rPr>
          <w:rFonts w:eastAsia="MS Mincho"/>
          <w:color w:val="000000"/>
          <w:szCs w:val="22"/>
          <w:lang w:val="es-ES" w:eastAsia="ja-JP"/>
        </w:rPr>
        <w:t> </w:t>
      </w:r>
      <w:r w:rsidR="00A968A1" w:rsidRPr="004A59B1">
        <w:rPr>
          <w:rFonts w:eastAsia="MS Mincho"/>
          <w:color w:val="000000"/>
          <w:szCs w:val="22"/>
          <w:lang w:val="es-ES" w:eastAsia="ja-JP"/>
        </w:rPr>
        <w:t>8</w:t>
      </w:r>
      <w:r w:rsidRPr="004A59B1">
        <w:rPr>
          <w:rFonts w:eastAsia="MS Mincho"/>
          <w:iCs/>
          <w:color w:val="000000"/>
          <w:szCs w:val="22"/>
          <w:lang w:val="es-ES" w:eastAsia="ja-JP"/>
        </w:rPr>
        <w:t>, slika</w:t>
      </w:r>
      <w:r w:rsidRPr="004A59B1">
        <w:rPr>
          <w:rFonts w:eastAsia="MS Mincho"/>
          <w:lang w:val="es-ES"/>
        </w:rPr>
        <w:t> 1</w:t>
      </w:r>
      <w:r w:rsidRPr="004A59B1">
        <w:rPr>
          <w:rFonts w:eastAsia="MS Mincho"/>
          <w:iCs/>
          <w:color w:val="000000"/>
          <w:szCs w:val="22"/>
          <w:lang w:val="es-ES" w:eastAsia="ja-JP"/>
        </w:rPr>
        <w:t>).</w:t>
      </w:r>
    </w:p>
    <w:p w14:paraId="5297A1F2" w14:textId="77777777" w:rsidR="00FF48C2" w:rsidRPr="004A59B1" w:rsidRDefault="00FF48C2" w:rsidP="009C1193">
      <w:pPr>
        <w:widowControl w:val="0"/>
        <w:tabs>
          <w:tab w:val="clear" w:pos="567"/>
        </w:tabs>
        <w:spacing w:line="240" w:lineRule="auto"/>
        <w:rPr>
          <w:rFonts w:eastAsia="MS Mincho"/>
          <w:iCs/>
          <w:color w:val="000000"/>
          <w:szCs w:val="22"/>
          <w:lang w:val="es-ES" w:eastAsia="ja-JP"/>
        </w:rPr>
      </w:pPr>
    </w:p>
    <w:p w14:paraId="5297A1F3" w14:textId="77777777" w:rsidR="00FF48C2" w:rsidRPr="004A59B1" w:rsidRDefault="00FF48C2" w:rsidP="009C1193">
      <w:pPr>
        <w:widowControl w:val="0"/>
        <w:tabs>
          <w:tab w:val="clear" w:pos="567"/>
        </w:tabs>
        <w:spacing w:line="240" w:lineRule="auto"/>
        <w:rPr>
          <w:rFonts w:eastAsia="MS Mincho"/>
          <w:iCs/>
          <w:color w:val="000000"/>
          <w:szCs w:val="22"/>
          <w:lang w:val="es-ES" w:eastAsia="ja-JP"/>
        </w:rPr>
      </w:pPr>
      <w:r w:rsidRPr="004A59B1">
        <w:rPr>
          <w:rFonts w:eastAsia="MS Mincho"/>
          <w:iCs/>
          <w:color w:val="000000"/>
          <w:szCs w:val="22"/>
          <w:lang w:val="es-ES" w:eastAsia="ja-JP"/>
        </w:rPr>
        <w:t>Poleg tega je šestintrideset (36) mesecev zdravljenja z zdravilom Glivec s</w:t>
      </w:r>
      <w:r w:rsidRPr="004A59B1">
        <w:rPr>
          <w:rFonts w:eastAsia="MS Mincho"/>
          <w:color w:val="000000"/>
          <w:szCs w:val="22"/>
          <w:lang w:val="es-ES" w:eastAsia="ja-JP"/>
        </w:rPr>
        <w:t xml:space="preserve">tatistično značilno bolj </w:t>
      </w:r>
      <w:r w:rsidRPr="004A59B1">
        <w:rPr>
          <w:rFonts w:eastAsia="MS Mincho"/>
          <w:color w:val="000000"/>
          <w:szCs w:val="22"/>
          <w:lang w:val="es-ES" w:eastAsia="ja-JP"/>
        </w:rPr>
        <w:lastRenderedPageBreak/>
        <w:t xml:space="preserve">podaljšalo </w:t>
      </w:r>
      <w:r w:rsidRPr="004A59B1">
        <w:rPr>
          <w:color w:val="000000"/>
          <w:lang w:val="sl-SI"/>
        </w:rPr>
        <w:t xml:space="preserve">celotno preživetje v primerjavi z 12-mesečnim zdravljenjem </w:t>
      </w:r>
      <w:r w:rsidRPr="004A59B1">
        <w:rPr>
          <w:rFonts w:eastAsia="MS Mincho"/>
          <w:iCs/>
          <w:color w:val="000000"/>
          <w:szCs w:val="22"/>
          <w:lang w:val="es-ES" w:eastAsia="ja-JP"/>
        </w:rPr>
        <w:t>z zdravilom Glivec (razmerje tveganj = 0,45 [0,22, 0,89], p=0,0187) (preglednica</w:t>
      </w:r>
      <w:r w:rsidRPr="004A59B1">
        <w:rPr>
          <w:rFonts w:eastAsia="MS Mincho"/>
          <w:color w:val="000000"/>
          <w:szCs w:val="22"/>
          <w:lang w:val="es-ES" w:eastAsia="ja-JP"/>
        </w:rPr>
        <w:t> </w:t>
      </w:r>
      <w:r w:rsidR="00A968A1" w:rsidRPr="004A59B1">
        <w:rPr>
          <w:rFonts w:eastAsia="MS Mincho"/>
          <w:color w:val="000000"/>
          <w:szCs w:val="22"/>
          <w:lang w:val="es-ES" w:eastAsia="ja-JP"/>
        </w:rPr>
        <w:t>8</w:t>
      </w:r>
      <w:r w:rsidRPr="004A59B1">
        <w:rPr>
          <w:rFonts w:eastAsia="MS Mincho"/>
          <w:iCs/>
          <w:color w:val="000000"/>
          <w:szCs w:val="22"/>
          <w:lang w:val="es-ES" w:eastAsia="ja-JP"/>
        </w:rPr>
        <w:t>, slika 2).</w:t>
      </w:r>
    </w:p>
    <w:p w14:paraId="5297A1F4" w14:textId="77777777" w:rsidR="00FF48C2" w:rsidRPr="004A59B1" w:rsidRDefault="00FF48C2" w:rsidP="009C1193">
      <w:pPr>
        <w:widowControl w:val="0"/>
        <w:tabs>
          <w:tab w:val="clear" w:pos="567"/>
        </w:tabs>
        <w:spacing w:line="240" w:lineRule="auto"/>
        <w:rPr>
          <w:rFonts w:eastAsia="MS Mincho"/>
          <w:iCs/>
          <w:color w:val="000000"/>
          <w:szCs w:val="22"/>
          <w:lang w:val="es-ES" w:eastAsia="ja-JP"/>
        </w:rPr>
      </w:pPr>
    </w:p>
    <w:p w14:paraId="5297A1F5" w14:textId="77777777" w:rsidR="00FF48C2" w:rsidRPr="004A59B1" w:rsidRDefault="00FF48C2" w:rsidP="009C1193">
      <w:pPr>
        <w:widowControl w:val="0"/>
        <w:rPr>
          <w:color w:val="000000"/>
          <w:lang w:val="sl-SI"/>
        </w:rPr>
      </w:pPr>
      <w:r w:rsidRPr="004A59B1">
        <w:rPr>
          <w:color w:val="000000"/>
          <w:lang w:val="sl-SI"/>
        </w:rPr>
        <w:t>Daljše trajanje zdravljenja (&gt; 36 mesecev) bi lahko podaljšalo čas do nadaljnjih ponovitev bolezni, vendar vpliv tega pojava na celotno preživetje še vedno ni znan.</w:t>
      </w:r>
    </w:p>
    <w:p w14:paraId="5297A1F6" w14:textId="77777777" w:rsidR="00FF48C2" w:rsidRPr="004A59B1" w:rsidRDefault="00FF48C2" w:rsidP="009C1193">
      <w:pPr>
        <w:widowControl w:val="0"/>
        <w:tabs>
          <w:tab w:val="clear" w:pos="567"/>
        </w:tabs>
        <w:spacing w:line="240" w:lineRule="auto"/>
        <w:rPr>
          <w:rFonts w:eastAsia="MS Mincho"/>
          <w:iCs/>
          <w:color w:val="000000"/>
          <w:szCs w:val="22"/>
          <w:lang w:val="es-ES" w:eastAsia="ja-JP"/>
        </w:rPr>
      </w:pPr>
    </w:p>
    <w:p w14:paraId="5297A1F7" w14:textId="77777777" w:rsidR="00FF48C2" w:rsidRPr="004A59B1" w:rsidRDefault="00FF48C2" w:rsidP="009C1193">
      <w:pPr>
        <w:widowControl w:val="0"/>
        <w:tabs>
          <w:tab w:val="clear" w:pos="567"/>
        </w:tabs>
        <w:spacing w:line="240" w:lineRule="auto"/>
        <w:rPr>
          <w:rFonts w:eastAsia="MS Mincho"/>
          <w:iCs/>
          <w:color w:val="000000"/>
          <w:szCs w:val="22"/>
          <w:lang w:val="es-ES" w:eastAsia="ja-JP"/>
        </w:rPr>
      </w:pPr>
      <w:r w:rsidRPr="004A59B1">
        <w:rPr>
          <w:rFonts w:eastAsia="MS Mincho"/>
          <w:iCs/>
          <w:color w:val="000000"/>
          <w:szCs w:val="22"/>
          <w:lang w:val="es-ES" w:eastAsia="ja-JP"/>
        </w:rPr>
        <w:t>V skupini z 12-mesečnim zdravljenjem je skupno umrlo 25 bolnikov, v skupini s 36-mesečnim zdravljenjem pa 12.</w:t>
      </w:r>
    </w:p>
    <w:p w14:paraId="5297A1F8" w14:textId="77777777" w:rsidR="00FF48C2" w:rsidRPr="004A59B1" w:rsidRDefault="00FF48C2" w:rsidP="009C1193">
      <w:pPr>
        <w:widowControl w:val="0"/>
        <w:tabs>
          <w:tab w:val="clear" w:pos="567"/>
        </w:tabs>
        <w:spacing w:line="240" w:lineRule="auto"/>
        <w:rPr>
          <w:rFonts w:eastAsia="MS Mincho"/>
          <w:iCs/>
          <w:color w:val="000000"/>
          <w:szCs w:val="22"/>
          <w:lang w:val="es-ES" w:eastAsia="ja-JP"/>
        </w:rPr>
      </w:pPr>
    </w:p>
    <w:p w14:paraId="5297A1F9" w14:textId="77777777" w:rsidR="00FF48C2" w:rsidRPr="004A59B1" w:rsidRDefault="00FF48C2" w:rsidP="009C1193">
      <w:pPr>
        <w:widowControl w:val="0"/>
        <w:rPr>
          <w:color w:val="000000"/>
          <w:lang w:val="sl-SI"/>
        </w:rPr>
      </w:pPr>
      <w:r w:rsidRPr="004A59B1">
        <w:rPr>
          <w:color w:val="000000"/>
          <w:lang w:val="sl-SI"/>
        </w:rPr>
        <w:t>Rezultati analize ITT, ki obsega celotno študijsko populacijo, kažejo, da je 36-mesečno zdravljenje z imatinibom boljše od 12-mesečnega zdravljenja. Rezultati načrtovane analize podatkov podskupin glede na vrsto mutacije kažejo, da je pri 36-mesečnem zdravljenju bolnikov z mutacijo eksona 11 razmerje tveganj za preživetje brez ponovitve bolezni 0,35 [95-odstotni IZ: 0,22, 0,56]. Za druge podskupine z manj pogostimi mutacijami zaključkov ni mogoče podati, ker je bilo število opazovanih dogodkov premajhno.</w:t>
      </w:r>
    </w:p>
    <w:p w14:paraId="5297A1FA" w14:textId="77777777" w:rsidR="00FF48C2" w:rsidRPr="004A59B1" w:rsidRDefault="00FF48C2" w:rsidP="009C1193">
      <w:pPr>
        <w:widowControl w:val="0"/>
        <w:tabs>
          <w:tab w:val="clear" w:pos="567"/>
        </w:tabs>
        <w:spacing w:line="240" w:lineRule="auto"/>
        <w:rPr>
          <w:rFonts w:eastAsia="MS Mincho"/>
          <w:iCs/>
          <w:szCs w:val="22"/>
          <w:lang w:val="sl-SI" w:eastAsia="ja-JP"/>
        </w:rPr>
      </w:pPr>
    </w:p>
    <w:p w14:paraId="5297A1FB" w14:textId="77777777" w:rsidR="00FF48C2" w:rsidRPr="004A59B1" w:rsidRDefault="00FF48C2" w:rsidP="009C1193">
      <w:pPr>
        <w:keepNext/>
        <w:keepLines/>
        <w:widowControl w:val="0"/>
        <w:tabs>
          <w:tab w:val="clear" w:pos="567"/>
        </w:tabs>
        <w:spacing w:line="240" w:lineRule="auto"/>
        <w:ind w:left="1701" w:hanging="1701"/>
        <w:rPr>
          <w:rFonts w:eastAsia="MS Mincho"/>
          <w:b/>
          <w:szCs w:val="22"/>
          <w:lang w:val="sl-SI" w:eastAsia="ja-JP"/>
        </w:rPr>
      </w:pPr>
      <w:r w:rsidRPr="004A59B1">
        <w:rPr>
          <w:rFonts w:eastAsia="MS Mincho"/>
          <w:b/>
          <w:szCs w:val="22"/>
          <w:lang w:val="sl-SI"/>
        </w:rPr>
        <w:t>Preglednica </w:t>
      </w:r>
      <w:r w:rsidR="00A968A1" w:rsidRPr="004A59B1">
        <w:rPr>
          <w:rFonts w:eastAsia="MS Mincho"/>
          <w:b/>
          <w:szCs w:val="22"/>
          <w:lang w:val="sl-SI"/>
        </w:rPr>
        <w:t>8</w:t>
      </w:r>
      <w:r w:rsidRPr="004A59B1">
        <w:rPr>
          <w:rFonts w:eastAsia="MS Mincho"/>
          <w:szCs w:val="22"/>
          <w:lang w:val="sl-SI"/>
        </w:rPr>
        <w:tab/>
      </w:r>
      <w:r w:rsidRPr="004A59B1">
        <w:rPr>
          <w:rFonts w:eastAsia="MS Mincho"/>
          <w:b/>
          <w:szCs w:val="22"/>
          <w:lang w:val="sl-SI" w:eastAsia="ja-JP"/>
        </w:rPr>
        <w:t>12-mesečno in 36-mesečno zdravljenje z zdravilom Glivec (študija SSGXVIII/AIO)</w:t>
      </w:r>
    </w:p>
    <w:p w14:paraId="5297A1FC" w14:textId="77777777" w:rsidR="00FF48C2" w:rsidRPr="004A59B1" w:rsidRDefault="00FF48C2" w:rsidP="009C1193">
      <w:pPr>
        <w:keepNext/>
        <w:keepLines/>
        <w:widowControl w:val="0"/>
        <w:tabs>
          <w:tab w:val="clear" w:pos="567"/>
        </w:tabs>
        <w:spacing w:line="240" w:lineRule="auto"/>
        <w:rPr>
          <w:rFonts w:eastAsia="MS Mincho"/>
          <w:szCs w:val="22"/>
          <w:lang w:val="sl-SI"/>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FF48C2" w:rsidRPr="004A59B1" w14:paraId="5297A200" w14:textId="77777777" w:rsidTr="000A6242">
        <w:trPr>
          <w:cantSplit/>
        </w:trPr>
        <w:tc>
          <w:tcPr>
            <w:tcW w:w="3099" w:type="dxa"/>
            <w:tcBorders>
              <w:top w:val="single" w:sz="4" w:space="0" w:color="auto"/>
              <w:bottom w:val="nil"/>
            </w:tcBorders>
            <w:shd w:val="clear" w:color="auto" w:fill="auto"/>
          </w:tcPr>
          <w:p w14:paraId="5297A1FD" w14:textId="77777777" w:rsidR="00FF48C2" w:rsidRPr="004A59B1" w:rsidRDefault="00FF48C2" w:rsidP="009C1193">
            <w:pPr>
              <w:keepNext/>
              <w:keepLines/>
              <w:widowControl w:val="0"/>
              <w:tabs>
                <w:tab w:val="clear" w:pos="567"/>
                <w:tab w:val="left" w:pos="284"/>
              </w:tabs>
              <w:spacing w:line="240" w:lineRule="auto"/>
              <w:rPr>
                <w:rFonts w:eastAsia="MS Mincho"/>
                <w:szCs w:val="22"/>
                <w:lang w:val="sl-SI"/>
              </w:rPr>
            </w:pPr>
          </w:p>
        </w:tc>
        <w:tc>
          <w:tcPr>
            <w:tcW w:w="3100" w:type="dxa"/>
            <w:tcBorders>
              <w:top w:val="single" w:sz="4" w:space="0" w:color="auto"/>
              <w:bottom w:val="nil"/>
            </w:tcBorders>
            <w:shd w:val="clear" w:color="auto" w:fill="auto"/>
          </w:tcPr>
          <w:p w14:paraId="5297A1FE" w14:textId="77777777" w:rsidR="00FF48C2" w:rsidRPr="004A59B1" w:rsidRDefault="00FF48C2" w:rsidP="009C1193">
            <w:pPr>
              <w:keepNext/>
              <w:keepLines/>
              <w:widowControl w:val="0"/>
              <w:tabs>
                <w:tab w:val="clear" w:pos="567"/>
                <w:tab w:val="left" w:pos="284"/>
              </w:tabs>
              <w:spacing w:line="240" w:lineRule="auto"/>
              <w:rPr>
                <w:rFonts w:eastAsia="MS Mincho"/>
                <w:b/>
                <w:szCs w:val="22"/>
                <w:lang w:val="en-US"/>
              </w:rPr>
            </w:pPr>
            <w:r w:rsidRPr="004A59B1">
              <w:rPr>
                <w:rFonts w:eastAsia="MS Mincho"/>
                <w:b/>
                <w:szCs w:val="22"/>
                <w:lang w:val="en-US"/>
              </w:rPr>
              <w:t>skupina z 12-mesečnim zdravljenjem</w:t>
            </w:r>
          </w:p>
        </w:tc>
        <w:tc>
          <w:tcPr>
            <w:tcW w:w="3100" w:type="dxa"/>
            <w:tcBorders>
              <w:top w:val="single" w:sz="4" w:space="0" w:color="auto"/>
              <w:bottom w:val="nil"/>
            </w:tcBorders>
            <w:shd w:val="clear" w:color="auto" w:fill="auto"/>
          </w:tcPr>
          <w:p w14:paraId="5297A1FF" w14:textId="77777777" w:rsidR="00FF48C2" w:rsidRPr="004A59B1" w:rsidRDefault="00FF48C2" w:rsidP="009C1193">
            <w:pPr>
              <w:keepNext/>
              <w:keepLines/>
              <w:widowControl w:val="0"/>
              <w:tabs>
                <w:tab w:val="clear" w:pos="567"/>
                <w:tab w:val="left" w:pos="284"/>
              </w:tabs>
              <w:spacing w:line="240" w:lineRule="auto"/>
              <w:rPr>
                <w:rFonts w:eastAsia="MS Mincho"/>
                <w:b/>
                <w:szCs w:val="22"/>
                <w:lang w:val="en-US"/>
              </w:rPr>
            </w:pPr>
            <w:r w:rsidRPr="004A59B1">
              <w:rPr>
                <w:rFonts w:eastAsia="MS Mincho"/>
                <w:b/>
                <w:szCs w:val="22"/>
                <w:lang w:val="en-US"/>
              </w:rPr>
              <w:t>skupina s 36-mesečnim zdravljenjem</w:t>
            </w:r>
          </w:p>
        </w:tc>
      </w:tr>
      <w:tr w:rsidR="00FF48C2" w:rsidRPr="004A59B1" w14:paraId="5297A204" w14:textId="77777777" w:rsidTr="000A6242">
        <w:trPr>
          <w:cantSplit/>
        </w:trPr>
        <w:tc>
          <w:tcPr>
            <w:tcW w:w="3099" w:type="dxa"/>
            <w:tcBorders>
              <w:top w:val="nil"/>
            </w:tcBorders>
            <w:shd w:val="clear" w:color="auto" w:fill="auto"/>
          </w:tcPr>
          <w:p w14:paraId="5297A201" w14:textId="77777777" w:rsidR="00FF48C2" w:rsidRPr="004A59B1" w:rsidRDefault="00FF48C2" w:rsidP="009C1193">
            <w:pPr>
              <w:keepNext/>
              <w:keepLines/>
              <w:widowControl w:val="0"/>
              <w:tabs>
                <w:tab w:val="clear" w:pos="567"/>
                <w:tab w:val="left" w:pos="284"/>
              </w:tabs>
              <w:spacing w:line="240" w:lineRule="auto"/>
              <w:rPr>
                <w:rFonts w:eastAsia="MS Mincho"/>
                <w:b/>
                <w:szCs w:val="22"/>
                <w:lang w:val="en-US"/>
              </w:rPr>
            </w:pPr>
            <w:r w:rsidRPr="004A59B1">
              <w:rPr>
                <w:rFonts w:eastAsia="MS Mincho"/>
                <w:b/>
                <w:szCs w:val="22"/>
                <w:lang w:val="en-US"/>
              </w:rPr>
              <w:t>preživetje brez ponovitve bolezni</w:t>
            </w:r>
          </w:p>
        </w:tc>
        <w:tc>
          <w:tcPr>
            <w:tcW w:w="3100" w:type="dxa"/>
            <w:tcBorders>
              <w:top w:val="nil"/>
            </w:tcBorders>
            <w:shd w:val="clear" w:color="auto" w:fill="auto"/>
          </w:tcPr>
          <w:p w14:paraId="5297A202" w14:textId="77777777" w:rsidR="00FF48C2" w:rsidRPr="004A59B1" w:rsidRDefault="00FF48C2" w:rsidP="009C1193">
            <w:pPr>
              <w:keepNext/>
              <w:keepLines/>
              <w:widowControl w:val="0"/>
              <w:tabs>
                <w:tab w:val="clear" w:pos="567"/>
                <w:tab w:val="left" w:pos="284"/>
              </w:tabs>
              <w:spacing w:line="240" w:lineRule="auto"/>
              <w:rPr>
                <w:rFonts w:eastAsia="MS Mincho"/>
                <w:b/>
                <w:szCs w:val="22"/>
                <w:lang w:val="en-US"/>
              </w:rPr>
            </w:pPr>
            <w:r w:rsidRPr="004A59B1">
              <w:rPr>
                <w:rFonts w:eastAsia="MS Mincho"/>
                <w:b/>
                <w:szCs w:val="22"/>
                <w:lang w:val="en-US"/>
              </w:rPr>
              <w:t>%(IZ)</w:t>
            </w:r>
          </w:p>
        </w:tc>
        <w:tc>
          <w:tcPr>
            <w:tcW w:w="3100" w:type="dxa"/>
            <w:tcBorders>
              <w:top w:val="nil"/>
            </w:tcBorders>
            <w:shd w:val="clear" w:color="auto" w:fill="auto"/>
          </w:tcPr>
          <w:p w14:paraId="5297A203" w14:textId="77777777" w:rsidR="00FF48C2" w:rsidRPr="004A59B1" w:rsidRDefault="00FF48C2" w:rsidP="009C1193">
            <w:pPr>
              <w:keepNext/>
              <w:keepLines/>
              <w:widowControl w:val="0"/>
              <w:tabs>
                <w:tab w:val="clear" w:pos="567"/>
                <w:tab w:val="left" w:pos="284"/>
              </w:tabs>
              <w:spacing w:line="240" w:lineRule="auto"/>
              <w:rPr>
                <w:rFonts w:eastAsia="MS Mincho"/>
                <w:b/>
                <w:szCs w:val="22"/>
                <w:lang w:val="en-US"/>
              </w:rPr>
            </w:pPr>
            <w:r w:rsidRPr="004A59B1">
              <w:rPr>
                <w:rFonts w:eastAsia="MS Mincho"/>
                <w:b/>
                <w:szCs w:val="22"/>
                <w:lang w:val="en-US"/>
              </w:rPr>
              <w:t>%(IZ)</w:t>
            </w:r>
          </w:p>
        </w:tc>
      </w:tr>
      <w:tr w:rsidR="00FF48C2" w:rsidRPr="004A59B1" w14:paraId="5297A208" w14:textId="77777777" w:rsidTr="000A6242">
        <w:trPr>
          <w:cantSplit/>
        </w:trPr>
        <w:tc>
          <w:tcPr>
            <w:tcW w:w="3099" w:type="dxa"/>
            <w:shd w:val="clear" w:color="auto" w:fill="auto"/>
          </w:tcPr>
          <w:p w14:paraId="5297A205" w14:textId="77777777" w:rsidR="00FF48C2" w:rsidRPr="004A59B1" w:rsidRDefault="00FF48C2" w:rsidP="009C1193">
            <w:pPr>
              <w:keepNext/>
              <w:keepLines/>
              <w:widowControl w:val="0"/>
              <w:tabs>
                <w:tab w:val="clear" w:pos="567"/>
              </w:tabs>
              <w:spacing w:line="240" w:lineRule="auto"/>
              <w:ind w:left="284"/>
              <w:rPr>
                <w:rFonts w:eastAsia="MS Mincho"/>
                <w:szCs w:val="22"/>
                <w:lang w:val="en-US"/>
              </w:rPr>
            </w:pPr>
            <w:r w:rsidRPr="004A59B1">
              <w:rPr>
                <w:rFonts w:eastAsia="MS Mincho"/>
                <w:szCs w:val="22"/>
                <w:lang w:val="en-US"/>
              </w:rPr>
              <w:t>12</w:t>
            </w:r>
            <w:r w:rsidRPr="004A59B1">
              <w:rPr>
                <w:rFonts w:eastAsia="MS Mincho"/>
                <w:szCs w:val="22"/>
                <w:lang w:val="en-US" w:eastAsia="ja-JP"/>
              </w:rPr>
              <w:t> </w:t>
            </w:r>
            <w:r w:rsidRPr="004A59B1">
              <w:rPr>
                <w:rFonts w:eastAsia="MS Mincho"/>
                <w:szCs w:val="22"/>
                <w:lang w:val="en-US"/>
              </w:rPr>
              <w:t>mesecev</w:t>
            </w:r>
          </w:p>
        </w:tc>
        <w:tc>
          <w:tcPr>
            <w:tcW w:w="3100" w:type="dxa"/>
            <w:shd w:val="clear" w:color="auto" w:fill="auto"/>
          </w:tcPr>
          <w:p w14:paraId="5297A206" w14:textId="77777777" w:rsidR="00FF48C2" w:rsidRPr="004A59B1" w:rsidRDefault="00FF48C2" w:rsidP="009C1193">
            <w:pPr>
              <w:keepNext/>
              <w:keepLines/>
              <w:widowControl w:val="0"/>
              <w:tabs>
                <w:tab w:val="clear" w:pos="567"/>
                <w:tab w:val="left" w:pos="284"/>
              </w:tabs>
              <w:spacing w:line="240" w:lineRule="auto"/>
              <w:rPr>
                <w:rFonts w:eastAsia="MS Mincho"/>
                <w:szCs w:val="22"/>
                <w:lang w:val="en-US"/>
              </w:rPr>
            </w:pPr>
            <w:r w:rsidRPr="004A59B1">
              <w:rPr>
                <w:rFonts w:eastAsia="MS Mincho"/>
                <w:szCs w:val="22"/>
                <w:lang w:val="en-US"/>
              </w:rPr>
              <w:t>93,7 (89,2</w:t>
            </w:r>
            <w:r w:rsidRPr="004A59B1">
              <w:rPr>
                <w:rFonts w:eastAsia="MS Mincho"/>
                <w:szCs w:val="22"/>
                <w:lang w:val="en-US"/>
              </w:rPr>
              <w:noBreakHyphen/>
              <w:t>96,4)</w:t>
            </w:r>
          </w:p>
        </w:tc>
        <w:tc>
          <w:tcPr>
            <w:tcW w:w="3100" w:type="dxa"/>
            <w:shd w:val="clear" w:color="auto" w:fill="auto"/>
          </w:tcPr>
          <w:p w14:paraId="5297A207" w14:textId="77777777" w:rsidR="00FF48C2" w:rsidRPr="004A59B1" w:rsidRDefault="00FF48C2" w:rsidP="009C1193">
            <w:pPr>
              <w:keepNext/>
              <w:keepLines/>
              <w:widowControl w:val="0"/>
              <w:tabs>
                <w:tab w:val="clear" w:pos="567"/>
                <w:tab w:val="left" w:pos="284"/>
              </w:tabs>
              <w:spacing w:line="240" w:lineRule="auto"/>
              <w:rPr>
                <w:rFonts w:eastAsia="MS Mincho"/>
                <w:szCs w:val="22"/>
                <w:lang w:val="en-US"/>
              </w:rPr>
            </w:pPr>
            <w:r w:rsidRPr="004A59B1">
              <w:rPr>
                <w:rFonts w:eastAsia="MS Mincho"/>
                <w:szCs w:val="22"/>
                <w:lang w:val="en-US"/>
              </w:rPr>
              <w:t>95,9 (91,9</w:t>
            </w:r>
            <w:r w:rsidRPr="004A59B1">
              <w:rPr>
                <w:rFonts w:eastAsia="MS Mincho"/>
                <w:szCs w:val="22"/>
                <w:lang w:val="en-US"/>
              </w:rPr>
              <w:noBreakHyphen/>
              <w:t>97,9)</w:t>
            </w:r>
          </w:p>
        </w:tc>
      </w:tr>
      <w:tr w:rsidR="00FF48C2" w:rsidRPr="004A59B1" w14:paraId="5297A20C" w14:textId="77777777" w:rsidTr="000A6242">
        <w:trPr>
          <w:cantSplit/>
        </w:trPr>
        <w:tc>
          <w:tcPr>
            <w:tcW w:w="3099" w:type="dxa"/>
            <w:shd w:val="clear" w:color="auto" w:fill="auto"/>
          </w:tcPr>
          <w:p w14:paraId="5297A209" w14:textId="77777777" w:rsidR="00FF48C2" w:rsidRPr="004A59B1" w:rsidRDefault="00FF48C2" w:rsidP="009C1193">
            <w:pPr>
              <w:keepNext/>
              <w:keepLines/>
              <w:widowControl w:val="0"/>
              <w:tabs>
                <w:tab w:val="clear" w:pos="567"/>
              </w:tabs>
              <w:spacing w:line="240" w:lineRule="auto"/>
              <w:ind w:left="284"/>
              <w:rPr>
                <w:rFonts w:eastAsia="MS Mincho"/>
                <w:szCs w:val="22"/>
                <w:lang w:val="en-US"/>
              </w:rPr>
            </w:pPr>
            <w:r w:rsidRPr="004A59B1">
              <w:rPr>
                <w:rFonts w:eastAsia="MS Mincho"/>
                <w:szCs w:val="22"/>
                <w:lang w:val="en-US"/>
              </w:rPr>
              <w:t>24</w:t>
            </w:r>
            <w:r w:rsidRPr="004A59B1">
              <w:rPr>
                <w:rFonts w:eastAsia="MS Mincho"/>
                <w:szCs w:val="22"/>
                <w:lang w:val="en-US" w:eastAsia="ja-JP"/>
              </w:rPr>
              <w:t> </w:t>
            </w:r>
            <w:r w:rsidRPr="004A59B1">
              <w:rPr>
                <w:rFonts w:eastAsia="MS Mincho"/>
                <w:szCs w:val="22"/>
                <w:lang w:val="en-US"/>
              </w:rPr>
              <w:t>mesecev</w:t>
            </w:r>
          </w:p>
        </w:tc>
        <w:tc>
          <w:tcPr>
            <w:tcW w:w="3100" w:type="dxa"/>
            <w:shd w:val="clear" w:color="auto" w:fill="auto"/>
          </w:tcPr>
          <w:p w14:paraId="5297A20A" w14:textId="77777777" w:rsidR="00FF48C2" w:rsidRPr="004A59B1" w:rsidRDefault="00FF48C2" w:rsidP="009C1193">
            <w:pPr>
              <w:keepNext/>
              <w:keepLines/>
              <w:widowControl w:val="0"/>
              <w:tabs>
                <w:tab w:val="clear" w:pos="567"/>
                <w:tab w:val="left" w:pos="284"/>
              </w:tabs>
              <w:spacing w:line="240" w:lineRule="auto"/>
              <w:rPr>
                <w:rFonts w:eastAsia="MS Mincho"/>
                <w:szCs w:val="22"/>
                <w:lang w:val="en-US"/>
              </w:rPr>
            </w:pPr>
            <w:r w:rsidRPr="004A59B1">
              <w:rPr>
                <w:rFonts w:eastAsia="MS Mincho"/>
                <w:szCs w:val="22"/>
                <w:lang w:val="en-US"/>
              </w:rPr>
              <w:t>75,4 (68,6</w:t>
            </w:r>
            <w:r w:rsidRPr="004A59B1">
              <w:rPr>
                <w:rFonts w:eastAsia="MS Mincho"/>
                <w:szCs w:val="22"/>
                <w:lang w:val="en-US"/>
              </w:rPr>
              <w:noBreakHyphen/>
              <w:t>81,0)</w:t>
            </w:r>
          </w:p>
        </w:tc>
        <w:tc>
          <w:tcPr>
            <w:tcW w:w="3100" w:type="dxa"/>
            <w:shd w:val="clear" w:color="auto" w:fill="auto"/>
          </w:tcPr>
          <w:p w14:paraId="5297A20B" w14:textId="77777777" w:rsidR="00FF48C2" w:rsidRPr="004A59B1" w:rsidRDefault="00FF48C2" w:rsidP="009C1193">
            <w:pPr>
              <w:keepNext/>
              <w:keepLines/>
              <w:widowControl w:val="0"/>
              <w:tabs>
                <w:tab w:val="clear" w:pos="567"/>
                <w:tab w:val="left" w:pos="284"/>
              </w:tabs>
              <w:spacing w:line="240" w:lineRule="auto"/>
              <w:rPr>
                <w:rFonts w:eastAsia="MS Mincho"/>
                <w:szCs w:val="22"/>
                <w:lang w:val="en-US"/>
              </w:rPr>
            </w:pPr>
            <w:r w:rsidRPr="004A59B1">
              <w:rPr>
                <w:rFonts w:eastAsia="MS Mincho"/>
                <w:szCs w:val="22"/>
                <w:lang w:val="en-US"/>
              </w:rPr>
              <w:t>90,7 (85,6</w:t>
            </w:r>
            <w:r w:rsidRPr="004A59B1">
              <w:rPr>
                <w:rFonts w:eastAsia="MS Mincho"/>
                <w:szCs w:val="22"/>
                <w:lang w:val="en-US"/>
              </w:rPr>
              <w:noBreakHyphen/>
              <w:t>94,0)</w:t>
            </w:r>
          </w:p>
        </w:tc>
      </w:tr>
      <w:tr w:rsidR="00FF48C2" w:rsidRPr="004A59B1" w14:paraId="5297A210" w14:textId="77777777" w:rsidTr="000A6242">
        <w:trPr>
          <w:cantSplit/>
        </w:trPr>
        <w:tc>
          <w:tcPr>
            <w:tcW w:w="3099" w:type="dxa"/>
            <w:shd w:val="clear" w:color="auto" w:fill="auto"/>
          </w:tcPr>
          <w:p w14:paraId="5297A20D" w14:textId="77777777" w:rsidR="00FF48C2" w:rsidRPr="004A59B1" w:rsidRDefault="00FF48C2" w:rsidP="009C1193">
            <w:pPr>
              <w:keepNext/>
              <w:keepLines/>
              <w:widowControl w:val="0"/>
              <w:tabs>
                <w:tab w:val="clear" w:pos="567"/>
              </w:tabs>
              <w:spacing w:line="240" w:lineRule="auto"/>
              <w:ind w:left="284"/>
              <w:rPr>
                <w:rFonts w:eastAsia="MS Mincho"/>
                <w:szCs w:val="22"/>
                <w:lang w:val="en-US"/>
              </w:rPr>
            </w:pPr>
            <w:r w:rsidRPr="004A59B1">
              <w:rPr>
                <w:rFonts w:eastAsia="MS Mincho"/>
                <w:szCs w:val="22"/>
                <w:lang w:val="en-US"/>
              </w:rPr>
              <w:t>36</w:t>
            </w:r>
            <w:r w:rsidRPr="004A59B1">
              <w:rPr>
                <w:rFonts w:eastAsia="MS Mincho"/>
                <w:szCs w:val="22"/>
                <w:lang w:val="en-US" w:eastAsia="ja-JP"/>
              </w:rPr>
              <w:t> </w:t>
            </w:r>
            <w:r w:rsidRPr="004A59B1">
              <w:rPr>
                <w:rFonts w:eastAsia="MS Mincho"/>
                <w:szCs w:val="22"/>
                <w:lang w:val="en-US"/>
              </w:rPr>
              <w:t>mesecev</w:t>
            </w:r>
          </w:p>
        </w:tc>
        <w:tc>
          <w:tcPr>
            <w:tcW w:w="3100" w:type="dxa"/>
            <w:shd w:val="clear" w:color="auto" w:fill="auto"/>
          </w:tcPr>
          <w:p w14:paraId="5297A20E" w14:textId="77777777" w:rsidR="00FF48C2" w:rsidRPr="004A59B1" w:rsidRDefault="00FF48C2" w:rsidP="009C1193">
            <w:pPr>
              <w:keepNext/>
              <w:keepLines/>
              <w:widowControl w:val="0"/>
              <w:tabs>
                <w:tab w:val="clear" w:pos="567"/>
                <w:tab w:val="left" w:pos="284"/>
              </w:tabs>
              <w:spacing w:line="240" w:lineRule="auto"/>
              <w:rPr>
                <w:rFonts w:eastAsia="MS Mincho"/>
                <w:szCs w:val="22"/>
                <w:lang w:val="en-US"/>
              </w:rPr>
            </w:pPr>
            <w:r w:rsidRPr="004A59B1">
              <w:rPr>
                <w:rFonts w:eastAsia="MS Mincho"/>
                <w:szCs w:val="22"/>
                <w:lang w:val="en-US"/>
              </w:rPr>
              <w:t>60,1 (52,5</w:t>
            </w:r>
            <w:r w:rsidRPr="004A59B1">
              <w:rPr>
                <w:rFonts w:eastAsia="MS Mincho"/>
                <w:szCs w:val="22"/>
                <w:lang w:val="en-US"/>
              </w:rPr>
              <w:noBreakHyphen/>
              <w:t>66,9)</w:t>
            </w:r>
          </w:p>
        </w:tc>
        <w:tc>
          <w:tcPr>
            <w:tcW w:w="3100" w:type="dxa"/>
            <w:shd w:val="clear" w:color="auto" w:fill="auto"/>
          </w:tcPr>
          <w:p w14:paraId="5297A20F" w14:textId="77777777" w:rsidR="00FF48C2" w:rsidRPr="004A59B1" w:rsidRDefault="00FF48C2" w:rsidP="009C1193">
            <w:pPr>
              <w:keepNext/>
              <w:keepLines/>
              <w:widowControl w:val="0"/>
              <w:tabs>
                <w:tab w:val="clear" w:pos="567"/>
                <w:tab w:val="left" w:pos="284"/>
              </w:tabs>
              <w:spacing w:line="240" w:lineRule="auto"/>
              <w:rPr>
                <w:rFonts w:eastAsia="MS Mincho"/>
                <w:szCs w:val="22"/>
                <w:lang w:val="en-US"/>
              </w:rPr>
            </w:pPr>
            <w:r w:rsidRPr="004A59B1">
              <w:rPr>
                <w:rFonts w:eastAsia="MS Mincho"/>
                <w:szCs w:val="22"/>
                <w:lang w:val="en-US"/>
              </w:rPr>
              <w:t>86,6 (80,8</w:t>
            </w:r>
            <w:r w:rsidRPr="004A59B1">
              <w:rPr>
                <w:rFonts w:eastAsia="MS Mincho"/>
                <w:szCs w:val="22"/>
                <w:lang w:val="en-US"/>
              </w:rPr>
              <w:noBreakHyphen/>
              <w:t>90,8)</w:t>
            </w:r>
          </w:p>
        </w:tc>
      </w:tr>
      <w:tr w:rsidR="00FF48C2" w:rsidRPr="004A59B1" w14:paraId="5297A214" w14:textId="77777777" w:rsidTr="000A6242">
        <w:trPr>
          <w:cantSplit/>
        </w:trPr>
        <w:tc>
          <w:tcPr>
            <w:tcW w:w="3099" w:type="dxa"/>
            <w:shd w:val="clear" w:color="auto" w:fill="auto"/>
          </w:tcPr>
          <w:p w14:paraId="5297A211" w14:textId="77777777" w:rsidR="00FF48C2" w:rsidRPr="004A59B1" w:rsidRDefault="00FF48C2" w:rsidP="009C1193">
            <w:pPr>
              <w:keepNext/>
              <w:keepLines/>
              <w:widowControl w:val="0"/>
              <w:tabs>
                <w:tab w:val="clear" w:pos="567"/>
              </w:tabs>
              <w:spacing w:line="240" w:lineRule="auto"/>
              <w:ind w:left="284"/>
              <w:rPr>
                <w:rFonts w:eastAsia="MS Mincho"/>
                <w:szCs w:val="22"/>
                <w:lang w:val="en-US"/>
              </w:rPr>
            </w:pPr>
            <w:r w:rsidRPr="004A59B1">
              <w:rPr>
                <w:rFonts w:eastAsia="MS Mincho"/>
                <w:szCs w:val="22"/>
                <w:lang w:val="en-US"/>
              </w:rPr>
              <w:t>48</w:t>
            </w:r>
            <w:r w:rsidRPr="004A59B1">
              <w:rPr>
                <w:rFonts w:eastAsia="MS Mincho"/>
                <w:szCs w:val="22"/>
                <w:lang w:val="en-US" w:eastAsia="ja-JP"/>
              </w:rPr>
              <w:t> </w:t>
            </w:r>
            <w:r w:rsidRPr="004A59B1">
              <w:rPr>
                <w:rFonts w:eastAsia="MS Mincho"/>
                <w:szCs w:val="22"/>
                <w:lang w:val="en-US"/>
              </w:rPr>
              <w:t>mesecev</w:t>
            </w:r>
          </w:p>
        </w:tc>
        <w:tc>
          <w:tcPr>
            <w:tcW w:w="3100" w:type="dxa"/>
            <w:shd w:val="clear" w:color="auto" w:fill="auto"/>
          </w:tcPr>
          <w:p w14:paraId="5297A212" w14:textId="77777777" w:rsidR="00FF48C2" w:rsidRPr="004A59B1" w:rsidRDefault="00FF48C2" w:rsidP="009C1193">
            <w:pPr>
              <w:keepNext/>
              <w:keepLines/>
              <w:widowControl w:val="0"/>
              <w:tabs>
                <w:tab w:val="clear" w:pos="567"/>
                <w:tab w:val="left" w:pos="284"/>
              </w:tabs>
              <w:spacing w:line="240" w:lineRule="auto"/>
              <w:rPr>
                <w:rFonts w:eastAsia="MS Mincho"/>
                <w:szCs w:val="22"/>
                <w:lang w:val="en-US"/>
              </w:rPr>
            </w:pPr>
            <w:r w:rsidRPr="004A59B1">
              <w:rPr>
                <w:rFonts w:eastAsia="MS Mincho"/>
                <w:szCs w:val="22"/>
                <w:lang w:val="en-US"/>
              </w:rPr>
              <w:t>52,3 (44,0</w:t>
            </w:r>
            <w:r w:rsidRPr="004A59B1">
              <w:rPr>
                <w:rFonts w:eastAsia="MS Mincho"/>
                <w:szCs w:val="22"/>
                <w:lang w:val="en-US"/>
              </w:rPr>
              <w:noBreakHyphen/>
              <w:t>59,8)</w:t>
            </w:r>
          </w:p>
        </w:tc>
        <w:tc>
          <w:tcPr>
            <w:tcW w:w="3100" w:type="dxa"/>
            <w:shd w:val="clear" w:color="auto" w:fill="auto"/>
          </w:tcPr>
          <w:p w14:paraId="5297A213" w14:textId="77777777" w:rsidR="00FF48C2" w:rsidRPr="004A59B1" w:rsidRDefault="00FF48C2" w:rsidP="009C1193">
            <w:pPr>
              <w:keepNext/>
              <w:keepLines/>
              <w:widowControl w:val="0"/>
              <w:tabs>
                <w:tab w:val="clear" w:pos="567"/>
                <w:tab w:val="left" w:pos="284"/>
              </w:tabs>
              <w:spacing w:line="240" w:lineRule="auto"/>
              <w:rPr>
                <w:rFonts w:eastAsia="MS Mincho"/>
                <w:szCs w:val="22"/>
                <w:lang w:val="en-US"/>
              </w:rPr>
            </w:pPr>
            <w:r w:rsidRPr="004A59B1">
              <w:rPr>
                <w:rFonts w:eastAsia="MS Mincho"/>
                <w:szCs w:val="22"/>
                <w:lang w:val="en-US"/>
              </w:rPr>
              <w:t>78,3 (70,8</w:t>
            </w:r>
            <w:r w:rsidRPr="004A59B1">
              <w:rPr>
                <w:rFonts w:eastAsia="MS Mincho"/>
                <w:szCs w:val="22"/>
                <w:lang w:val="en-US"/>
              </w:rPr>
              <w:noBreakHyphen/>
              <w:t>84,1)</w:t>
            </w:r>
          </w:p>
        </w:tc>
      </w:tr>
      <w:tr w:rsidR="00FF48C2" w:rsidRPr="004A59B1" w14:paraId="5297A218" w14:textId="77777777" w:rsidTr="000A6242">
        <w:trPr>
          <w:cantSplit/>
        </w:trPr>
        <w:tc>
          <w:tcPr>
            <w:tcW w:w="3099" w:type="dxa"/>
            <w:shd w:val="clear" w:color="auto" w:fill="auto"/>
          </w:tcPr>
          <w:p w14:paraId="5297A215" w14:textId="77777777" w:rsidR="00FF48C2" w:rsidRPr="004A59B1" w:rsidRDefault="00FF48C2" w:rsidP="009C1193">
            <w:pPr>
              <w:keepNext/>
              <w:keepLines/>
              <w:widowControl w:val="0"/>
              <w:tabs>
                <w:tab w:val="clear" w:pos="567"/>
              </w:tabs>
              <w:spacing w:line="240" w:lineRule="auto"/>
              <w:ind w:left="284"/>
              <w:rPr>
                <w:rFonts w:eastAsia="MS Mincho"/>
                <w:szCs w:val="22"/>
                <w:lang w:val="en-US"/>
              </w:rPr>
            </w:pPr>
            <w:r w:rsidRPr="004A59B1">
              <w:rPr>
                <w:rFonts w:eastAsia="MS Mincho"/>
                <w:szCs w:val="22"/>
                <w:lang w:val="en-US"/>
              </w:rPr>
              <w:t>60</w:t>
            </w:r>
            <w:r w:rsidRPr="004A59B1">
              <w:rPr>
                <w:rFonts w:eastAsia="MS Mincho"/>
                <w:szCs w:val="22"/>
                <w:lang w:val="en-US" w:eastAsia="ja-JP"/>
              </w:rPr>
              <w:t> </w:t>
            </w:r>
            <w:r w:rsidRPr="004A59B1">
              <w:rPr>
                <w:rFonts w:eastAsia="MS Mincho"/>
                <w:szCs w:val="22"/>
                <w:lang w:val="en-US"/>
              </w:rPr>
              <w:t>mesecev</w:t>
            </w:r>
          </w:p>
        </w:tc>
        <w:tc>
          <w:tcPr>
            <w:tcW w:w="3100" w:type="dxa"/>
            <w:shd w:val="clear" w:color="auto" w:fill="auto"/>
          </w:tcPr>
          <w:p w14:paraId="5297A216" w14:textId="77777777" w:rsidR="00FF48C2" w:rsidRPr="004A59B1" w:rsidRDefault="00FF48C2" w:rsidP="009C1193">
            <w:pPr>
              <w:keepNext/>
              <w:keepLines/>
              <w:widowControl w:val="0"/>
              <w:tabs>
                <w:tab w:val="clear" w:pos="567"/>
                <w:tab w:val="left" w:pos="284"/>
              </w:tabs>
              <w:spacing w:line="240" w:lineRule="auto"/>
              <w:rPr>
                <w:rFonts w:eastAsia="MS Mincho"/>
                <w:szCs w:val="22"/>
                <w:lang w:val="en-US"/>
              </w:rPr>
            </w:pPr>
            <w:r w:rsidRPr="004A59B1">
              <w:rPr>
                <w:rFonts w:eastAsia="MS Mincho"/>
                <w:szCs w:val="22"/>
                <w:lang w:val="en-US"/>
              </w:rPr>
              <w:t>47,9 (39,0</w:t>
            </w:r>
            <w:r w:rsidRPr="004A59B1">
              <w:rPr>
                <w:rFonts w:eastAsia="MS Mincho"/>
                <w:szCs w:val="22"/>
                <w:lang w:val="en-US"/>
              </w:rPr>
              <w:noBreakHyphen/>
              <w:t>56,3)</w:t>
            </w:r>
          </w:p>
        </w:tc>
        <w:tc>
          <w:tcPr>
            <w:tcW w:w="3100" w:type="dxa"/>
            <w:shd w:val="clear" w:color="auto" w:fill="auto"/>
          </w:tcPr>
          <w:p w14:paraId="5297A217" w14:textId="77777777" w:rsidR="00FF48C2" w:rsidRPr="004A59B1" w:rsidRDefault="00FF48C2" w:rsidP="009C1193">
            <w:pPr>
              <w:keepNext/>
              <w:keepLines/>
              <w:widowControl w:val="0"/>
              <w:tabs>
                <w:tab w:val="clear" w:pos="567"/>
                <w:tab w:val="left" w:pos="284"/>
              </w:tabs>
              <w:spacing w:line="240" w:lineRule="auto"/>
              <w:rPr>
                <w:rFonts w:eastAsia="MS Mincho"/>
                <w:szCs w:val="22"/>
                <w:lang w:val="en-US"/>
              </w:rPr>
            </w:pPr>
            <w:r w:rsidRPr="004A59B1">
              <w:rPr>
                <w:rFonts w:eastAsia="MS Mincho"/>
                <w:szCs w:val="22"/>
                <w:lang w:val="en-US"/>
              </w:rPr>
              <w:t>65,6 (56,1</w:t>
            </w:r>
            <w:r w:rsidRPr="004A59B1">
              <w:rPr>
                <w:rFonts w:eastAsia="MS Mincho"/>
                <w:szCs w:val="22"/>
                <w:lang w:val="en-US"/>
              </w:rPr>
              <w:noBreakHyphen/>
              <w:t>73,4)</w:t>
            </w:r>
          </w:p>
        </w:tc>
      </w:tr>
      <w:tr w:rsidR="00FF48C2" w:rsidRPr="004A59B1" w14:paraId="5297A21C" w14:textId="77777777" w:rsidTr="000A6242">
        <w:trPr>
          <w:cantSplit/>
        </w:trPr>
        <w:tc>
          <w:tcPr>
            <w:tcW w:w="3099" w:type="dxa"/>
            <w:shd w:val="clear" w:color="auto" w:fill="auto"/>
          </w:tcPr>
          <w:p w14:paraId="5297A219" w14:textId="77777777" w:rsidR="00FF48C2" w:rsidRPr="004A59B1" w:rsidRDefault="00FF48C2" w:rsidP="009C1193">
            <w:pPr>
              <w:keepNext/>
              <w:keepLines/>
              <w:widowControl w:val="0"/>
              <w:tabs>
                <w:tab w:val="clear" w:pos="567"/>
                <w:tab w:val="left" w:pos="284"/>
              </w:tabs>
              <w:spacing w:line="240" w:lineRule="auto"/>
              <w:rPr>
                <w:rFonts w:eastAsia="MS Mincho"/>
                <w:b/>
                <w:szCs w:val="22"/>
                <w:lang w:val="en-US"/>
              </w:rPr>
            </w:pPr>
            <w:r w:rsidRPr="004A59B1">
              <w:rPr>
                <w:rFonts w:eastAsia="MS Mincho"/>
                <w:b/>
                <w:szCs w:val="22"/>
                <w:lang w:val="en-US"/>
              </w:rPr>
              <w:t>preživetje</w:t>
            </w:r>
          </w:p>
        </w:tc>
        <w:tc>
          <w:tcPr>
            <w:tcW w:w="3100" w:type="dxa"/>
            <w:shd w:val="clear" w:color="auto" w:fill="auto"/>
          </w:tcPr>
          <w:p w14:paraId="5297A21A" w14:textId="77777777" w:rsidR="00FF48C2" w:rsidRPr="004A59B1" w:rsidRDefault="00FF48C2" w:rsidP="009C1193">
            <w:pPr>
              <w:keepNext/>
              <w:keepLines/>
              <w:widowControl w:val="0"/>
              <w:tabs>
                <w:tab w:val="clear" w:pos="567"/>
                <w:tab w:val="left" w:pos="284"/>
              </w:tabs>
              <w:spacing w:line="240" w:lineRule="auto"/>
              <w:rPr>
                <w:rFonts w:eastAsia="MS Mincho"/>
                <w:szCs w:val="22"/>
                <w:lang w:val="en-US"/>
              </w:rPr>
            </w:pPr>
          </w:p>
        </w:tc>
        <w:tc>
          <w:tcPr>
            <w:tcW w:w="3100" w:type="dxa"/>
            <w:shd w:val="clear" w:color="auto" w:fill="auto"/>
          </w:tcPr>
          <w:p w14:paraId="5297A21B" w14:textId="77777777" w:rsidR="00FF48C2" w:rsidRPr="004A59B1" w:rsidRDefault="00FF48C2" w:rsidP="009C1193">
            <w:pPr>
              <w:keepNext/>
              <w:keepLines/>
              <w:widowControl w:val="0"/>
              <w:tabs>
                <w:tab w:val="clear" w:pos="567"/>
                <w:tab w:val="left" w:pos="284"/>
              </w:tabs>
              <w:spacing w:line="240" w:lineRule="auto"/>
              <w:rPr>
                <w:rFonts w:eastAsia="MS Mincho"/>
                <w:szCs w:val="22"/>
                <w:lang w:val="en-US"/>
              </w:rPr>
            </w:pPr>
          </w:p>
        </w:tc>
      </w:tr>
      <w:tr w:rsidR="00FF48C2" w:rsidRPr="004A59B1" w14:paraId="5297A220" w14:textId="77777777" w:rsidTr="000A6242">
        <w:trPr>
          <w:cantSplit/>
        </w:trPr>
        <w:tc>
          <w:tcPr>
            <w:tcW w:w="3099" w:type="dxa"/>
            <w:shd w:val="clear" w:color="auto" w:fill="auto"/>
          </w:tcPr>
          <w:p w14:paraId="5297A21D" w14:textId="77777777" w:rsidR="00FF48C2" w:rsidRPr="004A59B1" w:rsidRDefault="00FF48C2" w:rsidP="009C1193">
            <w:pPr>
              <w:keepNext/>
              <w:keepLines/>
              <w:widowControl w:val="0"/>
              <w:tabs>
                <w:tab w:val="clear" w:pos="567"/>
              </w:tabs>
              <w:spacing w:line="240" w:lineRule="auto"/>
              <w:ind w:left="284"/>
              <w:rPr>
                <w:rFonts w:eastAsia="MS Mincho"/>
                <w:szCs w:val="22"/>
                <w:lang w:val="en-US"/>
              </w:rPr>
            </w:pPr>
            <w:r w:rsidRPr="004A59B1">
              <w:rPr>
                <w:rFonts w:eastAsia="MS Mincho"/>
                <w:szCs w:val="22"/>
                <w:lang w:val="en-US"/>
              </w:rPr>
              <w:t>36</w:t>
            </w:r>
            <w:r w:rsidRPr="004A59B1">
              <w:rPr>
                <w:rFonts w:eastAsia="MS Mincho"/>
                <w:szCs w:val="22"/>
                <w:lang w:val="en-US" w:eastAsia="ja-JP"/>
              </w:rPr>
              <w:t> </w:t>
            </w:r>
            <w:r w:rsidRPr="004A59B1">
              <w:rPr>
                <w:rFonts w:eastAsia="MS Mincho"/>
                <w:szCs w:val="22"/>
                <w:lang w:val="en-US"/>
              </w:rPr>
              <w:t>mesecev</w:t>
            </w:r>
          </w:p>
        </w:tc>
        <w:tc>
          <w:tcPr>
            <w:tcW w:w="3100" w:type="dxa"/>
            <w:shd w:val="clear" w:color="auto" w:fill="auto"/>
          </w:tcPr>
          <w:p w14:paraId="5297A21E" w14:textId="77777777" w:rsidR="00FF48C2" w:rsidRPr="004A59B1" w:rsidRDefault="00FF48C2" w:rsidP="009C1193">
            <w:pPr>
              <w:keepNext/>
              <w:keepLines/>
              <w:widowControl w:val="0"/>
              <w:tabs>
                <w:tab w:val="clear" w:pos="567"/>
                <w:tab w:val="left" w:pos="284"/>
              </w:tabs>
              <w:spacing w:line="240" w:lineRule="auto"/>
              <w:rPr>
                <w:rFonts w:eastAsia="MS Mincho"/>
                <w:szCs w:val="22"/>
                <w:lang w:val="en-US"/>
              </w:rPr>
            </w:pPr>
            <w:r w:rsidRPr="004A59B1">
              <w:rPr>
                <w:rFonts w:eastAsia="MS Mincho"/>
                <w:szCs w:val="22"/>
                <w:lang w:val="en-US"/>
              </w:rPr>
              <w:t>94,0 (89,5</w:t>
            </w:r>
            <w:r w:rsidRPr="004A59B1">
              <w:rPr>
                <w:rFonts w:eastAsia="MS Mincho"/>
                <w:szCs w:val="22"/>
                <w:lang w:val="en-US"/>
              </w:rPr>
              <w:noBreakHyphen/>
              <w:t>96,7)</w:t>
            </w:r>
          </w:p>
        </w:tc>
        <w:tc>
          <w:tcPr>
            <w:tcW w:w="3100" w:type="dxa"/>
            <w:shd w:val="clear" w:color="auto" w:fill="auto"/>
          </w:tcPr>
          <w:p w14:paraId="5297A21F" w14:textId="77777777" w:rsidR="00FF48C2" w:rsidRPr="004A59B1" w:rsidRDefault="00FF48C2" w:rsidP="009C1193">
            <w:pPr>
              <w:keepNext/>
              <w:keepLines/>
              <w:widowControl w:val="0"/>
              <w:tabs>
                <w:tab w:val="clear" w:pos="567"/>
                <w:tab w:val="left" w:pos="284"/>
              </w:tabs>
              <w:spacing w:line="240" w:lineRule="auto"/>
              <w:rPr>
                <w:rFonts w:eastAsia="MS Mincho"/>
                <w:szCs w:val="22"/>
                <w:lang w:val="en-US"/>
              </w:rPr>
            </w:pPr>
            <w:r w:rsidRPr="004A59B1">
              <w:rPr>
                <w:rFonts w:eastAsia="MS Mincho"/>
                <w:szCs w:val="22"/>
                <w:lang w:val="en-US"/>
              </w:rPr>
              <w:t>96,3 (92,4</w:t>
            </w:r>
            <w:r w:rsidRPr="004A59B1">
              <w:rPr>
                <w:rFonts w:eastAsia="MS Mincho"/>
                <w:szCs w:val="22"/>
                <w:lang w:val="en-US"/>
              </w:rPr>
              <w:noBreakHyphen/>
              <w:t>98,2)</w:t>
            </w:r>
          </w:p>
        </w:tc>
      </w:tr>
      <w:tr w:rsidR="00FF48C2" w:rsidRPr="004A59B1" w14:paraId="5297A224" w14:textId="77777777" w:rsidTr="000A6242">
        <w:trPr>
          <w:cantSplit/>
        </w:trPr>
        <w:tc>
          <w:tcPr>
            <w:tcW w:w="3099" w:type="dxa"/>
            <w:shd w:val="clear" w:color="auto" w:fill="auto"/>
          </w:tcPr>
          <w:p w14:paraId="5297A221" w14:textId="77777777" w:rsidR="00FF48C2" w:rsidRPr="004A59B1" w:rsidRDefault="00FF48C2" w:rsidP="009C1193">
            <w:pPr>
              <w:keepNext/>
              <w:keepLines/>
              <w:widowControl w:val="0"/>
              <w:tabs>
                <w:tab w:val="clear" w:pos="567"/>
              </w:tabs>
              <w:spacing w:line="240" w:lineRule="auto"/>
              <w:ind w:left="284"/>
              <w:rPr>
                <w:rFonts w:eastAsia="MS Mincho"/>
                <w:szCs w:val="22"/>
                <w:lang w:val="en-US"/>
              </w:rPr>
            </w:pPr>
            <w:r w:rsidRPr="004A59B1">
              <w:rPr>
                <w:rFonts w:eastAsia="MS Mincho"/>
                <w:szCs w:val="22"/>
                <w:lang w:val="en-US"/>
              </w:rPr>
              <w:t>48</w:t>
            </w:r>
            <w:r w:rsidRPr="004A59B1">
              <w:rPr>
                <w:rFonts w:eastAsia="MS Mincho"/>
                <w:szCs w:val="22"/>
                <w:lang w:val="en-US" w:eastAsia="ja-JP"/>
              </w:rPr>
              <w:t> </w:t>
            </w:r>
            <w:r w:rsidRPr="004A59B1">
              <w:rPr>
                <w:rFonts w:eastAsia="MS Mincho"/>
                <w:szCs w:val="22"/>
                <w:lang w:val="en-US"/>
              </w:rPr>
              <w:t>mesecev</w:t>
            </w:r>
          </w:p>
        </w:tc>
        <w:tc>
          <w:tcPr>
            <w:tcW w:w="3100" w:type="dxa"/>
            <w:shd w:val="clear" w:color="auto" w:fill="auto"/>
          </w:tcPr>
          <w:p w14:paraId="5297A222" w14:textId="77777777" w:rsidR="00FF48C2" w:rsidRPr="004A59B1" w:rsidRDefault="00FF48C2" w:rsidP="009C1193">
            <w:pPr>
              <w:keepNext/>
              <w:keepLines/>
              <w:widowControl w:val="0"/>
              <w:tabs>
                <w:tab w:val="clear" w:pos="567"/>
                <w:tab w:val="left" w:pos="284"/>
              </w:tabs>
              <w:spacing w:line="240" w:lineRule="auto"/>
              <w:rPr>
                <w:rFonts w:eastAsia="MS Mincho"/>
                <w:szCs w:val="22"/>
                <w:lang w:val="en-US"/>
              </w:rPr>
            </w:pPr>
            <w:r w:rsidRPr="004A59B1">
              <w:rPr>
                <w:rFonts w:eastAsia="MS Mincho"/>
                <w:szCs w:val="22"/>
                <w:lang w:val="en-US"/>
              </w:rPr>
              <w:t>87,9 (81,1</w:t>
            </w:r>
            <w:r w:rsidRPr="004A59B1">
              <w:rPr>
                <w:rFonts w:eastAsia="MS Mincho"/>
                <w:szCs w:val="22"/>
                <w:lang w:val="en-US"/>
              </w:rPr>
              <w:noBreakHyphen/>
              <w:t>92,3)</w:t>
            </w:r>
          </w:p>
        </w:tc>
        <w:tc>
          <w:tcPr>
            <w:tcW w:w="3100" w:type="dxa"/>
            <w:shd w:val="clear" w:color="auto" w:fill="auto"/>
          </w:tcPr>
          <w:p w14:paraId="5297A223" w14:textId="77777777" w:rsidR="00FF48C2" w:rsidRPr="004A59B1" w:rsidRDefault="00FF48C2" w:rsidP="009C1193">
            <w:pPr>
              <w:keepNext/>
              <w:keepLines/>
              <w:widowControl w:val="0"/>
              <w:tabs>
                <w:tab w:val="clear" w:pos="567"/>
                <w:tab w:val="left" w:pos="284"/>
              </w:tabs>
              <w:spacing w:line="240" w:lineRule="auto"/>
              <w:rPr>
                <w:rFonts w:eastAsia="MS Mincho"/>
                <w:szCs w:val="22"/>
                <w:lang w:val="en-US"/>
              </w:rPr>
            </w:pPr>
            <w:r w:rsidRPr="004A59B1">
              <w:rPr>
                <w:rFonts w:eastAsia="MS Mincho"/>
                <w:szCs w:val="22"/>
                <w:lang w:val="en-US"/>
              </w:rPr>
              <w:t>95,6 (91,2</w:t>
            </w:r>
            <w:r w:rsidRPr="004A59B1">
              <w:rPr>
                <w:rFonts w:eastAsia="MS Mincho"/>
                <w:szCs w:val="22"/>
                <w:lang w:val="en-US"/>
              </w:rPr>
              <w:noBreakHyphen/>
              <w:t>97,8)</w:t>
            </w:r>
          </w:p>
        </w:tc>
      </w:tr>
      <w:tr w:rsidR="00FF48C2" w:rsidRPr="004A59B1" w14:paraId="5297A228" w14:textId="77777777" w:rsidTr="000A6242">
        <w:trPr>
          <w:cantSplit/>
        </w:trPr>
        <w:tc>
          <w:tcPr>
            <w:tcW w:w="3099" w:type="dxa"/>
            <w:shd w:val="clear" w:color="auto" w:fill="auto"/>
          </w:tcPr>
          <w:p w14:paraId="5297A225" w14:textId="77777777" w:rsidR="00FF48C2" w:rsidRPr="004A59B1" w:rsidRDefault="00FF48C2" w:rsidP="009C1193">
            <w:pPr>
              <w:keepNext/>
              <w:keepLines/>
              <w:widowControl w:val="0"/>
              <w:tabs>
                <w:tab w:val="clear" w:pos="567"/>
              </w:tabs>
              <w:spacing w:line="240" w:lineRule="auto"/>
              <w:ind w:left="284"/>
              <w:rPr>
                <w:rFonts w:eastAsia="MS Mincho"/>
                <w:szCs w:val="22"/>
                <w:lang w:val="en-US"/>
              </w:rPr>
            </w:pPr>
            <w:r w:rsidRPr="004A59B1">
              <w:rPr>
                <w:rFonts w:eastAsia="MS Mincho"/>
                <w:szCs w:val="22"/>
                <w:lang w:val="en-US"/>
              </w:rPr>
              <w:t>60</w:t>
            </w:r>
            <w:r w:rsidRPr="004A59B1">
              <w:rPr>
                <w:rFonts w:eastAsia="MS Mincho"/>
                <w:szCs w:val="22"/>
                <w:lang w:val="en-US" w:eastAsia="ja-JP"/>
              </w:rPr>
              <w:t> </w:t>
            </w:r>
            <w:r w:rsidRPr="004A59B1">
              <w:rPr>
                <w:rFonts w:eastAsia="MS Mincho"/>
                <w:szCs w:val="22"/>
                <w:lang w:val="en-US"/>
              </w:rPr>
              <w:t>mesecev</w:t>
            </w:r>
          </w:p>
        </w:tc>
        <w:tc>
          <w:tcPr>
            <w:tcW w:w="3100" w:type="dxa"/>
            <w:shd w:val="clear" w:color="auto" w:fill="auto"/>
          </w:tcPr>
          <w:p w14:paraId="5297A226" w14:textId="77777777" w:rsidR="00FF48C2" w:rsidRPr="004A59B1" w:rsidRDefault="00FF48C2" w:rsidP="009C1193">
            <w:pPr>
              <w:keepNext/>
              <w:keepLines/>
              <w:widowControl w:val="0"/>
              <w:tabs>
                <w:tab w:val="clear" w:pos="567"/>
                <w:tab w:val="left" w:pos="284"/>
              </w:tabs>
              <w:spacing w:line="240" w:lineRule="auto"/>
              <w:rPr>
                <w:rFonts w:eastAsia="MS Mincho"/>
                <w:szCs w:val="22"/>
                <w:lang w:val="en-US"/>
              </w:rPr>
            </w:pPr>
            <w:r w:rsidRPr="004A59B1">
              <w:rPr>
                <w:rFonts w:eastAsia="MS Mincho"/>
                <w:szCs w:val="22"/>
                <w:lang w:val="en-US"/>
              </w:rPr>
              <w:t>81,7 (73,0</w:t>
            </w:r>
            <w:r w:rsidRPr="004A59B1">
              <w:rPr>
                <w:rFonts w:eastAsia="MS Mincho"/>
                <w:szCs w:val="22"/>
                <w:lang w:val="en-US"/>
              </w:rPr>
              <w:noBreakHyphen/>
              <w:t>87,8)</w:t>
            </w:r>
          </w:p>
        </w:tc>
        <w:tc>
          <w:tcPr>
            <w:tcW w:w="3100" w:type="dxa"/>
            <w:shd w:val="clear" w:color="auto" w:fill="auto"/>
          </w:tcPr>
          <w:p w14:paraId="5297A227" w14:textId="77777777" w:rsidR="00FF48C2" w:rsidRPr="004A59B1" w:rsidRDefault="00FF48C2" w:rsidP="009C1193">
            <w:pPr>
              <w:keepNext/>
              <w:keepLines/>
              <w:widowControl w:val="0"/>
              <w:tabs>
                <w:tab w:val="clear" w:pos="567"/>
                <w:tab w:val="left" w:pos="284"/>
              </w:tabs>
              <w:spacing w:line="240" w:lineRule="auto"/>
              <w:rPr>
                <w:rFonts w:eastAsia="MS Mincho"/>
                <w:szCs w:val="22"/>
                <w:lang w:val="en-US"/>
              </w:rPr>
            </w:pPr>
            <w:r w:rsidRPr="004A59B1">
              <w:rPr>
                <w:rFonts w:eastAsia="MS Mincho"/>
                <w:szCs w:val="22"/>
                <w:lang w:val="en-US"/>
              </w:rPr>
              <w:t>92,0 (85,3</w:t>
            </w:r>
            <w:r w:rsidRPr="004A59B1">
              <w:rPr>
                <w:rFonts w:eastAsia="MS Mincho"/>
                <w:szCs w:val="22"/>
                <w:lang w:val="en-US"/>
              </w:rPr>
              <w:noBreakHyphen/>
              <w:t>95,7)</w:t>
            </w:r>
          </w:p>
        </w:tc>
      </w:tr>
    </w:tbl>
    <w:p w14:paraId="5297A229" w14:textId="77777777" w:rsidR="00FF48C2" w:rsidRPr="004A59B1" w:rsidRDefault="00FF48C2" w:rsidP="009C1193">
      <w:pPr>
        <w:widowControl w:val="0"/>
        <w:tabs>
          <w:tab w:val="clear" w:pos="567"/>
        </w:tabs>
        <w:spacing w:line="240" w:lineRule="auto"/>
        <w:rPr>
          <w:rFonts w:eastAsia="MS Mincho"/>
          <w:szCs w:val="22"/>
          <w:lang w:val="en-US"/>
        </w:rPr>
      </w:pPr>
    </w:p>
    <w:p w14:paraId="5297A22A" w14:textId="77777777" w:rsidR="00FF48C2" w:rsidRPr="004A59B1" w:rsidRDefault="003B1E8C" w:rsidP="009C1193">
      <w:pPr>
        <w:pStyle w:val="Text"/>
        <w:keepNext/>
        <w:keepLines/>
        <w:widowControl w:val="0"/>
        <w:spacing w:before="0"/>
        <w:ind w:left="1134" w:hanging="1134"/>
        <w:jc w:val="left"/>
        <w:rPr>
          <w:rFonts w:eastAsia="MS Mincho"/>
          <w:color w:val="000000"/>
          <w:sz w:val="22"/>
          <w:szCs w:val="22"/>
          <w:lang w:eastAsia="ja-JP"/>
        </w:rPr>
      </w:pPr>
      <w:r w:rsidRPr="004A59B1">
        <w:rPr>
          <w:noProof/>
        </w:rPr>
        <w:lastRenderedPageBreak/>
        <mc:AlternateContent>
          <mc:Choice Requires="wps">
            <w:drawing>
              <wp:anchor distT="0" distB="0" distL="114300" distR="114300" simplePos="0" relativeHeight="251658240" behindDoc="0" locked="0" layoutInCell="1" allowOverlap="1" wp14:anchorId="5297AC28" wp14:editId="5297AC29">
                <wp:simplePos x="0" y="0"/>
                <wp:positionH relativeFrom="column">
                  <wp:posOffset>-288290</wp:posOffset>
                </wp:positionH>
                <wp:positionV relativeFrom="paragraph">
                  <wp:posOffset>203200</wp:posOffset>
                </wp:positionV>
                <wp:extent cx="335915" cy="29464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946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97AC89" w14:textId="77777777" w:rsidR="00AD188A" w:rsidRPr="00A33DBA" w:rsidRDefault="00AD188A" w:rsidP="00FF48C2">
                            <w:pPr>
                              <w:rPr>
                                <w:rFonts w:ascii="Arial" w:hAnsi="Arial" w:cs="Arial"/>
                                <w:sz w:val="20"/>
                              </w:rPr>
                            </w:pPr>
                            <w:r>
                              <w:rPr>
                                <w:rFonts w:ascii="Arial" w:hAnsi="Arial" w:cs="Arial"/>
                                <w:sz w:val="20"/>
                              </w:rPr>
                              <w:t>verjetnost preživetja brez ponovitve  bolezni</w:t>
                            </w:r>
                          </w:p>
                          <w:p w14:paraId="5297AC8A" w14:textId="77777777" w:rsidR="00AD188A" w:rsidRPr="00A33DBA" w:rsidRDefault="00AD188A" w:rsidP="00FF48C2">
                            <w:pPr>
                              <w:rPr>
                                <w:rFonts w:ascii="Arial" w:hAnsi="Arial" w:cs="Arial"/>
                                <w:sz w:val="20"/>
                              </w:rPr>
                            </w:pPr>
                          </w:p>
                          <w:p w14:paraId="5297AC8B" w14:textId="77777777" w:rsidR="00AD188A" w:rsidRPr="00A33DBA" w:rsidRDefault="00AD188A" w:rsidP="00FF48C2">
                            <w:pPr>
                              <w:rPr>
                                <w:rFonts w:ascii="Arial" w:hAnsi="Arial" w:cs="Arial"/>
                                <w:sz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97AC28" id="_x0000_s1032" type="#_x0000_t202" style="position:absolute;left:0;text-align:left;margin-left:-22.7pt;margin-top:16pt;width:26.45pt;height:2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" stroked="f">
                <v:fill opacity="0"/>
                <v:textbox style="layout-flow:vertical;mso-layout-flow-alt:bottom-to-top">
                  <w:txbxContent>
                    <w:p w14:paraId="5297AC89" w14:textId="77777777" w:rsidR="00AD188A" w:rsidRPr="00A33DBA" w:rsidRDefault="00AD188A" w:rsidP="00FF48C2">
                      <w:pPr>
                        <w:rPr>
                          <w:rFonts w:ascii="Arial" w:hAnsi="Arial" w:cs="Arial"/>
                          <w:sz w:val="20"/>
                        </w:rPr>
                      </w:pPr>
                      <w:r>
                        <w:rPr>
                          <w:rFonts w:ascii="Arial" w:hAnsi="Arial" w:cs="Arial"/>
                          <w:sz w:val="20"/>
                        </w:rPr>
                        <w:t>verjetnost preživetja brez ponovitve  bolezni</w:t>
                      </w:r>
                    </w:p>
                    <w:p w14:paraId="5297AC8A" w14:textId="77777777" w:rsidR="00AD188A" w:rsidRPr="00A33DBA" w:rsidRDefault="00AD188A" w:rsidP="00FF48C2">
                      <w:pPr>
                        <w:rPr>
                          <w:rFonts w:ascii="Arial" w:hAnsi="Arial" w:cs="Arial"/>
                          <w:sz w:val="20"/>
                        </w:rPr>
                      </w:pPr>
                    </w:p>
                    <w:p w14:paraId="5297AC8B" w14:textId="77777777" w:rsidR="00AD188A" w:rsidRPr="00A33DBA" w:rsidRDefault="00AD188A" w:rsidP="00FF48C2">
                      <w:pPr>
                        <w:rPr>
                          <w:rFonts w:ascii="Arial" w:hAnsi="Arial" w:cs="Arial"/>
                          <w:sz w:val="20"/>
                        </w:rPr>
                      </w:pPr>
                    </w:p>
                  </w:txbxContent>
                </v:textbox>
              </v:shape>
            </w:pict>
          </mc:Fallback>
        </mc:AlternateContent>
      </w:r>
      <w:r w:rsidR="00FF48C2" w:rsidRPr="004A59B1">
        <w:rPr>
          <w:rFonts w:eastAsia="MS Mincho"/>
          <w:b/>
          <w:sz w:val="22"/>
          <w:szCs w:val="22"/>
        </w:rPr>
        <w:t>Slika 1</w:t>
      </w:r>
      <w:r w:rsidR="00FF48C2" w:rsidRPr="004A59B1">
        <w:rPr>
          <w:rFonts w:eastAsia="MS Mincho"/>
          <w:b/>
          <w:sz w:val="22"/>
          <w:szCs w:val="22"/>
        </w:rPr>
        <w:tab/>
        <w:t>Ocena primarnega cilja opazovanja preživetja brez ponovitve bolezni po Kaplan-Meierjevi metodi (populacija z namenom zdravljenja -ITT)</w:t>
      </w:r>
    </w:p>
    <w:p w14:paraId="5297A22B" w14:textId="77777777" w:rsidR="00FF48C2" w:rsidRPr="004A59B1" w:rsidRDefault="00FF48C2" w:rsidP="009C1193">
      <w:pPr>
        <w:pStyle w:val="Text"/>
        <w:keepNext/>
        <w:keepLines/>
        <w:widowControl w:val="0"/>
        <w:spacing w:before="0"/>
        <w:jc w:val="left"/>
        <w:rPr>
          <w:rFonts w:eastAsia="MS Mincho"/>
          <w:color w:val="000000"/>
          <w:sz w:val="22"/>
          <w:szCs w:val="22"/>
          <w:lang w:eastAsia="ja-JP"/>
        </w:rPr>
      </w:pPr>
    </w:p>
    <w:p w14:paraId="5297A22C" w14:textId="77777777" w:rsidR="00FF48C2" w:rsidRPr="004A59B1" w:rsidRDefault="003B1E8C" w:rsidP="009C1193">
      <w:pPr>
        <w:pStyle w:val="Text"/>
        <w:keepNext/>
        <w:keepLines/>
        <w:widowControl w:val="0"/>
        <w:spacing w:before="0"/>
        <w:jc w:val="left"/>
        <w:rPr>
          <w:rFonts w:eastAsia="MS Mincho"/>
          <w:color w:val="000000"/>
          <w:sz w:val="22"/>
          <w:szCs w:val="22"/>
          <w:lang w:eastAsia="ja-JP"/>
        </w:rPr>
      </w:pPr>
      <w:r w:rsidRPr="004A59B1">
        <w:rPr>
          <w:noProof/>
        </w:rPr>
        <mc:AlternateContent>
          <mc:Choice Requires="wps">
            <w:drawing>
              <wp:anchor distT="0" distB="0" distL="114300" distR="114300" simplePos="0" relativeHeight="251659264" behindDoc="0" locked="0" layoutInCell="1" allowOverlap="1" wp14:anchorId="5297AC2A" wp14:editId="5297AC2B">
                <wp:simplePos x="0" y="0"/>
                <wp:positionH relativeFrom="column">
                  <wp:posOffset>388620</wp:posOffset>
                </wp:positionH>
                <wp:positionV relativeFrom="paragraph">
                  <wp:posOffset>1086485</wp:posOffset>
                </wp:positionV>
                <wp:extent cx="4585335" cy="132397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323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371"/>
                              <w:gridCol w:w="851"/>
                              <w:gridCol w:w="709"/>
                              <w:gridCol w:w="850"/>
                            </w:tblGrid>
                            <w:tr w:rsidR="00AD188A" w:rsidRPr="0055776F" w14:paraId="5297AC8F" w14:textId="77777777" w:rsidTr="00B910D5">
                              <w:trPr>
                                <w:gridAfter w:val="4"/>
                                <w:wAfter w:w="2781" w:type="dxa"/>
                              </w:trPr>
                              <w:tc>
                                <w:tcPr>
                                  <w:tcW w:w="3281" w:type="dxa"/>
                                  <w:gridSpan w:val="2"/>
                                  <w:shd w:val="clear" w:color="auto" w:fill="auto"/>
                                </w:tcPr>
                                <w:p w14:paraId="5297AC8C" w14:textId="77777777" w:rsidR="00AD188A" w:rsidRPr="0055776F" w:rsidRDefault="00AD188A" w:rsidP="00B910D5">
                                  <w:pPr>
                                    <w:rPr>
                                      <w:rFonts w:ascii="Arial" w:hAnsi="Arial" w:cs="Arial"/>
                                      <w:sz w:val="20"/>
                                    </w:rPr>
                                  </w:pPr>
                                  <w:r>
                                    <w:rPr>
                                      <w:rFonts w:ascii="Arial" w:hAnsi="Arial" w:cs="Arial"/>
                                      <w:sz w:val="20"/>
                                    </w:rPr>
                                    <w:t>P &lt; 0,0001</w:t>
                                  </w:r>
                                </w:p>
                                <w:p w14:paraId="5297AC8D" w14:textId="77777777" w:rsidR="00AD188A" w:rsidRPr="0055776F" w:rsidRDefault="00AD188A" w:rsidP="00B910D5">
                                  <w:pPr>
                                    <w:rPr>
                                      <w:rFonts w:ascii="Arial" w:hAnsi="Arial" w:cs="Arial"/>
                                      <w:sz w:val="20"/>
                                    </w:rPr>
                                  </w:pPr>
                                  <w:r>
                                    <w:rPr>
                                      <w:rFonts w:ascii="Arial" w:hAnsi="Arial" w:cs="Arial"/>
                                      <w:sz w:val="20"/>
                                    </w:rPr>
                                    <w:t>razmerje tveganj 0,</w:t>
                                  </w:r>
                                  <w:r w:rsidRPr="0055776F">
                                    <w:rPr>
                                      <w:rFonts w:ascii="Arial" w:hAnsi="Arial" w:cs="Arial"/>
                                      <w:sz w:val="20"/>
                                    </w:rPr>
                                    <w:t>4</w:t>
                                  </w:r>
                                  <w:r>
                                    <w:rPr>
                                      <w:rFonts w:ascii="Arial" w:hAnsi="Arial" w:cs="Arial"/>
                                      <w:sz w:val="20"/>
                                    </w:rPr>
                                    <w:t>6</w:t>
                                  </w:r>
                                </w:p>
                                <w:p w14:paraId="5297AC8E" w14:textId="77777777" w:rsidR="00AD188A" w:rsidRPr="0055776F" w:rsidRDefault="00AD188A" w:rsidP="00B910D5">
                                  <w:pPr>
                                    <w:rPr>
                                      <w:rFonts w:ascii="Arial" w:hAnsi="Arial" w:cs="Arial"/>
                                      <w:sz w:val="20"/>
                                      <w:lang w:val="de-DE"/>
                                    </w:rPr>
                                  </w:pPr>
                                  <w:r w:rsidRPr="00A33DBA">
                                    <w:rPr>
                                      <w:rFonts w:ascii="Arial" w:hAnsi="Arial" w:cs="Arial"/>
                                      <w:sz w:val="20"/>
                                    </w:rPr>
                                    <w:t>(95</w:t>
                                  </w:r>
                                  <w:r>
                                    <w:rPr>
                                      <w:rFonts w:ascii="Arial" w:hAnsi="Arial" w:cs="Arial"/>
                                      <w:sz w:val="20"/>
                                    </w:rPr>
                                    <w:t> </w:t>
                                  </w:r>
                                  <w:r w:rsidRPr="00A33DBA">
                                    <w:rPr>
                                      <w:rFonts w:ascii="Arial" w:hAnsi="Arial" w:cs="Arial"/>
                                      <w:sz w:val="20"/>
                                    </w:rPr>
                                    <w:t xml:space="preserve">% </w:t>
                                  </w:r>
                                  <w:r>
                                    <w:rPr>
                                      <w:rFonts w:ascii="Arial" w:hAnsi="Arial" w:cs="Arial"/>
                                      <w:sz w:val="20"/>
                                    </w:rPr>
                                    <w:t>IZ,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AD188A" w:rsidRPr="0055776F" w14:paraId="5297AC95" w14:textId="77777777" w:rsidTr="004D77BC">
                              <w:tc>
                                <w:tcPr>
                                  <w:tcW w:w="817" w:type="dxa"/>
                                  <w:shd w:val="clear" w:color="auto" w:fill="auto"/>
                                </w:tcPr>
                                <w:p w14:paraId="5297AC90" w14:textId="77777777" w:rsidR="00AD188A" w:rsidRPr="0055776F" w:rsidRDefault="00AD188A" w:rsidP="00747CA8">
                                  <w:pPr>
                                    <w:rPr>
                                      <w:rFonts w:ascii="Arial" w:hAnsi="Arial" w:cs="Arial"/>
                                      <w:sz w:val="20"/>
                                    </w:rPr>
                                  </w:pPr>
                                </w:p>
                              </w:tc>
                              <w:tc>
                                <w:tcPr>
                                  <w:tcW w:w="2835" w:type="dxa"/>
                                  <w:gridSpan w:val="2"/>
                                  <w:shd w:val="clear" w:color="auto" w:fill="auto"/>
                                </w:tcPr>
                                <w:p w14:paraId="5297AC91" w14:textId="77777777" w:rsidR="00AD188A" w:rsidRPr="0055776F" w:rsidRDefault="00AD188A" w:rsidP="00747CA8">
                                  <w:pPr>
                                    <w:rPr>
                                      <w:rFonts w:ascii="Arial" w:hAnsi="Arial" w:cs="Arial"/>
                                      <w:sz w:val="20"/>
                                    </w:rPr>
                                  </w:pPr>
                                </w:p>
                              </w:tc>
                              <w:tc>
                                <w:tcPr>
                                  <w:tcW w:w="851" w:type="dxa"/>
                                  <w:tcBorders>
                                    <w:bottom w:val="single" w:sz="4" w:space="0" w:color="auto"/>
                                  </w:tcBorders>
                                  <w:shd w:val="clear" w:color="auto" w:fill="auto"/>
                                </w:tcPr>
                                <w:p w14:paraId="5297AC92" w14:textId="77777777" w:rsidR="00AD188A" w:rsidRPr="004D77BC" w:rsidRDefault="00AD188A" w:rsidP="00747CA8">
                                  <w:pPr>
                                    <w:rPr>
                                      <w:rFonts w:ascii="Arial" w:hAnsi="Arial" w:cs="Arial"/>
                                      <w:sz w:val="20"/>
                                    </w:rPr>
                                  </w:pPr>
                                  <w:r w:rsidRPr="004D77BC">
                                    <w:rPr>
                                      <w:rFonts w:ascii="Arial" w:hAnsi="Arial" w:cs="Arial"/>
                                      <w:sz w:val="20"/>
                                      <w:lang w:val="de-DE"/>
                                    </w:rPr>
                                    <w:t>N</w:t>
                                  </w:r>
                                </w:p>
                              </w:tc>
                              <w:tc>
                                <w:tcPr>
                                  <w:tcW w:w="709" w:type="dxa"/>
                                  <w:tcBorders>
                                    <w:bottom w:val="single" w:sz="4" w:space="0" w:color="auto"/>
                                  </w:tcBorders>
                                  <w:shd w:val="clear" w:color="auto" w:fill="auto"/>
                                </w:tcPr>
                                <w:p w14:paraId="5297AC93" w14:textId="77777777" w:rsidR="00AD188A" w:rsidRPr="004D77BC" w:rsidRDefault="00AD188A" w:rsidP="00747CA8">
                                  <w:pPr>
                                    <w:rPr>
                                      <w:rFonts w:ascii="Arial" w:hAnsi="Arial" w:cs="Arial"/>
                                      <w:sz w:val="20"/>
                                    </w:rPr>
                                  </w:pPr>
                                  <w:r w:rsidRPr="004D77BC">
                                    <w:rPr>
                                      <w:rFonts w:ascii="Arial" w:hAnsi="Arial" w:cs="Arial"/>
                                      <w:sz w:val="20"/>
                                      <w:lang w:val="es-ES"/>
                                    </w:rPr>
                                    <w:t>dog</w:t>
                                  </w:r>
                                </w:p>
                              </w:tc>
                              <w:tc>
                                <w:tcPr>
                                  <w:tcW w:w="850" w:type="dxa"/>
                                  <w:tcBorders>
                                    <w:bottom w:val="single" w:sz="4" w:space="0" w:color="auto"/>
                                  </w:tcBorders>
                                  <w:shd w:val="clear" w:color="auto" w:fill="auto"/>
                                </w:tcPr>
                                <w:p w14:paraId="5297AC94" w14:textId="77777777" w:rsidR="00AD188A" w:rsidRPr="004D77BC" w:rsidRDefault="00AD188A" w:rsidP="00747CA8">
                                  <w:pPr>
                                    <w:rPr>
                                      <w:rFonts w:ascii="Arial" w:hAnsi="Arial" w:cs="Arial"/>
                                      <w:sz w:val="20"/>
                                    </w:rPr>
                                  </w:pPr>
                                  <w:r w:rsidRPr="004D77BC">
                                    <w:rPr>
                                      <w:rFonts w:ascii="Arial" w:hAnsi="Arial" w:cs="Arial"/>
                                      <w:sz w:val="20"/>
                                      <w:lang w:val="de-DE"/>
                                    </w:rPr>
                                    <w:t>cen</w:t>
                                  </w:r>
                                </w:p>
                              </w:tc>
                            </w:tr>
                            <w:tr w:rsidR="00AD188A" w:rsidRPr="0055776F" w14:paraId="5297AC9B" w14:textId="77777777" w:rsidTr="004D77BC">
                              <w:tc>
                                <w:tcPr>
                                  <w:tcW w:w="817" w:type="dxa"/>
                                  <w:shd w:val="clear" w:color="auto" w:fill="auto"/>
                                </w:tcPr>
                                <w:p w14:paraId="5297AC96" w14:textId="77777777" w:rsidR="00AD188A" w:rsidRPr="0055776F" w:rsidRDefault="00AD188A" w:rsidP="00747CA8">
                                  <w:pPr>
                                    <w:rPr>
                                      <w:rFonts w:ascii="Arial" w:hAnsi="Arial" w:cs="Arial"/>
                                      <w:sz w:val="20"/>
                                    </w:rPr>
                                  </w:pPr>
                                  <w:r w:rsidRPr="0055776F">
                                    <w:rPr>
                                      <w:rFonts w:ascii="Arial" w:hAnsi="Arial" w:cs="Arial"/>
                                      <w:b/>
                                      <w:sz w:val="20"/>
                                    </w:rPr>
                                    <w:t>——</w:t>
                                  </w:r>
                                </w:p>
                              </w:tc>
                              <w:tc>
                                <w:tcPr>
                                  <w:tcW w:w="2835" w:type="dxa"/>
                                  <w:gridSpan w:val="2"/>
                                  <w:shd w:val="clear" w:color="auto" w:fill="auto"/>
                                </w:tcPr>
                                <w:p w14:paraId="5297AC97" w14:textId="77777777" w:rsidR="00AD188A" w:rsidRPr="0055776F" w:rsidRDefault="00AD188A" w:rsidP="00747CA8">
                                  <w:pPr>
                                    <w:rPr>
                                      <w:rFonts w:ascii="Arial" w:hAnsi="Arial" w:cs="Arial"/>
                                      <w:sz w:val="20"/>
                                    </w:rPr>
                                  </w:pPr>
                                  <w:r>
                                    <w:rPr>
                                      <w:rFonts w:ascii="Arial" w:hAnsi="Arial" w:cs="Arial"/>
                                      <w:sz w:val="20"/>
                                      <w:lang w:val="fr-FR"/>
                                    </w:rPr>
                                    <w:t>(1) imatinib 12 </w:t>
                                  </w:r>
                                  <w:r w:rsidRPr="00F735F7">
                                    <w:rPr>
                                      <w:rFonts w:ascii="Arial" w:hAnsi="Arial" w:cs="Arial"/>
                                      <w:sz w:val="20"/>
                                      <w:lang w:val="fr-FR"/>
                                    </w:rPr>
                                    <w:t>mes.:</w:t>
                                  </w:r>
                                </w:p>
                              </w:tc>
                              <w:tc>
                                <w:tcPr>
                                  <w:tcW w:w="851" w:type="dxa"/>
                                  <w:tcBorders>
                                    <w:top w:val="single" w:sz="4" w:space="0" w:color="auto"/>
                                  </w:tcBorders>
                                  <w:shd w:val="clear" w:color="auto" w:fill="auto"/>
                                </w:tcPr>
                                <w:p w14:paraId="5297AC98" w14:textId="77777777" w:rsidR="00AD188A" w:rsidRPr="0055776F" w:rsidRDefault="00AD188A" w:rsidP="00747CA8">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5297AC99" w14:textId="77777777" w:rsidR="00AD188A" w:rsidRPr="0055776F" w:rsidRDefault="00AD188A" w:rsidP="00747CA8">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5297AC9A" w14:textId="77777777" w:rsidR="00AD188A" w:rsidRPr="0055776F" w:rsidRDefault="00AD188A" w:rsidP="00747CA8">
                                  <w:pPr>
                                    <w:rPr>
                                      <w:rFonts w:ascii="Arial" w:hAnsi="Arial" w:cs="Arial"/>
                                      <w:sz w:val="20"/>
                                    </w:rPr>
                                  </w:pPr>
                                  <w:r w:rsidRPr="0055776F">
                                    <w:rPr>
                                      <w:rFonts w:ascii="Arial" w:hAnsi="Arial" w:cs="Arial"/>
                                      <w:sz w:val="20"/>
                                    </w:rPr>
                                    <w:t>115</w:t>
                                  </w:r>
                                </w:p>
                              </w:tc>
                            </w:tr>
                            <w:tr w:rsidR="00AD188A" w:rsidRPr="0055776F" w14:paraId="5297ACA1" w14:textId="77777777" w:rsidTr="004D77BC">
                              <w:tc>
                                <w:tcPr>
                                  <w:tcW w:w="817" w:type="dxa"/>
                                  <w:shd w:val="clear" w:color="auto" w:fill="auto"/>
                                </w:tcPr>
                                <w:p w14:paraId="5297AC9C" w14:textId="77777777" w:rsidR="00AD188A" w:rsidRPr="0055776F" w:rsidRDefault="00AD188A" w:rsidP="00747CA8">
                                  <w:pPr>
                                    <w:rPr>
                                      <w:rFonts w:ascii="Arial" w:hAnsi="Arial" w:cs="Arial"/>
                                      <w:sz w:val="20"/>
                                    </w:rPr>
                                  </w:pPr>
                                  <w:r w:rsidRPr="0055776F">
                                    <w:rPr>
                                      <w:rFonts w:ascii="Arial" w:hAnsi="Arial" w:cs="Arial"/>
                                      <w:sz w:val="20"/>
                                    </w:rPr>
                                    <w:t>-----</w:t>
                                  </w:r>
                                </w:p>
                              </w:tc>
                              <w:tc>
                                <w:tcPr>
                                  <w:tcW w:w="2835" w:type="dxa"/>
                                  <w:gridSpan w:val="2"/>
                                  <w:shd w:val="clear" w:color="auto" w:fill="auto"/>
                                </w:tcPr>
                                <w:p w14:paraId="5297AC9D" w14:textId="77777777" w:rsidR="00AD188A" w:rsidRPr="0055776F" w:rsidRDefault="00AD188A" w:rsidP="00747CA8">
                                  <w:pPr>
                                    <w:rPr>
                                      <w:rFonts w:ascii="Arial" w:hAnsi="Arial" w:cs="Arial"/>
                                      <w:sz w:val="20"/>
                                    </w:rPr>
                                  </w:pPr>
                                  <w:r>
                                    <w:rPr>
                                      <w:rFonts w:ascii="Arial" w:hAnsi="Arial" w:cs="Arial"/>
                                      <w:sz w:val="20"/>
                                      <w:lang w:val="fr-FR"/>
                                    </w:rPr>
                                    <w:t>(2) imatinib 36 </w:t>
                                  </w:r>
                                  <w:r w:rsidRPr="00F735F7">
                                    <w:rPr>
                                      <w:rFonts w:ascii="Arial" w:hAnsi="Arial" w:cs="Arial"/>
                                      <w:sz w:val="20"/>
                                      <w:lang w:val="fr-FR"/>
                                    </w:rPr>
                                    <w:t>mes.:</w:t>
                                  </w:r>
                                </w:p>
                              </w:tc>
                              <w:tc>
                                <w:tcPr>
                                  <w:tcW w:w="851" w:type="dxa"/>
                                  <w:tcBorders>
                                    <w:bottom w:val="single" w:sz="4" w:space="0" w:color="auto"/>
                                  </w:tcBorders>
                                  <w:shd w:val="clear" w:color="auto" w:fill="auto"/>
                                </w:tcPr>
                                <w:p w14:paraId="5297AC9E" w14:textId="77777777" w:rsidR="00AD188A" w:rsidRPr="0055776F" w:rsidRDefault="00AD188A" w:rsidP="00747CA8">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5297AC9F" w14:textId="77777777" w:rsidR="00AD188A" w:rsidRPr="0055776F" w:rsidRDefault="00AD188A" w:rsidP="00747CA8">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5297ACA0" w14:textId="77777777" w:rsidR="00AD188A" w:rsidRPr="0055776F" w:rsidRDefault="00AD188A" w:rsidP="00747CA8">
                                  <w:pPr>
                                    <w:rPr>
                                      <w:rFonts w:ascii="Arial" w:hAnsi="Arial" w:cs="Arial"/>
                                      <w:sz w:val="20"/>
                                    </w:rPr>
                                  </w:pPr>
                                  <w:r w:rsidRPr="0055776F">
                                    <w:rPr>
                                      <w:rFonts w:ascii="Arial" w:hAnsi="Arial" w:cs="Arial"/>
                                      <w:sz w:val="20"/>
                                    </w:rPr>
                                    <w:t>148</w:t>
                                  </w:r>
                                </w:p>
                              </w:tc>
                            </w:tr>
                            <w:tr w:rsidR="00AD188A" w:rsidRPr="0055776F" w14:paraId="5297ACA7" w14:textId="77777777" w:rsidTr="004D77BC">
                              <w:tc>
                                <w:tcPr>
                                  <w:tcW w:w="817" w:type="dxa"/>
                                  <w:shd w:val="clear" w:color="auto" w:fill="auto"/>
                                </w:tcPr>
                                <w:p w14:paraId="5297ACA2" w14:textId="77777777" w:rsidR="00AD188A" w:rsidRPr="0055776F" w:rsidRDefault="00AD188A" w:rsidP="00747CA8">
                                  <w:pPr>
                                    <w:rPr>
                                      <w:rFonts w:ascii="Arial" w:hAnsi="Arial" w:cs="Arial"/>
                                      <w:sz w:val="20"/>
                                    </w:rPr>
                                  </w:pPr>
                                  <w:r w:rsidRPr="0055776F">
                                    <w:rPr>
                                      <w:rFonts w:ascii="Arial" w:hAnsi="Arial" w:cs="Arial"/>
                                      <w:sz w:val="20"/>
                                    </w:rPr>
                                    <w:t>│││</w:t>
                                  </w:r>
                                </w:p>
                              </w:tc>
                              <w:tc>
                                <w:tcPr>
                                  <w:tcW w:w="2835" w:type="dxa"/>
                                  <w:gridSpan w:val="2"/>
                                  <w:shd w:val="clear" w:color="auto" w:fill="auto"/>
                                </w:tcPr>
                                <w:p w14:paraId="5297ACA3" w14:textId="77777777" w:rsidR="00AD188A" w:rsidRPr="0055776F" w:rsidRDefault="00AD188A" w:rsidP="00747CA8">
                                  <w:pPr>
                                    <w:rPr>
                                      <w:rFonts w:ascii="Arial" w:hAnsi="Arial" w:cs="Arial"/>
                                      <w:sz w:val="20"/>
                                    </w:rPr>
                                  </w:pPr>
                                  <w:r>
                                    <w:rPr>
                                      <w:rFonts w:ascii="Arial" w:hAnsi="Arial" w:cs="Arial"/>
                                      <w:sz w:val="20"/>
                                    </w:rPr>
                                    <w:t>c</w:t>
                                  </w:r>
                                  <w:r w:rsidRPr="00A33DBA">
                                    <w:rPr>
                                      <w:rFonts w:ascii="Arial" w:hAnsi="Arial" w:cs="Arial"/>
                                      <w:sz w:val="20"/>
                                    </w:rPr>
                                    <w:t>en</w:t>
                                  </w:r>
                                  <w:r>
                                    <w:rPr>
                                      <w:rFonts w:ascii="Arial" w:hAnsi="Arial" w:cs="Arial"/>
                                      <w:sz w:val="20"/>
                                    </w:rPr>
                                    <w:t>zurirani podatki</w:t>
                                  </w:r>
                                </w:p>
                              </w:tc>
                              <w:tc>
                                <w:tcPr>
                                  <w:tcW w:w="851" w:type="dxa"/>
                                  <w:tcBorders>
                                    <w:top w:val="single" w:sz="4" w:space="0" w:color="auto"/>
                                  </w:tcBorders>
                                  <w:shd w:val="clear" w:color="auto" w:fill="auto"/>
                                </w:tcPr>
                                <w:p w14:paraId="5297ACA4" w14:textId="77777777" w:rsidR="00AD188A" w:rsidRPr="0055776F" w:rsidRDefault="00AD188A" w:rsidP="00747CA8">
                                  <w:pPr>
                                    <w:rPr>
                                      <w:rFonts w:ascii="Arial" w:hAnsi="Arial" w:cs="Arial"/>
                                      <w:sz w:val="20"/>
                                    </w:rPr>
                                  </w:pPr>
                                </w:p>
                              </w:tc>
                              <w:tc>
                                <w:tcPr>
                                  <w:tcW w:w="709" w:type="dxa"/>
                                  <w:tcBorders>
                                    <w:top w:val="single" w:sz="4" w:space="0" w:color="auto"/>
                                  </w:tcBorders>
                                  <w:shd w:val="clear" w:color="auto" w:fill="auto"/>
                                </w:tcPr>
                                <w:p w14:paraId="5297ACA5" w14:textId="77777777" w:rsidR="00AD188A" w:rsidRPr="0055776F" w:rsidRDefault="00AD188A" w:rsidP="00747CA8">
                                  <w:pPr>
                                    <w:rPr>
                                      <w:rFonts w:ascii="Arial" w:hAnsi="Arial" w:cs="Arial"/>
                                      <w:sz w:val="20"/>
                                    </w:rPr>
                                  </w:pPr>
                                </w:p>
                              </w:tc>
                              <w:tc>
                                <w:tcPr>
                                  <w:tcW w:w="850" w:type="dxa"/>
                                  <w:tcBorders>
                                    <w:top w:val="single" w:sz="4" w:space="0" w:color="auto"/>
                                  </w:tcBorders>
                                  <w:shd w:val="clear" w:color="auto" w:fill="auto"/>
                                </w:tcPr>
                                <w:p w14:paraId="5297ACA6" w14:textId="77777777" w:rsidR="00AD188A" w:rsidRPr="0055776F" w:rsidRDefault="00AD188A" w:rsidP="00747CA8">
                                  <w:pPr>
                                    <w:rPr>
                                      <w:rFonts w:ascii="Arial" w:hAnsi="Arial" w:cs="Arial"/>
                                      <w:sz w:val="20"/>
                                    </w:rPr>
                                  </w:pPr>
                                </w:p>
                              </w:tc>
                            </w:tr>
                          </w:tbl>
                          <w:p w14:paraId="5297ACA8" w14:textId="77777777" w:rsidR="00AD188A" w:rsidRPr="00A33DBA" w:rsidRDefault="00AD188A" w:rsidP="00FF48C2">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97AC2A" id="_x0000_s1033" type="#_x0000_t202" style="position:absolute;margin-left:30.6pt;margin-top:85.55pt;width:361.05pt;height:10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" filled="f" stroked="f">
                <v:textbox>
                  <w:txbxContent>
                    <w:tbl>
                      <w:tblPr>
                        <w:tblW w:w="0" w:type="auto"/>
                        <w:tblLook w:val="04A0" w:firstRow="1" w:lastRow="0" w:firstColumn="1" w:lastColumn="0" w:noHBand="0" w:noVBand="1"/>
                      </w:tblPr>
                      <w:tblGrid>
                        <w:gridCol w:w="817"/>
                        <w:gridCol w:w="2464"/>
                        <w:gridCol w:w="371"/>
                        <w:gridCol w:w="851"/>
                        <w:gridCol w:w="709"/>
                        <w:gridCol w:w="850"/>
                      </w:tblGrid>
                      <w:tr w:rsidR="00AD188A" w:rsidRPr="0055776F" w14:paraId="5297AC8F" w14:textId="77777777" w:rsidTr="00B910D5">
                        <w:trPr>
                          <w:gridAfter w:val="4"/>
                          <w:wAfter w:w="2781" w:type="dxa"/>
                        </w:trPr>
                        <w:tc>
                          <w:tcPr>
                            <w:tcW w:w="3281" w:type="dxa"/>
                            <w:gridSpan w:val="2"/>
                            <w:shd w:val="clear" w:color="auto" w:fill="auto"/>
                          </w:tcPr>
                          <w:p w14:paraId="5297AC8C" w14:textId="77777777" w:rsidR="00AD188A" w:rsidRPr="0055776F" w:rsidRDefault="00AD188A" w:rsidP="00B910D5">
                            <w:pPr>
                              <w:rPr>
                                <w:rFonts w:ascii="Arial" w:hAnsi="Arial" w:cs="Arial"/>
                                <w:sz w:val="20"/>
                              </w:rPr>
                            </w:pPr>
                            <w:r>
                              <w:rPr>
                                <w:rFonts w:ascii="Arial" w:hAnsi="Arial" w:cs="Arial"/>
                                <w:sz w:val="20"/>
                              </w:rPr>
                              <w:t>P &lt; 0,0001</w:t>
                            </w:r>
                          </w:p>
                          <w:p w14:paraId="5297AC8D" w14:textId="77777777" w:rsidR="00AD188A" w:rsidRPr="0055776F" w:rsidRDefault="00AD188A" w:rsidP="00B910D5">
                            <w:pPr>
                              <w:rPr>
                                <w:rFonts w:ascii="Arial" w:hAnsi="Arial" w:cs="Arial"/>
                                <w:sz w:val="20"/>
                              </w:rPr>
                            </w:pPr>
                            <w:r>
                              <w:rPr>
                                <w:rFonts w:ascii="Arial" w:hAnsi="Arial" w:cs="Arial"/>
                                <w:sz w:val="20"/>
                              </w:rPr>
                              <w:t>razmerje tveganj 0,</w:t>
                            </w:r>
                            <w:r w:rsidRPr="0055776F">
                              <w:rPr>
                                <w:rFonts w:ascii="Arial" w:hAnsi="Arial" w:cs="Arial"/>
                                <w:sz w:val="20"/>
                              </w:rPr>
                              <w:t>4</w:t>
                            </w:r>
                            <w:r>
                              <w:rPr>
                                <w:rFonts w:ascii="Arial" w:hAnsi="Arial" w:cs="Arial"/>
                                <w:sz w:val="20"/>
                              </w:rPr>
                              <w:t>6</w:t>
                            </w:r>
                          </w:p>
                          <w:p w14:paraId="5297AC8E" w14:textId="77777777" w:rsidR="00AD188A" w:rsidRPr="0055776F" w:rsidRDefault="00AD188A" w:rsidP="00B910D5">
                            <w:pPr>
                              <w:rPr>
                                <w:rFonts w:ascii="Arial" w:hAnsi="Arial" w:cs="Arial"/>
                                <w:sz w:val="20"/>
                                <w:lang w:val="de-DE"/>
                              </w:rPr>
                            </w:pPr>
                            <w:r w:rsidRPr="00A33DBA">
                              <w:rPr>
                                <w:rFonts w:ascii="Arial" w:hAnsi="Arial" w:cs="Arial"/>
                                <w:sz w:val="20"/>
                              </w:rPr>
                              <w:t>(95</w:t>
                            </w:r>
                            <w:r>
                              <w:rPr>
                                <w:rFonts w:ascii="Arial" w:hAnsi="Arial" w:cs="Arial"/>
                                <w:sz w:val="20"/>
                              </w:rPr>
                              <w:t> </w:t>
                            </w:r>
                            <w:r w:rsidRPr="00A33DBA">
                              <w:rPr>
                                <w:rFonts w:ascii="Arial" w:hAnsi="Arial" w:cs="Arial"/>
                                <w:sz w:val="20"/>
                              </w:rPr>
                              <w:t xml:space="preserve">% </w:t>
                            </w:r>
                            <w:r>
                              <w:rPr>
                                <w:rFonts w:ascii="Arial" w:hAnsi="Arial" w:cs="Arial"/>
                                <w:sz w:val="20"/>
                              </w:rPr>
                              <w:t>IZ,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AD188A" w:rsidRPr="0055776F" w14:paraId="5297AC95" w14:textId="77777777" w:rsidTr="004D77BC">
                        <w:tc>
                          <w:tcPr>
                            <w:tcW w:w="817" w:type="dxa"/>
                            <w:shd w:val="clear" w:color="auto" w:fill="auto"/>
                          </w:tcPr>
                          <w:p w14:paraId="5297AC90" w14:textId="77777777" w:rsidR="00AD188A" w:rsidRPr="0055776F" w:rsidRDefault="00AD188A" w:rsidP="00747CA8">
                            <w:pPr>
                              <w:rPr>
                                <w:rFonts w:ascii="Arial" w:hAnsi="Arial" w:cs="Arial"/>
                                <w:sz w:val="20"/>
                              </w:rPr>
                            </w:pPr>
                          </w:p>
                        </w:tc>
                        <w:tc>
                          <w:tcPr>
                            <w:tcW w:w="2835" w:type="dxa"/>
                            <w:gridSpan w:val="2"/>
                            <w:shd w:val="clear" w:color="auto" w:fill="auto"/>
                          </w:tcPr>
                          <w:p w14:paraId="5297AC91" w14:textId="77777777" w:rsidR="00AD188A" w:rsidRPr="0055776F" w:rsidRDefault="00AD188A" w:rsidP="00747CA8">
                            <w:pPr>
                              <w:rPr>
                                <w:rFonts w:ascii="Arial" w:hAnsi="Arial" w:cs="Arial"/>
                                <w:sz w:val="20"/>
                              </w:rPr>
                            </w:pPr>
                          </w:p>
                        </w:tc>
                        <w:tc>
                          <w:tcPr>
                            <w:tcW w:w="851" w:type="dxa"/>
                            <w:tcBorders>
                              <w:bottom w:val="single" w:sz="4" w:space="0" w:color="auto"/>
                            </w:tcBorders>
                            <w:shd w:val="clear" w:color="auto" w:fill="auto"/>
                          </w:tcPr>
                          <w:p w14:paraId="5297AC92" w14:textId="77777777" w:rsidR="00AD188A" w:rsidRPr="004D77BC" w:rsidRDefault="00AD188A" w:rsidP="00747CA8">
                            <w:pPr>
                              <w:rPr>
                                <w:rFonts w:ascii="Arial" w:hAnsi="Arial" w:cs="Arial"/>
                                <w:sz w:val="20"/>
                              </w:rPr>
                            </w:pPr>
                            <w:r w:rsidRPr="004D77BC">
                              <w:rPr>
                                <w:rFonts w:ascii="Arial" w:hAnsi="Arial" w:cs="Arial"/>
                                <w:sz w:val="20"/>
                                <w:lang w:val="de-DE"/>
                              </w:rPr>
                              <w:t>N</w:t>
                            </w:r>
                          </w:p>
                        </w:tc>
                        <w:tc>
                          <w:tcPr>
                            <w:tcW w:w="709" w:type="dxa"/>
                            <w:tcBorders>
                              <w:bottom w:val="single" w:sz="4" w:space="0" w:color="auto"/>
                            </w:tcBorders>
                            <w:shd w:val="clear" w:color="auto" w:fill="auto"/>
                          </w:tcPr>
                          <w:p w14:paraId="5297AC93" w14:textId="77777777" w:rsidR="00AD188A" w:rsidRPr="004D77BC" w:rsidRDefault="00AD188A" w:rsidP="00747CA8">
                            <w:pPr>
                              <w:rPr>
                                <w:rFonts w:ascii="Arial" w:hAnsi="Arial" w:cs="Arial"/>
                                <w:sz w:val="20"/>
                              </w:rPr>
                            </w:pPr>
                            <w:r w:rsidRPr="004D77BC">
                              <w:rPr>
                                <w:rFonts w:ascii="Arial" w:hAnsi="Arial" w:cs="Arial"/>
                                <w:sz w:val="20"/>
                                <w:lang w:val="es-ES"/>
                              </w:rPr>
                              <w:t>dog</w:t>
                            </w:r>
                          </w:p>
                        </w:tc>
                        <w:tc>
                          <w:tcPr>
                            <w:tcW w:w="850" w:type="dxa"/>
                            <w:tcBorders>
                              <w:bottom w:val="single" w:sz="4" w:space="0" w:color="auto"/>
                            </w:tcBorders>
                            <w:shd w:val="clear" w:color="auto" w:fill="auto"/>
                          </w:tcPr>
                          <w:p w14:paraId="5297AC94" w14:textId="77777777" w:rsidR="00AD188A" w:rsidRPr="004D77BC" w:rsidRDefault="00AD188A" w:rsidP="00747CA8">
                            <w:pPr>
                              <w:rPr>
                                <w:rFonts w:ascii="Arial" w:hAnsi="Arial" w:cs="Arial"/>
                                <w:sz w:val="20"/>
                              </w:rPr>
                            </w:pPr>
                            <w:r w:rsidRPr="004D77BC">
                              <w:rPr>
                                <w:rFonts w:ascii="Arial" w:hAnsi="Arial" w:cs="Arial"/>
                                <w:sz w:val="20"/>
                                <w:lang w:val="de-DE"/>
                              </w:rPr>
                              <w:t>cen</w:t>
                            </w:r>
                          </w:p>
                        </w:tc>
                      </w:tr>
                      <w:tr w:rsidR="00AD188A" w:rsidRPr="0055776F" w14:paraId="5297AC9B" w14:textId="77777777" w:rsidTr="004D77BC">
                        <w:tc>
                          <w:tcPr>
                            <w:tcW w:w="817" w:type="dxa"/>
                            <w:shd w:val="clear" w:color="auto" w:fill="auto"/>
                          </w:tcPr>
                          <w:p w14:paraId="5297AC96" w14:textId="77777777" w:rsidR="00AD188A" w:rsidRPr="0055776F" w:rsidRDefault="00AD188A" w:rsidP="00747CA8">
                            <w:pPr>
                              <w:rPr>
                                <w:rFonts w:ascii="Arial" w:hAnsi="Arial" w:cs="Arial"/>
                                <w:sz w:val="20"/>
                              </w:rPr>
                            </w:pPr>
                            <w:r w:rsidRPr="0055776F">
                              <w:rPr>
                                <w:rFonts w:ascii="Arial" w:hAnsi="Arial" w:cs="Arial"/>
                                <w:b/>
                                <w:sz w:val="20"/>
                              </w:rPr>
                              <w:t>——</w:t>
                            </w:r>
                          </w:p>
                        </w:tc>
                        <w:tc>
                          <w:tcPr>
                            <w:tcW w:w="2835" w:type="dxa"/>
                            <w:gridSpan w:val="2"/>
                            <w:shd w:val="clear" w:color="auto" w:fill="auto"/>
                          </w:tcPr>
                          <w:p w14:paraId="5297AC97" w14:textId="77777777" w:rsidR="00AD188A" w:rsidRPr="0055776F" w:rsidRDefault="00AD188A" w:rsidP="00747CA8">
                            <w:pPr>
                              <w:rPr>
                                <w:rFonts w:ascii="Arial" w:hAnsi="Arial" w:cs="Arial"/>
                                <w:sz w:val="20"/>
                              </w:rPr>
                            </w:pPr>
                            <w:r>
                              <w:rPr>
                                <w:rFonts w:ascii="Arial" w:hAnsi="Arial" w:cs="Arial"/>
                                <w:sz w:val="20"/>
                                <w:lang w:val="fr-FR"/>
                              </w:rPr>
                              <w:t>(1) imatinib 12 </w:t>
                            </w:r>
                            <w:r w:rsidRPr="00F735F7">
                              <w:rPr>
                                <w:rFonts w:ascii="Arial" w:hAnsi="Arial" w:cs="Arial"/>
                                <w:sz w:val="20"/>
                                <w:lang w:val="fr-FR"/>
                              </w:rPr>
                              <w:t>mes.:</w:t>
                            </w:r>
                          </w:p>
                        </w:tc>
                        <w:tc>
                          <w:tcPr>
                            <w:tcW w:w="851" w:type="dxa"/>
                            <w:tcBorders>
                              <w:top w:val="single" w:sz="4" w:space="0" w:color="auto"/>
                            </w:tcBorders>
                            <w:shd w:val="clear" w:color="auto" w:fill="auto"/>
                          </w:tcPr>
                          <w:p w14:paraId="5297AC98" w14:textId="77777777" w:rsidR="00AD188A" w:rsidRPr="0055776F" w:rsidRDefault="00AD188A" w:rsidP="00747CA8">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5297AC99" w14:textId="77777777" w:rsidR="00AD188A" w:rsidRPr="0055776F" w:rsidRDefault="00AD188A" w:rsidP="00747CA8">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5297AC9A" w14:textId="77777777" w:rsidR="00AD188A" w:rsidRPr="0055776F" w:rsidRDefault="00AD188A" w:rsidP="00747CA8">
                            <w:pPr>
                              <w:rPr>
                                <w:rFonts w:ascii="Arial" w:hAnsi="Arial" w:cs="Arial"/>
                                <w:sz w:val="20"/>
                              </w:rPr>
                            </w:pPr>
                            <w:r w:rsidRPr="0055776F">
                              <w:rPr>
                                <w:rFonts w:ascii="Arial" w:hAnsi="Arial" w:cs="Arial"/>
                                <w:sz w:val="20"/>
                              </w:rPr>
                              <w:t>115</w:t>
                            </w:r>
                          </w:p>
                        </w:tc>
                      </w:tr>
                      <w:tr w:rsidR="00AD188A" w:rsidRPr="0055776F" w14:paraId="5297ACA1" w14:textId="77777777" w:rsidTr="004D77BC">
                        <w:tc>
                          <w:tcPr>
                            <w:tcW w:w="817" w:type="dxa"/>
                            <w:shd w:val="clear" w:color="auto" w:fill="auto"/>
                          </w:tcPr>
                          <w:p w14:paraId="5297AC9C" w14:textId="77777777" w:rsidR="00AD188A" w:rsidRPr="0055776F" w:rsidRDefault="00AD188A" w:rsidP="00747CA8">
                            <w:pPr>
                              <w:rPr>
                                <w:rFonts w:ascii="Arial" w:hAnsi="Arial" w:cs="Arial"/>
                                <w:sz w:val="20"/>
                              </w:rPr>
                            </w:pPr>
                            <w:r w:rsidRPr="0055776F">
                              <w:rPr>
                                <w:rFonts w:ascii="Arial" w:hAnsi="Arial" w:cs="Arial"/>
                                <w:sz w:val="20"/>
                              </w:rPr>
                              <w:t>-----</w:t>
                            </w:r>
                          </w:p>
                        </w:tc>
                        <w:tc>
                          <w:tcPr>
                            <w:tcW w:w="2835" w:type="dxa"/>
                            <w:gridSpan w:val="2"/>
                            <w:shd w:val="clear" w:color="auto" w:fill="auto"/>
                          </w:tcPr>
                          <w:p w14:paraId="5297AC9D" w14:textId="77777777" w:rsidR="00AD188A" w:rsidRPr="0055776F" w:rsidRDefault="00AD188A" w:rsidP="00747CA8">
                            <w:pPr>
                              <w:rPr>
                                <w:rFonts w:ascii="Arial" w:hAnsi="Arial" w:cs="Arial"/>
                                <w:sz w:val="20"/>
                              </w:rPr>
                            </w:pPr>
                            <w:r>
                              <w:rPr>
                                <w:rFonts w:ascii="Arial" w:hAnsi="Arial" w:cs="Arial"/>
                                <w:sz w:val="20"/>
                                <w:lang w:val="fr-FR"/>
                              </w:rPr>
                              <w:t>(2) imatinib 36 </w:t>
                            </w:r>
                            <w:r w:rsidRPr="00F735F7">
                              <w:rPr>
                                <w:rFonts w:ascii="Arial" w:hAnsi="Arial" w:cs="Arial"/>
                                <w:sz w:val="20"/>
                                <w:lang w:val="fr-FR"/>
                              </w:rPr>
                              <w:t>mes.:</w:t>
                            </w:r>
                          </w:p>
                        </w:tc>
                        <w:tc>
                          <w:tcPr>
                            <w:tcW w:w="851" w:type="dxa"/>
                            <w:tcBorders>
                              <w:bottom w:val="single" w:sz="4" w:space="0" w:color="auto"/>
                            </w:tcBorders>
                            <w:shd w:val="clear" w:color="auto" w:fill="auto"/>
                          </w:tcPr>
                          <w:p w14:paraId="5297AC9E" w14:textId="77777777" w:rsidR="00AD188A" w:rsidRPr="0055776F" w:rsidRDefault="00AD188A" w:rsidP="00747CA8">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5297AC9F" w14:textId="77777777" w:rsidR="00AD188A" w:rsidRPr="0055776F" w:rsidRDefault="00AD188A" w:rsidP="00747CA8">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5297ACA0" w14:textId="77777777" w:rsidR="00AD188A" w:rsidRPr="0055776F" w:rsidRDefault="00AD188A" w:rsidP="00747CA8">
                            <w:pPr>
                              <w:rPr>
                                <w:rFonts w:ascii="Arial" w:hAnsi="Arial" w:cs="Arial"/>
                                <w:sz w:val="20"/>
                              </w:rPr>
                            </w:pPr>
                            <w:r w:rsidRPr="0055776F">
                              <w:rPr>
                                <w:rFonts w:ascii="Arial" w:hAnsi="Arial" w:cs="Arial"/>
                                <w:sz w:val="20"/>
                              </w:rPr>
                              <w:t>148</w:t>
                            </w:r>
                          </w:p>
                        </w:tc>
                      </w:tr>
                      <w:tr w:rsidR="00AD188A" w:rsidRPr="0055776F" w14:paraId="5297ACA7" w14:textId="77777777" w:rsidTr="004D77BC">
                        <w:tc>
                          <w:tcPr>
                            <w:tcW w:w="817" w:type="dxa"/>
                            <w:shd w:val="clear" w:color="auto" w:fill="auto"/>
                          </w:tcPr>
                          <w:p w14:paraId="5297ACA2" w14:textId="77777777" w:rsidR="00AD188A" w:rsidRPr="0055776F" w:rsidRDefault="00AD188A" w:rsidP="00747CA8">
                            <w:pPr>
                              <w:rPr>
                                <w:rFonts w:ascii="Arial" w:hAnsi="Arial" w:cs="Arial"/>
                                <w:sz w:val="20"/>
                              </w:rPr>
                            </w:pPr>
                            <w:r w:rsidRPr="0055776F">
                              <w:rPr>
                                <w:rFonts w:ascii="Arial" w:hAnsi="Arial" w:cs="Arial"/>
                                <w:sz w:val="20"/>
                              </w:rPr>
                              <w:t>│││</w:t>
                            </w:r>
                          </w:p>
                        </w:tc>
                        <w:tc>
                          <w:tcPr>
                            <w:tcW w:w="2835" w:type="dxa"/>
                            <w:gridSpan w:val="2"/>
                            <w:shd w:val="clear" w:color="auto" w:fill="auto"/>
                          </w:tcPr>
                          <w:p w14:paraId="5297ACA3" w14:textId="77777777" w:rsidR="00AD188A" w:rsidRPr="0055776F" w:rsidRDefault="00AD188A" w:rsidP="00747CA8">
                            <w:pPr>
                              <w:rPr>
                                <w:rFonts w:ascii="Arial" w:hAnsi="Arial" w:cs="Arial"/>
                                <w:sz w:val="20"/>
                              </w:rPr>
                            </w:pPr>
                            <w:r>
                              <w:rPr>
                                <w:rFonts w:ascii="Arial" w:hAnsi="Arial" w:cs="Arial"/>
                                <w:sz w:val="20"/>
                              </w:rPr>
                              <w:t>c</w:t>
                            </w:r>
                            <w:r w:rsidRPr="00A33DBA">
                              <w:rPr>
                                <w:rFonts w:ascii="Arial" w:hAnsi="Arial" w:cs="Arial"/>
                                <w:sz w:val="20"/>
                              </w:rPr>
                              <w:t>en</w:t>
                            </w:r>
                            <w:r>
                              <w:rPr>
                                <w:rFonts w:ascii="Arial" w:hAnsi="Arial" w:cs="Arial"/>
                                <w:sz w:val="20"/>
                              </w:rPr>
                              <w:t>zurirani podatki</w:t>
                            </w:r>
                          </w:p>
                        </w:tc>
                        <w:tc>
                          <w:tcPr>
                            <w:tcW w:w="851" w:type="dxa"/>
                            <w:tcBorders>
                              <w:top w:val="single" w:sz="4" w:space="0" w:color="auto"/>
                            </w:tcBorders>
                            <w:shd w:val="clear" w:color="auto" w:fill="auto"/>
                          </w:tcPr>
                          <w:p w14:paraId="5297ACA4" w14:textId="77777777" w:rsidR="00AD188A" w:rsidRPr="0055776F" w:rsidRDefault="00AD188A" w:rsidP="00747CA8">
                            <w:pPr>
                              <w:rPr>
                                <w:rFonts w:ascii="Arial" w:hAnsi="Arial" w:cs="Arial"/>
                                <w:sz w:val="20"/>
                              </w:rPr>
                            </w:pPr>
                          </w:p>
                        </w:tc>
                        <w:tc>
                          <w:tcPr>
                            <w:tcW w:w="709" w:type="dxa"/>
                            <w:tcBorders>
                              <w:top w:val="single" w:sz="4" w:space="0" w:color="auto"/>
                            </w:tcBorders>
                            <w:shd w:val="clear" w:color="auto" w:fill="auto"/>
                          </w:tcPr>
                          <w:p w14:paraId="5297ACA5" w14:textId="77777777" w:rsidR="00AD188A" w:rsidRPr="0055776F" w:rsidRDefault="00AD188A" w:rsidP="00747CA8">
                            <w:pPr>
                              <w:rPr>
                                <w:rFonts w:ascii="Arial" w:hAnsi="Arial" w:cs="Arial"/>
                                <w:sz w:val="20"/>
                              </w:rPr>
                            </w:pPr>
                          </w:p>
                        </w:tc>
                        <w:tc>
                          <w:tcPr>
                            <w:tcW w:w="850" w:type="dxa"/>
                            <w:tcBorders>
                              <w:top w:val="single" w:sz="4" w:space="0" w:color="auto"/>
                            </w:tcBorders>
                            <w:shd w:val="clear" w:color="auto" w:fill="auto"/>
                          </w:tcPr>
                          <w:p w14:paraId="5297ACA6" w14:textId="77777777" w:rsidR="00AD188A" w:rsidRPr="0055776F" w:rsidRDefault="00AD188A" w:rsidP="00747CA8">
                            <w:pPr>
                              <w:rPr>
                                <w:rFonts w:ascii="Arial" w:hAnsi="Arial" w:cs="Arial"/>
                                <w:sz w:val="20"/>
                              </w:rPr>
                            </w:pPr>
                          </w:p>
                        </w:tc>
                      </w:tr>
                    </w:tbl>
                    <w:p w14:paraId="5297ACA8" w14:textId="77777777" w:rsidR="00AD188A" w:rsidRPr="00A33DBA" w:rsidRDefault="00AD188A" w:rsidP="00FF48C2">
                      <w:pPr>
                        <w:rPr>
                          <w:rFonts w:ascii="Arial" w:hAnsi="Arial" w:cs="Arial"/>
                          <w:sz w:val="20"/>
                        </w:rPr>
                      </w:pPr>
                    </w:p>
                  </w:txbxContent>
                </v:textbox>
              </v:shape>
            </w:pict>
          </mc:Fallback>
        </mc:AlternateContent>
      </w:r>
      <w:r w:rsidRPr="004A59B1">
        <w:rPr>
          <w:noProof/>
        </w:rPr>
        <w:drawing>
          <wp:inline distT="0" distB="0" distL="0" distR="0" wp14:anchorId="5297AC2C" wp14:editId="5297AC2D">
            <wp:extent cx="5937885" cy="267779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885" cy="2677795"/>
                    </a:xfrm>
                    <a:prstGeom prst="rect">
                      <a:avLst/>
                    </a:prstGeom>
                    <a:noFill/>
                    <a:ln>
                      <a:noFill/>
                    </a:ln>
                  </pic:spPr>
                </pic:pic>
              </a:graphicData>
            </a:graphic>
          </wp:inline>
        </w:drawing>
      </w:r>
    </w:p>
    <w:p w14:paraId="5297A22D" w14:textId="77777777" w:rsidR="00FF48C2" w:rsidRPr="004A59B1" w:rsidRDefault="003B1E8C" w:rsidP="009C1193">
      <w:pPr>
        <w:pStyle w:val="Text"/>
        <w:keepNext/>
        <w:keepLines/>
        <w:widowControl w:val="0"/>
        <w:spacing w:before="0"/>
        <w:jc w:val="left"/>
        <w:rPr>
          <w:rFonts w:eastAsia="MS Mincho"/>
          <w:color w:val="000000"/>
          <w:sz w:val="22"/>
          <w:szCs w:val="22"/>
          <w:lang w:eastAsia="ja-JP"/>
        </w:rPr>
      </w:pPr>
      <w:r w:rsidRPr="004A59B1">
        <w:rPr>
          <w:rFonts w:eastAsia="MS Mincho"/>
          <w:noProof/>
          <w:color w:val="000000"/>
          <w:sz w:val="22"/>
          <w:szCs w:val="22"/>
        </w:rPr>
        <mc:AlternateContent>
          <mc:Choice Requires="wps">
            <w:drawing>
              <wp:anchor distT="0" distB="0" distL="114300" distR="114300" simplePos="0" relativeHeight="251660288" behindDoc="0" locked="0" layoutInCell="1" allowOverlap="1" wp14:anchorId="5297AC2E" wp14:editId="5297AC2F">
                <wp:simplePos x="0" y="0"/>
                <wp:positionH relativeFrom="column">
                  <wp:posOffset>2282190</wp:posOffset>
                </wp:positionH>
                <wp:positionV relativeFrom="paragraph">
                  <wp:posOffset>-635</wp:posOffset>
                </wp:positionV>
                <wp:extent cx="1797685" cy="32385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685" cy="3238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97ACA9" w14:textId="77777777" w:rsidR="00AD188A" w:rsidRPr="00A33DBA" w:rsidRDefault="00AD188A" w:rsidP="00FF48C2">
                            <w:pPr>
                              <w:rPr>
                                <w:rFonts w:ascii="Arial" w:hAnsi="Arial" w:cs="Arial"/>
                                <w:sz w:val="20"/>
                              </w:rPr>
                            </w:pPr>
                            <w:r>
                              <w:rPr>
                                <w:rFonts w:ascii="Arial" w:hAnsi="Arial" w:cs="Arial"/>
                                <w:sz w:val="20"/>
                                <w:lang w:val="de-DE"/>
                              </w:rPr>
                              <w:t>trajanje preživetja v mesecih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97AC2E" id="_x0000_s1034" type="#_x0000_t202" style="position:absolute;margin-left:179.7pt;margin-top:-.05pt;width:141.5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" stroked="f">
                <v:fill opacity="0"/>
                <v:textbox>
                  <w:txbxContent>
                    <w:p w14:paraId="5297ACA9" w14:textId="77777777" w:rsidR="00AD188A" w:rsidRPr="00A33DBA" w:rsidRDefault="00AD188A" w:rsidP="00FF48C2">
                      <w:pPr>
                        <w:rPr>
                          <w:rFonts w:ascii="Arial" w:hAnsi="Arial" w:cs="Arial"/>
                          <w:sz w:val="20"/>
                        </w:rPr>
                      </w:pPr>
                      <w:r>
                        <w:rPr>
                          <w:rFonts w:ascii="Arial" w:hAnsi="Arial" w:cs="Arial"/>
                          <w:sz w:val="20"/>
                          <w:lang w:val="de-DE"/>
                        </w:rPr>
                        <w:t>trajanje preživetja v mesecih</w:t>
                      </w:r>
                    </w:p>
                  </w:txbxContent>
                </v:textbox>
              </v:shape>
            </w:pict>
          </mc:Fallback>
        </mc:AlternateContent>
      </w:r>
    </w:p>
    <w:p w14:paraId="5297A22E" w14:textId="77777777" w:rsidR="00FF48C2" w:rsidRPr="004A59B1" w:rsidRDefault="00FF48C2" w:rsidP="009C1193">
      <w:pPr>
        <w:pStyle w:val="Text"/>
        <w:keepNext/>
        <w:keepLines/>
        <w:widowControl w:val="0"/>
        <w:spacing w:before="0"/>
        <w:jc w:val="left"/>
        <w:rPr>
          <w:rFonts w:eastAsia="MS Mincho"/>
          <w:color w:val="000000"/>
          <w:sz w:val="22"/>
          <w:szCs w:val="22"/>
          <w:lang w:eastAsia="ja-JP"/>
        </w:rPr>
      </w:pPr>
    </w:p>
    <w:p w14:paraId="5297A22F" w14:textId="77777777" w:rsidR="00FF48C2" w:rsidRPr="004A59B1" w:rsidRDefault="00FF48C2" w:rsidP="009C1193">
      <w:pPr>
        <w:keepNext/>
        <w:keepLines/>
        <w:widowControl w:val="0"/>
        <w:rPr>
          <w:noProof/>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FF48C2" w:rsidRPr="004A59B1" w14:paraId="5297A231" w14:textId="77777777" w:rsidTr="008865A0">
        <w:tc>
          <w:tcPr>
            <w:tcW w:w="10599" w:type="dxa"/>
            <w:gridSpan w:val="16"/>
            <w:shd w:val="clear" w:color="auto" w:fill="auto"/>
          </w:tcPr>
          <w:p w14:paraId="5297A230" w14:textId="77777777" w:rsidR="00FF48C2" w:rsidRPr="004A59B1" w:rsidRDefault="00FF48C2" w:rsidP="009C1193">
            <w:pPr>
              <w:keepNext/>
              <w:keepLines/>
              <w:widowControl w:val="0"/>
              <w:ind w:left="-27"/>
              <w:rPr>
                <w:rFonts w:ascii="Arial" w:hAnsi="Arial" w:cs="Arial"/>
                <w:sz w:val="16"/>
                <w:szCs w:val="16"/>
              </w:rPr>
            </w:pPr>
            <w:r w:rsidRPr="004A59B1">
              <w:rPr>
                <w:rFonts w:ascii="Arial" w:hAnsi="Arial" w:cs="Arial"/>
                <w:sz w:val="20"/>
              </w:rPr>
              <w:t>število tveganju izpostavljenih bolnikov : število dogodkov</w:t>
            </w:r>
          </w:p>
        </w:tc>
      </w:tr>
      <w:tr w:rsidR="00FF48C2" w:rsidRPr="004A59B1" w14:paraId="5297A242" w14:textId="77777777" w:rsidTr="008865A0">
        <w:tc>
          <w:tcPr>
            <w:tcW w:w="450" w:type="dxa"/>
            <w:shd w:val="clear" w:color="auto" w:fill="auto"/>
          </w:tcPr>
          <w:p w14:paraId="5297A232" w14:textId="77777777" w:rsidR="00FF48C2" w:rsidRPr="004A59B1" w:rsidRDefault="00FF48C2" w:rsidP="009C1193">
            <w:pPr>
              <w:keepNext/>
              <w:keepLines/>
              <w:widowControl w:val="0"/>
              <w:rPr>
                <w:sz w:val="18"/>
                <w:szCs w:val="18"/>
              </w:rPr>
            </w:pPr>
            <w:r w:rsidRPr="004A59B1">
              <w:rPr>
                <w:sz w:val="18"/>
                <w:szCs w:val="18"/>
              </w:rPr>
              <w:t>(1)</w:t>
            </w:r>
          </w:p>
        </w:tc>
        <w:tc>
          <w:tcPr>
            <w:tcW w:w="646" w:type="dxa"/>
            <w:shd w:val="clear" w:color="auto" w:fill="auto"/>
          </w:tcPr>
          <w:p w14:paraId="5297A233" w14:textId="77777777" w:rsidR="00FF48C2" w:rsidRPr="004A59B1" w:rsidRDefault="00FF48C2" w:rsidP="009C1193">
            <w:pPr>
              <w:keepNext/>
              <w:keepLines/>
              <w:widowControl w:val="0"/>
              <w:ind w:left="-27"/>
              <w:rPr>
                <w:sz w:val="18"/>
                <w:szCs w:val="18"/>
              </w:rPr>
            </w:pPr>
            <w:r w:rsidRPr="004A59B1">
              <w:rPr>
                <w:sz w:val="18"/>
                <w:szCs w:val="18"/>
              </w:rPr>
              <w:t>199:0</w:t>
            </w:r>
          </w:p>
        </w:tc>
        <w:tc>
          <w:tcPr>
            <w:tcW w:w="645" w:type="dxa"/>
            <w:shd w:val="clear" w:color="auto" w:fill="auto"/>
          </w:tcPr>
          <w:p w14:paraId="5297A234" w14:textId="77777777" w:rsidR="00FF48C2" w:rsidRPr="004A59B1" w:rsidRDefault="00FF48C2" w:rsidP="009C1193">
            <w:pPr>
              <w:keepNext/>
              <w:keepLines/>
              <w:widowControl w:val="0"/>
              <w:ind w:left="-27"/>
              <w:rPr>
                <w:sz w:val="18"/>
                <w:szCs w:val="18"/>
              </w:rPr>
            </w:pPr>
            <w:r w:rsidRPr="004A59B1">
              <w:rPr>
                <w:sz w:val="18"/>
                <w:szCs w:val="18"/>
              </w:rPr>
              <w:t>182:8</w:t>
            </w:r>
          </w:p>
        </w:tc>
        <w:tc>
          <w:tcPr>
            <w:tcW w:w="745" w:type="dxa"/>
            <w:shd w:val="clear" w:color="auto" w:fill="auto"/>
          </w:tcPr>
          <w:p w14:paraId="5297A235" w14:textId="77777777" w:rsidR="00FF48C2" w:rsidRPr="004A59B1" w:rsidRDefault="00FF48C2" w:rsidP="009C1193">
            <w:pPr>
              <w:keepNext/>
              <w:keepLines/>
              <w:widowControl w:val="0"/>
              <w:ind w:left="-27"/>
              <w:rPr>
                <w:sz w:val="18"/>
                <w:szCs w:val="18"/>
              </w:rPr>
            </w:pPr>
            <w:r w:rsidRPr="004A59B1">
              <w:rPr>
                <w:sz w:val="18"/>
                <w:szCs w:val="18"/>
              </w:rPr>
              <w:t>177:12</w:t>
            </w:r>
          </w:p>
        </w:tc>
        <w:tc>
          <w:tcPr>
            <w:tcW w:w="745" w:type="dxa"/>
            <w:shd w:val="clear" w:color="auto" w:fill="auto"/>
          </w:tcPr>
          <w:p w14:paraId="5297A236" w14:textId="77777777" w:rsidR="00FF48C2" w:rsidRPr="004A59B1" w:rsidRDefault="00FF48C2" w:rsidP="009C1193">
            <w:pPr>
              <w:keepNext/>
              <w:keepLines/>
              <w:widowControl w:val="0"/>
              <w:ind w:left="-27"/>
              <w:rPr>
                <w:sz w:val="18"/>
                <w:szCs w:val="18"/>
              </w:rPr>
            </w:pPr>
            <w:r w:rsidRPr="004A59B1">
              <w:rPr>
                <w:sz w:val="18"/>
                <w:szCs w:val="18"/>
              </w:rPr>
              <w:t>163:25</w:t>
            </w:r>
          </w:p>
        </w:tc>
        <w:tc>
          <w:tcPr>
            <w:tcW w:w="745" w:type="dxa"/>
            <w:shd w:val="clear" w:color="auto" w:fill="auto"/>
          </w:tcPr>
          <w:p w14:paraId="5297A237" w14:textId="77777777" w:rsidR="00FF48C2" w:rsidRPr="004A59B1" w:rsidRDefault="00FF48C2" w:rsidP="009C1193">
            <w:pPr>
              <w:keepNext/>
              <w:keepLines/>
              <w:widowControl w:val="0"/>
              <w:ind w:left="-27"/>
              <w:rPr>
                <w:sz w:val="18"/>
                <w:szCs w:val="18"/>
              </w:rPr>
            </w:pPr>
            <w:r w:rsidRPr="004A59B1">
              <w:rPr>
                <w:sz w:val="18"/>
                <w:szCs w:val="18"/>
              </w:rPr>
              <w:t>137:46</w:t>
            </w:r>
          </w:p>
        </w:tc>
        <w:tc>
          <w:tcPr>
            <w:tcW w:w="752" w:type="dxa"/>
            <w:shd w:val="clear" w:color="auto" w:fill="auto"/>
          </w:tcPr>
          <w:p w14:paraId="5297A238" w14:textId="77777777" w:rsidR="00FF48C2" w:rsidRPr="004A59B1" w:rsidRDefault="00FF48C2" w:rsidP="009C1193">
            <w:pPr>
              <w:keepNext/>
              <w:keepLines/>
              <w:widowControl w:val="0"/>
              <w:ind w:left="-27"/>
              <w:rPr>
                <w:sz w:val="18"/>
                <w:szCs w:val="18"/>
              </w:rPr>
            </w:pPr>
            <w:r w:rsidRPr="004A59B1">
              <w:rPr>
                <w:sz w:val="18"/>
                <w:szCs w:val="18"/>
              </w:rPr>
              <w:t>105:65</w:t>
            </w:r>
          </w:p>
        </w:tc>
        <w:tc>
          <w:tcPr>
            <w:tcW w:w="745" w:type="dxa"/>
            <w:shd w:val="clear" w:color="auto" w:fill="auto"/>
          </w:tcPr>
          <w:p w14:paraId="5297A239" w14:textId="77777777" w:rsidR="00FF48C2" w:rsidRPr="004A59B1" w:rsidRDefault="00FF48C2" w:rsidP="009C1193">
            <w:pPr>
              <w:keepNext/>
              <w:keepLines/>
              <w:widowControl w:val="0"/>
              <w:ind w:left="-27"/>
              <w:rPr>
                <w:sz w:val="18"/>
                <w:szCs w:val="18"/>
              </w:rPr>
            </w:pPr>
            <w:r w:rsidRPr="004A59B1">
              <w:rPr>
                <w:sz w:val="18"/>
                <w:szCs w:val="18"/>
              </w:rPr>
              <w:t>88:72</w:t>
            </w:r>
          </w:p>
        </w:tc>
        <w:tc>
          <w:tcPr>
            <w:tcW w:w="745" w:type="dxa"/>
            <w:shd w:val="clear" w:color="auto" w:fill="auto"/>
          </w:tcPr>
          <w:p w14:paraId="5297A23A" w14:textId="77777777" w:rsidR="00FF48C2" w:rsidRPr="004A59B1" w:rsidRDefault="00FF48C2" w:rsidP="009C1193">
            <w:pPr>
              <w:keepNext/>
              <w:keepLines/>
              <w:widowControl w:val="0"/>
              <w:ind w:left="-27"/>
              <w:rPr>
                <w:sz w:val="18"/>
                <w:szCs w:val="18"/>
              </w:rPr>
            </w:pPr>
            <w:r w:rsidRPr="004A59B1">
              <w:rPr>
                <w:sz w:val="18"/>
                <w:szCs w:val="18"/>
              </w:rPr>
              <w:t>61:77</w:t>
            </w:r>
          </w:p>
        </w:tc>
        <w:tc>
          <w:tcPr>
            <w:tcW w:w="652" w:type="dxa"/>
            <w:shd w:val="clear" w:color="auto" w:fill="auto"/>
          </w:tcPr>
          <w:p w14:paraId="5297A23B" w14:textId="77777777" w:rsidR="00FF48C2" w:rsidRPr="004A59B1" w:rsidRDefault="00FF48C2" w:rsidP="009C1193">
            <w:pPr>
              <w:keepNext/>
              <w:keepLines/>
              <w:widowControl w:val="0"/>
              <w:ind w:left="-27"/>
              <w:rPr>
                <w:sz w:val="18"/>
                <w:szCs w:val="18"/>
              </w:rPr>
            </w:pPr>
            <w:r w:rsidRPr="004A59B1">
              <w:rPr>
                <w:sz w:val="18"/>
                <w:szCs w:val="18"/>
              </w:rPr>
              <w:t>49:81</w:t>
            </w:r>
          </w:p>
        </w:tc>
        <w:tc>
          <w:tcPr>
            <w:tcW w:w="652" w:type="dxa"/>
            <w:shd w:val="clear" w:color="auto" w:fill="auto"/>
          </w:tcPr>
          <w:p w14:paraId="5297A23C" w14:textId="77777777" w:rsidR="00FF48C2" w:rsidRPr="004A59B1" w:rsidRDefault="00FF48C2" w:rsidP="009C1193">
            <w:pPr>
              <w:keepNext/>
              <w:keepLines/>
              <w:widowControl w:val="0"/>
              <w:ind w:left="-27"/>
              <w:rPr>
                <w:sz w:val="18"/>
                <w:szCs w:val="18"/>
              </w:rPr>
            </w:pPr>
            <w:r w:rsidRPr="004A59B1">
              <w:rPr>
                <w:sz w:val="18"/>
                <w:szCs w:val="18"/>
              </w:rPr>
              <w:t>36:83</w:t>
            </w:r>
          </w:p>
        </w:tc>
        <w:tc>
          <w:tcPr>
            <w:tcW w:w="649" w:type="dxa"/>
            <w:shd w:val="clear" w:color="auto" w:fill="auto"/>
          </w:tcPr>
          <w:p w14:paraId="5297A23D" w14:textId="77777777" w:rsidR="00FF48C2" w:rsidRPr="004A59B1" w:rsidRDefault="00FF48C2" w:rsidP="009C1193">
            <w:pPr>
              <w:keepNext/>
              <w:keepLines/>
              <w:widowControl w:val="0"/>
              <w:ind w:left="-27"/>
              <w:rPr>
                <w:sz w:val="18"/>
                <w:szCs w:val="18"/>
              </w:rPr>
            </w:pPr>
            <w:r w:rsidRPr="004A59B1">
              <w:rPr>
                <w:sz w:val="18"/>
                <w:szCs w:val="18"/>
              </w:rPr>
              <w:t>27:84</w:t>
            </w:r>
          </w:p>
        </w:tc>
        <w:tc>
          <w:tcPr>
            <w:tcW w:w="660" w:type="dxa"/>
            <w:shd w:val="clear" w:color="auto" w:fill="auto"/>
          </w:tcPr>
          <w:p w14:paraId="5297A23E" w14:textId="77777777" w:rsidR="00FF48C2" w:rsidRPr="004A59B1" w:rsidRDefault="00FF48C2" w:rsidP="009C1193">
            <w:pPr>
              <w:keepNext/>
              <w:keepLines/>
              <w:widowControl w:val="0"/>
              <w:ind w:left="-27"/>
              <w:rPr>
                <w:sz w:val="18"/>
                <w:szCs w:val="18"/>
              </w:rPr>
            </w:pPr>
            <w:r w:rsidRPr="004A59B1">
              <w:rPr>
                <w:sz w:val="18"/>
                <w:szCs w:val="18"/>
              </w:rPr>
              <w:t>14:84</w:t>
            </w:r>
          </w:p>
        </w:tc>
        <w:tc>
          <w:tcPr>
            <w:tcW w:w="649" w:type="dxa"/>
            <w:shd w:val="clear" w:color="auto" w:fill="auto"/>
          </w:tcPr>
          <w:p w14:paraId="5297A23F" w14:textId="77777777" w:rsidR="00FF48C2" w:rsidRPr="004A59B1" w:rsidRDefault="00FF48C2" w:rsidP="009C1193">
            <w:pPr>
              <w:keepNext/>
              <w:keepLines/>
              <w:widowControl w:val="0"/>
              <w:ind w:left="-27"/>
              <w:rPr>
                <w:sz w:val="18"/>
                <w:szCs w:val="18"/>
              </w:rPr>
            </w:pPr>
            <w:r w:rsidRPr="004A59B1">
              <w:rPr>
                <w:sz w:val="18"/>
                <w:szCs w:val="18"/>
              </w:rPr>
              <w:t>10:84</w:t>
            </w:r>
          </w:p>
        </w:tc>
        <w:tc>
          <w:tcPr>
            <w:tcW w:w="564" w:type="dxa"/>
            <w:shd w:val="clear" w:color="auto" w:fill="auto"/>
          </w:tcPr>
          <w:p w14:paraId="5297A240" w14:textId="77777777" w:rsidR="00FF48C2" w:rsidRPr="004A59B1" w:rsidRDefault="00FF48C2" w:rsidP="009C1193">
            <w:pPr>
              <w:keepNext/>
              <w:keepLines/>
              <w:widowControl w:val="0"/>
              <w:ind w:left="-27"/>
              <w:rPr>
                <w:sz w:val="18"/>
                <w:szCs w:val="18"/>
              </w:rPr>
            </w:pPr>
            <w:r w:rsidRPr="004A59B1">
              <w:rPr>
                <w:sz w:val="18"/>
                <w:szCs w:val="18"/>
              </w:rPr>
              <w:t>2:84</w:t>
            </w:r>
          </w:p>
        </w:tc>
        <w:tc>
          <w:tcPr>
            <w:tcW w:w="555" w:type="dxa"/>
            <w:shd w:val="clear" w:color="auto" w:fill="auto"/>
          </w:tcPr>
          <w:p w14:paraId="5297A241" w14:textId="77777777" w:rsidR="00FF48C2" w:rsidRPr="004A59B1" w:rsidRDefault="00FF48C2" w:rsidP="009C1193">
            <w:pPr>
              <w:keepNext/>
              <w:keepLines/>
              <w:widowControl w:val="0"/>
              <w:ind w:left="-27"/>
              <w:rPr>
                <w:sz w:val="18"/>
                <w:szCs w:val="18"/>
              </w:rPr>
            </w:pPr>
            <w:r w:rsidRPr="004A59B1">
              <w:rPr>
                <w:sz w:val="18"/>
                <w:szCs w:val="18"/>
              </w:rPr>
              <w:t>0:84</w:t>
            </w:r>
          </w:p>
        </w:tc>
      </w:tr>
      <w:tr w:rsidR="00FF48C2" w:rsidRPr="004A59B1" w14:paraId="5297A253" w14:textId="77777777" w:rsidTr="008865A0">
        <w:tc>
          <w:tcPr>
            <w:tcW w:w="450" w:type="dxa"/>
            <w:shd w:val="clear" w:color="auto" w:fill="auto"/>
          </w:tcPr>
          <w:p w14:paraId="5297A243" w14:textId="77777777" w:rsidR="00FF48C2" w:rsidRPr="004A59B1" w:rsidRDefault="00FF48C2" w:rsidP="009C1193">
            <w:pPr>
              <w:keepNext/>
              <w:keepLines/>
              <w:widowControl w:val="0"/>
              <w:rPr>
                <w:sz w:val="18"/>
                <w:szCs w:val="18"/>
              </w:rPr>
            </w:pPr>
            <w:r w:rsidRPr="004A59B1">
              <w:rPr>
                <w:sz w:val="18"/>
                <w:szCs w:val="18"/>
              </w:rPr>
              <w:t>(2)</w:t>
            </w:r>
          </w:p>
        </w:tc>
        <w:tc>
          <w:tcPr>
            <w:tcW w:w="646" w:type="dxa"/>
            <w:shd w:val="clear" w:color="auto" w:fill="auto"/>
          </w:tcPr>
          <w:p w14:paraId="5297A244" w14:textId="77777777" w:rsidR="00FF48C2" w:rsidRPr="004A59B1" w:rsidRDefault="00FF48C2" w:rsidP="009C1193">
            <w:pPr>
              <w:keepNext/>
              <w:keepLines/>
              <w:widowControl w:val="0"/>
              <w:ind w:left="-27"/>
              <w:rPr>
                <w:sz w:val="18"/>
                <w:szCs w:val="18"/>
              </w:rPr>
            </w:pPr>
            <w:r w:rsidRPr="004A59B1">
              <w:rPr>
                <w:sz w:val="18"/>
                <w:szCs w:val="18"/>
              </w:rPr>
              <w:t>198:0</w:t>
            </w:r>
          </w:p>
        </w:tc>
        <w:tc>
          <w:tcPr>
            <w:tcW w:w="645" w:type="dxa"/>
            <w:shd w:val="clear" w:color="auto" w:fill="auto"/>
          </w:tcPr>
          <w:p w14:paraId="5297A245" w14:textId="77777777" w:rsidR="00FF48C2" w:rsidRPr="004A59B1" w:rsidRDefault="00FF48C2" w:rsidP="009C1193">
            <w:pPr>
              <w:keepNext/>
              <w:keepLines/>
              <w:widowControl w:val="0"/>
              <w:ind w:left="-27"/>
              <w:rPr>
                <w:sz w:val="18"/>
                <w:szCs w:val="18"/>
              </w:rPr>
            </w:pPr>
            <w:r w:rsidRPr="004A59B1">
              <w:rPr>
                <w:sz w:val="18"/>
                <w:szCs w:val="18"/>
              </w:rPr>
              <w:t>189:5</w:t>
            </w:r>
          </w:p>
        </w:tc>
        <w:tc>
          <w:tcPr>
            <w:tcW w:w="745" w:type="dxa"/>
            <w:shd w:val="clear" w:color="auto" w:fill="auto"/>
          </w:tcPr>
          <w:p w14:paraId="5297A246" w14:textId="77777777" w:rsidR="00FF48C2" w:rsidRPr="004A59B1" w:rsidRDefault="00FF48C2" w:rsidP="009C1193">
            <w:pPr>
              <w:keepNext/>
              <w:keepLines/>
              <w:widowControl w:val="0"/>
              <w:ind w:left="-27"/>
              <w:rPr>
                <w:sz w:val="18"/>
                <w:szCs w:val="18"/>
              </w:rPr>
            </w:pPr>
            <w:r w:rsidRPr="004A59B1">
              <w:rPr>
                <w:sz w:val="18"/>
                <w:szCs w:val="18"/>
              </w:rPr>
              <w:t>184:8</w:t>
            </w:r>
          </w:p>
        </w:tc>
        <w:tc>
          <w:tcPr>
            <w:tcW w:w="745" w:type="dxa"/>
            <w:shd w:val="clear" w:color="auto" w:fill="auto"/>
          </w:tcPr>
          <w:p w14:paraId="5297A247" w14:textId="77777777" w:rsidR="00FF48C2" w:rsidRPr="004A59B1" w:rsidRDefault="00FF48C2" w:rsidP="009C1193">
            <w:pPr>
              <w:keepNext/>
              <w:keepLines/>
              <w:widowControl w:val="0"/>
              <w:ind w:left="-27"/>
              <w:rPr>
                <w:sz w:val="18"/>
                <w:szCs w:val="18"/>
              </w:rPr>
            </w:pPr>
            <w:r w:rsidRPr="004A59B1">
              <w:rPr>
                <w:sz w:val="18"/>
                <w:szCs w:val="18"/>
              </w:rPr>
              <w:t>181:11</w:t>
            </w:r>
          </w:p>
        </w:tc>
        <w:tc>
          <w:tcPr>
            <w:tcW w:w="745" w:type="dxa"/>
            <w:shd w:val="clear" w:color="auto" w:fill="auto"/>
          </w:tcPr>
          <w:p w14:paraId="5297A248" w14:textId="77777777" w:rsidR="00FF48C2" w:rsidRPr="004A59B1" w:rsidRDefault="00FF48C2" w:rsidP="009C1193">
            <w:pPr>
              <w:keepNext/>
              <w:keepLines/>
              <w:widowControl w:val="0"/>
              <w:ind w:left="-27"/>
              <w:rPr>
                <w:sz w:val="18"/>
                <w:szCs w:val="18"/>
              </w:rPr>
            </w:pPr>
            <w:r w:rsidRPr="004A59B1">
              <w:rPr>
                <w:sz w:val="18"/>
                <w:szCs w:val="18"/>
              </w:rPr>
              <w:t>173:18</w:t>
            </w:r>
          </w:p>
        </w:tc>
        <w:tc>
          <w:tcPr>
            <w:tcW w:w="752" w:type="dxa"/>
            <w:shd w:val="clear" w:color="auto" w:fill="auto"/>
          </w:tcPr>
          <w:p w14:paraId="5297A249" w14:textId="77777777" w:rsidR="00FF48C2" w:rsidRPr="004A59B1" w:rsidRDefault="00FF48C2" w:rsidP="009C1193">
            <w:pPr>
              <w:keepNext/>
              <w:keepLines/>
              <w:widowControl w:val="0"/>
              <w:ind w:left="-27"/>
              <w:rPr>
                <w:sz w:val="18"/>
                <w:szCs w:val="18"/>
              </w:rPr>
            </w:pPr>
            <w:r w:rsidRPr="004A59B1">
              <w:rPr>
                <w:sz w:val="18"/>
                <w:szCs w:val="18"/>
              </w:rPr>
              <w:t>152:22</w:t>
            </w:r>
          </w:p>
        </w:tc>
        <w:tc>
          <w:tcPr>
            <w:tcW w:w="745" w:type="dxa"/>
            <w:shd w:val="clear" w:color="auto" w:fill="auto"/>
          </w:tcPr>
          <w:p w14:paraId="5297A24A" w14:textId="77777777" w:rsidR="00FF48C2" w:rsidRPr="004A59B1" w:rsidRDefault="00FF48C2" w:rsidP="009C1193">
            <w:pPr>
              <w:keepNext/>
              <w:keepLines/>
              <w:widowControl w:val="0"/>
              <w:ind w:left="-27"/>
              <w:rPr>
                <w:sz w:val="18"/>
                <w:szCs w:val="18"/>
              </w:rPr>
            </w:pPr>
            <w:r w:rsidRPr="004A59B1">
              <w:rPr>
                <w:sz w:val="18"/>
                <w:szCs w:val="18"/>
              </w:rPr>
              <w:t>133:25</w:t>
            </w:r>
          </w:p>
        </w:tc>
        <w:tc>
          <w:tcPr>
            <w:tcW w:w="745" w:type="dxa"/>
            <w:shd w:val="clear" w:color="auto" w:fill="auto"/>
          </w:tcPr>
          <w:p w14:paraId="5297A24B" w14:textId="77777777" w:rsidR="00FF48C2" w:rsidRPr="004A59B1" w:rsidRDefault="00FF48C2" w:rsidP="009C1193">
            <w:pPr>
              <w:keepNext/>
              <w:keepLines/>
              <w:widowControl w:val="0"/>
              <w:ind w:left="-27"/>
              <w:rPr>
                <w:sz w:val="18"/>
                <w:szCs w:val="18"/>
              </w:rPr>
            </w:pPr>
            <w:r w:rsidRPr="004A59B1">
              <w:rPr>
                <w:sz w:val="18"/>
                <w:szCs w:val="18"/>
              </w:rPr>
              <w:t>102:29</w:t>
            </w:r>
          </w:p>
        </w:tc>
        <w:tc>
          <w:tcPr>
            <w:tcW w:w="652" w:type="dxa"/>
            <w:shd w:val="clear" w:color="auto" w:fill="auto"/>
          </w:tcPr>
          <w:p w14:paraId="5297A24C" w14:textId="77777777" w:rsidR="00FF48C2" w:rsidRPr="004A59B1" w:rsidRDefault="00FF48C2" w:rsidP="009C1193">
            <w:pPr>
              <w:keepNext/>
              <w:keepLines/>
              <w:widowControl w:val="0"/>
              <w:ind w:left="-27"/>
              <w:rPr>
                <w:sz w:val="18"/>
                <w:szCs w:val="18"/>
              </w:rPr>
            </w:pPr>
            <w:r w:rsidRPr="004A59B1">
              <w:rPr>
                <w:sz w:val="18"/>
                <w:szCs w:val="18"/>
              </w:rPr>
              <w:t>82:35</w:t>
            </w:r>
          </w:p>
        </w:tc>
        <w:tc>
          <w:tcPr>
            <w:tcW w:w="652" w:type="dxa"/>
            <w:shd w:val="clear" w:color="auto" w:fill="auto"/>
          </w:tcPr>
          <w:p w14:paraId="5297A24D" w14:textId="77777777" w:rsidR="00FF48C2" w:rsidRPr="004A59B1" w:rsidRDefault="00FF48C2" w:rsidP="009C1193">
            <w:pPr>
              <w:keepNext/>
              <w:keepLines/>
              <w:widowControl w:val="0"/>
              <w:ind w:left="-27"/>
              <w:rPr>
                <w:sz w:val="18"/>
                <w:szCs w:val="18"/>
              </w:rPr>
            </w:pPr>
            <w:r w:rsidRPr="004A59B1">
              <w:rPr>
                <w:sz w:val="18"/>
                <w:szCs w:val="18"/>
              </w:rPr>
              <w:t>54:46</w:t>
            </w:r>
          </w:p>
        </w:tc>
        <w:tc>
          <w:tcPr>
            <w:tcW w:w="649" w:type="dxa"/>
            <w:shd w:val="clear" w:color="auto" w:fill="auto"/>
          </w:tcPr>
          <w:p w14:paraId="5297A24E" w14:textId="77777777" w:rsidR="00FF48C2" w:rsidRPr="004A59B1" w:rsidRDefault="00FF48C2" w:rsidP="009C1193">
            <w:pPr>
              <w:keepNext/>
              <w:keepLines/>
              <w:widowControl w:val="0"/>
              <w:ind w:left="-27"/>
              <w:rPr>
                <w:sz w:val="18"/>
                <w:szCs w:val="18"/>
              </w:rPr>
            </w:pPr>
            <w:r w:rsidRPr="004A59B1">
              <w:rPr>
                <w:sz w:val="18"/>
                <w:szCs w:val="18"/>
              </w:rPr>
              <w:t>39:47</w:t>
            </w:r>
          </w:p>
        </w:tc>
        <w:tc>
          <w:tcPr>
            <w:tcW w:w="660" w:type="dxa"/>
            <w:shd w:val="clear" w:color="auto" w:fill="auto"/>
          </w:tcPr>
          <w:p w14:paraId="5297A24F" w14:textId="77777777" w:rsidR="00FF48C2" w:rsidRPr="004A59B1" w:rsidRDefault="00FF48C2" w:rsidP="009C1193">
            <w:pPr>
              <w:keepNext/>
              <w:keepLines/>
              <w:widowControl w:val="0"/>
              <w:ind w:left="-27"/>
              <w:rPr>
                <w:sz w:val="18"/>
                <w:szCs w:val="18"/>
              </w:rPr>
            </w:pPr>
            <w:r w:rsidRPr="004A59B1">
              <w:rPr>
                <w:sz w:val="18"/>
                <w:szCs w:val="18"/>
              </w:rPr>
              <w:t>21:49</w:t>
            </w:r>
          </w:p>
        </w:tc>
        <w:tc>
          <w:tcPr>
            <w:tcW w:w="649" w:type="dxa"/>
            <w:shd w:val="clear" w:color="auto" w:fill="auto"/>
          </w:tcPr>
          <w:p w14:paraId="5297A250" w14:textId="77777777" w:rsidR="00FF48C2" w:rsidRPr="004A59B1" w:rsidRDefault="00FF48C2" w:rsidP="009C1193">
            <w:pPr>
              <w:keepNext/>
              <w:keepLines/>
              <w:widowControl w:val="0"/>
              <w:ind w:left="-27"/>
              <w:rPr>
                <w:sz w:val="18"/>
                <w:szCs w:val="18"/>
              </w:rPr>
            </w:pPr>
            <w:r w:rsidRPr="004A59B1">
              <w:rPr>
                <w:sz w:val="18"/>
                <w:szCs w:val="18"/>
              </w:rPr>
              <w:t>8:50</w:t>
            </w:r>
          </w:p>
        </w:tc>
        <w:tc>
          <w:tcPr>
            <w:tcW w:w="564" w:type="dxa"/>
            <w:shd w:val="clear" w:color="auto" w:fill="auto"/>
          </w:tcPr>
          <w:p w14:paraId="5297A251" w14:textId="77777777" w:rsidR="00FF48C2" w:rsidRPr="004A59B1" w:rsidRDefault="00FF48C2" w:rsidP="009C1193">
            <w:pPr>
              <w:keepNext/>
              <w:keepLines/>
              <w:widowControl w:val="0"/>
              <w:ind w:left="-27"/>
              <w:rPr>
                <w:sz w:val="18"/>
                <w:szCs w:val="18"/>
              </w:rPr>
            </w:pPr>
            <w:r w:rsidRPr="004A59B1">
              <w:rPr>
                <w:sz w:val="18"/>
                <w:szCs w:val="18"/>
              </w:rPr>
              <w:t>0:50</w:t>
            </w:r>
          </w:p>
        </w:tc>
        <w:tc>
          <w:tcPr>
            <w:tcW w:w="555" w:type="dxa"/>
            <w:shd w:val="clear" w:color="auto" w:fill="auto"/>
          </w:tcPr>
          <w:p w14:paraId="5297A252" w14:textId="77777777" w:rsidR="00FF48C2" w:rsidRPr="004A59B1" w:rsidRDefault="00FF48C2" w:rsidP="009C1193">
            <w:pPr>
              <w:keepNext/>
              <w:keepLines/>
              <w:widowControl w:val="0"/>
              <w:ind w:left="-27"/>
              <w:rPr>
                <w:sz w:val="18"/>
                <w:szCs w:val="18"/>
              </w:rPr>
            </w:pPr>
          </w:p>
        </w:tc>
      </w:tr>
    </w:tbl>
    <w:p w14:paraId="5297A254" w14:textId="77777777" w:rsidR="00FF48C2" w:rsidRPr="004A59B1" w:rsidRDefault="00FF48C2" w:rsidP="009C1193">
      <w:pPr>
        <w:pStyle w:val="Text"/>
        <w:widowControl w:val="0"/>
        <w:spacing w:before="0"/>
        <w:jc w:val="left"/>
        <w:rPr>
          <w:rFonts w:eastAsia="MS Mincho"/>
          <w:color w:val="000000"/>
          <w:sz w:val="22"/>
          <w:szCs w:val="22"/>
          <w:lang w:eastAsia="ja-JP"/>
        </w:rPr>
      </w:pPr>
    </w:p>
    <w:p w14:paraId="5297A255" w14:textId="77777777" w:rsidR="00FF48C2" w:rsidRPr="004A59B1" w:rsidRDefault="00FF48C2" w:rsidP="009C1193">
      <w:pPr>
        <w:pStyle w:val="Text"/>
        <w:keepNext/>
        <w:keepLines/>
        <w:widowControl w:val="0"/>
        <w:spacing w:before="0"/>
        <w:ind w:left="1134" w:hanging="1134"/>
        <w:jc w:val="left"/>
        <w:rPr>
          <w:rFonts w:eastAsia="MS Mincho"/>
          <w:color w:val="000000"/>
          <w:lang w:eastAsia="ja-JP"/>
        </w:rPr>
      </w:pPr>
      <w:r w:rsidRPr="004A59B1">
        <w:rPr>
          <w:rFonts w:eastAsia="MS Mincho"/>
          <w:b/>
          <w:sz w:val="22"/>
          <w:szCs w:val="22"/>
        </w:rPr>
        <w:t>Slika 2</w:t>
      </w:r>
      <w:r w:rsidRPr="004A59B1">
        <w:rPr>
          <w:rFonts w:eastAsia="MS Mincho"/>
          <w:b/>
          <w:sz w:val="22"/>
          <w:szCs w:val="22"/>
        </w:rPr>
        <w:tab/>
        <w:t>Ocena celotnega preživetja po Kaplan-Meierjevi metodi (populacija z namenom zdravljenja -ITT)</w:t>
      </w:r>
    </w:p>
    <w:p w14:paraId="5297A256" w14:textId="77777777" w:rsidR="00FF48C2" w:rsidRPr="004A59B1" w:rsidRDefault="00FF48C2" w:rsidP="009C1193">
      <w:pPr>
        <w:pStyle w:val="Text"/>
        <w:keepNext/>
        <w:keepLines/>
        <w:widowControl w:val="0"/>
        <w:spacing w:before="0"/>
        <w:jc w:val="left"/>
        <w:rPr>
          <w:rFonts w:eastAsia="MS Mincho"/>
          <w:color w:val="000000"/>
          <w:lang w:eastAsia="ja-JP"/>
        </w:rPr>
      </w:pPr>
    </w:p>
    <w:p w14:paraId="5297A257" w14:textId="77777777" w:rsidR="00FF48C2" w:rsidRPr="004A59B1" w:rsidRDefault="003B1E8C" w:rsidP="009C1193">
      <w:pPr>
        <w:pStyle w:val="Text"/>
        <w:keepNext/>
        <w:keepLines/>
        <w:widowControl w:val="0"/>
        <w:spacing w:before="0"/>
        <w:jc w:val="left"/>
        <w:rPr>
          <w:rFonts w:eastAsia="MS Mincho"/>
          <w:color w:val="000000"/>
          <w:lang w:eastAsia="ja-JP"/>
        </w:rPr>
      </w:pPr>
      <w:r w:rsidRPr="004A59B1">
        <w:rPr>
          <w:noProof/>
        </w:rPr>
        <mc:AlternateContent>
          <mc:Choice Requires="wps">
            <w:drawing>
              <wp:anchor distT="0" distB="0" distL="114300" distR="114300" simplePos="0" relativeHeight="251662336" behindDoc="0" locked="0" layoutInCell="1" allowOverlap="1" wp14:anchorId="5297AC30" wp14:editId="5297AC31">
                <wp:simplePos x="0" y="0"/>
                <wp:positionH relativeFrom="column">
                  <wp:posOffset>340995</wp:posOffset>
                </wp:positionH>
                <wp:positionV relativeFrom="paragraph">
                  <wp:posOffset>909320</wp:posOffset>
                </wp:positionV>
                <wp:extent cx="4585335" cy="142875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7ACAA" w14:textId="77777777" w:rsidR="00AD188A" w:rsidRDefault="00AD188A" w:rsidP="00FF48C2">
                            <w:pPr>
                              <w:rPr>
                                <w:rFonts w:ascii="Arial" w:hAnsi="Arial" w:cs="Arial"/>
                                <w:sz w:val="20"/>
                              </w:rPr>
                            </w:pPr>
                          </w:p>
                          <w:tbl>
                            <w:tblPr>
                              <w:tblW w:w="0" w:type="auto"/>
                              <w:tblLook w:val="04A0" w:firstRow="1" w:lastRow="0" w:firstColumn="1" w:lastColumn="0" w:noHBand="0" w:noVBand="1"/>
                            </w:tblPr>
                            <w:tblGrid>
                              <w:gridCol w:w="817"/>
                              <w:gridCol w:w="2464"/>
                              <w:gridCol w:w="851"/>
                              <w:gridCol w:w="709"/>
                              <w:gridCol w:w="850"/>
                            </w:tblGrid>
                            <w:tr w:rsidR="00AD188A" w:rsidRPr="0055776F" w14:paraId="5297ACAE" w14:textId="77777777" w:rsidTr="00747CA8">
                              <w:tc>
                                <w:tcPr>
                                  <w:tcW w:w="5691" w:type="dxa"/>
                                  <w:gridSpan w:val="5"/>
                                  <w:shd w:val="clear" w:color="auto" w:fill="auto"/>
                                </w:tcPr>
                                <w:p w14:paraId="5297ACAB" w14:textId="77777777" w:rsidR="00AD188A" w:rsidRPr="00A33DBA" w:rsidRDefault="00AD188A" w:rsidP="004D77BC">
                                  <w:pPr>
                                    <w:rPr>
                                      <w:rFonts w:ascii="Arial" w:hAnsi="Arial" w:cs="Arial"/>
                                      <w:sz w:val="20"/>
                                    </w:rPr>
                                  </w:pPr>
                                  <w:r>
                                    <w:rPr>
                                      <w:rFonts w:ascii="Arial" w:hAnsi="Arial" w:cs="Arial"/>
                                      <w:sz w:val="20"/>
                                    </w:rPr>
                                    <w:t>P = 0,0</w:t>
                                  </w:r>
                                  <w:r w:rsidRPr="00A33DBA">
                                    <w:rPr>
                                      <w:rFonts w:ascii="Arial" w:hAnsi="Arial" w:cs="Arial"/>
                                      <w:sz w:val="20"/>
                                    </w:rPr>
                                    <w:t>19</w:t>
                                  </w:r>
                                </w:p>
                                <w:p w14:paraId="5297ACAC" w14:textId="77777777" w:rsidR="00AD188A" w:rsidRPr="00A33DBA" w:rsidRDefault="00AD188A" w:rsidP="004D77BC">
                                  <w:pPr>
                                    <w:rPr>
                                      <w:rFonts w:ascii="Arial" w:hAnsi="Arial" w:cs="Arial"/>
                                      <w:sz w:val="20"/>
                                    </w:rPr>
                                  </w:pPr>
                                  <w:r>
                                    <w:rPr>
                                      <w:rFonts w:ascii="Arial" w:hAnsi="Arial" w:cs="Arial"/>
                                      <w:sz w:val="20"/>
                                    </w:rPr>
                                    <w:t>razmerje tveganj</w:t>
                                  </w:r>
                                  <w:r w:rsidRPr="00A33DBA">
                                    <w:rPr>
                                      <w:rFonts w:ascii="Arial" w:hAnsi="Arial" w:cs="Arial"/>
                                      <w:sz w:val="20"/>
                                    </w:rPr>
                                    <w:t xml:space="preserve"> 0</w:t>
                                  </w:r>
                                  <w:r>
                                    <w:rPr>
                                      <w:rFonts w:ascii="Arial" w:hAnsi="Arial" w:cs="Arial"/>
                                      <w:sz w:val="20"/>
                                    </w:rPr>
                                    <w:t>,</w:t>
                                  </w:r>
                                  <w:r w:rsidRPr="00A33DBA">
                                    <w:rPr>
                                      <w:rFonts w:ascii="Arial" w:hAnsi="Arial" w:cs="Arial"/>
                                      <w:sz w:val="20"/>
                                    </w:rPr>
                                    <w:t>45</w:t>
                                  </w:r>
                                </w:p>
                                <w:p w14:paraId="5297ACAD" w14:textId="77777777" w:rsidR="00AD188A" w:rsidRPr="0055776F" w:rsidRDefault="00AD188A" w:rsidP="004D77BC">
                                  <w:pPr>
                                    <w:rPr>
                                      <w:rFonts w:ascii="Arial" w:hAnsi="Arial" w:cs="Arial"/>
                                      <w:sz w:val="20"/>
                                      <w:lang w:val="de-DE"/>
                                    </w:rPr>
                                  </w:pPr>
                                  <w:r w:rsidRPr="00A33DBA">
                                    <w:rPr>
                                      <w:rFonts w:ascii="Arial" w:hAnsi="Arial" w:cs="Arial"/>
                                      <w:sz w:val="20"/>
                                    </w:rPr>
                                    <w:t>(95</w:t>
                                  </w:r>
                                  <w:r>
                                    <w:rPr>
                                      <w:rFonts w:ascii="Arial" w:hAnsi="Arial" w:cs="Arial"/>
                                      <w:sz w:val="20"/>
                                    </w:rPr>
                                    <w:t> </w:t>
                                  </w:r>
                                  <w:r w:rsidRPr="00A33DBA">
                                    <w:rPr>
                                      <w:rFonts w:ascii="Arial" w:hAnsi="Arial" w:cs="Arial"/>
                                      <w:sz w:val="20"/>
                                    </w:rPr>
                                    <w:t xml:space="preserve">% </w:t>
                                  </w:r>
                                  <w:r>
                                    <w:rPr>
                                      <w:rFonts w:ascii="Arial" w:hAnsi="Arial" w:cs="Arial"/>
                                      <w:sz w:val="20"/>
                                    </w:rPr>
                                    <w:t>IZ</w:t>
                                  </w:r>
                                  <w:r w:rsidRPr="00A33DBA">
                                    <w:rPr>
                                      <w:rFonts w:ascii="Arial" w:hAnsi="Arial" w:cs="Arial"/>
                                      <w:sz w:val="20"/>
                                    </w:rPr>
                                    <w:t>, 0</w:t>
                                  </w:r>
                                  <w:r>
                                    <w:rPr>
                                      <w:rFonts w:ascii="Arial" w:hAnsi="Arial" w:cs="Arial"/>
                                      <w:sz w:val="20"/>
                                    </w:rPr>
                                    <w:t>,22</w:t>
                                  </w:r>
                                  <w:r>
                                    <w:rPr>
                                      <w:rFonts w:ascii="Arial" w:hAnsi="Arial" w:cs="Arial"/>
                                      <w:sz w:val="20"/>
                                    </w:rPr>
                                    <w:noBreakHyphen/>
                                    <w:t>0,</w:t>
                                  </w:r>
                                  <w:r w:rsidRPr="00A33DBA">
                                    <w:rPr>
                                      <w:rFonts w:ascii="Arial" w:hAnsi="Arial" w:cs="Arial"/>
                                      <w:sz w:val="20"/>
                                    </w:rPr>
                                    <w:t>89)</w:t>
                                  </w:r>
                                </w:p>
                              </w:tc>
                            </w:tr>
                            <w:tr w:rsidR="00AD188A" w:rsidRPr="0055776F" w14:paraId="5297ACB4" w14:textId="77777777" w:rsidTr="00747CA8">
                              <w:tc>
                                <w:tcPr>
                                  <w:tcW w:w="817" w:type="dxa"/>
                                  <w:shd w:val="clear" w:color="auto" w:fill="auto"/>
                                </w:tcPr>
                                <w:p w14:paraId="5297ACAF" w14:textId="77777777" w:rsidR="00AD188A" w:rsidRPr="0055776F" w:rsidRDefault="00AD188A" w:rsidP="00747CA8">
                                  <w:pPr>
                                    <w:rPr>
                                      <w:rFonts w:ascii="Arial" w:hAnsi="Arial" w:cs="Arial"/>
                                      <w:sz w:val="20"/>
                                    </w:rPr>
                                  </w:pPr>
                                </w:p>
                              </w:tc>
                              <w:tc>
                                <w:tcPr>
                                  <w:tcW w:w="2464" w:type="dxa"/>
                                  <w:shd w:val="clear" w:color="auto" w:fill="auto"/>
                                </w:tcPr>
                                <w:p w14:paraId="5297ACB0" w14:textId="77777777" w:rsidR="00AD188A" w:rsidRPr="0055776F" w:rsidRDefault="00AD188A" w:rsidP="00747CA8">
                                  <w:pPr>
                                    <w:rPr>
                                      <w:rFonts w:ascii="Arial" w:hAnsi="Arial" w:cs="Arial"/>
                                      <w:sz w:val="20"/>
                                    </w:rPr>
                                  </w:pPr>
                                </w:p>
                              </w:tc>
                              <w:tc>
                                <w:tcPr>
                                  <w:tcW w:w="851" w:type="dxa"/>
                                  <w:tcBorders>
                                    <w:bottom w:val="single" w:sz="4" w:space="0" w:color="auto"/>
                                  </w:tcBorders>
                                  <w:shd w:val="clear" w:color="auto" w:fill="auto"/>
                                </w:tcPr>
                                <w:p w14:paraId="5297ACB1" w14:textId="77777777" w:rsidR="00AD188A" w:rsidRPr="0055776F" w:rsidRDefault="00AD188A" w:rsidP="00747CA8">
                                  <w:pPr>
                                    <w:rPr>
                                      <w:rFonts w:ascii="Arial" w:hAnsi="Arial" w:cs="Arial"/>
                                      <w:sz w:val="20"/>
                                    </w:rPr>
                                  </w:pPr>
                                  <w:r w:rsidRPr="004D77BC">
                                    <w:rPr>
                                      <w:rFonts w:ascii="Arial" w:hAnsi="Arial" w:cs="Arial"/>
                                      <w:sz w:val="20"/>
                                      <w:lang w:val="de-DE"/>
                                    </w:rPr>
                                    <w:t>N</w:t>
                                  </w:r>
                                </w:p>
                              </w:tc>
                              <w:tc>
                                <w:tcPr>
                                  <w:tcW w:w="709" w:type="dxa"/>
                                  <w:tcBorders>
                                    <w:bottom w:val="single" w:sz="4" w:space="0" w:color="auto"/>
                                  </w:tcBorders>
                                  <w:shd w:val="clear" w:color="auto" w:fill="auto"/>
                                </w:tcPr>
                                <w:p w14:paraId="5297ACB2" w14:textId="77777777" w:rsidR="00AD188A" w:rsidRPr="0055776F" w:rsidRDefault="00AD188A" w:rsidP="00747CA8">
                                  <w:pPr>
                                    <w:rPr>
                                      <w:rFonts w:ascii="Arial" w:hAnsi="Arial" w:cs="Arial"/>
                                      <w:sz w:val="20"/>
                                    </w:rPr>
                                  </w:pPr>
                                  <w:r w:rsidRPr="004D77BC">
                                    <w:rPr>
                                      <w:rFonts w:ascii="Arial" w:hAnsi="Arial" w:cs="Arial"/>
                                      <w:sz w:val="20"/>
                                      <w:lang w:val="es-ES"/>
                                    </w:rPr>
                                    <w:t>dog</w:t>
                                  </w:r>
                                </w:p>
                              </w:tc>
                              <w:tc>
                                <w:tcPr>
                                  <w:tcW w:w="850" w:type="dxa"/>
                                  <w:tcBorders>
                                    <w:bottom w:val="single" w:sz="4" w:space="0" w:color="auto"/>
                                  </w:tcBorders>
                                  <w:shd w:val="clear" w:color="auto" w:fill="auto"/>
                                </w:tcPr>
                                <w:p w14:paraId="5297ACB3" w14:textId="77777777" w:rsidR="00AD188A" w:rsidRPr="0055776F" w:rsidRDefault="00AD188A" w:rsidP="00747CA8">
                                  <w:pPr>
                                    <w:rPr>
                                      <w:rFonts w:ascii="Arial" w:hAnsi="Arial" w:cs="Arial"/>
                                      <w:sz w:val="20"/>
                                    </w:rPr>
                                  </w:pPr>
                                  <w:r w:rsidRPr="004D77BC">
                                    <w:rPr>
                                      <w:rFonts w:ascii="Arial" w:hAnsi="Arial" w:cs="Arial"/>
                                      <w:sz w:val="20"/>
                                      <w:lang w:val="de-DE"/>
                                    </w:rPr>
                                    <w:t>cen</w:t>
                                  </w:r>
                                </w:p>
                              </w:tc>
                            </w:tr>
                            <w:tr w:rsidR="00AD188A" w:rsidRPr="0055776F" w14:paraId="5297ACBA" w14:textId="77777777" w:rsidTr="00747CA8">
                              <w:tc>
                                <w:tcPr>
                                  <w:tcW w:w="817" w:type="dxa"/>
                                  <w:shd w:val="clear" w:color="auto" w:fill="auto"/>
                                </w:tcPr>
                                <w:p w14:paraId="5297ACB5" w14:textId="77777777" w:rsidR="00AD188A" w:rsidRPr="0055776F" w:rsidRDefault="00AD188A" w:rsidP="00747CA8">
                                  <w:pPr>
                                    <w:rPr>
                                      <w:rFonts w:ascii="Arial" w:hAnsi="Arial" w:cs="Arial"/>
                                      <w:sz w:val="20"/>
                                    </w:rPr>
                                  </w:pPr>
                                  <w:r w:rsidRPr="0055776F">
                                    <w:rPr>
                                      <w:rFonts w:ascii="Arial" w:hAnsi="Arial" w:cs="Arial"/>
                                      <w:b/>
                                      <w:sz w:val="20"/>
                                    </w:rPr>
                                    <w:t>——</w:t>
                                  </w:r>
                                </w:p>
                              </w:tc>
                              <w:tc>
                                <w:tcPr>
                                  <w:tcW w:w="2464" w:type="dxa"/>
                                  <w:shd w:val="clear" w:color="auto" w:fill="auto"/>
                                </w:tcPr>
                                <w:p w14:paraId="5297ACB6" w14:textId="77777777" w:rsidR="00AD188A" w:rsidRPr="0055776F" w:rsidRDefault="00AD188A" w:rsidP="00747CA8">
                                  <w:pPr>
                                    <w:rPr>
                                      <w:rFonts w:ascii="Arial" w:hAnsi="Arial" w:cs="Arial"/>
                                      <w:sz w:val="20"/>
                                    </w:rPr>
                                  </w:pPr>
                                  <w:r>
                                    <w:rPr>
                                      <w:rFonts w:ascii="Arial" w:hAnsi="Arial" w:cs="Arial"/>
                                      <w:sz w:val="20"/>
                                      <w:lang w:val="fr-FR"/>
                                    </w:rPr>
                                    <w:t>(1) imatinib 12 </w:t>
                                  </w:r>
                                  <w:r w:rsidRPr="00F735F7">
                                    <w:rPr>
                                      <w:rFonts w:ascii="Arial" w:hAnsi="Arial" w:cs="Arial"/>
                                      <w:sz w:val="20"/>
                                      <w:lang w:val="fr-FR"/>
                                    </w:rPr>
                                    <w:t>mes.:</w:t>
                                  </w:r>
                                </w:p>
                              </w:tc>
                              <w:tc>
                                <w:tcPr>
                                  <w:tcW w:w="851" w:type="dxa"/>
                                  <w:tcBorders>
                                    <w:top w:val="single" w:sz="4" w:space="0" w:color="auto"/>
                                  </w:tcBorders>
                                  <w:shd w:val="clear" w:color="auto" w:fill="auto"/>
                                </w:tcPr>
                                <w:p w14:paraId="5297ACB7" w14:textId="77777777" w:rsidR="00AD188A" w:rsidRPr="0055776F" w:rsidRDefault="00AD188A" w:rsidP="00747CA8">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5297ACB8" w14:textId="77777777" w:rsidR="00AD188A" w:rsidRPr="0055776F" w:rsidRDefault="00AD188A" w:rsidP="00747CA8">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5297ACB9" w14:textId="77777777" w:rsidR="00AD188A" w:rsidRPr="0055776F" w:rsidRDefault="00AD188A" w:rsidP="00747CA8">
                                  <w:pPr>
                                    <w:rPr>
                                      <w:rFonts w:ascii="Arial" w:hAnsi="Arial" w:cs="Arial"/>
                                      <w:sz w:val="20"/>
                                    </w:rPr>
                                  </w:pPr>
                                  <w:r w:rsidRPr="0055776F">
                                    <w:rPr>
                                      <w:rFonts w:ascii="Arial" w:hAnsi="Arial" w:cs="Arial"/>
                                      <w:sz w:val="20"/>
                                    </w:rPr>
                                    <w:t>174</w:t>
                                  </w:r>
                                </w:p>
                              </w:tc>
                            </w:tr>
                            <w:tr w:rsidR="00AD188A" w:rsidRPr="0055776F" w14:paraId="5297ACC0" w14:textId="77777777" w:rsidTr="00747CA8">
                              <w:tc>
                                <w:tcPr>
                                  <w:tcW w:w="817" w:type="dxa"/>
                                  <w:shd w:val="clear" w:color="auto" w:fill="auto"/>
                                </w:tcPr>
                                <w:p w14:paraId="5297ACBB" w14:textId="77777777" w:rsidR="00AD188A" w:rsidRPr="0055776F" w:rsidRDefault="00AD188A" w:rsidP="00747CA8">
                                  <w:pPr>
                                    <w:rPr>
                                      <w:rFonts w:ascii="Arial" w:hAnsi="Arial" w:cs="Arial"/>
                                      <w:sz w:val="20"/>
                                    </w:rPr>
                                  </w:pPr>
                                  <w:r w:rsidRPr="0055776F">
                                    <w:rPr>
                                      <w:rFonts w:ascii="Arial" w:hAnsi="Arial" w:cs="Arial"/>
                                      <w:sz w:val="20"/>
                                    </w:rPr>
                                    <w:t>-----</w:t>
                                  </w:r>
                                </w:p>
                              </w:tc>
                              <w:tc>
                                <w:tcPr>
                                  <w:tcW w:w="2464" w:type="dxa"/>
                                  <w:shd w:val="clear" w:color="auto" w:fill="auto"/>
                                </w:tcPr>
                                <w:p w14:paraId="5297ACBC" w14:textId="77777777" w:rsidR="00AD188A" w:rsidRPr="0055776F" w:rsidRDefault="00AD188A" w:rsidP="00747CA8">
                                  <w:pPr>
                                    <w:rPr>
                                      <w:rFonts w:ascii="Arial" w:hAnsi="Arial" w:cs="Arial"/>
                                      <w:sz w:val="20"/>
                                    </w:rPr>
                                  </w:pPr>
                                  <w:r>
                                    <w:rPr>
                                      <w:rFonts w:ascii="Arial" w:hAnsi="Arial" w:cs="Arial"/>
                                      <w:sz w:val="20"/>
                                      <w:lang w:val="fr-FR"/>
                                    </w:rPr>
                                    <w:t>(2) imatinib 36 </w:t>
                                  </w:r>
                                  <w:r w:rsidRPr="00F735F7">
                                    <w:rPr>
                                      <w:rFonts w:ascii="Arial" w:hAnsi="Arial" w:cs="Arial"/>
                                      <w:sz w:val="20"/>
                                      <w:lang w:val="fr-FR"/>
                                    </w:rPr>
                                    <w:t>mes.:</w:t>
                                  </w:r>
                                </w:p>
                              </w:tc>
                              <w:tc>
                                <w:tcPr>
                                  <w:tcW w:w="851" w:type="dxa"/>
                                  <w:tcBorders>
                                    <w:bottom w:val="single" w:sz="4" w:space="0" w:color="auto"/>
                                  </w:tcBorders>
                                  <w:shd w:val="clear" w:color="auto" w:fill="auto"/>
                                </w:tcPr>
                                <w:p w14:paraId="5297ACBD" w14:textId="77777777" w:rsidR="00AD188A" w:rsidRPr="0055776F" w:rsidRDefault="00AD188A" w:rsidP="00747CA8">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5297ACBE" w14:textId="77777777" w:rsidR="00AD188A" w:rsidRPr="0055776F" w:rsidRDefault="00AD188A" w:rsidP="00747CA8">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5297ACBF" w14:textId="77777777" w:rsidR="00AD188A" w:rsidRPr="0055776F" w:rsidRDefault="00AD188A" w:rsidP="00747CA8">
                                  <w:pPr>
                                    <w:rPr>
                                      <w:rFonts w:ascii="Arial" w:hAnsi="Arial" w:cs="Arial"/>
                                      <w:sz w:val="20"/>
                                    </w:rPr>
                                  </w:pPr>
                                  <w:r w:rsidRPr="0055776F">
                                    <w:rPr>
                                      <w:rFonts w:ascii="Arial" w:hAnsi="Arial" w:cs="Arial"/>
                                      <w:sz w:val="20"/>
                                    </w:rPr>
                                    <w:t>186</w:t>
                                  </w:r>
                                </w:p>
                              </w:tc>
                            </w:tr>
                            <w:tr w:rsidR="00AD188A" w:rsidRPr="0055776F" w14:paraId="5297ACC6" w14:textId="77777777" w:rsidTr="00747CA8">
                              <w:tc>
                                <w:tcPr>
                                  <w:tcW w:w="817" w:type="dxa"/>
                                  <w:shd w:val="clear" w:color="auto" w:fill="auto"/>
                                </w:tcPr>
                                <w:p w14:paraId="5297ACC1" w14:textId="77777777" w:rsidR="00AD188A" w:rsidRPr="0055776F" w:rsidRDefault="00AD188A" w:rsidP="00747CA8">
                                  <w:pPr>
                                    <w:rPr>
                                      <w:rFonts w:ascii="Arial" w:hAnsi="Arial" w:cs="Arial"/>
                                      <w:sz w:val="20"/>
                                    </w:rPr>
                                  </w:pPr>
                                  <w:r w:rsidRPr="0055776F">
                                    <w:rPr>
                                      <w:rFonts w:ascii="Arial" w:hAnsi="Arial" w:cs="Arial"/>
                                      <w:sz w:val="20"/>
                                    </w:rPr>
                                    <w:t>│││</w:t>
                                  </w:r>
                                </w:p>
                              </w:tc>
                              <w:tc>
                                <w:tcPr>
                                  <w:tcW w:w="2464" w:type="dxa"/>
                                  <w:shd w:val="clear" w:color="auto" w:fill="auto"/>
                                </w:tcPr>
                                <w:p w14:paraId="5297ACC2" w14:textId="77777777" w:rsidR="00AD188A" w:rsidRPr="0055776F" w:rsidRDefault="00AD188A" w:rsidP="00747CA8">
                                  <w:pPr>
                                    <w:rPr>
                                      <w:rFonts w:ascii="Arial" w:hAnsi="Arial" w:cs="Arial"/>
                                      <w:sz w:val="20"/>
                                    </w:rPr>
                                  </w:pPr>
                                  <w:r w:rsidRPr="00F735F7">
                                    <w:rPr>
                                      <w:rFonts w:ascii="Arial" w:hAnsi="Arial" w:cs="Arial"/>
                                      <w:sz w:val="20"/>
                                      <w:lang w:val="fr-FR"/>
                                    </w:rPr>
                                    <w:t>cenzurirani podatki</w:t>
                                  </w:r>
                                </w:p>
                              </w:tc>
                              <w:tc>
                                <w:tcPr>
                                  <w:tcW w:w="851" w:type="dxa"/>
                                  <w:tcBorders>
                                    <w:top w:val="single" w:sz="4" w:space="0" w:color="auto"/>
                                  </w:tcBorders>
                                  <w:shd w:val="clear" w:color="auto" w:fill="auto"/>
                                </w:tcPr>
                                <w:p w14:paraId="5297ACC3" w14:textId="77777777" w:rsidR="00AD188A" w:rsidRPr="0055776F" w:rsidRDefault="00AD188A" w:rsidP="00747CA8">
                                  <w:pPr>
                                    <w:rPr>
                                      <w:rFonts w:ascii="Arial" w:hAnsi="Arial" w:cs="Arial"/>
                                      <w:sz w:val="20"/>
                                    </w:rPr>
                                  </w:pPr>
                                </w:p>
                              </w:tc>
                              <w:tc>
                                <w:tcPr>
                                  <w:tcW w:w="709" w:type="dxa"/>
                                  <w:tcBorders>
                                    <w:top w:val="single" w:sz="4" w:space="0" w:color="auto"/>
                                  </w:tcBorders>
                                  <w:shd w:val="clear" w:color="auto" w:fill="auto"/>
                                </w:tcPr>
                                <w:p w14:paraId="5297ACC4" w14:textId="77777777" w:rsidR="00AD188A" w:rsidRPr="0055776F" w:rsidRDefault="00AD188A" w:rsidP="00747CA8">
                                  <w:pPr>
                                    <w:rPr>
                                      <w:rFonts w:ascii="Arial" w:hAnsi="Arial" w:cs="Arial"/>
                                      <w:sz w:val="20"/>
                                    </w:rPr>
                                  </w:pPr>
                                </w:p>
                              </w:tc>
                              <w:tc>
                                <w:tcPr>
                                  <w:tcW w:w="850" w:type="dxa"/>
                                  <w:tcBorders>
                                    <w:top w:val="single" w:sz="4" w:space="0" w:color="auto"/>
                                  </w:tcBorders>
                                  <w:shd w:val="clear" w:color="auto" w:fill="auto"/>
                                </w:tcPr>
                                <w:p w14:paraId="5297ACC5" w14:textId="77777777" w:rsidR="00AD188A" w:rsidRPr="0055776F" w:rsidRDefault="00AD188A" w:rsidP="00747CA8">
                                  <w:pPr>
                                    <w:rPr>
                                      <w:rFonts w:ascii="Arial" w:hAnsi="Arial" w:cs="Arial"/>
                                      <w:sz w:val="20"/>
                                    </w:rPr>
                                  </w:pPr>
                                </w:p>
                              </w:tc>
                            </w:tr>
                          </w:tbl>
                          <w:p w14:paraId="5297ACC7" w14:textId="77777777" w:rsidR="00AD188A" w:rsidRPr="00A33DBA" w:rsidRDefault="00AD188A" w:rsidP="00FF48C2">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97AC30" id="_x0000_s1035" type="#_x0000_t202" style="position:absolute;margin-left:26.85pt;margin-top:71.6pt;width:361.0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" filled="f" stroked="f">
                <v:textbox>
                  <w:txbxContent>
                    <w:p w14:paraId="5297ACAA" w14:textId="77777777" w:rsidR="00AD188A" w:rsidRDefault="00AD188A" w:rsidP="00FF48C2">
                      <w:pPr>
                        <w:rPr>
                          <w:rFonts w:ascii="Arial" w:hAnsi="Arial" w:cs="Arial"/>
                          <w:sz w:val="20"/>
                        </w:rPr>
                      </w:pPr>
                    </w:p>
                    <w:tbl>
                      <w:tblPr>
                        <w:tblW w:w="0" w:type="auto"/>
                        <w:tblLook w:val="04A0" w:firstRow="1" w:lastRow="0" w:firstColumn="1" w:lastColumn="0" w:noHBand="0" w:noVBand="1"/>
                      </w:tblPr>
                      <w:tblGrid>
                        <w:gridCol w:w="817"/>
                        <w:gridCol w:w="2464"/>
                        <w:gridCol w:w="851"/>
                        <w:gridCol w:w="709"/>
                        <w:gridCol w:w="850"/>
                      </w:tblGrid>
                      <w:tr w:rsidR="00AD188A" w:rsidRPr="0055776F" w14:paraId="5297ACAE" w14:textId="77777777" w:rsidTr="00747CA8">
                        <w:tc>
                          <w:tcPr>
                            <w:tcW w:w="5691" w:type="dxa"/>
                            <w:gridSpan w:val="5"/>
                            <w:shd w:val="clear" w:color="auto" w:fill="auto"/>
                          </w:tcPr>
                          <w:p w14:paraId="5297ACAB" w14:textId="77777777" w:rsidR="00AD188A" w:rsidRPr="00A33DBA" w:rsidRDefault="00AD188A" w:rsidP="004D77BC">
                            <w:pPr>
                              <w:rPr>
                                <w:rFonts w:ascii="Arial" w:hAnsi="Arial" w:cs="Arial"/>
                                <w:sz w:val="20"/>
                              </w:rPr>
                            </w:pPr>
                            <w:r>
                              <w:rPr>
                                <w:rFonts w:ascii="Arial" w:hAnsi="Arial" w:cs="Arial"/>
                                <w:sz w:val="20"/>
                              </w:rPr>
                              <w:t>P = 0,0</w:t>
                            </w:r>
                            <w:r w:rsidRPr="00A33DBA">
                              <w:rPr>
                                <w:rFonts w:ascii="Arial" w:hAnsi="Arial" w:cs="Arial"/>
                                <w:sz w:val="20"/>
                              </w:rPr>
                              <w:t>19</w:t>
                            </w:r>
                          </w:p>
                          <w:p w14:paraId="5297ACAC" w14:textId="77777777" w:rsidR="00AD188A" w:rsidRPr="00A33DBA" w:rsidRDefault="00AD188A" w:rsidP="004D77BC">
                            <w:pPr>
                              <w:rPr>
                                <w:rFonts w:ascii="Arial" w:hAnsi="Arial" w:cs="Arial"/>
                                <w:sz w:val="20"/>
                              </w:rPr>
                            </w:pPr>
                            <w:r>
                              <w:rPr>
                                <w:rFonts w:ascii="Arial" w:hAnsi="Arial" w:cs="Arial"/>
                                <w:sz w:val="20"/>
                              </w:rPr>
                              <w:t>razmerje tveganj</w:t>
                            </w:r>
                            <w:r w:rsidRPr="00A33DBA">
                              <w:rPr>
                                <w:rFonts w:ascii="Arial" w:hAnsi="Arial" w:cs="Arial"/>
                                <w:sz w:val="20"/>
                              </w:rPr>
                              <w:t xml:space="preserve"> 0</w:t>
                            </w:r>
                            <w:r>
                              <w:rPr>
                                <w:rFonts w:ascii="Arial" w:hAnsi="Arial" w:cs="Arial"/>
                                <w:sz w:val="20"/>
                              </w:rPr>
                              <w:t>,</w:t>
                            </w:r>
                            <w:r w:rsidRPr="00A33DBA">
                              <w:rPr>
                                <w:rFonts w:ascii="Arial" w:hAnsi="Arial" w:cs="Arial"/>
                                <w:sz w:val="20"/>
                              </w:rPr>
                              <w:t>45</w:t>
                            </w:r>
                          </w:p>
                          <w:p w14:paraId="5297ACAD" w14:textId="77777777" w:rsidR="00AD188A" w:rsidRPr="0055776F" w:rsidRDefault="00AD188A" w:rsidP="004D77BC">
                            <w:pPr>
                              <w:rPr>
                                <w:rFonts w:ascii="Arial" w:hAnsi="Arial" w:cs="Arial"/>
                                <w:sz w:val="20"/>
                                <w:lang w:val="de-DE"/>
                              </w:rPr>
                            </w:pPr>
                            <w:r w:rsidRPr="00A33DBA">
                              <w:rPr>
                                <w:rFonts w:ascii="Arial" w:hAnsi="Arial" w:cs="Arial"/>
                                <w:sz w:val="20"/>
                              </w:rPr>
                              <w:t>(95</w:t>
                            </w:r>
                            <w:r>
                              <w:rPr>
                                <w:rFonts w:ascii="Arial" w:hAnsi="Arial" w:cs="Arial"/>
                                <w:sz w:val="20"/>
                              </w:rPr>
                              <w:t> </w:t>
                            </w:r>
                            <w:r w:rsidRPr="00A33DBA">
                              <w:rPr>
                                <w:rFonts w:ascii="Arial" w:hAnsi="Arial" w:cs="Arial"/>
                                <w:sz w:val="20"/>
                              </w:rPr>
                              <w:t xml:space="preserve">% </w:t>
                            </w:r>
                            <w:r>
                              <w:rPr>
                                <w:rFonts w:ascii="Arial" w:hAnsi="Arial" w:cs="Arial"/>
                                <w:sz w:val="20"/>
                              </w:rPr>
                              <w:t>IZ</w:t>
                            </w:r>
                            <w:r w:rsidRPr="00A33DBA">
                              <w:rPr>
                                <w:rFonts w:ascii="Arial" w:hAnsi="Arial" w:cs="Arial"/>
                                <w:sz w:val="20"/>
                              </w:rPr>
                              <w:t>, 0</w:t>
                            </w:r>
                            <w:r>
                              <w:rPr>
                                <w:rFonts w:ascii="Arial" w:hAnsi="Arial" w:cs="Arial"/>
                                <w:sz w:val="20"/>
                              </w:rPr>
                              <w:t>,22</w:t>
                            </w:r>
                            <w:r>
                              <w:rPr>
                                <w:rFonts w:ascii="Arial" w:hAnsi="Arial" w:cs="Arial"/>
                                <w:sz w:val="20"/>
                              </w:rPr>
                              <w:noBreakHyphen/>
                              <w:t>0,</w:t>
                            </w:r>
                            <w:r w:rsidRPr="00A33DBA">
                              <w:rPr>
                                <w:rFonts w:ascii="Arial" w:hAnsi="Arial" w:cs="Arial"/>
                                <w:sz w:val="20"/>
                              </w:rPr>
                              <w:t>89)</w:t>
                            </w:r>
                          </w:p>
                        </w:tc>
                      </w:tr>
                      <w:tr w:rsidR="00AD188A" w:rsidRPr="0055776F" w14:paraId="5297ACB4" w14:textId="77777777" w:rsidTr="00747CA8">
                        <w:tc>
                          <w:tcPr>
                            <w:tcW w:w="817" w:type="dxa"/>
                            <w:shd w:val="clear" w:color="auto" w:fill="auto"/>
                          </w:tcPr>
                          <w:p w14:paraId="5297ACAF" w14:textId="77777777" w:rsidR="00AD188A" w:rsidRPr="0055776F" w:rsidRDefault="00AD188A" w:rsidP="00747CA8">
                            <w:pPr>
                              <w:rPr>
                                <w:rFonts w:ascii="Arial" w:hAnsi="Arial" w:cs="Arial"/>
                                <w:sz w:val="20"/>
                              </w:rPr>
                            </w:pPr>
                          </w:p>
                        </w:tc>
                        <w:tc>
                          <w:tcPr>
                            <w:tcW w:w="2464" w:type="dxa"/>
                            <w:shd w:val="clear" w:color="auto" w:fill="auto"/>
                          </w:tcPr>
                          <w:p w14:paraId="5297ACB0" w14:textId="77777777" w:rsidR="00AD188A" w:rsidRPr="0055776F" w:rsidRDefault="00AD188A" w:rsidP="00747CA8">
                            <w:pPr>
                              <w:rPr>
                                <w:rFonts w:ascii="Arial" w:hAnsi="Arial" w:cs="Arial"/>
                                <w:sz w:val="20"/>
                              </w:rPr>
                            </w:pPr>
                          </w:p>
                        </w:tc>
                        <w:tc>
                          <w:tcPr>
                            <w:tcW w:w="851" w:type="dxa"/>
                            <w:tcBorders>
                              <w:bottom w:val="single" w:sz="4" w:space="0" w:color="auto"/>
                            </w:tcBorders>
                            <w:shd w:val="clear" w:color="auto" w:fill="auto"/>
                          </w:tcPr>
                          <w:p w14:paraId="5297ACB1" w14:textId="77777777" w:rsidR="00AD188A" w:rsidRPr="0055776F" w:rsidRDefault="00AD188A" w:rsidP="00747CA8">
                            <w:pPr>
                              <w:rPr>
                                <w:rFonts w:ascii="Arial" w:hAnsi="Arial" w:cs="Arial"/>
                                <w:sz w:val="20"/>
                              </w:rPr>
                            </w:pPr>
                            <w:r w:rsidRPr="004D77BC">
                              <w:rPr>
                                <w:rFonts w:ascii="Arial" w:hAnsi="Arial" w:cs="Arial"/>
                                <w:sz w:val="20"/>
                                <w:lang w:val="de-DE"/>
                              </w:rPr>
                              <w:t>N</w:t>
                            </w:r>
                          </w:p>
                        </w:tc>
                        <w:tc>
                          <w:tcPr>
                            <w:tcW w:w="709" w:type="dxa"/>
                            <w:tcBorders>
                              <w:bottom w:val="single" w:sz="4" w:space="0" w:color="auto"/>
                            </w:tcBorders>
                            <w:shd w:val="clear" w:color="auto" w:fill="auto"/>
                          </w:tcPr>
                          <w:p w14:paraId="5297ACB2" w14:textId="77777777" w:rsidR="00AD188A" w:rsidRPr="0055776F" w:rsidRDefault="00AD188A" w:rsidP="00747CA8">
                            <w:pPr>
                              <w:rPr>
                                <w:rFonts w:ascii="Arial" w:hAnsi="Arial" w:cs="Arial"/>
                                <w:sz w:val="20"/>
                              </w:rPr>
                            </w:pPr>
                            <w:r w:rsidRPr="004D77BC">
                              <w:rPr>
                                <w:rFonts w:ascii="Arial" w:hAnsi="Arial" w:cs="Arial"/>
                                <w:sz w:val="20"/>
                                <w:lang w:val="es-ES"/>
                              </w:rPr>
                              <w:t>dog</w:t>
                            </w:r>
                          </w:p>
                        </w:tc>
                        <w:tc>
                          <w:tcPr>
                            <w:tcW w:w="850" w:type="dxa"/>
                            <w:tcBorders>
                              <w:bottom w:val="single" w:sz="4" w:space="0" w:color="auto"/>
                            </w:tcBorders>
                            <w:shd w:val="clear" w:color="auto" w:fill="auto"/>
                          </w:tcPr>
                          <w:p w14:paraId="5297ACB3" w14:textId="77777777" w:rsidR="00AD188A" w:rsidRPr="0055776F" w:rsidRDefault="00AD188A" w:rsidP="00747CA8">
                            <w:pPr>
                              <w:rPr>
                                <w:rFonts w:ascii="Arial" w:hAnsi="Arial" w:cs="Arial"/>
                                <w:sz w:val="20"/>
                              </w:rPr>
                            </w:pPr>
                            <w:r w:rsidRPr="004D77BC">
                              <w:rPr>
                                <w:rFonts w:ascii="Arial" w:hAnsi="Arial" w:cs="Arial"/>
                                <w:sz w:val="20"/>
                                <w:lang w:val="de-DE"/>
                              </w:rPr>
                              <w:t>cen</w:t>
                            </w:r>
                          </w:p>
                        </w:tc>
                      </w:tr>
                      <w:tr w:rsidR="00AD188A" w:rsidRPr="0055776F" w14:paraId="5297ACBA" w14:textId="77777777" w:rsidTr="00747CA8">
                        <w:tc>
                          <w:tcPr>
                            <w:tcW w:w="817" w:type="dxa"/>
                            <w:shd w:val="clear" w:color="auto" w:fill="auto"/>
                          </w:tcPr>
                          <w:p w14:paraId="5297ACB5" w14:textId="77777777" w:rsidR="00AD188A" w:rsidRPr="0055776F" w:rsidRDefault="00AD188A" w:rsidP="00747CA8">
                            <w:pPr>
                              <w:rPr>
                                <w:rFonts w:ascii="Arial" w:hAnsi="Arial" w:cs="Arial"/>
                                <w:sz w:val="20"/>
                              </w:rPr>
                            </w:pPr>
                            <w:r w:rsidRPr="0055776F">
                              <w:rPr>
                                <w:rFonts w:ascii="Arial" w:hAnsi="Arial" w:cs="Arial"/>
                                <w:b/>
                                <w:sz w:val="20"/>
                              </w:rPr>
                              <w:t>——</w:t>
                            </w:r>
                          </w:p>
                        </w:tc>
                        <w:tc>
                          <w:tcPr>
                            <w:tcW w:w="2464" w:type="dxa"/>
                            <w:shd w:val="clear" w:color="auto" w:fill="auto"/>
                          </w:tcPr>
                          <w:p w14:paraId="5297ACB6" w14:textId="77777777" w:rsidR="00AD188A" w:rsidRPr="0055776F" w:rsidRDefault="00AD188A" w:rsidP="00747CA8">
                            <w:pPr>
                              <w:rPr>
                                <w:rFonts w:ascii="Arial" w:hAnsi="Arial" w:cs="Arial"/>
                                <w:sz w:val="20"/>
                              </w:rPr>
                            </w:pPr>
                            <w:r>
                              <w:rPr>
                                <w:rFonts w:ascii="Arial" w:hAnsi="Arial" w:cs="Arial"/>
                                <w:sz w:val="20"/>
                                <w:lang w:val="fr-FR"/>
                              </w:rPr>
                              <w:t>(1) imatinib 12 </w:t>
                            </w:r>
                            <w:r w:rsidRPr="00F735F7">
                              <w:rPr>
                                <w:rFonts w:ascii="Arial" w:hAnsi="Arial" w:cs="Arial"/>
                                <w:sz w:val="20"/>
                                <w:lang w:val="fr-FR"/>
                              </w:rPr>
                              <w:t>mes.:</w:t>
                            </w:r>
                          </w:p>
                        </w:tc>
                        <w:tc>
                          <w:tcPr>
                            <w:tcW w:w="851" w:type="dxa"/>
                            <w:tcBorders>
                              <w:top w:val="single" w:sz="4" w:space="0" w:color="auto"/>
                            </w:tcBorders>
                            <w:shd w:val="clear" w:color="auto" w:fill="auto"/>
                          </w:tcPr>
                          <w:p w14:paraId="5297ACB7" w14:textId="77777777" w:rsidR="00AD188A" w:rsidRPr="0055776F" w:rsidRDefault="00AD188A" w:rsidP="00747CA8">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5297ACB8" w14:textId="77777777" w:rsidR="00AD188A" w:rsidRPr="0055776F" w:rsidRDefault="00AD188A" w:rsidP="00747CA8">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5297ACB9" w14:textId="77777777" w:rsidR="00AD188A" w:rsidRPr="0055776F" w:rsidRDefault="00AD188A" w:rsidP="00747CA8">
                            <w:pPr>
                              <w:rPr>
                                <w:rFonts w:ascii="Arial" w:hAnsi="Arial" w:cs="Arial"/>
                                <w:sz w:val="20"/>
                              </w:rPr>
                            </w:pPr>
                            <w:r w:rsidRPr="0055776F">
                              <w:rPr>
                                <w:rFonts w:ascii="Arial" w:hAnsi="Arial" w:cs="Arial"/>
                                <w:sz w:val="20"/>
                              </w:rPr>
                              <w:t>174</w:t>
                            </w:r>
                          </w:p>
                        </w:tc>
                      </w:tr>
                      <w:tr w:rsidR="00AD188A" w:rsidRPr="0055776F" w14:paraId="5297ACC0" w14:textId="77777777" w:rsidTr="00747CA8">
                        <w:tc>
                          <w:tcPr>
                            <w:tcW w:w="817" w:type="dxa"/>
                            <w:shd w:val="clear" w:color="auto" w:fill="auto"/>
                          </w:tcPr>
                          <w:p w14:paraId="5297ACBB" w14:textId="77777777" w:rsidR="00AD188A" w:rsidRPr="0055776F" w:rsidRDefault="00AD188A" w:rsidP="00747CA8">
                            <w:pPr>
                              <w:rPr>
                                <w:rFonts w:ascii="Arial" w:hAnsi="Arial" w:cs="Arial"/>
                                <w:sz w:val="20"/>
                              </w:rPr>
                            </w:pPr>
                            <w:r w:rsidRPr="0055776F">
                              <w:rPr>
                                <w:rFonts w:ascii="Arial" w:hAnsi="Arial" w:cs="Arial"/>
                                <w:sz w:val="20"/>
                              </w:rPr>
                              <w:t>-----</w:t>
                            </w:r>
                          </w:p>
                        </w:tc>
                        <w:tc>
                          <w:tcPr>
                            <w:tcW w:w="2464" w:type="dxa"/>
                            <w:shd w:val="clear" w:color="auto" w:fill="auto"/>
                          </w:tcPr>
                          <w:p w14:paraId="5297ACBC" w14:textId="77777777" w:rsidR="00AD188A" w:rsidRPr="0055776F" w:rsidRDefault="00AD188A" w:rsidP="00747CA8">
                            <w:pPr>
                              <w:rPr>
                                <w:rFonts w:ascii="Arial" w:hAnsi="Arial" w:cs="Arial"/>
                                <w:sz w:val="20"/>
                              </w:rPr>
                            </w:pPr>
                            <w:r>
                              <w:rPr>
                                <w:rFonts w:ascii="Arial" w:hAnsi="Arial" w:cs="Arial"/>
                                <w:sz w:val="20"/>
                                <w:lang w:val="fr-FR"/>
                              </w:rPr>
                              <w:t>(2) imatinib 36 </w:t>
                            </w:r>
                            <w:r w:rsidRPr="00F735F7">
                              <w:rPr>
                                <w:rFonts w:ascii="Arial" w:hAnsi="Arial" w:cs="Arial"/>
                                <w:sz w:val="20"/>
                                <w:lang w:val="fr-FR"/>
                              </w:rPr>
                              <w:t>mes.:</w:t>
                            </w:r>
                          </w:p>
                        </w:tc>
                        <w:tc>
                          <w:tcPr>
                            <w:tcW w:w="851" w:type="dxa"/>
                            <w:tcBorders>
                              <w:bottom w:val="single" w:sz="4" w:space="0" w:color="auto"/>
                            </w:tcBorders>
                            <w:shd w:val="clear" w:color="auto" w:fill="auto"/>
                          </w:tcPr>
                          <w:p w14:paraId="5297ACBD" w14:textId="77777777" w:rsidR="00AD188A" w:rsidRPr="0055776F" w:rsidRDefault="00AD188A" w:rsidP="00747CA8">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5297ACBE" w14:textId="77777777" w:rsidR="00AD188A" w:rsidRPr="0055776F" w:rsidRDefault="00AD188A" w:rsidP="00747CA8">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5297ACBF" w14:textId="77777777" w:rsidR="00AD188A" w:rsidRPr="0055776F" w:rsidRDefault="00AD188A" w:rsidP="00747CA8">
                            <w:pPr>
                              <w:rPr>
                                <w:rFonts w:ascii="Arial" w:hAnsi="Arial" w:cs="Arial"/>
                                <w:sz w:val="20"/>
                              </w:rPr>
                            </w:pPr>
                            <w:r w:rsidRPr="0055776F">
                              <w:rPr>
                                <w:rFonts w:ascii="Arial" w:hAnsi="Arial" w:cs="Arial"/>
                                <w:sz w:val="20"/>
                              </w:rPr>
                              <w:t>186</w:t>
                            </w:r>
                          </w:p>
                        </w:tc>
                      </w:tr>
                      <w:tr w:rsidR="00AD188A" w:rsidRPr="0055776F" w14:paraId="5297ACC6" w14:textId="77777777" w:rsidTr="00747CA8">
                        <w:tc>
                          <w:tcPr>
                            <w:tcW w:w="817" w:type="dxa"/>
                            <w:shd w:val="clear" w:color="auto" w:fill="auto"/>
                          </w:tcPr>
                          <w:p w14:paraId="5297ACC1" w14:textId="77777777" w:rsidR="00AD188A" w:rsidRPr="0055776F" w:rsidRDefault="00AD188A" w:rsidP="00747CA8">
                            <w:pPr>
                              <w:rPr>
                                <w:rFonts w:ascii="Arial" w:hAnsi="Arial" w:cs="Arial"/>
                                <w:sz w:val="20"/>
                              </w:rPr>
                            </w:pPr>
                            <w:r w:rsidRPr="0055776F">
                              <w:rPr>
                                <w:rFonts w:ascii="Arial" w:hAnsi="Arial" w:cs="Arial"/>
                                <w:sz w:val="20"/>
                              </w:rPr>
                              <w:t>│││</w:t>
                            </w:r>
                          </w:p>
                        </w:tc>
                        <w:tc>
                          <w:tcPr>
                            <w:tcW w:w="2464" w:type="dxa"/>
                            <w:shd w:val="clear" w:color="auto" w:fill="auto"/>
                          </w:tcPr>
                          <w:p w14:paraId="5297ACC2" w14:textId="77777777" w:rsidR="00AD188A" w:rsidRPr="0055776F" w:rsidRDefault="00AD188A" w:rsidP="00747CA8">
                            <w:pPr>
                              <w:rPr>
                                <w:rFonts w:ascii="Arial" w:hAnsi="Arial" w:cs="Arial"/>
                                <w:sz w:val="20"/>
                              </w:rPr>
                            </w:pPr>
                            <w:r w:rsidRPr="00F735F7">
                              <w:rPr>
                                <w:rFonts w:ascii="Arial" w:hAnsi="Arial" w:cs="Arial"/>
                                <w:sz w:val="20"/>
                                <w:lang w:val="fr-FR"/>
                              </w:rPr>
                              <w:t>cenzurirani podatki</w:t>
                            </w:r>
                          </w:p>
                        </w:tc>
                        <w:tc>
                          <w:tcPr>
                            <w:tcW w:w="851" w:type="dxa"/>
                            <w:tcBorders>
                              <w:top w:val="single" w:sz="4" w:space="0" w:color="auto"/>
                            </w:tcBorders>
                            <w:shd w:val="clear" w:color="auto" w:fill="auto"/>
                          </w:tcPr>
                          <w:p w14:paraId="5297ACC3" w14:textId="77777777" w:rsidR="00AD188A" w:rsidRPr="0055776F" w:rsidRDefault="00AD188A" w:rsidP="00747CA8">
                            <w:pPr>
                              <w:rPr>
                                <w:rFonts w:ascii="Arial" w:hAnsi="Arial" w:cs="Arial"/>
                                <w:sz w:val="20"/>
                              </w:rPr>
                            </w:pPr>
                          </w:p>
                        </w:tc>
                        <w:tc>
                          <w:tcPr>
                            <w:tcW w:w="709" w:type="dxa"/>
                            <w:tcBorders>
                              <w:top w:val="single" w:sz="4" w:space="0" w:color="auto"/>
                            </w:tcBorders>
                            <w:shd w:val="clear" w:color="auto" w:fill="auto"/>
                          </w:tcPr>
                          <w:p w14:paraId="5297ACC4" w14:textId="77777777" w:rsidR="00AD188A" w:rsidRPr="0055776F" w:rsidRDefault="00AD188A" w:rsidP="00747CA8">
                            <w:pPr>
                              <w:rPr>
                                <w:rFonts w:ascii="Arial" w:hAnsi="Arial" w:cs="Arial"/>
                                <w:sz w:val="20"/>
                              </w:rPr>
                            </w:pPr>
                          </w:p>
                        </w:tc>
                        <w:tc>
                          <w:tcPr>
                            <w:tcW w:w="850" w:type="dxa"/>
                            <w:tcBorders>
                              <w:top w:val="single" w:sz="4" w:space="0" w:color="auto"/>
                            </w:tcBorders>
                            <w:shd w:val="clear" w:color="auto" w:fill="auto"/>
                          </w:tcPr>
                          <w:p w14:paraId="5297ACC5" w14:textId="77777777" w:rsidR="00AD188A" w:rsidRPr="0055776F" w:rsidRDefault="00AD188A" w:rsidP="00747CA8">
                            <w:pPr>
                              <w:rPr>
                                <w:rFonts w:ascii="Arial" w:hAnsi="Arial" w:cs="Arial"/>
                                <w:sz w:val="20"/>
                              </w:rPr>
                            </w:pPr>
                          </w:p>
                        </w:tc>
                      </w:tr>
                    </w:tbl>
                    <w:p w14:paraId="5297ACC7" w14:textId="77777777" w:rsidR="00AD188A" w:rsidRPr="00A33DBA" w:rsidRDefault="00AD188A" w:rsidP="00FF48C2">
                      <w:pPr>
                        <w:rPr>
                          <w:rFonts w:ascii="Arial" w:hAnsi="Arial" w:cs="Arial"/>
                          <w:sz w:val="20"/>
                        </w:rPr>
                      </w:pPr>
                    </w:p>
                  </w:txbxContent>
                </v:textbox>
              </v:shape>
            </w:pict>
          </mc:Fallback>
        </mc:AlternateContent>
      </w:r>
      <w:r w:rsidRPr="004A59B1">
        <w:rPr>
          <w:noProof/>
        </w:rPr>
        <mc:AlternateContent>
          <mc:Choice Requires="wps">
            <w:drawing>
              <wp:anchor distT="0" distB="0" distL="114300" distR="114300" simplePos="0" relativeHeight="251661312" behindDoc="0" locked="0" layoutInCell="1" allowOverlap="1" wp14:anchorId="5297AC32" wp14:editId="5297AC33">
                <wp:simplePos x="0" y="0"/>
                <wp:positionH relativeFrom="column">
                  <wp:posOffset>-288290</wp:posOffset>
                </wp:positionH>
                <wp:positionV relativeFrom="paragraph">
                  <wp:posOffset>105410</wp:posOffset>
                </wp:positionV>
                <wp:extent cx="335915" cy="223266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2326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97ACC8" w14:textId="77777777" w:rsidR="00AD188A" w:rsidRPr="00A33DBA" w:rsidRDefault="00AD188A" w:rsidP="00FF48C2">
                            <w:pPr>
                              <w:rPr>
                                <w:rFonts w:ascii="Arial" w:hAnsi="Arial" w:cs="Arial"/>
                                <w:sz w:val="20"/>
                              </w:rPr>
                            </w:pPr>
                            <w:r>
                              <w:rPr>
                                <w:rFonts w:ascii="Arial" w:hAnsi="Arial" w:cs="Arial"/>
                                <w:sz w:val="20"/>
                              </w:rPr>
                              <w:t>verjetnost  celotnega preživetja</w:t>
                            </w:r>
                          </w:p>
                          <w:p w14:paraId="5297ACC9" w14:textId="77777777" w:rsidR="00AD188A" w:rsidRPr="00A33DBA" w:rsidRDefault="00AD188A" w:rsidP="00FF48C2">
                            <w:pPr>
                              <w:rPr>
                                <w:rFonts w:ascii="Arial" w:hAnsi="Arial" w:cs="Arial"/>
                                <w:sz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97AC32" id="_x0000_s1036" type="#_x0000_t202" style="position:absolute;margin-left:-22.7pt;margin-top:8.3pt;width:26.45pt;height:17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" stroked="f">
                <v:fill opacity="0"/>
                <v:textbox style="layout-flow:vertical;mso-layout-flow-alt:bottom-to-top">
                  <w:txbxContent>
                    <w:p w14:paraId="5297ACC8" w14:textId="77777777" w:rsidR="00AD188A" w:rsidRPr="00A33DBA" w:rsidRDefault="00AD188A" w:rsidP="00FF48C2">
                      <w:pPr>
                        <w:rPr>
                          <w:rFonts w:ascii="Arial" w:hAnsi="Arial" w:cs="Arial"/>
                          <w:sz w:val="20"/>
                        </w:rPr>
                      </w:pPr>
                      <w:r>
                        <w:rPr>
                          <w:rFonts w:ascii="Arial" w:hAnsi="Arial" w:cs="Arial"/>
                          <w:sz w:val="20"/>
                        </w:rPr>
                        <w:t>verjetnost  celotnega preživetja</w:t>
                      </w:r>
                    </w:p>
                    <w:p w14:paraId="5297ACC9" w14:textId="77777777" w:rsidR="00AD188A" w:rsidRPr="00A33DBA" w:rsidRDefault="00AD188A" w:rsidP="00FF48C2">
                      <w:pPr>
                        <w:rPr>
                          <w:rFonts w:ascii="Arial" w:hAnsi="Arial" w:cs="Arial"/>
                          <w:sz w:val="20"/>
                        </w:rPr>
                      </w:pPr>
                    </w:p>
                  </w:txbxContent>
                </v:textbox>
              </v:shape>
            </w:pict>
          </mc:Fallback>
        </mc:AlternateContent>
      </w:r>
      <w:r w:rsidRPr="004A59B1">
        <w:rPr>
          <w:noProof/>
        </w:rPr>
        <w:drawing>
          <wp:inline distT="0" distB="0" distL="0" distR="0" wp14:anchorId="5297AC34" wp14:editId="5297AC35">
            <wp:extent cx="5949315" cy="263461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9315" cy="2634615"/>
                    </a:xfrm>
                    <a:prstGeom prst="rect">
                      <a:avLst/>
                    </a:prstGeom>
                    <a:noFill/>
                    <a:ln>
                      <a:noFill/>
                    </a:ln>
                  </pic:spPr>
                </pic:pic>
              </a:graphicData>
            </a:graphic>
          </wp:inline>
        </w:drawing>
      </w:r>
    </w:p>
    <w:p w14:paraId="5297A258" w14:textId="77777777" w:rsidR="00FF48C2" w:rsidRPr="004A59B1" w:rsidRDefault="003B1E8C" w:rsidP="009C1193">
      <w:pPr>
        <w:pStyle w:val="Text"/>
        <w:keepNext/>
        <w:keepLines/>
        <w:widowControl w:val="0"/>
        <w:spacing w:before="0"/>
        <w:jc w:val="left"/>
        <w:rPr>
          <w:rFonts w:eastAsia="MS Mincho"/>
          <w:color w:val="000000"/>
          <w:lang w:eastAsia="ja-JP"/>
        </w:rPr>
      </w:pPr>
      <w:r w:rsidRPr="004A59B1">
        <w:rPr>
          <w:rFonts w:eastAsia="MS Mincho"/>
          <w:noProof/>
          <w:color w:val="000000"/>
        </w:rPr>
        <mc:AlternateContent>
          <mc:Choice Requires="wps">
            <w:drawing>
              <wp:anchor distT="0" distB="0" distL="114300" distR="114300" simplePos="0" relativeHeight="251663360" behindDoc="0" locked="0" layoutInCell="1" allowOverlap="1" wp14:anchorId="5297AC36" wp14:editId="5297AC37">
                <wp:simplePos x="0" y="0"/>
                <wp:positionH relativeFrom="column">
                  <wp:posOffset>1939290</wp:posOffset>
                </wp:positionH>
                <wp:positionV relativeFrom="paragraph">
                  <wp:posOffset>28575</wp:posOffset>
                </wp:positionV>
                <wp:extent cx="1924050" cy="30861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3086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97ACCA" w14:textId="77777777" w:rsidR="00AD188A" w:rsidRPr="00A33DBA" w:rsidRDefault="00AD188A" w:rsidP="00FF48C2">
                            <w:pPr>
                              <w:rPr>
                                <w:rFonts w:ascii="Arial" w:hAnsi="Arial" w:cs="Arial"/>
                                <w:sz w:val="20"/>
                              </w:rPr>
                            </w:pPr>
                            <w:r>
                              <w:rPr>
                                <w:rFonts w:ascii="Arial" w:hAnsi="Arial" w:cs="Arial"/>
                                <w:sz w:val="20"/>
                                <w:lang w:val="de-DE"/>
                              </w:rPr>
                              <w:t>trajanje preživetja v mesecih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97AC36" id="_x0000_s1037" type="#_x0000_t202" style="position:absolute;margin-left:152.7pt;margin-top:2.25pt;width:151.5pt;height:2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" stroked="f">
                <v:fill opacity="0"/>
                <v:textbox>
                  <w:txbxContent>
                    <w:p w14:paraId="5297ACCA" w14:textId="77777777" w:rsidR="00AD188A" w:rsidRPr="00A33DBA" w:rsidRDefault="00AD188A" w:rsidP="00FF48C2">
                      <w:pPr>
                        <w:rPr>
                          <w:rFonts w:ascii="Arial" w:hAnsi="Arial" w:cs="Arial"/>
                          <w:sz w:val="20"/>
                        </w:rPr>
                      </w:pPr>
                      <w:r>
                        <w:rPr>
                          <w:rFonts w:ascii="Arial" w:hAnsi="Arial" w:cs="Arial"/>
                          <w:sz w:val="20"/>
                          <w:lang w:val="de-DE"/>
                        </w:rPr>
                        <w:t>trajanje preživetja v mesecih</w:t>
                      </w:r>
                    </w:p>
                  </w:txbxContent>
                </v:textbox>
              </v:shape>
            </w:pict>
          </mc:Fallback>
        </mc:AlternateContent>
      </w:r>
    </w:p>
    <w:p w14:paraId="5297A259" w14:textId="77777777" w:rsidR="00FF48C2" w:rsidRPr="004A59B1" w:rsidRDefault="00FF48C2" w:rsidP="009C1193">
      <w:pPr>
        <w:pStyle w:val="Text"/>
        <w:keepNext/>
        <w:keepLines/>
        <w:widowControl w:val="0"/>
        <w:spacing w:before="0"/>
        <w:jc w:val="left"/>
        <w:rPr>
          <w:rFonts w:eastAsia="MS Mincho"/>
          <w:color w:val="000000"/>
          <w:lang w:eastAsia="ja-JP"/>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FF48C2" w:rsidRPr="004A59B1" w14:paraId="5297A25B" w14:textId="77777777" w:rsidTr="008865A0">
        <w:tc>
          <w:tcPr>
            <w:tcW w:w="10632" w:type="dxa"/>
            <w:gridSpan w:val="16"/>
            <w:shd w:val="clear" w:color="auto" w:fill="auto"/>
          </w:tcPr>
          <w:p w14:paraId="5297A25A" w14:textId="77777777" w:rsidR="00FF48C2" w:rsidRPr="004A59B1" w:rsidRDefault="00FF48C2" w:rsidP="009C1193">
            <w:pPr>
              <w:keepNext/>
              <w:keepLines/>
              <w:widowControl w:val="0"/>
              <w:ind w:left="-27"/>
              <w:rPr>
                <w:rFonts w:ascii="Arial" w:hAnsi="Arial" w:cs="Arial"/>
                <w:sz w:val="16"/>
                <w:szCs w:val="16"/>
              </w:rPr>
            </w:pPr>
            <w:r w:rsidRPr="004A59B1">
              <w:rPr>
                <w:rFonts w:ascii="Arial" w:hAnsi="Arial" w:cs="Arial"/>
                <w:sz w:val="20"/>
              </w:rPr>
              <w:t>število tveganju izpostavljenih bolnikov : število dogodkov</w:t>
            </w:r>
          </w:p>
        </w:tc>
      </w:tr>
      <w:tr w:rsidR="00FF48C2" w:rsidRPr="004A59B1" w14:paraId="5297A26C" w14:textId="77777777" w:rsidTr="008865A0">
        <w:tc>
          <w:tcPr>
            <w:tcW w:w="450" w:type="dxa"/>
            <w:shd w:val="clear" w:color="auto" w:fill="auto"/>
          </w:tcPr>
          <w:p w14:paraId="5297A25C" w14:textId="77777777" w:rsidR="00FF48C2" w:rsidRPr="004A59B1" w:rsidRDefault="00FF48C2" w:rsidP="009C1193">
            <w:pPr>
              <w:keepNext/>
              <w:keepLines/>
              <w:widowControl w:val="0"/>
              <w:rPr>
                <w:sz w:val="20"/>
              </w:rPr>
            </w:pPr>
            <w:r w:rsidRPr="004A59B1">
              <w:rPr>
                <w:sz w:val="20"/>
              </w:rPr>
              <w:t>(1)</w:t>
            </w:r>
          </w:p>
        </w:tc>
        <w:tc>
          <w:tcPr>
            <w:tcW w:w="687" w:type="dxa"/>
            <w:shd w:val="clear" w:color="auto" w:fill="auto"/>
          </w:tcPr>
          <w:p w14:paraId="5297A25D" w14:textId="77777777" w:rsidR="00FF48C2" w:rsidRPr="004A59B1" w:rsidRDefault="00FF48C2" w:rsidP="009C1193">
            <w:pPr>
              <w:keepNext/>
              <w:keepLines/>
              <w:widowControl w:val="0"/>
              <w:ind w:left="-45"/>
              <w:rPr>
                <w:sz w:val="20"/>
              </w:rPr>
            </w:pPr>
            <w:r w:rsidRPr="004A59B1">
              <w:rPr>
                <w:sz w:val="20"/>
              </w:rPr>
              <w:t>199:0</w:t>
            </w:r>
          </w:p>
        </w:tc>
        <w:tc>
          <w:tcPr>
            <w:tcW w:w="670" w:type="dxa"/>
            <w:shd w:val="clear" w:color="auto" w:fill="auto"/>
          </w:tcPr>
          <w:p w14:paraId="5297A25E" w14:textId="77777777" w:rsidR="00FF48C2" w:rsidRPr="004A59B1" w:rsidRDefault="00FF48C2" w:rsidP="009C1193">
            <w:pPr>
              <w:keepNext/>
              <w:keepLines/>
              <w:widowControl w:val="0"/>
              <w:ind w:left="-45"/>
              <w:rPr>
                <w:sz w:val="20"/>
              </w:rPr>
            </w:pPr>
            <w:r w:rsidRPr="004A59B1">
              <w:rPr>
                <w:sz w:val="20"/>
              </w:rPr>
              <w:t>190:2</w:t>
            </w:r>
          </w:p>
        </w:tc>
        <w:tc>
          <w:tcPr>
            <w:tcW w:w="710" w:type="dxa"/>
            <w:shd w:val="clear" w:color="auto" w:fill="auto"/>
          </w:tcPr>
          <w:p w14:paraId="5297A25F" w14:textId="77777777" w:rsidR="00FF48C2" w:rsidRPr="004A59B1" w:rsidRDefault="00FF48C2" w:rsidP="009C1193">
            <w:pPr>
              <w:keepNext/>
              <w:keepLines/>
              <w:widowControl w:val="0"/>
              <w:ind w:left="-45"/>
              <w:rPr>
                <w:sz w:val="20"/>
              </w:rPr>
            </w:pPr>
            <w:r w:rsidRPr="004A59B1">
              <w:rPr>
                <w:sz w:val="20"/>
              </w:rPr>
              <w:t>188:2</w:t>
            </w:r>
          </w:p>
        </w:tc>
        <w:tc>
          <w:tcPr>
            <w:tcW w:w="717" w:type="dxa"/>
            <w:shd w:val="clear" w:color="auto" w:fill="auto"/>
          </w:tcPr>
          <w:p w14:paraId="5297A260" w14:textId="77777777" w:rsidR="00FF48C2" w:rsidRPr="004A59B1" w:rsidRDefault="00FF48C2" w:rsidP="009C1193">
            <w:pPr>
              <w:keepNext/>
              <w:keepLines/>
              <w:widowControl w:val="0"/>
              <w:ind w:left="-45"/>
              <w:rPr>
                <w:sz w:val="20"/>
              </w:rPr>
            </w:pPr>
            <w:r w:rsidRPr="004A59B1">
              <w:rPr>
                <w:sz w:val="20"/>
              </w:rPr>
              <w:t>183:6</w:t>
            </w:r>
          </w:p>
        </w:tc>
        <w:tc>
          <w:tcPr>
            <w:tcW w:w="691" w:type="dxa"/>
            <w:shd w:val="clear" w:color="auto" w:fill="auto"/>
          </w:tcPr>
          <w:p w14:paraId="5297A261" w14:textId="77777777" w:rsidR="00FF48C2" w:rsidRPr="004A59B1" w:rsidRDefault="00FF48C2" w:rsidP="009C1193">
            <w:pPr>
              <w:keepNext/>
              <w:keepLines/>
              <w:widowControl w:val="0"/>
              <w:ind w:left="-45"/>
              <w:rPr>
                <w:sz w:val="20"/>
              </w:rPr>
            </w:pPr>
            <w:r w:rsidRPr="004A59B1">
              <w:rPr>
                <w:sz w:val="20"/>
              </w:rPr>
              <w:t>176:8</w:t>
            </w:r>
          </w:p>
        </w:tc>
        <w:tc>
          <w:tcPr>
            <w:tcW w:w="770" w:type="dxa"/>
            <w:shd w:val="clear" w:color="auto" w:fill="auto"/>
          </w:tcPr>
          <w:p w14:paraId="5297A262" w14:textId="77777777" w:rsidR="00FF48C2" w:rsidRPr="004A59B1" w:rsidRDefault="00FF48C2" w:rsidP="009C1193">
            <w:pPr>
              <w:keepNext/>
              <w:keepLines/>
              <w:widowControl w:val="0"/>
              <w:ind w:left="-45"/>
              <w:rPr>
                <w:sz w:val="20"/>
              </w:rPr>
            </w:pPr>
            <w:r w:rsidRPr="004A59B1">
              <w:rPr>
                <w:sz w:val="20"/>
              </w:rPr>
              <w:t>156:10</w:t>
            </w:r>
          </w:p>
        </w:tc>
        <w:tc>
          <w:tcPr>
            <w:tcW w:w="779" w:type="dxa"/>
            <w:shd w:val="clear" w:color="auto" w:fill="auto"/>
          </w:tcPr>
          <w:p w14:paraId="5297A263" w14:textId="77777777" w:rsidR="00FF48C2" w:rsidRPr="004A59B1" w:rsidRDefault="00FF48C2" w:rsidP="009C1193">
            <w:pPr>
              <w:keepNext/>
              <w:keepLines/>
              <w:widowControl w:val="0"/>
              <w:ind w:left="-45"/>
              <w:rPr>
                <w:sz w:val="20"/>
              </w:rPr>
            </w:pPr>
            <w:r w:rsidRPr="004A59B1">
              <w:rPr>
                <w:sz w:val="20"/>
              </w:rPr>
              <w:t>140:11</w:t>
            </w:r>
          </w:p>
        </w:tc>
        <w:tc>
          <w:tcPr>
            <w:tcW w:w="794" w:type="dxa"/>
            <w:shd w:val="clear" w:color="auto" w:fill="auto"/>
          </w:tcPr>
          <w:p w14:paraId="5297A264" w14:textId="77777777" w:rsidR="00FF48C2" w:rsidRPr="004A59B1" w:rsidRDefault="00FF48C2" w:rsidP="009C1193">
            <w:pPr>
              <w:keepNext/>
              <w:keepLines/>
              <w:widowControl w:val="0"/>
              <w:ind w:left="-45"/>
              <w:rPr>
                <w:sz w:val="20"/>
              </w:rPr>
            </w:pPr>
            <w:r w:rsidRPr="004A59B1">
              <w:rPr>
                <w:sz w:val="20"/>
              </w:rPr>
              <w:t>105:14</w:t>
            </w:r>
          </w:p>
        </w:tc>
        <w:tc>
          <w:tcPr>
            <w:tcW w:w="653" w:type="dxa"/>
            <w:shd w:val="clear" w:color="auto" w:fill="auto"/>
          </w:tcPr>
          <w:p w14:paraId="5297A265" w14:textId="77777777" w:rsidR="00FF48C2" w:rsidRPr="004A59B1" w:rsidRDefault="00FF48C2" w:rsidP="009C1193">
            <w:pPr>
              <w:keepNext/>
              <w:keepLines/>
              <w:widowControl w:val="0"/>
              <w:ind w:left="-45"/>
              <w:rPr>
                <w:sz w:val="20"/>
              </w:rPr>
            </w:pPr>
            <w:r w:rsidRPr="004A59B1">
              <w:rPr>
                <w:sz w:val="20"/>
              </w:rPr>
              <w:t>87:18</w:t>
            </w:r>
          </w:p>
        </w:tc>
        <w:tc>
          <w:tcPr>
            <w:tcW w:w="630" w:type="dxa"/>
            <w:shd w:val="clear" w:color="auto" w:fill="auto"/>
          </w:tcPr>
          <w:p w14:paraId="5297A266" w14:textId="77777777" w:rsidR="00FF48C2" w:rsidRPr="004A59B1" w:rsidRDefault="00FF48C2" w:rsidP="009C1193">
            <w:pPr>
              <w:keepNext/>
              <w:keepLines/>
              <w:widowControl w:val="0"/>
              <w:ind w:left="-45"/>
              <w:rPr>
                <w:sz w:val="20"/>
              </w:rPr>
            </w:pPr>
            <w:r w:rsidRPr="004A59B1">
              <w:rPr>
                <w:sz w:val="20"/>
              </w:rPr>
              <w:t>64:22</w:t>
            </w:r>
          </w:p>
        </w:tc>
        <w:tc>
          <w:tcPr>
            <w:tcW w:w="643" w:type="dxa"/>
            <w:shd w:val="clear" w:color="auto" w:fill="auto"/>
          </w:tcPr>
          <w:p w14:paraId="5297A267" w14:textId="77777777" w:rsidR="00FF48C2" w:rsidRPr="004A59B1" w:rsidRDefault="00FF48C2" w:rsidP="009C1193">
            <w:pPr>
              <w:keepNext/>
              <w:keepLines/>
              <w:widowControl w:val="0"/>
              <w:ind w:left="-45"/>
              <w:rPr>
                <w:sz w:val="20"/>
              </w:rPr>
            </w:pPr>
            <w:r w:rsidRPr="004A59B1">
              <w:rPr>
                <w:sz w:val="20"/>
              </w:rPr>
              <w:t>46:23</w:t>
            </w:r>
          </w:p>
        </w:tc>
        <w:tc>
          <w:tcPr>
            <w:tcW w:w="670" w:type="dxa"/>
            <w:shd w:val="clear" w:color="auto" w:fill="auto"/>
          </w:tcPr>
          <w:p w14:paraId="5297A268" w14:textId="77777777" w:rsidR="00FF48C2" w:rsidRPr="004A59B1" w:rsidRDefault="00FF48C2" w:rsidP="009C1193">
            <w:pPr>
              <w:keepNext/>
              <w:keepLines/>
              <w:widowControl w:val="0"/>
              <w:ind w:left="-45"/>
              <w:rPr>
                <w:sz w:val="20"/>
              </w:rPr>
            </w:pPr>
            <w:r w:rsidRPr="004A59B1">
              <w:rPr>
                <w:sz w:val="20"/>
              </w:rPr>
              <w:t>27:25</w:t>
            </w:r>
          </w:p>
        </w:tc>
        <w:tc>
          <w:tcPr>
            <w:tcW w:w="683" w:type="dxa"/>
            <w:shd w:val="clear" w:color="auto" w:fill="auto"/>
          </w:tcPr>
          <w:p w14:paraId="5297A269" w14:textId="77777777" w:rsidR="00FF48C2" w:rsidRPr="004A59B1" w:rsidRDefault="00FF48C2" w:rsidP="009C1193">
            <w:pPr>
              <w:keepNext/>
              <w:keepLines/>
              <w:widowControl w:val="0"/>
              <w:ind w:left="-45"/>
              <w:rPr>
                <w:sz w:val="20"/>
              </w:rPr>
            </w:pPr>
            <w:r w:rsidRPr="004A59B1">
              <w:rPr>
                <w:sz w:val="20"/>
              </w:rPr>
              <w:t>20:25</w:t>
            </w:r>
          </w:p>
        </w:tc>
        <w:tc>
          <w:tcPr>
            <w:tcW w:w="558" w:type="dxa"/>
            <w:shd w:val="clear" w:color="auto" w:fill="auto"/>
          </w:tcPr>
          <w:p w14:paraId="5297A26A" w14:textId="77777777" w:rsidR="00FF48C2" w:rsidRPr="004A59B1" w:rsidRDefault="00FF48C2" w:rsidP="009C1193">
            <w:pPr>
              <w:keepNext/>
              <w:keepLines/>
              <w:widowControl w:val="0"/>
              <w:ind w:left="-45"/>
              <w:rPr>
                <w:sz w:val="20"/>
              </w:rPr>
            </w:pPr>
            <w:r w:rsidRPr="004A59B1">
              <w:rPr>
                <w:sz w:val="20"/>
              </w:rPr>
              <w:t>2:25</w:t>
            </w:r>
          </w:p>
        </w:tc>
        <w:tc>
          <w:tcPr>
            <w:tcW w:w="527" w:type="dxa"/>
            <w:shd w:val="clear" w:color="auto" w:fill="auto"/>
          </w:tcPr>
          <w:p w14:paraId="5297A26B" w14:textId="77777777" w:rsidR="00FF48C2" w:rsidRPr="004A59B1" w:rsidRDefault="00FF48C2" w:rsidP="009C1193">
            <w:pPr>
              <w:keepNext/>
              <w:keepLines/>
              <w:widowControl w:val="0"/>
              <w:ind w:left="-45"/>
              <w:rPr>
                <w:sz w:val="20"/>
              </w:rPr>
            </w:pPr>
            <w:r w:rsidRPr="004A59B1">
              <w:rPr>
                <w:sz w:val="20"/>
              </w:rPr>
              <w:t>0:25</w:t>
            </w:r>
          </w:p>
        </w:tc>
      </w:tr>
      <w:tr w:rsidR="00FF48C2" w:rsidRPr="004A59B1" w14:paraId="5297A27D" w14:textId="77777777" w:rsidTr="008865A0">
        <w:tc>
          <w:tcPr>
            <w:tcW w:w="450" w:type="dxa"/>
            <w:shd w:val="clear" w:color="auto" w:fill="auto"/>
          </w:tcPr>
          <w:p w14:paraId="5297A26D" w14:textId="77777777" w:rsidR="00FF48C2" w:rsidRPr="004A59B1" w:rsidRDefault="00FF48C2" w:rsidP="009C1193">
            <w:pPr>
              <w:keepNext/>
              <w:keepLines/>
              <w:widowControl w:val="0"/>
              <w:rPr>
                <w:sz w:val="20"/>
              </w:rPr>
            </w:pPr>
            <w:r w:rsidRPr="004A59B1">
              <w:rPr>
                <w:sz w:val="20"/>
              </w:rPr>
              <w:t>(2)</w:t>
            </w:r>
          </w:p>
        </w:tc>
        <w:tc>
          <w:tcPr>
            <w:tcW w:w="687" w:type="dxa"/>
            <w:shd w:val="clear" w:color="auto" w:fill="auto"/>
          </w:tcPr>
          <w:p w14:paraId="5297A26E" w14:textId="77777777" w:rsidR="00FF48C2" w:rsidRPr="004A59B1" w:rsidRDefault="00FF48C2" w:rsidP="009C1193">
            <w:pPr>
              <w:keepNext/>
              <w:keepLines/>
              <w:widowControl w:val="0"/>
              <w:ind w:left="-45"/>
              <w:rPr>
                <w:sz w:val="20"/>
              </w:rPr>
            </w:pPr>
            <w:r w:rsidRPr="004A59B1">
              <w:rPr>
                <w:sz w:val="20"/>
              </w:rPr>
              <w:t>198:0</w:t>
            </w:r>
          </w:p>
        </w:tc>
        <w:tc>
          <w:tcPr>
            <w:tcW w:w="670" w:type="dxa"/>
            <w:shd w:val="clear" w:color="auto" w:fill="auto"/>
          </w:tcPr>
          <w:p w14:paraId="5297A26F" w14:textId="77777777" w:rsidR="00FF48C2" w:rsidRPr="004A59B1" w:rsidRDefault="00FF48C2" w:rsidP="009C1193">
            <w:pPr>
              <w:keepNext/>
              <w:keepLines/>
              <w:widowControl w:val="0"/>
              <w:ind w:left="-45"/>
              <w:rPr>
                <w:sz w:val="20"/>
              </w:rPr>
            </w:pPr>
            <w:r w:rsidRPr="004A59B1">
              <w:rPr>
                <w:sz w:val="20"/>
              </w:rPr>
              <w:t>196:0</w:t>
            </w:r>
          </w:p>
        </w:tc>
        <w:tc>
          <w:tcPr>
            <w:tcW w:w="710" w:type="dxa"/>
            <w:shd w:val="clear" w:color="auto" w:fill="auto"/>
          </w:tcPr>
          <w:p w14:paraId="5297A270" w14:textId="77777777" w:rsidR="00FF48C2" w:rsidRPr="004A59B1" w:rsidRDefault="00FF48C2" w:rsidP="009C1193">
            <w:pPr>
              <w:keepNext/>
              <w:keepLines/>
              <w:widowControl w:val="0"/>
              <w:ind w:left="-45"/>
              <w:rPr>
                <w:sz w:val="20"/>
              </w:rPr>
            </w:pPr>
            <w:r w:rsidRPr="004A59B1">
              <w:rPr>
                <w:sz w:val="20"/>
              </w:rPr>
              <w:t>192:0</w:t>
            </w:r>
          </w:p>
        </w:tc>
        <w:tc>
          <w:tcPr>
            <w:tcW w:w="717" w:type="dxa"/>
            <w:shd w:val="clear" w:color="auto" w:fill="auto"/>
          </w:tcPr>
          <w:p w14:paraId="5297A271" w14:textId="77777777" w:rsidR="00FF48C2" w:rsidRPr="004A59B1" w:rsidRDefault="00FF48C2" w:rsidP="009C1193">
            <w:pPr>
              <w:keepNext/>
              <w:keepLines/>
              <w:widowControl w:val="0"/>
              <w:ind w:left="-45"/>
              <w:rPr>
                <w:sz w:val="20"/>
              </w:rPr>
            </w:pPr>
            <w:r w:rsidRPr="004A59B1">
              <w:rPr>
                <w:sz w:val="20"/>
              </w:rPr>
              <w:t>187:4</w:t>
            </w:r>
          </w:p>
        </w:tc>
        <w:tc>
          <w:tcPr>
            <w:tcW w:w="691" w:type="dxa"/>
            <w:shd w:val="clear" w:color="auto" w:fill="auto"/>
          </w:tcPr>
          <w:p w14:paraId="5297A272" w14:textId="77777777" w:rsidR="00FF48C2" w:rsidRPr="004A59B1" w:rsidRDefault="00FF48C2" w:rsidP="009C1193">
            <w:pPr>
              <w:keepNext/>
              <w:keepLines/>
              <w:widowControl w:val="0"/>
              <w:ind w:left="-45"/>
              <w:rPr>
                <w:sz w:val="20"/>
              </w:rPr>
            </w:pPr>
            <w:r w:rsidRPr="004A59B1">
              <w:rPr>
                <w:sz w:val="20"/>
              </w:rPr>
              <w:t>184:5</w:t>
            </w:r>
          </w:p>
        </w:tc>
        <w:tc>
          <w:tcPr>
            <w:tcW w:w="770" w:type="dxa"/>
            <w:shd w:val="clear" w:color="auto" w:fill="auto"/>
          </w:tcPr>
          <w:p w14:paraId="5297A273" w14:textId="77777777" w:rsidR="00FF48C2" w:rsidRPr="004A59B1" w:rsidRDefault="00FF48C2" w:rsidP="009C1193">
            <w:pPr>
              <w:keepNext/>
              <w:keepLines/>
              <w:widowControl w:val="0"/>
              <w:ind w:left="-45"/>
              <w:rPr>
                <w:sz w:val="20"/>
              </w:rPr>
            </w:pPr>
            <w:r w:rsidRPr="004A59B1">
              <w:rPr>
                <w:sz w:val="20"/>
              </w:rPr>
              <w:t>164:7</w:t>
            </w:r>
          </w:p>
        </w:tc>
        <w:tc>
          <w:tcPr>
            <w:tcW w:w="779" w:type="dxa"/>
            <w:shd w:val="clear" w:color="auto" w:fill="auto"/>
          </w:tcPr>
          <w:p w14:paraId="5297A274" w14:textId="77777777" w:rsidR="00FF48C2" w:rsidRPr="004A59B1" w:rsidRDefault="00FF48C2" w:rsidP="009C1193">
            <w:pPr>
              <w:keepNext/>
              <w:keepLines/>
              <w:widowControl w:val="0"/>
              <w:ind w:left="-45"/>
              <w:rPr>
                <w:sz w:val="20"/>
              </w:rPr>
            </w:pPr>
            <w:r w:rsidRPr="004A59B1">
              <w:rPr>
                <w:sz w:val="20"/>
              </w:rPr>
              <w:t>152:7</w:t>
            </w:r>
          </w:p>
        </w:tc>
        <w:tc>
          <w:tcPr>
            <w:tcW w:w="794" w:type="dxa"/>
            <w:shd w:val="clear" w:color="auto" w:fill="auto"/>
          </w:tcPr>
          <w:p w14:paraId="5297A275" w14:textId="77777777" w:rsidR="00FF48C2" w:rsidRPr="004A59B1" w:rsidRDefault="00FF48C2" w:rsidP="009C1193">
            <w:pPr>
              <w:keepNext/>
              <w:keepLines/>
              <w:widowControl w:val="0"/>
              <w:ind w:left="-45"/>
              <w:rPr>
                <w:sz w:val="20"/>
              </w:rPr>
            </w:pPr>
            <w:r w:rsidRPr="004A59B1">
              <w:rPr>
                <w:sz w:val="20"/>
              </w:rPr>
              <w:t>119:8</w:t>
            </w:r>
          </w:p>
        </w:tc>
        <w:tc>
          <w:tcPr>
            <w:tcW w:w="653" w:type="dxa"/>
            <w:shd w:val="clear" w:color="auto" w:fill="auto"/>
          </w:tcPr>
          <w:p w14:paraId="5297A276" w14:textId="77777777" w:rsidR="00FF48C2" w:rsidRPr="004A59B1" w:rsidRDefault="00FF48C2" w:rsidP="009C1193">
            <w:pPr>
              <w:keepNext/>
              <w:keepLines/>
              <w:widowControl w:val="0"/>
              <w:ind w:left="-45"/>
              <w:rPr>
                <w:sz w:val="20"/>
              </w:rPr>
            </w:pPr>
            <w:r w:rsidRPr="004A59B1">
              <w:rPr>
                <w:sz w:val="20"/>
              </w:rPr>
              <w:t>100:8</w:t>
            </w:r>
          </w:p>
        </w:tc>
        <w:tc>
          <w:tcPr>
            <w:tcW w:w="630" w:type="dxa"/>
            <w:shd w:val="clear" w:color="auto" w:fill="auto"/>
          </w:tcPr>
          <w:p w14:paraId="5297A277" w14:textId="77777777" w:rsidR="00FF48C2" w:rsidRPr="004A59B1" w:rsidRDefault="00FF48C2" w:rsidP="009C1193">
            <w:pPr>
              <w:keepNext/>
              <w:keepLines/>
              <w:widowControl w:val="0"/>
              <w:ind w:left="-45"/>
              <w:rPr>
                <w:sz w:val="20"/>
              </w:rPr>
            </w:pPr>
            <w:r w:rsidRPr="004A59B1">
              <w:rPr>
                <w:sz w:val="20"/>
              </w:rPr>
              <w:t>76:10</w:t>
            </w:r>
          </w:p>
        </w:tc>
        <w:tc>
          <w:tcPr>
            <w:tcW w:w="643" w:type="dxa"/>
            <w:shd w:val="clear" w:color="auto" w:fill="auto"/>
          </w:tcPr>
          <w:p w14:paraId="5297A278" w14:textId="77777777" w:rsidR="00FF48C2" w:rsidRPr="004A59B1" w:rsidRDefault="00FF48C2" w:rsidP="009C1193">
            <w:pPr>
              <w:keepNext/>
              <w:keepLines/>
              <w:widowControl w:val="0"/>
              <w:ind w:left="-45"/>
              <w:rPr>
                <w:sz w:val="20"/>
              </w:rPr>
            </w:pPr>
            <w:r w:rsidRPr="004A59B1">
              <w:rPr>
                <w:sz w:val="20"/>
              </w:rPr>
              <w:t>56:11</w:t>
            </w:r>
          </w:p>
        </w:tc>
        <w:tc>
          <w:tcPr>
            <w:tcW w:w="670" w:type="dxa"/>
            <w:shd w:val="clear" w:color="auto" w:fill="auto"/>
          </w:tcPr>
          <w:p w14:paraId="5297A279" w14:textId="77777777" w:rsidR="00FF48C2" w:rsidRPr="004A59B1" w:rsidRDefault="00FF48C2" w:rsidP="009C1193">
            <w:pPr>
              <w:keepNext/>
              <w:keepLines/>
              <w:widowControl w:val="0"/>
              <w:ind w:left="-45"/>
              <w:rPr>
                <w:sz w:val="20"/>
              </w:rPr>
            </w:pPr>
            <w:r w:rsidRPr="004A59B1">
              <w:rPr>
                <w:sz w:val="20"/>
              </w:rPr>
              <w:t>31:11</w:t>
            </w:r>
          </w:p>
        </w:tc>
        <w:tc>
          <w:tcPr>
            <w:tcW w:w="683" w:type="dxa"/>
            <w:shd w:val="clear" w:color="auto" w:fill="auto"/>
          </w:tcPr>
          <w:p w14:paraId="5297A27A" w14:textId="77777777" w:rsidR="00FF48C2" w:rsidRPr="004A59B1" w:rsidRDefault="00FF48C2" w:rsidP="009C1193">
            <w:pPr>
              <w:keepNext/>
              <w:keepLines/>
              <w:widowControl w:val="0"/>
              <w:ind w:left="-45"/>
              <w:rPr>
                <w:sz w:val="20"/>
              </w:rPr>
            </w:pPr>
            <w:r w:rsidRPr="004A59B1">
              <w:rPr>
                <w:sz w:val="20"/>
              </w:rPr>
              <w:t>13:12</w:t>
            </w:r>
          </w:p>
        </w:tc>
        <w:tc>
          <w:tcPr>
            <w:tcW w:w="558" w:type="dxa"/>
            <w:shd w:val="clear" w:color="auto" w:fill="auto"/>
          </w:tcPr>
          <w:p w14:paraId="5297A27B" w14:textId="77777777" w:rsidR="00FF48C2" w:rsidRPr="004A59B1" w:rsidRDefault="00FF48C2" w:rsidP="009C1193">
            <w:pPr>
              <w:keepNext/>
              <w:keepLines/>
              <w:widowControl w:val="0"/>
              <w:ind w:left="-45"/>
              <w:rPr>
                <w:sz w:val="20"/>
              </w:rPr>
            </w:pPr>
            <w:r w:rsidRPr="004A59B1">
              <w:rPr>
                <w:sz w:val="20"/>
              </w:rPr>
              <w:t>0:12</w:t>
            </w:r>
          </w:p>
        </w:tc>
        <w:tc>
          <w:tcPr>
            <w:tcW w:w="527" w:type="dxa"/>
            <w:shd w:val="clear" w:color="auto" w:fill="auto"/>
          </w:tcPr>
          <w:p w14:paraId="5297A27C" w14:textId="77777777" w:rsidR="00FF48C2" w:rsidRPr="004A59B1" w:rsidRDefault="00FF48C2" w:rsidP="009C1193">
            <w:pPr>
              <w:keepNext/>
              <w:keepLines/>
              <w:widowControl w:val="0"/>
              <w:ind w:left="-45"/>
              <w:rPr>
                <w:sz w:val="20"/>
              </w:rPr>
            </w:pPr>
          </w:p>
        </w:tc>
      </w:tr>
    </w:tbl>
    <w:p w14:paraId="5297A27E" w14:textId="77777777" w:rsidR="00FF48C2" w:rsidRPr="004A59B1" w:rsidRDefault="00FF48C2" w:rsidP="009C1193">
      <w:pPr>
        <w:pStyle w:val="Text"/>
        <w:widowControl w:val="0"/>
        <w:spacing w:before="0"/>
        <w:jc w:val="left"/>
        <w:rPr>
          <w:rFonts w:eastAsia="MS Mincho"/>
          <w:color w:val="000000"/>
          <w:lang w:eastAsia="ja-JP"/>
        </w:rPr>
      </w:pPr>
    </w:p>
    <w:p w14:paraId="5297A27F" w14:textId="77777777" w:rsidR="00FF48C2" w:rsidRPr="004A59B1" w:rsidRDefault="00FF48C2" w:rsidP="009C1193">
      <w:pPr>
        <w:pStyle w:val="Text"/>
        <w:widowControl w:val="0"/>
        <w:spacing w:before="0"/>
        <w:jc w:val="left"/>
        <w:rPr>
          <w:rStyle w:val="CommentReference"/>
          <w:sz w:val="22"/>
          <w:szCs w:val="22"/>
          <w:lang w:val="sl-SI"/>
        </w:rPr>
      </w:pPr>
      <w:r w:rsidRPr="004A59B1">
        <w:rPr>
          <w:color w:val="000000"/>
          <w:sz w:val="22"/>
          <w:szCs w:val="22"/>
          <w:lang w:val="sl-SI"/>
        </w:rPr>
        <w:t xml:space="preserve">Pri pediatričnih bolnikih s c-Kit-pozitivnim GIST niso opravili nobenega kontroliranega preskušanja. V 7 publikacijah so objavljeni podatki sedemnajstih (17) bolnikov </w:t>
      </w:r>
      <w:r w:rsidRPr="004A59B1">
        <w:rPr>
          <w:rFonts w:eastAsia="MS Mincho"/>
          <w:color w:val="000000"/>
          <w:sz w:val="22"/>
          <w:szCs w:val="22"/>
          <w:lang w:val="sl-SI" w:eastAsia="ja-JP"/>
        </w:rPr>
        <w:t xml:space="preserve">z GIST (z mutacijo genov Kit oziroma PDGFR ali brez njiju). Ti bolniki so bili stari od 8 </w:t>
      </w:r>
      <w:r w:rsidRPr="004A59B1">
        <w:rPr>
          <w:rFonts w:eastAsia="MS Mincho"/>
          <w:sz w:val="22"/>
          <w:szCs w:val="22"/>
          <w:lang w:val="sl-SI"/>
        </w:rPr>
        <w:t>do 18 let, imatinib pa so prejemali tako v okviru adjuvantnega zdravljenja kot v okviru zdravljenja metastaz, in sicer v odmerkih od 300</w:t>
      </w:r>
      <w:r w:rsidR="00A968A1" w:rsidRPr="004A59B1">
        <w:rPr>
          <w:rFonts w:eastAsia="MS Mincho"/>
          <w:sz w:val="22"/>
          <w:szCs w:val="22"/>
          <w:lang w:val="sl-SI"/>
        </w:rPr>
        <w:t> mg</w:t>
      </w:r>
      <w:r w:rsidRPr="004A59B1">
        <w:rPr>
          <w:color w:val="000000"/>
          <w:sz w:val="22"/>
          <w:szCs w:val="22"/>
          <w:lang w:val="sl-SI"/>
        </w:rPr>
        <w:t xml:space="preserve"> do </w:t>
      </w:r>
      <w:r w:rsidRPr="004A59B1">
        <w:rPr>
          <w:color w:val="000000"/>
          <w:sz w:val="22"/>
          <w:szCs w:val="22"/>
          <w:lang w:val="sl-SI"/>
        </w:rPr>
        <w:lastRenderedPageBreak/>
        <w:t xml:space="preserve">800 mg na dan. Pri večini pediatričnih bolnikov, ki so jih zdravili zaradi GIST, ni bilo na voljo podatkov za potrditev mutacije </w:t>
      </w:r>
      <w:r w:rsidRPr="004A59B1">
        <w:rPr>
          <w:rFonts w:eastAsia="MS Mincho"/>
          <w:sz w:val="22"/>
          <w:szCs w:val="22"/>
          <w:lang w:val="sl-SI" w:eastAsia="ja-JP"/>
        </w:rPr>
        <w:t>c</w:t>
      </w:r>
      <w:r w:rsidRPr="004A59B1">
        <w:rPr>
          <w:rFonts w:eastAsia="MS Mincho"/>
          <w:sz w:val="22"/>
          <w:szCs w:val="22"/>
          <w:lang w:val="sl-SI" w:eastAsia="ja-JP"/>
        </w:rPr>
        <w:noBreakHyphen/>
        <w:t>kit ali PDGFR, ki bi lahko povzročile mešane klinične izide.</w:t>
      </w:r>
    </w:p>
    <w:p w14:paraId="5297A280" w14:textId="77777777" w:rsidR="00FF48C2" w:rsidRPr="004A59B1" w:rsidRDefault="00FF48C2" w:rsidP="009C1193">
      <w:pPr>
        <w:pStyle w:val="Text"/>
        <w:widowControl w:val="0"/>
        <w:spacing w:before="0"/>
        <w:jc w:val="left"/>
        <w:rPr>
          <w:rFonts w:eastAsia="MS Mincho"/>
          <w:color w:val="000000"/>
          <w:lang w:val="sl-SI" w:eastAsia="ja-JP"/>
        </w:rPr>
      </w:pPr>
    </w:p>
    <w:p w14:paraId="5297A281" w14:textId="77777777" w:rsidR="00FF48C2" w:rsidRPr="004A59B1" w:rsidRDefault="00FF48C2" w:rsidP="009C1193">
      <w:pPr>
        <w:pStyle w:val="Nottoc-headings"/>
        <w:widowControl w:val="0"/>
        <w:spacing w:before="0" w:after="0"/>
        <w:rPr>
          <w:rFonts w:ascii="Times New Roman" w:eastAsia="MS Mincho" w:hAnsi="Times New Roman"/>
          <w:b w:val="0"/>
          <w:color w:val="000000"/>
          <w:sz w:val="22"/>
          <w:szCs w:val="22"/>
          <w:u w:val="single"/>
          <w:lang w:val="sl-SI" w:eastAsia="ja-JP"/>
        </w:rPr>
      </w:pPr>
      <w:r w:rsidRPr="004A59B1">
        <w:rPr>
          <w:rFonts w:ascii="Times New Roman" w:eastAsia="MS Mincho" w:hAnsi="Times New Roman"/>
          <w:b w:val="0"/>
          <w:color w:val="000000"/>
          <w:sz w:val="22"/>
          <w:szCs w:val="22"/>
          <w:u w:val="single"/>
          <w:lang w:val="sl-SI" w:eastAsia="ja-JP"/>
        </w:rPr>
        <w:t>Klinične študije pri protuberantnem dermatofibrosarkomu (DFSP)</w:t>
      </w:r>
    </w:p>
    <w:p w14:paraId="5297A282" w14:textId="77777777" w:rsidR="00FF48C2" w:rsidRPr="004A59B1" w:rsidRDefault="00FF48C2" w:rsidP="009C1193">
      <w:pPr>
        <w:pStyle w:val="Text"/>
        <w:widowControl w:val="0"/>
        <w:spacing w:before="0"/>
        <w:jc w:val="left"/>
        <w:rPr>
          <w:rFonts w:eastAsia="MS Mincho"/>
          <w:color w:val="000000"/>
          <w:sz w:val="22"/>
          <w:szCs w:val="22"/>
          <w:lang w:val="pl-PL" w:eastAsia="ja-JP"/>
        </w:rPr>
      </w:pPr>
      <w:r w:rsidRPr="004A59B1">
        <w:rPr>
          <w:rFonts w:eastAsia="MS Mincho"/>
          <w:color w:val="000000"/>
          <w:sz w:val="22"/>
          <w:szCs w:val="22"/>
          <w:lang w:val="da-DK" w:eastAsia="ja-JP"/>
        </w:rPr>
        <w:t xml:space="preserve">Eno odprto, multicentrično klinično preskušanje faze II (študija B2225) je vključevalo 12 bolnikov z DFSP, zdravljenih z zdravilom Glivec 800 mg na dan. Starost bolnikov z DFSP se je gibala med 23 in 75 leti. DFSP je bil metastatičen, z lokalno ponovitvijo po začetni kirurški odstranitvi in v času vključitve v študijo ocenjen kot neprimeren za nadaljnje kirurško odstranjevanje. Primarni dokaz učinkovitosti je temeljil na stopnjah objektivne odzivnosti. Od 12 vključenih bolnikov je do odziva prišlo pri 9 bolnikih, pri enem do popolnega in pri 8 do delnega. </w:t>
      </w:r>
      <w:r w:rsidRPr="004A59B1">
        <w:rPr>
          <w:rFonts w:eastAsia="MS Mincho"/>
          <w:color w:val="000000"/>
          <w:sz w:val="22"/>
          <w:szCs w:val="22"/>
          <w:lang w:val="pl-PL" w:eastAsia="ja-JP"/>
        </w:rPr>
        <w:t>Trije od bolnikov z delnim odzivom so bili naknadno kirurško ozdravljeni. Mediano trajanje zdravljenja v študiji B2225 je bilo 6,2 meseca z najdaljšim trajanjem 24,3 mesec</w:t>
      </w:r>
      <w:r w:rsidR="00A968A1" w:rsidRPr="004A59B1">
        <w:rPr>
          <w:rFonts w:eastAsia="MS Mincho"/>
          <w:color w:val="000000"/>
          <w:sz w:val="22"/>
          <w:szCs w:val="22"/>
          <w:lang w:val="pl-PL" w:eastAsia="ja-JP"/>
        </w:rPr>
        <w:t>a</w:t>
      </w:r>
      <w:r w:rsidRPr="004A59B1">
        <w:rPr>
          <w:rFonts w:eastAsia="MS Mincho"/>
          <w:color w:val="000000"/>
          <w:sz w:val="22"/>
          <w:szCs w:val="22"/>
          <w:lang w:val="pl-PL" w:eastAsia="ja-JP"/>
        </w:rPr>
        <w:t xml:space="preserve">. Nadaljnjih 6 bolnikov z DFSP, zdravljenih z zdravilom Glivec, so opisali v 5 publikacijah opisov primera, njihova starost se je gibala med 18 meseci in 49 leti. Odrasli bolniki, o katerih so pisali v objavljeni literaturi, so bili zdravljeni z odmerki bodisi 400 mg (v 4 primerih) ali pa 800 mg (v 1 primeru) zdravila Glivec </w:t>
      </w:r>
      <w:r w:rsidR="00A968A1" w:rsidRPr="004A59B1">
        <w:rPr>
          <w:rFonts w:eastAsia="MS Mincho"/>
          <w:color w:val="000000"/>
          <w:sz w:val="22"/>
          <w:szCs w:val="22"/>
          <w:lang w:val="pl-PL" w:eastAsia="ja-JP"/>
        </w:rPr>
        <w:t>na dan</w:t>
      </w:r>
      <w:r w:rsidRPr="004A59B1">
        <w:rPr>
          <w:rFonts w:eastAsia="MS Mincho"/>
          <w:color w:val="000000"/>
          <w:sz w:val="22"/>
          <w:szCs w:val="22"/>
          <w:lang w:val="pl-PL" w:eastAsia="ja-JP"/>
        </w:rPr>
        <w:t xml:space="preserve">. Do odziva je prišlo pri petih (5) bolnikih, pri 3 do popolnega in pri 2 do delnega. Mediano trajanje zdravljenja v objavljeni literaturi se je gibalo od 4 tednov do več kot 20 mesecev. Translokacija </w:t>
      </w:r>
      <w:r w:rsidRPr="004A59B1">
        <w:rPr>
          <w:color w:val="000000"/>
          <w:sz w:val="22"/>
          <w:szCs w:val="22"/>
          <w:lang w:val="pl-PL" w:eastAsia="ja-JP"/>
        </w:rPr>
        <w:t>t(17:22)[(q22:q13)] oziroma njen genski produkt sta bila prisotna pri skoraj vseh bolnikih z odzivom na zdravljenje z zdravilom Glivec.</w:t>
      </w:r>
    </w:p>
    <w:p w14:paraId="5297A283" w14:textId="77777777" w:rsidR="00FF48C2" w:rsidRPr="004A59B1" w:rsidRDefault="00FF48C2" w:rsidP="009C1193">
      <w:pPr>
        <w:pStyle w:val="Text"/>
        <w:widowControl w:val="0"/>
        <w:spacing w:before="0"/>
        <w:jc w:val="left"/>
        <w:rPr>
          <w:color w:val="000000"/>
          <w:sz w:val="22"/>
          <w:szCs w:val="22"/>
          <w:lang w:val="pl-PL" w:eastAsia="ja-JP"/>
        </w:rPr>
      </w:pPr>
    </w:p>
    <w:p w14:paraId="5297A284" w14:textId="77777777" w:rsidR="00FF48C2" w:rsidRPr="004A59B1" w:rsidRDefault="00FF48C2" w:rsidP="009C1193">
      <w:pPr>
        <w:pStyle w:val="Text"/>
        <w:widowControl w:val="0"/>
        <w:spacing w:before="0"/>
        <w:jc w:val="left"/>
        <w:rPr>
          <w:color w:val="000000"/>
          <w:sz w:val="22"/>
          <w:szCs w:val="22"/>
          <w:lang w:val="it-IT" w:eastAsia="ja-JP"/>
        </w:rPr>
      </w:pPr>
      <w:r w:rsidRPr="004A59B1">
        <w:rPr>
          <w:color w:val="000000"/>
          <w:sz w:val="22"/>
          <w:szCs w:val="22"/>
          <w:lang w:val="pl-PL" w:eastAsia="ja-JP"/>
        </w:rPr>
        <w:t>Pri pediatričnih bolnikih z DFSP niso opravili nobenega kontroliranega preskušanja. V 3 publikacijah so objavljeni podatki petih (5) bolnikov z DFSP s preureditvijo gena za PDGFR. Ti bolniki so bili stari od starosti novorojenčka do 14 let, imatinib pa so prejemali v odmerku 50 mg na dan oziroma v odmerkih od 400</w:t>
      </w:r>
      <w:r w:rsidR="00A968A1" w:rsidRPr="004A59B1">
        <w:rPr>
          <w:color w:val="000000"/>
          <w:sz w:val="22"/>
          <w:szCs w:val="22"/>
          <w:lang w:val="pl-PL" w:eastAsia="ja-JP"/>
        </w:rPr>
        <w:t> mg/m</w:t>
      </w:r>
      <w:r w:rsidR="00A968A1" w:rsidRPr="004A59B1">
        <w:rPr>
          <w:color w:val="000000"/>
          <w:sz w:val="22"/>
          <w:szCs w:val="22"/>
          <w:vertAlign w:val="superscript"/>
          <w:lang w:val="pl-PL" w:eastAsia="ja-JP"/>
        </w:rPr>
        <w:t>2</w:t>
      </w:r>
      <w:r w:rsidR="00A968A1" w:rsidRPr="004A59B1">
        <w:rPr>
          <w:color w:val="000000"/>
          <w:sz w:val="22"/>
          <w:szCs w:val="22"/>
          <w:lang w:val="pl-PL" w:eastAsia="ja-JP"/>
        </w:rPr>
        <w:t xml:space="preserve"> na dan</w:t>
      </w:r>
      <w:r w:rsidRPr="004A59B1">
        <w:rPr>
          <w:color w:val="000000"/>
          <w:sz w:val="22"/>
          <w:szCs w:val="22"/>
          <w:lang w:val="pl-PL" w:eastAsia="ja-JP"/>
        </w:rPr>
        <w:t xml:space="preserve"> do 520 mg/m</w:t>
      </w:r>
      <w:r w:rsidRPr="004A59B1">
        <w:rPr>
          <w:color w:val="000000"/>
          <w:sz w:val="22"/>
          <w:szCs w:val="22"/>
          <w:vertAlign w:val="superscript"/>
          <w:lang w:val="pl-PL" w:eastAsia="ja-JP"/>
        </w:rPr>
        <w:t>2</w:t>
      </w:r>
      <w:r w:rsidRPr="004A59B1">
        <w:rPr>
          <w:color w:val="000000"/>
          <w:sz w:val="22"/>
          <w:szCs w:val="22"/>
          <w:lang w:val="pl-PL" w:eastAsia="ja-JP"/>
        </w:rPr>
        <w:t xml:space="preserve"> na dan. </w:t>
      </w:r>
      <w:r w:rsidRPr="004A59B1">
        <w:rPr>
          <w:color w:val="000000"/>
          <w:sz w:val="22"/>
          <w:szCs w:val="22"/>
          <w:lang w:val="it-IT" w:eastAsia="ja-JP"/>
        </w:rPr>
        <w:t>Pri vseh bolnikih je prišlo do delnega in/ali popolnega odziva.</w:t>
      </w:r>
    </w:p>
    <w:p w14:paraId="5297A285" w14:textId="77777777" w:rsidR="00FF48C2" w:rsidRPr="004A59B1" w:rsidRDefault="00FF48C2" w:rsidP="009C1193">
      <w:pPr>
        <w:pStyle w:val="EndnoteText"/>
        <w:widowControl w:val="0"/>
        <w:tabs>
          <w:tab w:val="clear" w:pos="567"/>
        </w:tabs>
        <w:rPr>
          <w:color w:val="000000"/>
          <w:szCs w:val="22"/>
          <w:lang w:val="pl-PL"/>
        </w:rPr>
      </w:pPr>
    </w:p>
    <w:p w14:paraId="5297A286" w14:textId="77777777" w:rsidR="00412C09" w:rsidRPr="004A59B1" w:rsidRDefault="00412C09" w:rsidP="009C1193">
      <w:pPr>
        <w:keepNext/>
        <w:widowControl w:val="0"/>
        <w:tabs>
          <w:tab w:val="clear" w:pos="567"/>
        </w:tabs>
        <w:spacing w:line="240" w:lineRule="auto"/>
        <w:ind w:left="567" w:hanging="567"/>
        <w:rPr>
          <w:color w:val="000000"/>
          <w:szCs w:val="22"/>
          <w:lang w:val="pl-PL"/>
        </w:rPr>
      </w:pPr>
      <w:r w:rsidRPr="004A59B1">
        <w:rPr>
          <w:b/>
          <w:color w:val="000000"/>
          <w:szCs w:val="22"/>
          <w:lang w:val="pl-PL"/>
        </w:rPr>
        <w:t>5.2</w:t>
      </w:r>
      <w:r w:rsidRPr="004A59B1">
        <w:rPr>
          <w:b/>
          <w:color w:val="000000"/>
          <w:szCs w:val="22"/>
          <w:lang w:val="pl-PL"/>
        </w:rPr>
        <w:tab/>
        <w:t>Farmakokinetične lastnosti</w:t>
      </w:r>
    </w:p>
    <w:p w14:paraId="5297A287" w14:textId="77777777" w:rsidR="00412C09" w:rsidRPr="004A59B1" w:rsidRDefault="00412C09" w:rsidP="009C1193">
      <w:pPr>
        <w:pStyle w:val="EndnoteText"/>
        <w:keepNext/>
        <w:widowControl w:val="0"/>
        <w:tabs>
          <w:tab w:val="clear" w:pos="567"/>
        </w:tabs>
        <w:rPr>
          <w:color w:val="000000"/>
          <w:szCs w:val="22"/>
          <w:lang w:val="pl-PL"/>
        </w:rPr>
      </w:pPr>
    </w:p>
    <w:p w14:paraId="5297A288" w14:textId="77777777" w:rsidR="00412C09" w:rsidRPr="004A59B1" w:rsidRDefault="00412C09" w:rsidP="009C1193">
      <w:pPr>
        <w:pStyle w:val="EndnoteText"/>
        <w:keepNext/>
        <w:widowControl w:val="0"/>
        <w:tabs>
          <w:tab w:val="clear" w:pos="567"/>
        </w:tabs>
        <w:rPr>
          <w:color w:val="000000"/>
          <w:szCs w:val="22"/>
          <w:u w:val="single"/>
          <w:lang w:val="pl-PL"/>
        </w:rPr>
      </w:pPr>
      <w:r w:rsidRPr="004A59B1">
        <w:rPr>
          <w:color w:val="000000"/>
          <w:szCs w:val="22"/>
          <w:u w:val="single"/>
          <w:lang w:val="pl-PL"/>
        </w:rPr>
        <w:t>Farmakokinetika zdravila Glivec</w:t>
      </w:r>
    </w:p>
    <w:p w14:paraId="5297A289" w14:textId="77777777" w:rsidR="00412C09" w:rsidRPr="004A59B1" w:rsidRDefault="00412C09" w:rsidP="009C1193">
      <w:pPr>
        <w:pStyle w:val="EndnoteText"/>
        <w:widowControl w:val="0"/>
        <w:tabs>
          <w:tab w:val="clear" w:pos="567"/>
        </w:tabs>
        <w:rPr>
          <w:color w:val="000000"/>
          <w:szCs w:val="22"/>
          <w:lang w:val="pl-PL"/>
        </w:rPr>
      </w:pPr>
      <w:r w:rsidRPr="004A59B1">
        <w:rPr>
          <w:color w:val="000000"/>
          <w:szCs w:val="22"/>
          <w:lang w:val="sl-SI"/>
        </w:rPr>
        <w:t>Farmakokinetiko zdravila Glivec so ovrednotili v območju odmerjanja od 25</w:t>
      </w:r>
      <w:r w:rsidR="00A968A1" w:rsidRPr="004A59B1">
        <w:rPr>
          <w:color w:val="000000"/>
          <w:szCs w:val="22"/>
          <w:lang w:val="sl-SI"/>
        </w:rPr>
        <w:t> mg</w:t>
      </w:r>
      <w:r w:rsidRPr="004A59B1">
        <w:rPr>
          <w:color w:val="000000"/>
          <w:szCs w:val="22"/>
          <w:lang w:val="sl-SI"/>
        </w:rPr>
        <w:t xml:space="preserve"> do </w:t>
      </w:r>
      <w:r w:rsidRPr="004A59B1">
        <w:rPr>
          <w:color w:val="000000"/>
          <w:szCs w:val="22"/>
          <w:lang w:val="pl-PL"/>
        </w:rPr>
        <w:t xml:space="preserve">1.000 mg. </w:t>
      </w:r>
      <w:r w:rsidRPr="004A59B1">
        <w:rPr>
          <w:color w:val="000000"/>
          <w:szCs w:val="22"/>
          <w:lang w:val="sl-SI"/>
        </w:rPr>
        <w:t>Plazemski farmakokinetični profili so bili analizirani 1. dne, nato pa bodisi 7. bodisi 28. dne, ko so plazemske koncentracije že dosegle stanje dinamičnega ravnovesja</w:t>
      </w:r>
      <w:r w:rsidRPr="004A59B1">
        <w:rPr>
          <w:color w:val="000000"/>
          <w:szCs w:val="22"/>
          <w:lang w:val="pl-PL"/>
        </w:rPr>
        <w:t>.</w:t>
      </w:r>
    </w:p>
    <w:p w14:paraId="5297A28A" w14:textId="77777777" w:rsidR="00412C09" w:rsidRPr="004A59B1" w:rsidRDefault="00412C09" w:rsidP="009C1193">
      <w:pPr>
        <w:pStyle w:val="EndnoteText"/>
        <w:widowControl w:val="0"/>
        <w:tabs>
          <w:tab w:val="clear" w:pos="567"/>
        </w:tabs>
        <w:rPr>
          <w:color w:val="000000"/>
          <w:szCs w:val="22"/>
          <w:lang w:val="pl-PL"/>
        </w:rPr>
      </w:pPr>
    </w:p>
    <w:p w14:paraId="5297A28B" w14:textId="77777777" w:rsidR="00444D75" w:rsidRPr="004A59B1" w:rsidRDefault="00444D75" w:rsidP="009C1193">
      <w:pPr>
        <w:pStyle w:val="EndnoteText"/>
        <w:keepNext/>
        <w:widowControl w:val="0"/>
        <w:tabs>
          <w:tab w:val="clear" w:pos="567"/>
        </w:tabs>
        <w:rPr>
          <w:color w:val="000000"/>
          <w:szCs w:val="22"/>
          <w:lang w:val="pl-PL"/>
        </w:rPr>
      </w:pPr>
      <w:r w:rsidRPr="004A59B1">
        <w:rPr>
          <w:color w:val="000000"/>
          <w:szCs w:val="22"/>
          <w:u w:val="single"/>
          <w:lang w:val="pl-PL"/>
        </w:rPr>
        <w:t>Absorpcija</w:t>
      </w:r>
    </w:p>
    <w:p w14:paraId="5297A28C" w14:textId="77777777" w:rsidR="00444D75" w:rsidRPr="004A59B1" w:rsidRDefault="00444D75" w:rsidP="009C1193">
      <w:pPr>
        <w:pStyle w:val="EndnoteText"/>
        <w:widowControl w:val="0"/>
        <w:tabs>
          <w:tab w:val="clear" w:pos="567"/>
        </w:tabs>
        <w:rPr>
          <w:color w:val="000000"/>
          <w:szCs w:val="22"/>
          <w:lang w:val="pl-PL"/>
        </w:rPr>
      </w:pPr>
      <w:r w:rsidRPr="004A59B1">
        <w:rPr>
          <w:color w:val="000000"/>
          <w:szCs w:val="22"/>
          <w:lang w:val="sl-SI"/>
        </w:rPr>
        <w:t xml:space="preserve">Povprečna absolutna biološka uporabnost imatiniba je </w:t>
      </w:r>
      <w:r w:rsidRPr="004A59B1">
        <w:rPr>
          <w:color w:val="000000"/>
          <w:szCs w:val="22"/>
          <w:lang w:val="pl-PL"/>
        </w:rPr>
        <w:t xml:space="preserve">98 %. </w:t>
      </w:r>
      <w:r w:rsidRPr="004A59B1">
        <w:rPr>
          <w:color w:val="000000"/>
          <w:szCs w:val="22"/>
          <w:lang w:val="sl-SI"/>
        </w:rPr>
        <w:t>Po peroralnem odmerku so med posameznimi bolniki opazili veliko variabilnost plazemske AUC imatiniba.</w:t>
      </w:r>
      <w:r w:rsidRPr="004A59B1">
        <w:rPr>
          <w:color w:val="000000"/>
          <w:szCs w:val="22"/>
          <w:lang w:val="pl-PL"/>
        </w:rPr>
        <w:t xml:space="preserve"> </w:t>
      </w:r>
      <w:r w:rsidRPr="004A59B1">
        <w:rPr>
          <w:color w:val="000000"/>
          <w:szCs w:val="22"/>
          <w:lang w:val="sl-SI"/>
        </w:rPr>
        <w:t>Če so imanitib dajali z zelo mastnim obrokom, se je obseg njegove absorpcije minimalno zmanjšal</w:t>
      </w:r>
      <w:r w:rsidRPr="004A59B1">
        <w:rPr>
          <w:color w:val="000000"/>
          <w:szCs w:val="22"/>
          <w:lang w:val="pl-PL"/>
        </w:rPr>
        <w:t xml:space="preserve"> (</w:t>
      </w:r>
      <w:r w:rsidRPr="004A59B1">
        <w:rPr>
          <w:color w:val="000000"/>
          <w:szCs w:val="22"/>
          <w:lang w:val="sl-SI"/>
        </w:rPr>
        <w:t>C</w:t>
      </w:r>
      <w:r w:rsidRPr="004A59B1">
        <w:rPr>
          <w:color w:val="000000"/>
          <w:szCs w:val="22"/>
          <w:vertAlign w:val="subscript"/>
          <w:lang w:val="sl-SI"/>
        </w:rPr>
        <w:t>max</w:t>
      </w:r>
      <w:r w:rsidRPr="004A59B1">
        <w:rPr>
          <w:color w:val="000000"/>
          <w:szCs w:val="22"/>
          <w:lang w:val="sl-SI"/>
        </w:rPr>
        <w:t xml:space="preserve"> se je zmanjšala za 11 %, t</w:t>
      </w:r>
      <w:r w:rsidRPr="004A59B1">
        <w:rPr>
          <w:color w:val="000000"/>
          <w:szCs w:val="22"/>
          <w:vertAlign w:val="subscript"/>
          <w:lang w:val="sl-SI"/>
        </w:rPr>
        <w:t>max</w:t>
      </w:r>
      <w:r w:rsidRPr="004A59B1">
        <w:rPr>
          <w:color w:val="000000"/>
          <w:szCs w:val="22"/>
          <w:lang w:val="sl-SI"/>
        </w:rPr>
        <w:t xml:space="preserve"> pa se je podaljšal za 1,5 ure</w:t>
      </w:r>
      <w:r w:rsidRPr="004A59B1">
        <w:rPr>
          <w:color w:val="000000"/>
          <w:szCs w:val="22"/>
          <w:lang w:val="pl-PL"/>
        </w:rPr>
        <w:t xml:space="preserve">), </w:t>
      </w:r>
      <w:r w:rsidRPr="004A59B1">
        <w:rPr>
          <w:color w:val="000000"/>
          <w:szCs w:val="22"/>
          <w:lang w:val="sl-SI"/>
        </w:rPr>
        <w:t>AUC pa se je v primerjavi z razmerami na tešče malo zmanjšala (7,4 %)</w:t>
      </w:r>
      <w:r w:rsidRPr="004A59B1">
        <w:rPr>
          <w:color w:val="000000"/>
          <w:szCs w:val="22"/>
          <w:lang w:val="pl-PL"/>
        </w:rPr>
        <w:t xml:space="preserve">. </w:t>
      </w:r>
      <w:r w:rsidRPr="004A59B1">
        <w:rPr>
          <w:color w:val="000000"/>
          <w:szCs w:val="22"/>
          <w:lang w:val="sl-SI"/>
        </w:rPr>
        <w:t>Učinka predhodne operacije prebavil na absorpcijo zdravila niso raziskali</w:t>
      </w:r>
      <w:r w:rsidRPr="004A59B1">
        <w:rPr>
          <w:color w:val="000000"/>
          <w:szCs w:val="22"/>
          <w:lang w:val="pl-PL"/>
        </w:rPr>
        <w:t>.</w:t>
      </w:r>
    </w:p>
    <w:p w14:paraId="5297A28D" w14:textId="77777777" w:rsidR="00444D75" w:rsidRPr="004A59B1" w:rsidRDefault="00444D75" w:rsidP="009C1193">
      <w:pPr>
        <w:pStyle w:val="EndnoteText"/>
        <w:widowControl w:val="0"/>
        <w:tabs>
          <w:tab w:val="clear" w:pos="567"/>
        </w:tabs>
        <w:rPr>
          <w:color w:val="000000"/>
          <w:szCs w:val="22"/>
          <w:lang w:val="pl-PL"/>
        </w:rPr>
      </w:pPr>
    </w:p>
    <w:p w14:paraId="5297A28E" w14:textId="77777777" w:rsidR="00412C09" w:rsidRPr="004A59B1" w:rsidRDefault="00412C09" w:rsidP="009C1193">
      <w:pPr>
        <w:pStyle w:val="EndnoteText"/>
        <w:keepNext/>
        <w:widowControl w:val="0"/>
        <w:tabs>
          <w:tab w:val="clear" w:pos="567"/>
        </w:tabs>
        <w:rPr>
          <w:color w:val="000000"/>
          <w:szCs w:val="22"/>
          <w:lang w:val="pl-PL"/>
        </w:rPr>
      </w:pPr>
      <w:r w:rsidRPr="004A59B1">
        <w:rPr>
          <w:color w:val="000000"/>
          <w:szCs w:val="22"/>
          <w:u w:val="single"/>
          <w:lang w:val="pl-PL"/>
        </w:rPr>
        <w:t>Porazdelitev</w:t>
      </w:r>
    </w:p>
    <w:p w14:paraId="5297A28F" w14:textId="77777777" w:rsidR="00412C09" w:rsidRPr="004A59B1" w:rsidRDefault="00412C09" w:rsidP="009C1193">
      <w:pPr>
        <w:pStyle w:val="EndnoteText"/>
        <w:widowControl w:val="0"/>
        <w:tabs>
          <w:tab w:val="clear" w:pos="567"/>
        </w:tabs>
        <w:rPr>
          <w:color w:val="000000"/>
          <w:szCs w:val="22"/>
          <w:lang w:val="pl-PL"/>
        </w:rPr>
      </w:pPr>
      <w:r w:rsidRPr="004A59B1">
        <w:rPr>
          <w:color w:val="000000"/>
          <w:szCs w:val="22"/>
          <w:lang w:val="sl-SI"/>
        </w:rPr>
        <w:t xml:space="preserve">Pri klinično pomembnih koncentracijah imatiniba je bila vezava na plazemske beljakovine na podlagi poskusov </w:t>
      </w:r>
      <w:r w:rsidRPr="004A59B1">
        <w:rPr>
          <w:i/>
          <w:color w:val="000000"/>
          <w:szCs w:val="22"/>
          <w:lang w:val="sl-SI"/>
        </w:rPr>
        <w:t>in vitro</w:t>
      </w:r>
      <w:r w:rsidRPr="004A59B1">
        <w:rPr>
          <w:color w:val="000000"/>
          <w:szCs w:val="22"/>
          <w:lang w:val="sl-SI"/>
        </w:rPr>
        <w:t xml:space="preserve"> približno 95</w:t>
      </w:r>
      <w:r w:rsidRPr="004A59B1">
        <w:rPr>
          <w:color w:val="000000"/>
          <w:szCs w:val="22"/>
          <w:lang w:val="sl-SI"/>
        </w:rPr>
        <w:noBreakHyphen/>
        <w:t>odstotna, večina imatiniba se je vezala na albumine in kisli glikoprotein alfa, malo pa na lipoproteine</w:t>
      </w:r>
      <w:r w:rsidRPr="004A59B1">
        <w:rPr>
          <w:color w:val="000000"/>
          <w:szCs w:val="22"/>
          <w:lang w:val="pl-PL"/>
        </w:rPr>
        <w:t>.</w:t>
      </w:r>
    </w:p>
    <w:p w14:paraId="5297A290" w14:textId="77777777" w:rsidR="00412C09" w:rsidRPr="004A59B1" w:rsidRDefault="00412C09" w:rsidP="009C1193">
      <w:pPr>
        <w:pStyle w:val="EndnoteText"/>
        <w:widowControl w:val="0"/>
        <w:tabs>
          <w:tab w:val="clear" w:pos="567"/>
        </w:tabs>
        <w:rPr>
          <w:color w:val="000000"/>
          <w:szCs w:val="22"/>
          <w:lang w:val="pl-PL"/>
        </w:rPr>
      </w:pPr>
    </w:p>
    <w:p w14:paraId="5297A291" w14:textId="77777777" w:rsidR="003B627C" w:rsidRPr="004A59B1" w:rsidRDefault="003B627C" w:rsidP="009C1193">
      <w:pPr>
        <w:pStyle w:val="EndnoteText"/>
        <w:keepNext/>
        <w:widowControl w:val="0"/>
        <w:tabs>
          <w:tab w:val="clear" w:pos="567"/>
        </w:tabs>
        <w:rPr>
          <w:color w:val="000000"/>
          <w:szCs w:val="22"/>
          <w:lang w:val="sl-SI"/>
        </w:rPr>
      </w:pPr>
      <w:r w:rsidRPr="004A59B1">
        <w:rPr>
          <w:color w:val="000000"/>
          <w:szCs w:val="22"/>
          <w:u w:val="single"/>
          <w:lang w:val="pl-PL"/>
        </w:rPr>
        <w:t>Biotransformacija</w:t>
      </w:r>
    </w:p>
    <w:p w14:paraId="5297A292" w14:textId="77777777" w:rsidR="00412C09" w:rsidRPr="004A59B1" w:rsidRDefault="00412C09" w:rsidP="009C1193">
      <w:pPr>
        <w:pStyle w:val="EndnoteText"/>
        <w:widowControl w:val="0"/>
        <w:tabs>
          <w:tab w:val="clear" w:pos="567"/>
        </w:tabs>
        <w:rPr>
          <w:color w:val="000000"/>
          <w:szCs w:val="22"/>
          <w:lang w:val="pl-PL"/>
        </w:rPr>
      </w:pPr>
      <w:r w:rsidRPr="004A59B1">
        <w:rPr>
          <w:color w:val="000000"/>
          <w:szCs w:val="22"/>
          <w:lang w:val="sl-SI"/>
        </w:rPr>
        <w:t>Poglavitni po krvi krožeči presnovek pri ljudeh je N-demetilirani piperazinov derivat</w:t>
      </w:r>
      <w:r w:rsidRPr="004A59B1">
        <w:rPr>
          <w:color w:val="000000"/>
          <w:szCs w:val="22"/>
          <w:lang w:val="pl-PL"/>
        </w:rPr>
        <w:t xml:space="preserve">, </w:t>
      </w:r>
      <w:r w:rsidRPr="004A59B1">
        <w:rPr>
          <w:color w:val="000000"/>
          <w:szCs w:val="22"/>
          <w:lang w:val="sl-SI"/>
        </w:rPr>
        <w:t xml:space="preserve">ki kaže podobno potenco </w:t>
      </w:r>
      <w:r w:rsidRPr="004A59B1">
        <w:rPr>
          <w:i/>
          <w:color w:val="000000"/>
          <w:szCs w:val="22"/>
          <w:lang w:val="sl-SI"/>
        </w:rPr>
        <w:t>in vitro</w:t>
      </w:r>
      <w:r w:rsidRPr="004A59B1">
        <w:rPr>
          <w:color w:val="000000"/>
          <w:szCs w:val="22"/>
          <w:lang w:val="sl-SI"/>
        </w:rPr>
        <w:t xml:space="preserve"> kot sama učinkovina</w:t>
      </w:r>
      <w:r w:rsidRPr="004A59B1">
        <w:rPr>
          <w:color w:val="000000"/>
          <w:szCs w:val="22"/>
          <w:lang w:val="pl-PL"/>
        </w:rPr>
        <w:t xml:space="preserve">. </w:t>
      </w:r>
      <w:r w:rsidRPr="004A59B1">
        <w:rPr>
          <w:color w:val="000000"/>
          <w:szCs w:val="22"/>
          <w:lang w:val="sl-SI"/>
        </w:rPr>
        <w:t>Ugotovili so, da je plazemska AUC tega presnovka samo 16 % AUC imatiniba</w:t>
      </w:r>
      <w:r w:rsidRPr="004A59B1">
        <w:rPr>
          <w:color w:val="000000"/>
          <w:szCs w:val="22"/>
          <w:lang w:val="pl-PL"/>
        </w:rPr>
        <w:t>. Vezava N-demetiliranega presnovka na plazemske beljakovine je podobna kot pri izhodni spojini.</w:t>
      </w:r>
    </w:p>
    <w:p w14:paraId="5297A293" w14:textId="77777777" w:rsidR="00412C09" w:rsidRPr="004A59B1" w:rsidRDefault="00412C09" w:rsidP="009C1193">
      <w:pPr>
        <w:pStyle w:val="EndnoteText"/>
        <w:widowControl w:val="0"/>
        <w:tabs>
          <w:tab w:val="clear" w:pos="567"/>
        </w:tabs>
        <w:rPr>
          <w:color w:val="000000"/>
          <w:szCs w:val="22"/>
          <w:lang w:val="pl-PL"/>
        </w:rPr>
      </w:pPr>
    </w:p>
    <w:p w14:paraId="5297A294" w14:textId="77777777" w:rsidR="00412C09" w:rsidRPr="004A59B1" w:rsidRDefault="00412C09" w:rsidP="009C1193">
      <w:pPr>
        <w:pStyle w:val="TextChar"/>
        <w:widowControl w:val="0"/>
        <w:spacing w:before="0"/>
        <w:jc w:val="left"/>
        <w:rPr>
          <w:color w:val="000000"/>
          <w:sz w:val="22"/>
          <w:szCs w:val="22"/>
          <w:lang w:val="pl-PL"/>
        </w:rPr>
      </w:pPr>
      <w:r w:rsidRPr="004A59B1">
        <w:rPr>
          <w:color w:val="000000"/>
          <w:sz w:val="22"/>
          <w:szCs w:val="22"/>
          <w:lang w:val="sl-SI"/>
        </w:rPr>
        <w:t xml:space="preserve">Imatinib in N-demetilirani presnovek sta skupaj prispevala okrog 65 % radioaktivnosti v krvi </w:t>
      </w:r>
      <w:r w:rsidRPr="004A59B1">
        <w:rPr>
          <w:color w:val="000000"/>
          <w:sz w:val="22"/>
          <w:szCs w:val="22"/>
          <w:lang w:val="pl-PL"/>
        </w:rPr>
        <w:t>(AUC</w:t>
      </w:r>
      <w:r w:rsidRPr="004A59B1">
        <w:rPr>
          <w:color w:val="000000"/>
          <w:sz w:val="22"/>
          <w:szCs w:val="22"/>
          <w:vertAlign w:val="subscript"/>
          <w:lang w:val="pl-PL"/>
        </w:rPr>
        <w:t>(0-48h)</w:t>
      </w:r>
      <w:r w:rsidRPr="004A59B1">
        <w:rPr>
          <w:color w:val="000000"/>
          <w:sz w:val="22"/>
          <w:szCs w:val="22"/>
          <w:lang w:val="pl-PL"/>
        </w:rPr>
        <w:t xml:space="preserve">). </w:t>
      </w:r>
      <w:r w:rsidRPr="004A59B1">
        <w:rPr>
          <w:color w:val="000000"/>
          <w:sz w:val="22"/>
          <w:szCs w:val="22"/>
          <w:lang w:val="sl-SI"/>
        </w:rPr>
        <w:t>Preostalo radioaktivnost v krvi je tvorilo več manj pomembnih presnovkov</w:t>
      </w:r>
      <w:r w:rsidRPr="004A59B1">
        <w:rPr>
          <w:color w:val="000000"/>
          <w:sz w:val="22"/>
          <w:szCs w:val="22"/>
          <w:lang w:val="pl-PL"/>
        </w:rPr>
        <w:t>.</w:t>
      </w:r>
    </w:p>
    <w:p w14:paraId="5297A295" w14:textId="77777777" w:rsidR="00412C09" w:rsidRPr="004A59B1" w:rsidRDefault="00412C09" w:rsidP="009C1193">
      <w:pPr>
        <w:pStyle w:val="TextChar"/>
        <w:widowControl w:val="0"/>
        <w:spacing w:before="0"/>
        <w:jc w:val="left"/>
        <w:rPr>
          <w:color w:val="000000"/>
          <w:sz w:val="22"/>
          <w:szCs w:val="22"/>
          <w:lang w:val="pl-PL"/>
        </w:rPr>
      </w:pPr>
    </w:p>
    <w:p w14:paraId="5297A296" w14:textId="77777777" w:rsidR="00412C09" w:rsidRPr="004A59B1" w:rsidRDefault="00412C09" w:rsidP="009C1193">
      <w:pPr>
        <w:pStyle w:val="TextChar"/>
        <w:widowControl w:val="0"/>
        <w:spacing w:before="0"/>
        <w:jc w:val="left"/>
        <w:rPr>
          <w:color w:val="000000"/>
          <w:sz w:val="22"/>
          <w:szCs w:val="22"/>
          <w:lang w:val="pl-PL"/>
        </w:rPr>
      </w:pPr>
      <w:r w:rsidRPr="004A59B1">
        <w:rPr>
          <w:color w:val="000000"/>
          <w:sz w:val="22"/>
          <w:szCs w:val="22"/>
          <w:lang w:val="sl-SI"/>
        </w:rPr>
        <w:t xml:space="preserve">Rezultati </w:t>
      </w:r>
      <w:r w:rsidRPr="004A59B1">
        <w:rPr>
          <w:i/>
          <w:color w:val="000000"/>
          <w:sz w:val="22"/>
          <w:szCs w:val="22"/>
          <w:lang w:val="sl-SI"/>
        </w:rPr>
        <w:t>in vitro</w:t>
      </w:r>
      <w:r w:rsidRPr="004A59B1">
        <w:rPr>
          <w:color w:val="000000"/>
          <w:sz w:val="22"/>
          <w:szCs w:val="22"/>
          <w:lang w:val="sl-SI"/>
        </w:rPr>
        <w:t xml:space="preserve"> so pokazali, da je pri človeku poglavitni encim P450, ki katalizira biotransformacijo imatiniba, CYP3A4</w:t>
      </w:r>
      <w:r w:rsidRPr="004A59B1">
        <w:rPr>
          <w:color w:val="000000"/>
          <w:sz w:val="22"/>
          <w:szCs w:val="22"/>
          <w:lang w:val="pl-PL"/>
        </w:rPr>
        <w:t xml:space="preserve">. </w:t>
      </w:r>
      <w:r w:rsidRPr="004A59B1">
        <w:rPr>
          <w:color w:val="000000"/>
          <w:sz w:val="22"/>
          <w:szCs w:val="22"/>
          <w:lang w:val="sl-SI"/>
        </w:rPr>
        <w:t>Od skupine možnih zdravil za sočasno uporabo (paracetamol, aciklovir, alopurinol, amfotericin, citarabin, eritromicin, flukonazol, hidroksisečnina, norfloksacin, penicilin V) sta samo eritromicin (IC</w:t>
      </w:r>
      <w:r w:rsidRPr="004A59B1">
        <w:rPr>
          <w:color w:val="000000"/>
          <w:sz w:val="22"/>
          <w:szCs w:val="22"/>
          <w:vertAlign w:val="subscript"/>
          <w:lang w:val="sl-SI"/>
        </w:rPr>
        <w:t>50</w:t>
      </w:r>
      <w:r w:rsidRPr="004A59B1">
        <w:rPr>
          <w:color w:val="000000"/>
          <w:sz w:val="22"/>
          <w:szCs w:val="22"/>
          <w:lang w:val="sl-SI"/>
        </w:rPr>
        <w:t xml:space="preserve"> 50 μM) in flukonazol (IC</w:t>
      </w:r>
      <w:r w:rsidRPr="004A59B1">
        <w:rPr>
          <w:color w:val="000000"/>
          <w:sz w:val="22"/>
          <w:szCs w:val="22"/>
          <w:vertAlign w:val="subscript"/>
          <w:lang w:val="sl-SI"/>
        </w:rPr>
        <w:t>50</w:t>
      </w:r>
      <w:r w:rsidRPr="004A59B1">
        <w:rPr>
          <w:color w:val="000000"/>
          <w:sz w:val="22"/>
          <w:szCs w:val="22"/>
          <w:lang w:val="sl-SI"/>
        </w:rPr>
        <w:t xml:space="preserve"> 118 μM) pokazala inhibicijo presnove imatiniba, </w:t>
      </w:r>
      <w:r w:rsidRPr="004A59B1">
        <w:rPr>
          <w:color w:val="000000"/>
          <w:sz w:val="22"/>
          <w:szCs w:val="22"/>
          <w:lang w:val="sl-SI"/>
        </w:rPr>
        <w:lastRenderedPageBreak/>
        <w:t>ki bi bila lahko klinično pomembna</w:t>
      </w:r>
      <w:r w:rsidRPr="004A59B1">
        <w:rPr>
          <w:color w:val="000000"/>
          <w:sz w:val="22"/>
          <w:szCs w:val="22"/>
          <w:lang w:val="pl-PL"/>
        </w:rPr>
        <w:t>.</w:t>
      </w:r>
    </w:p>
    <w:p w14:paraId="5297A297" w14:textId="77777777" w:rsidR="00412C09" w:rsidRPr="004A59B1" w:rsidRDefault="00412C09" w:rsidP="009C1193">
      <w:pPr>
        <w:pStyle w:val="TextChar"/>
        <w:widowControl w:val="0"/>
        <w:spacing w:before="0"/>
        <w:jc w:val="left"/>
        <w:rPr>
          <w:color w:val="000000"/>
          <w:sz w:val="22"/>
          <w:szCs w:val="22"/>
          <w:lang w:val="pl-PL"/>
        </w:rPr>
      </w:pPr>
    </w:p>
    <w:p w14:paraId="5297A298" w14:textId="77777777" w:rsidR="00412C09" w:rsidRPr="004A59B1" w:rsidRDefault="00412C09" w:rsidP="009C1193">
      <w:pPr>
        <w:pStyle w:val="TextChar"/>
        <w:widowControl w:val="0"/>
        <w:spacing w:before="0"/>
        <w:jc w:val="left"/>
        <w:rPr>
          <w:color w:val="000000"/>
          <w:sz w:val="22"/>
          <w:szCs w:val="22"/>
          <w:lang w:val="sl-SI"/>
        </w:rPr>
      </w:pPr>
      <w:r w:rsidRPr="004A59B1">
        <w:rPr>
          <w:i/>
          <w:color w:val="000000"/>
          <w:sz w:val="22"/>
          <w:szCs w:val="22"/>
          <w:lang w:val="sl-SI"/>
        </w:rPr>
        <w:t>In vitro</w:t>
      </w:r>
      <w:r w:rsidRPr="004A59B1">
        <w:rPr>
          <w:color w:val="000000"/>
          <w:sz w:val="22"/>
          <w:szCs w:val="22"/>
          <w:lang w:val="sl-SI"/>
        </w:rPr>
        <w:t xml:space="preserve"> so pokazali, da je imatinib kompetitiven inhibitor markerskih substratov za CYP2C9, CYP2D6 in CYP3A4/5</w:t>
      </w:r>
      <w:r w:rsidRPr="004A59B1">
        <w:rPr>
          <w:color w:val="000000"/>
          <w:sz w:val="22"/>
          <w:szCs w:val="22"/>
          <w:lang w:val="pl-PL"/>
        </w:rPr>
        <w:t xml:space="preserve">. </w:t>
      </w:r>
      <w:r w:rsidRPr="004A59B1">
        <w:rPr>
          <w:color w:val="000000"/>
          <w:sz w:val="22"/>
          <w:szCs w:val="22"/>
          <w:lang w:val="sl-SI"/>
        </w:rPr>
        <w:t>Vrednosti K</w:t>
      </w:r>
      <w:r w:rsidRPr="004A59B1">
        <w:rPr>
          <w:color w:val="000000"/>
          <w:sz w:val="22"/>
          <w:szCs w:val="22"/>
          <w:vertAlign w:val="subscript"/>
          <w:lang w:val="sl-SI"/>
        </w:rPr>
        <w:t>i</w:t>
      </w:r>
      <w:r w:rsidRPr="004A59B1">
        <w:rPr>
          <w:color w:val="000000"/>
          <w:sz w:val="22"/>
          <w:szCs w:val="22"/>
          <w:lang w:val="sl-SI"/>
        </w:rPr>
        <w:t xml:space="preserve"> v mikrosomih človeških jeter so bile 27, 7,5 oziroma 7,9 μmol/l. Največje koncentracije imatiniba v plazmi bolnikov so 2</w:t>
      </w:r>
      <w:r w:rsidRPr="004A59B1">
        <w:rPr>
          <w:color w:val="000000"/>
          <w:sz w:val="22"/>
          <w:szCs w:val="22"/>
          <w:lang w:val="pl-PL"/>
        </w:rPr>
        <w:t>–</w:t>
      </w:r>
      <w:r w:rsidRPr="004A59B1">
        <w:rPr>
          <w:color w:val="000000"/>
          <w:sz w:val="22"/>
          <w:szCs w:val="22"/>
          <w:lang w:val="sl-SI"/>
        </w:rPr>
        <w:t>4 μmol/l, zato je možna inhibicija sočasno uporabljanih zdravil s presnovo, ki poteka preko CYP2D6 in/ali CYP3A4/5</w:t>
      </w:r>
      <w:r w:rsidRPr="004A59B1">
        <w:rPr>
          <w:color w:val="000000"/>
          <w:sz w:val="22"/>
          <w:szCs w:val="22"/>
          <w:lang w:val="pl-PL"/>
        </w:rPr>
        <w:t xml:space="preserve">. </w:t>
      </w:r>
      <w:r w:rsidRPr="004A59B1">
        <w:rPr>
          <w:color w:val="000000"/>
          <w:sz w:val="22"/>
          <w:szCs w:val="22"/>
          <w:lang w:val="sl-SI"/>
        </w:rPr>
        <w:t>Imatinib ni oviral biotransformacije 5-fluorouracila, je pa zaviral presnovo paklitaksela zaradi kompetitivne inhibicije CYP2C8 (K</w:t>
      </w:r>
      <w:r w:rsidRPr="004A59B1">
        <w:rPr>
          <w:color w:val="000000"/>
          <w:sz w:val="22"/>
          <w:szCs w:val="22"/>
          <w:vertAlign w:val="subscript"/>
          <w:lang w:val="sl-SI"/>
        </w:rPr>
        <w:t>i</w:t>
      </w:r>
      <w:r w:rsidRPr="004A59B1">
        <w:rPr>
          <w:color w:val="000000"/>
          <w:sz w:val="22"/>
          <w:szCs w:val="22"/>
          <w:lang w:val="sl-SI"/>
        </w:rPr>
        <w:t xml:space="preserve"> = 34,7 μM). Ta vrednost K</w:t>
      </w:r>
      <w:r w:rsidRPr="004A59B1">
        <w:rPr>
          <w:color w:val="000000"/>
          <w:sz w:val="22"/>
          <w:szCs w:val="22"/>
          <w:vertAlign w:val="subscript"/>
          <w:lang w:val="sl-SI"/>
        </w:rPr>
        <w:t>i</w:t>
      </w:r>
      <w:r w:rsidRPr="004A59B1">
        <w:rPr>
          <w:color w:val="000000"/>
          <w:sz w:val="22"/>
          <w:szCs w:val="22"/>
          <w:lang w:val="sl-SI"/>
        </w:rPr>
        <w:t xml:space="preserve"> je mnogo večja kot pričakovane plazemske koncentracije imatiniba pri bolnikih, zato po sočasnem dajanju bodisi 5-fluorouracila ali paklitaksela in imatiniba ni pričakovati medsebojnega delovanja.</w:t>
      </w:r>
    </w:p>
    <w:p w14:paraId="5297A299" w14:textId="77777777" w:rsidR="00412C09" w:rsidRPr="004A59B1" w:rsidRDefault="00412C09" w:rsidP="009C1193">
      <w:pPr>
        <w:pStyle w:val="EndnoteText"/>
        <w:widowControl w:val="0"/>
        <w:tabs>
          <w:tab w:val="clear" w:pos="567"/>
        </w:tabs>
        <w:rPr>
          <w:color w:val="000000"/>
          <w:szCs w:val="22"/>
          <w:lang w:val="sl-SI"/>
        </w:rPr>
      </w:pPr>
    </w:p>
    <w:p w14:paraId="5297A29A" w14:textId="77777777" w:rsidR="00412C09" w:rsidRPr="004A59B1" w:rsidRDefault="00412C09" w:rsidP="009C1193">
      <w:pPr>
        <w:pStyle w:val="EndnoteText"/>
        <w:keepNext/>
        <w:widowControl w:val="0"/>
        <w:tabs>
          <w:tab w:val="clear" w:pos="567"/>
        </w:tabs>
        <w:rPr>
          <w:color w:val="000000"/>
          <w:szCs w:val="22"/>
          <w:lang w:val="sl-SI"/>
        </w:rPr>
      </w:pPr>
      <w:r w:rsidRPr="004A59B1">
        <w:rPr>
          <w:color w:val="000000"/>
          <w:szCs w:val="22"/>
          <w:u w:val="single"/>
          <w:lang w:val="sl-SI"/>
        </w:rPr>
        <w:t>Izločanje</w:t>
      </w:r>
    </w:p>
    <w:p w14:paraId="5297A29B" w14:textId="77777777" w:rsidR="00412C09" w:rsidRPr="004A59B1" w:rsidRDefault="00412C09" w:rsidP="009C1193">
      <w:pPr>
        <w:pStyle w:val="EndnoteText"/>
        <w:widowControl w:val="0"/>
        <w:tabs>
          <w:tab w:val="clear" w:pos="567"/>
        </w:tabs>
        <w:rPr>
          <w:color w:val="000000"/>
          <w:szCs w:val="22"/>
          <w:lang w:val="sl-SI"/>
        </w:rPr>
      </w:pPr>
      <w:r w:rsidRPr="004A59B1">
        <w:rPr>
          <w:color w:val="000000"/>
          <w:szCs w:val="22"/>
          <w:lang w:val="sl-SI"/>
        </w:rPr>
        <w:t>Na podlagi izločen</w:t>
      </w:r>
      <w:r w:rsidR="00177020" w:rsidRPr="004A59B1">
        <w:rPr>
          <w:color w:val="000000"/>
          <w:szCs w:val="22"/>
          <w:lang w:val="sl-SI"/>
        </w:rPr>
        <w:t>ih</w:t>
      </w:r>
      <w:r w:rsidRPr="004A59B1">
        <w:rPr>
          <w:color w:val="000000"/>
          <w:szCs w:val="22"/>
          <w:lang w:val="sl-SI"/>
        </w:rPr>
        <w:t xml:space="preserve"> spojin(e) po peroralnem odmerku imatiniba, označenega s </w:t>
      </w:r>
      <w:r w:rsidRPr="004A59B1">
        <w:rPr>
          <w:color w:val="000000"/>
          <w:szCs w:val="22"/>
          <w:vertAlign w:val="superscript"/>
          <w:lang w:val="sl-SI"/>
        </w:rPr>
        <w:t>14</w:t>
      </w:r>
      <w:r w:rsidRPr="004A59B1">
        <w:rPr>
          <w:color w:val="000000"/>
          <w:szCs w:val="22"/>
          <w:lang w:val="sl-SI"/>
        </w:rPr>
        <w:t>C, se je približno 81 % odmerka odstranilo iz telesa v 7 dneh z blatom (68 % odmerka) in urinom (13 % odmerka). Nespremenjeni imatinib je predstavljal 25 % odmerka (5 % v urinu, 20 % v blatu), preostanek pa so predstavljali presnovki.</w:t>
      </w:r>
    </w:p>
    <w:p w14:paraId="5297A29C" w14:textId="77777777" w:rsidR="00412C09" w:rsidRPr="004A59B1" w:rsidRDefault="00412C09" w:rsidP="009C1193">
      <w:pPr>
        <w:pStyle w:val="EndnoteText"/>
        <w:widowControl w:val="0"/>
        <w:tabs>
          <w:tab w:val="clear" w:pos="567"/>
        </w:tabs>
        <w:rPr>
          <w:color w:val="000000"/>
          <w:szCs w:val="22"/>
          <w:lang w:val="sl-SI"/>
        </w:rPr>
      </w:pPr>
    </w:p>
    <w:p w14:paraId="5297A29D" w14:textId="77777777" w:rsidR="00412C09" w:rsidRPr="004A59B1" w:rsidRDefault="00412C09" w:rsidP="009C1193">
      <w:pPr>
        <w:pStyle w:val="EndnoteText"/>
        <w:keepNext/>
        <w:widowControl w:val="0"/>
        <w:tabs>
          <w:tab w:val="clear" w:pos="567"/>
        </w:tabs>
        <w:rPr>
          <w:color w:val="000000"/>
          <w:szCs w:val="22"/>
          <w:lang w:val="sl-SI"/>
        </w:rPr>
      </w:pPr>
      <w:r w:rsidRPr="004A59B1">
        <w:rPr>
          <w:color w:val="000000"/>
          <w:szCs w:val="22"/>
          <w:u w:val="single"/>
          <w:lang w:val="sl-SI"/>
        </w:rPr>
        <w:t>Plazemska farmakokinetika</w:t>
      </w:r>
    </w:p>
    <w:p w14:paraId="5297A29E" w14:textId="77777777" w:rsidR="00412C09" w:rsidRPr="004A59B1" w:rsidRDefault="00412C09" w:rsidP="009C1193">
      <w:pPr>
        <w:pStyle w:val="EndnoteText"/>
        <w:widowControl w:val="0"/>
        <w:tabs>
          <w:tab w:val="clear" w:pos="567"/>
        </w:tabs>
        <w:rPr>
          <w:color w:val="000000"/>
          <w:szCs w:val="22"/>
          <w:lang w:val="sl-SI"/>
        </w:rPr>
      </w:pPr>
      <w:r w:rsidRPr="004A59B1">
        <w:rPr>
          <w:color w:val="000000"/>
          <w:szCs w:val="22"/>
          <w:lang w:val="sl-SI"/>
        </w:rPr>
        <w:t>Po peroralnem dajanju zdravim prostovoljcem je bil t</w:t>
      </w:r>
      <w:r w:rsidRPr="004A59B1">
        <w:rPr>
          <w:color w:val="000000"/>
          <w:szCs w:val="22"/>
          <w:vertAlign w:val="subscript"/>
          <w:lang w:val="sl-SI"/>
        </w:rPr>
        <w:t>1/2</w:t>
      </w:r>
      <w:r w:rsidRPr="004A59B1">
        <w:rPr>
          <w:color w:val="000000"/>
          <w:szCs w:val="22"/>
          <w:lang w:val="sl-SI"/>
        </w:rPr>
        <w:t xml:space="preserve"> približno 18 ur, kar kaže na ustreznost enega odmerka na dan. Zvečevanje povprečne AUC z večanjem odmerka je bilo po peroralnem dajanju linearno in sorazmerno odmerku v območju 25–1.000 mg imatiniba. Pri ponovnem odmerjanju se kinetika imatiniba ni spreminjala, kopičenje pa je bilo pri enem odmerku na dan v stanju dinamičnega ravnovesja 1,5–2,5-kratno.</w:t>
      </w:r>
    </w:p>
    <w:p w14:paraId="5297A29F" w14:textId="77777777" w:rsidR="00412C09" w:rsidRPr="004A59B1" w:rsidRDefault="00412C09" w:rsidP="009C1193">
      <w:pPr>
        <w:pStyle w:val="EndnoteText"/>
        <w:widowControl w:val="0"/>
        <w:tabs>
          <w:tab w:val="clear" w:pos="567"/>
        </w:tabs>
        <w:rPr>
          <w:color w:val="000000"/>
          <w:szCs w:val="22"/>
          <w:lang w:val="sl-SI"/>
        </w:rPr>
      </w:pPr>
    </w:p>
    <w:p w14:paraId="5297A2A0" w14:textId="77777777" w:rsidR="00412C09" w:rsidRPr="004A59B1" w:rsidRDefault="00412C09" w:rsidP="009C1193">
      <w:pPr>
        <w:pStyle w:val="EndnoteText"/>
        <w:keepNext/>
        <w:widowControl w:val="0"/>
        <w:tabs>
          <w:tab w:val="clear" w:pos="567"/>
        </w:tabs>
        <w:rPr>
          <w:color w:val="000000"/>
          <w:szCs w:val="22"/>
          <w:u w:val="single"/>
          <w:lang w:val="sl-SI"/>
        </w:rPr>
      </w:pPr>
      <w:r w:rsidRPr="004A59B1">
        <w:rPr>
          <w:color w:val="000000"/>
          <w:szCs w:val="22"/>
          <w:u w:val="single"/>
          <w:lang w:val="sl-SI"/>
        </w:rPr>
        <w:t>Farmakokinetika pri bolnikih z GIST</w:t>
      </w:r>
    </w:p>
    <w:p w14:paraId="5297A2A1" w14:textId="77777777" w:rsidR="00412C09" w:rsidRPr="004A59B1" w:rsidRDefault="00412C09" w:rsidP="009C1193">
      <w:pPr>
        <w:pStyle w:val="TextChar"/>
        <w:widowControl w:val="0"/>
        <w:spacing w:before="0"/>
        <w:jc w:val="left"/>
        <w:rPr>
          <w:color w:val="000000"/>
          <w:sz w:val="22"/>
          <w:szCs w:val="22"/>
          <w:lang w:val="sl-SI"/>
        </w:rPr>
      </w:pPr>
      <w:r w:rsidRPr="004A59B1">
        <w:rPr>
          <w:color w:val="000000"/>
          <w:sz w:val="22"/>
          <w:szCs w:val="22"/>
          <w:lang w:val="sl-SI"/>
        </w:rPr>
        <w:t xml:space="preserve">Pri bolnikih z GIST je bila izpostavljenost v stanju dinamičnega ravnovesja 1,5-krat večja od tiste, ki je bila opazovana pri bolnikih s </w:t>
      </w:r>
      <w:r w:rsidR="00677326" w:rsidRPr="004A59B1">
        <w:rPr>
          <w:color w:val="000000"/>
          <w:sz w:val="22"/>
          <w:szCs w:val="22"/>
          <w:lang w:val="sl-SI"/>
        </w:rPr>
        <w:t>KML</w:t>
      </w:r>
      <w:r w:rsidRPr="004A59B1">
        <w:rPr>
          <w:color w:val="000000"/>
          <w:sz w:val="22"/>
          <w:szCs w:val="22"/>
          <w:lang w:val="sl-SI"/>
        </w:rPr>
        <w:t xml:space="preserve"> pri enakem odmerjanju (400 mg na dan</w:t>
      </w:r>
      <w:r w:rsidRPr="004A59B1">
        <w:rPr>
          <w:snapToGrid w:val="0"/>
          <w:color w:val="000000"/>
          <w:sz w:val="22"/>
          <w:szCs w:val="22"/>
          <w:lang w:val="sl-SI"/>
        </w:rPr>
        <w:t xml:space="preserve">). </w:t>
      </w:r>
      <w:r w:rsidRPr="004A59B1">
        <w:rPr>
          <w:color w:val="000000"/>
          <w:sz w:val="22"/>
          <w:szCs w:val="22"/>
          <w:lang w:val="sl-SI"/>
        </w:rPr>
        <w:t xml:space="preserve">Na podlagi preliminarne analize populacijske farmakokinetike pri bolnikih z GIST so za tri spremenljivke (albumin, WBC in bilirubin) ugotovili, da so statistično signifikantno povezane s farmakokinetiko imatiniba. Zmanjšane vrednosti albumina so povzročile zmanjšan očistek (CL/f); </w:t>
      </w:r>
      <w:r w:rsidR="00A968A1" w:rsidRPr="004A59B1">
        <w:rPr>
          <w:color w:val="000000"/>
          <w:sz w:val="22"/>
          <w:szCs w:val="22"/>
          <w:lang w:val="sl-SI"/>
        </w:rPr>
        <w:t xml:space="preserve">večje </w:t>
      </w:r>
      <w:r w:rsidRPr="004A59B1">
        <w:rPr>
          <w:color w:val="000000"/>
          <w:sz w:val="22"/>
          <w:szCs w:val="22"/>
          <w:lang w:val="sl-SI"/>
        </w:rPr>
        <w:t>koncentracije WBC so povzročile zmanjšanje CL/f. Vendar te povezave niso dovolj izrazite, da bi bila potrebna prilagoditev odmerka. V tej skupini bolnikov bi lahko prisotnost metastaz v jetrih povzročila insuficienco jeter in zmanjšano presnovo.</w:t>
      </w:r>
    </w:p>
    <w:p w14:paraId="5297A2A2" w14:textId="77777777" w:rsidR="00412C09" w:rsidRPr="004A59B1" w:rsidRDefault="00412C09" w:rsidP="009C1193">
      <w:pPr>
        <w:pStyle w:val="EndnoteText"/>
        <w:widowControl w:val="0"/>
        <w:tabs>
          <w:tab w:val="clear" w:pos="567"/>
        </w:tabs>
        <w:rPr>
          <w:color w:val="000000"/>
          <w:szCs w:val="22"/>
          <w:lang w:val="sl-SI"/>
        </w:rPr>
      </w:pPr>
    </w:p>
    <w:p w14:paraId="5297A2A3" w14:textId="77777777" w:rsidR="00412C09" w:rsidRPr="004A59B1" w:rsidRDefault="00412C09" w:rsidP="009C1193">
      <w:pPr>
        <w:pStyle w:val="EndnoteText"/>
        <w:keepNext/>
        <w:widowControl w:val="0"/>
        <w:tabs>
          <w:tab w:val="clear" w:pos="567"/>
        </w:tabs>
        <w:rPr>
          <w:color w:val="000000"/>
          <w:szCs w:val="22"/>
          <w:lang w:val="sl-SI"/>
        </w:rPr>
      </w:pPr>
      <w:r w:rsidRPr="004A59B1">
        <w:rPr>
          <w:color w:val="000000"/>
          <w:szCs w:val="22"/>
          <w:u w:val="single"/>
          <w:lang w:val="sl-SI"/>
        </w:rPr>
        <w:t>Populacijska farmakokinetika</w:t>
      </w:r>
    </w:p>
    <w:p w14:paraId="5297A2A4" w14:textId="77777777" w:rsidR="00412C09" w:rsidRPr="004A59B1" w:rsidRDefault="00412C09" w:rsidP="009C1193">
      <w:pPr>
        <w:pStyle w:val="EndnoteText"/>
        <w:widowControl w:val="0"/>
        <w:tabs>
          <w:tab w:val="clear" w:pos="567"/>
        </w:tabs>
        <w:rPr>
          <w:color w:val="000000"/>
          <w:szCs w:val="22"/>
          <w:lang w:val="sl-SI"/>
        </w:rPr>
      </w:pPr>
      <w:r w:rsidRPr="004A59B1">
        <w:rPr>
          <w:color w:val="000000"/>
          <w:szCs w:val="22"/>
          <w:lang w:val="sl-SI"/>
        </w:rPr>
        <w:t xml:space="preserve">Na podlagi analize populacijske farmakokinetike pri bolnikih s </w:t>
      </w:r>
      <w:r w:rsidR="00677326" w:rsidRPr="004A59B1">
        <w:rPr>
          <w:color w:val="000000"/>
          <w:szCs w:val="22"/>
          <w:lang w:val="sl-SI"/>
        </w:rPr>
        <w:t>KML</w:t>
      </w:r>
      <w:r w:rsidRPr="004A59B1">
        <w:rPr>
          <w:color w:val="000000"/>
          <w:szCs w:val="22"/>
          <w:lang w:val="sl-SI"/>
        </w:rPr>
        <w:t xml:space="preserve"> so ugotovili majhen učinek starosti na volumen porazdelitve (12</w:t>
      </w:r>
      <w:r w:rsidRPr="004A59B1">
        <w:rPr>
          <w:color w:val="000000"/>
          <w:szCs w:val="22"/>
          <w:lang w:val="sl-SI"/>
        </w:rPr>
        <w:noBreakHyphen/>
        <w:t>odstotno povečanje pri bolnikih, starejših od 65 let), vendar ta sprememba ni klinično pomembna. Vpliv telesne mase na očistek imatiniba je takšen, da je pri bolniku, ki tehta 50 kg, pričakovani povprečni očistek 8,5 l/h, pri bolniku, ki tehta 100 kg, pa se očistek poveča na 11,8 l/h. Te spremembe pa niso dovolj velike, da bi bilo potrebno prilagajanje odmerjanja telesni masi. Spol na kinetiko imatiniba ne vpliva.</w:t>
      </w:r>
    </w:p>
    <w:p w14:paraId="5297A2A5" w14:textId="77777777" w:rsidR="00412C09" w:rsidRPr="004A59B1" w:rsidRDefault="00412C09" w:rsidP="009C1193">
      <w:pPr>
        <w:pStyle w:val="EndnoteText"/>
        <w:widowControl w:val="0"/>
        <w:tabs>
          <w:tab w:val="clear" w:pos="567"/>
        </w:tabs>
        <w:rPr>
          <w:color w:val="000000"/>
          <w:szCs w:val="22"/>
          <w:lang w:val="sl-SI"/>
        </w:rPr>
      </w:pPr>
    </w:p>
    <w:p w14:paraId="5297A2A6" w14:textId="77777777" w:rsidR="00412C09" w:rsidRPr="004A59B1" w:rsidRDefault="00412C09" w:rsidP="009C1193">
      <w:pPr>
        <w:pStyle w:val="EndnoteText"/>
        <w:keepNext/>
        <w:widowControl w:val="0"/>
        <w:tabs>
          <w:tab w:val="clear" w:pos="567"/>
        </w:tabs>
        <w:rPr>
          <w:color w:val="000000"/>
          <w:szCs w:val="22"/>
          <w:u w:val="single"/>
          <w:lang w:val="sl-SI"/>
        </w:rPr>
      </w:pPr>
      <w:r w:rsidRPr="004A59B1">
        <w:rPr>
          <w:color w:val="000000"/>
          <w:szCs w:val="22"/>
          <w:u w:val="single"/>
          <w:lang w:val="sl-SI"/>
        </w:rPr>
        <w:t>Farmakokinetika pri otrocih</w:t>
      </w:r>
    </w:p>
    <w:p w14:paraId="5297A2A7" w14:textId="77777777" w:rsidR="00412C09" w:rsidRPr="004A59B1" w:rsidRDefault="00412C09" w:rsidP="009C1193">
      <w:pPr>
        <w:pStyle w:val="EndnoteText"/>
        <w:widowControl w:val="0"/>
        <w:rPr>
          <w:color w:val="000000"/>
          <w:szCs w:val="22"/>
          <w:lang w:val="sl-SI"/>
        </w:rPr>
      </w:pPr>
      <w:r w:rsidRPr="004A59B1">
        <w:rPr>
          <w:color w:val="000000"/>
          <w:szCs w:val="22"/>
          <w:lang w:val="sl-SI"/>
        </w:rPr>
        <w:t>Tako kot pri odraslih bolnikih, se je pri pediatričnih bolnikih v študijah tako prve kot druge faze imatinib po peroralni uporabi hitro absorbiral. Odmerek 260</w:t>
      </w:r>
      <w:r w:rsidR="00A968A1" w:rsidRPr="004A59B1">
        <w:rPr>
          <w:color w:val="000000"/>
          <w:szCs w:val="22"/>
          <w:lang w:val="sl-SI"/>
        </w:rPr>
        <w:t> mg/m</w:t>
      </w:r>
      <w:r w:rsidR="00A968A1" w:rsidRPr="004A59B1">
        <w:rPr>
          <w:color w:val="000000"/>
          <w:szCs w:val="22"/>
          <w:vertAlign w:val="superscript"/>
          <w:lang w:val="sl-SI"/>
        </w:rPr>
        <w:t>2</w:t>
      </w:r>
      <w:r w:rsidRPr="004A59B1">
        <w:rPr>
          <w:color w:val="000000"/>
          <w:szCs w:val="22"/>
          <w:lang w:val="sl-SI"/>
        </w:rPr>
        <w:t> oziroma 340 mg/m</w:t>
      </w:r>
      <w:r w:rsidRPr="004A59B1">
        <w:rPr>
          <w:color w:val="000000"/>
          <w:szCs w:val="22"/>
          <w:vertAlign w:val="superscript"/>
          <w:lang w:val="sl-SI"/>
        </w:rPr>
        <w:t>2</w:t>
      </w:r>
      <w:r w:rsidRPr="004A59B1">
        <w:rPr>
          <w:color w:val="000000"/>
          <w:szCs w:val="22"/>
          <w:lang w:val="sl-SI"/>
        </w:rPr>
        <w:t xml:space="preserve"> pri otrocih je dosegel enako izpostavljenost kot odmerek 400 mg oziroma 600 mg pri odraslih bolnikih. Primerjava AUC</w:t>
      </w:r>
      <w:r w:rsidRPr="004A59B1">
        <w:rPr>
          <w:color w:val="000000"/>
          <w:szCs w:val="22"/>
          <w:vertAlign w:val="subscript"/>
          <w:lang w:val="sl-SI"/>
        </w:rPr>
        <w:t>(0-24)</w:t>
      </w:r>
      <w:r w:rsidRPr="004A59B1">
        <w:rPr>
          <w:color w:val="000000"/>
          <w:szCs w:val="22"/>
          <w:lang w:val="sl-SI"/>
        </w:rPr>
        <w:t xml:space="preserve"> 8. dne in 1. dne ob odmerku 340 mg/m</w:t>
      </w:r>
      <w:r w:rsidRPr="004A59B1">
        <w:rPr>
          <w:color w:val="000000"/>
          <w:szCs w:val="22"/>
          <w:vertAlign w:val="superscript"/>
          <w:lang w:val="sl-SI"/>
        </w:rPr>
        <w:t xml:space="preserve">2 </w:t>
      </w:r>
      <w:r w:rsidRPr="004A59B1">
        <w:rPr>
          <w:color w:val="000000"/>
          <w:szCs w:val="22"/>
          <w:lang w:val="sl-SI"/>
        </w:rPr>
        <w:t>je pokazala 1,7-kratno kopičenje zdravila po ponavljajočem se odmerjanju enkrat na dan.</w:t>
      </w:r>
    </w:p>
    <w:p w14:paraId="5297A2A8" w14:textId="77777777" w:rsidR="00412C09" w:rsidRPr="004A59B1" w:rsidRDefault="00412C09" w:rsidP="009C1193">
      <w:pPr>
        <w:pStyle w:val="EndnoteText"/>
        <w:widowControl w:val="0"/>
        <w:tabs>
          <w:tab w:val="clear" w:pos="567"/>
        </w:tabs>
        <w:rPr>
          <w:color w:val="000000"/>
          <w:szCs w:val="22"/>
          <w:lang w:val="sl-SI"/>
        </w:rPr>
      </w:pPr>
    </w:p>
    <w:p w14:paraId="5297A2A9" w14:textId="77777777" w:rsidR="00B14B78" w:rsidRPr="004A59B1" w:rsidRDefault="00B14B78" w:rsidP="009C1193">
      <w:pPr>
        <w:pStyle w:val="EndnoteText"/>
        <w:widowControl w:val="0"/>
        <w:rPr>
          <w:color w:val="000000"/>
          <w:szCs w:val="22"/>
          <w:lang w:val="sl-SI"/>
        </w:rPr>
      </w:pPr>
      <w:r w:rsidRPr="004A59B1">
        <w:rPr>
          <w:color w:val="000000"/>
          <w:szCs w:val="22"/>
          <w:lang w:val="sl-SI"/>
        </w:rPr>
        <w:t>Po rezultatih populacijske farmakokinetične analize združenih podatkov pediatričnih bolnikov s hematološkimi boleznimi (s KML, s Ph+ALL ali s katero od drugih hematoloških bolezni, pri katerih se pri zdravljenju uporablja imatinib), se očistek imatiniba zvišuje z večanjem telesne površine. Po korekciji zaradi telesne površine drugi demografski dejavniki, kot so starost, telesna masa in indeks telesne mase, niso klinično pomembno vplivali na izpostavljenost imatinibu. Rezultati analize potrjujejo, da je pri pediatričnih bolnikih, ki prejemajo 260 mg/m</w:t>
      </w:r>
      <w:r w:rsidRPr="004A59B1">
        <w:rPr>
          <w:color w:val="000000"/>
          <w:szCs w:val="22"/>
          <w:vertAlign w:val="superscript"/>
          <w:lang w:val="sl-SI"/>
        </w:rPr>
        <w:t>2</w:t>
      </w:r>
      <w:r w:rsidRPr="004A59B1">
        <w:rPr>
          <w:color w:val="000000"/>
          <w:szCs w:val="22"/>
          <w:lang w:val="sl-SI"/>
        </w:rPr>
        <w:t xml:space="preserve"> enkrat na dan (pri čemer odmerek ne presega 400 mg </w:t>
      </w:r>
      <w:r w:rsidR="00A968A1" w:rsidRPr="004A59B1">
        <w:rPr>
          <w:color w:val="000000"/>
          <w:szCs w:val="22"/>
          <w:lang w:val="sl-SI"/>
        </w:rPr>
        <w:t>na dan</w:t>
      </w:r>
      <w:r w:rsidRPr="004A59B1">
        <w:rPr>
          <w:color w:val="000000"/>
          <w:szCs w:val="22"/>
          <w:lang w:val="sl-SI"/>
        </w:rPr>
        <w:t>) ali 340 mg/m</w:t>
      </w:r>
      <w:r w:rsidRPr="004A59B1">
        <w:rPr>
          <w:color w:val="000000"/>
          <w:szCs w:val="22"/>
          <w:vertAlign w:val="superscript"/>
          <w:lang w:val="sl-SI"/>
        </w:rPr>
        <w:t>2</w:t>
      </w:r>
      <w:r w:rsidRPr="004A59B1">
        <w:rPr>
          <w:color w:val="000000"/>
          <w:szCs w:val="22"/>
          <w:lang w:val="sl-SI"/>
        </w:rPr>
        <w:t xml:space="preserve"> enkrat na dan (pri čemer odmerek ne presega 600 mg </w:t>
      </w:r>
      <w:r w:rsidR="00A968A1" w:rsidRPr="004A59B1">
        <w:rPr>
          <w:color w:val="000000"/>
          <w:szCs w:val="22"/>
          <w:lang w:val="sl-SI"/>
        </w:rPr>
        <w:t>na dan</w:t>
      </w:r>
      <w:r w:rsidRPr="004A59B1">
        <w:rPr>
          <w:color w:val="000000"/>
          <w:szCs w:val="22"/>
          <w:lang w:val="sl-SI"/>
        </w:rPr>
        <w:t xml:space="preserve">) izpostavljenost imatinibu podobna kot pri odraslih bolnikih, ki prejemajo imatinib v odmerkih </w:t>
      </w:r>
      <w:r w:rsidRPr="004A59B1">
        <w:rPr>
          <w:color w:val="000000"/>
          <w:szCs w:val="22"/>
          <w:lang w:val="sl-SI"/>
        </w:rPr>
        <w:lastRenderedPageBreak/>
        <w:t>400 mg oziroma 600 mg enkrat na dan.</w:t>
      </w:r>
    </w:p>
    <w:p w14:paraId="5297A2AA" w14:textId="77777777" w:rsidR="00B14B78" w:rsidRPr="004A59B1" w:rsidRDefault="00B14B78" w:rsidP="009C1193">
      <w:pPr>
        <w:pStyle w:val="EndnoteText"/>
        <w:widowControl w:val="0"/>
        <w:tabs>
          <w:tab w:val="clear" w:pos="567"/>
        </w:tabs>
        <w:rPr>
          <w:color w:val="000000"/>
          <w:szCs w:val="22"/>
          <w:lang w:val="sl-SI"/>
        </w:rPr>
      </w:pPr>
    </w:p>
    <w:p w14:paraId="5297A2AB" w14:textId="77777777" w:rsidR="00412C09" w:rsidRPr="004A59B1" w:rsidRDefault="00412C09" w:rsidP="009C1193">
      <w:pPr>
        <w:pStyle w:val="EndnoteText"/>
        <w:keepNext/>
        <w:widowControl w:val="0"/>
        <w:tabs>
          <w:tab w:val="clear" w:pos="567"/>
        </w:tabs>
        <w:rPr>
          <w:color w:val="000000"/>
          <w:szCs w:val="22"/>
          <w:lang w:val="sl-SI"/>
        </w:rPr>
      </w:pPr>
      <w:r w:rsidRPr="004A59B1">
        <w:rPr>
          <w:color w:val="000000"/>
          <w:szCs w:val="22"/>
          <w:u w:val="single"/>
          <w:lang w:val="sl-SI"/>
        </w:rPr>
        <w:t>Moteno delovanje organov</w:t>
      </w:r>
    </w:p>
    <w:p w14:paraId="5297A2AC" w14:textId="77777777" w:rsidR="00412C09" w:rsidRPr="004A59B1" w:rsidRDefault="00412C09" w:rsidP="009C1193">
      <w:pPr>
        <w:pStyle w:val="EndnoteText"/>
        <w:widowControl w:val="0"/>
        <w:tabs>
          <w:tab w:val="clear" w:pos="567"/>
        </w:tabs>
        <w:rPr>
          <w:color w:val="000000"/>
          <w:lang w:val="sl-SI"/>
        </w:rPr>
      </w:pPr>
      <w:r w:rsidRPr="004A59B1">
        <w:rPr>
          <w:color w:val="000000"/>
          <w:szCs w:val="22"/>
          <w:lang w:val="sl-SI"/>
        </w:rPr>
        <w:t xml:space="preserve">Imatinib in njegovi presnovki se skozi ledvice ne izločajo v pomembni meri. </w:t>
      </w:r>
      <w:r w:rsidRPr="004A59B1">
        <w:rPr>
          <w:color w:val="000000"/>
          <w:lang w:val="sl-SI"/>
        </w:rPr>
        <w:t>Kaže, da je pri bolnikih z blago in zmerno okvarjenim delovanjem ledvic izpostavljenost imatinibu v plazmi višja kot pri bolnikih z normalnim delovanjem ledvic. Gre za približno 1,5 do 2</w:t>
      </w:r>
      <w:r w:rsidRPr="004A59B1">
        <w:rPr>
          <w:color w:val="000000"/>
          <w:lang w:val="sl-SI"/>
        </w:rPr>
        <w:noBreakHyphen/>
        <w:t>kratno zvišanje, ki ustreza 1,5</w:t>
      </w:r>
      <w:r w:rsidRPr="004A59B1">
        <w:rPr>
          <w:color w:val="000000"/>
          <w:lang w:val="sl-SI"/>
        </w:rPr>
        <w:noBreakHyphen/>
        <w:t>kratnemu zvišanju alfa kislega proteina v plazmi, na katerega se imatinib močno veže. Očistek nevezane učinkovine je pri imatinibu verjetno podoben pri bolnikih z okvaro ledvic in pri tistih z normalnim delovanjem ledvic, saj predstavlja izločanje skozi ledvice manj pomemben način izločanja za imatinib (glejte poglavji 4.2 in 4.4).</w:t>
      </w:r>
    </w:p>
    <w:p w14:paraId="5297A2AD" w14:textId="77777777" w:rsidR="00412C09" w:rsidRPr="004A59B1" w:rsidRDefault="00412C09" w:rsidP="009C1193">
      <w:pPr>
        <w:pStyle w:val="EndnoteText"/>
        <w:widowControl w:val="0"/>
        <w:tabs>
          <w:tab w:val="clear" w:pos="567"/>
        </w:tabs>
        <w:rPr>
          <w:color w:val="000000"/>
          <w:lang w:val="sl-SI"/>
        </w:rPr>
      </w:pPr>
    </w:p>
    <w:p w14:paraId="5297A2AE" w14:textId="77777777" w:rsidR="00412C09" w:rsidRPr="004A59B1" w:rsidRDefault="00412C09" w:rsidP="009C1193">
      <w:pPr>
        <w:pStyle w:val="EndnoteText"/>
        <w:widowControl w:val="0"/>
        <w:tabs>
          <w:tab w:val="clear" w:pos="567"/>
        </w:tabs>
        <w:rPr>
          <w:color w:val="000000"/>
          <w:szCs w:val="22"/>
          <w:lang w:val="sl-SI"/>
        </w:rPr>
      </w:pPr>
      <w:r w:rsidRPr="004A59B1">
        <w:rPr>
          <w:color w:val="000000"/>
          <w:szCs w:val="22"/>
          <w:lang w:val="sl-SI"/>
        </w:rPr>
        <w:t>Čeprav so rezultati farmakokinetične analize pokazali, da so razlike med posamezniki precejšnje, se povprečna izpostavljenost imatinibu pri bolnikih z različnimi stopnjami disfunkcije jeter v primerjavi z bolniki z normalno funkcijo jeter ni povečala (glejte poglavja 4.2, 4.4 in 4.8).</w:t>
      </w:r>
    </w:p>
    <w:p w14:paraId="5297A2AF" w14:textId="77777777" w:rsidR="00412C09" w:rsidRPr="004A59B1" w:rsidRDefault="00412C09" w:rsidP="009C1193">
      <w:pPr>
        <w:pStyle w:val="EndnoteText"/>
        <w:widowControl w:val="0"/>
        <w:tabs>
          <w:tab w:val="clear" w:pos="567"/>
        </w:tabs>
        <w:rPr>
          <w:color w:val="000000"/>
          <w:szCs w:val="22"/>
          <w:lang w:val="sl-SI"/>
        </w:rPr>
      </w:pPr>
    </w:p>
    <w:p w14:paraId="5297A2B0" w14:textId="77777777" w:rsidR="00412C09" w:rsidRPr="004A59B1" w:rsidRDefault="00412C09" w:rsidP="009C1193">
      <w:pPr>
        <w:keepNext/>
        <w:widowControl w:val="0"/>
        <w:tabs>
          <w:tab w:val="clear" w:pos="567"/>
        </w:tabs>
        <w:spacing w:line="240" w:lineRule="auto"/>
        <w:ind w:left="567" w:hanging="567"/>
        <w:rPr>
          <w:color w:val="000000"/>
          <w:szCs w:val="22"/>
          <w:lang w:val="sl-SI"/>
        </w:rPr>
      </w:pPr>
      <w:r w:rsidRPr="004A59B1">
        <w:rPr>
          <w:b/>
          <w:color w:val="000000"/>
          <w:szCs w:val="22"/>
          <w:lang w:val="sl-SI"/>
        </w:rPr>
        <w:t>5.3</w:t>
      </w:r>
      <w:r w:rsidRPr="004A59B1">
        <w:rPr>
          <w:b/>
          <w:color w:val="000000"/>
          <w:szCs w:val="22"/>
          <w:lang w:val="sl-SI"/>
        </w:rPr>
        <w:tab/>
        <w:t>Predklinični podatki o varnosti</w:t>
      </w:r>
    </w:p>
    <w:p w14:paraId="5297A2B1" w14:textId="77777777" w:rsidR="00412C09" w:rsidRPr="004A59B1" w:rsidRDefault="00412C09" w:rsidP="009C1193">
      <w:pPr>
        <w:pStyle w:val="EndnoteText"/>
        <w:keepNext/>
        <w:widowControl w:val="0"/>
        <w:tabs>
          <w:tab w:val="clear" w:pos="567"/>
        </w:tabs>
        <w:rPr>
          <w:color w:val="000000"/>
          <w:szCs w:val="22"/>
          <w:lang w:val="sl-SI"/>
        </w:rPr>
      </w:pPr>
    </w:p>
    <w:p w14:paraId="5297A2B2" w14:textId="77777777" w:rsidR="00412C09" w:rsidRPr="004A59B1" w:rsidRDefault="00412C09" w:rsidP="009C1193">
      <w:pPr>
        <w:widowControl w:val="0"/>
        <w:tabs>
          <w:tab w:val="clear" w:pos="567"/>
        </w:tabs>
        <w:spacing w:line="240" w:lineRule="auto"/>
        <w:rPr>
          <w:color w:val="000000"/>
          <w:szCs w:val="22"/>
          <w:lang w:val="sl-SI"/>
        </w:rPr>
      </w:pPr>
      <w:r w:rsidRPr="004A59B1">
        <w:rPr>
          <w:color w:val="000000"/>
          <w:szCs w:val="22"/>
          <w:lang w:val="sl-SI"/>
        </w:rPr>
        <w:t>Predklinični varnostni profil imatiniba je bil ocenjen pri podganah, psih, opicah in kuncih.</w:t>
      </w:r>
    </w:p>
    <w:p w14:paraId="5297A2B3" w14:textId="77777777" w:rsidR="00412C09" w:rsidRPr="004A59B1" w:rsidRDefault="00412C09" w:rsidP="009C1193">
      <w:pPr>
        <w:widowControl w:val="0"/>
        <w:tabs>
          <w:tab w:val="clear" w:pos="567"/>
        </w:tabs>
        <w:spacing w:line="240" w:lineRule="auto"/>
        <w:rPr>
          <w:color w:val="000000"/>
          <w:szCs w:val="22"/>
          <w:lang w:val="sl-SI"/>
        </w:rPr>
      </w:pPr>
    </w:p>
    <w:p w14:paraId="5297A2B4" w14:textId="77777777" w:rsidR="00412C09" w:rsidRPr="004A59B1" w:rsidRDefault="00412C09" w:rsidP="009C1193">
      <w:pPr>
        <w:pStyle w:val="TextChar"/>
        <w:widowControl w:val="0"/>
        <w:spacing w:before="0"/>
        <w:jc w:val="left"/>
        <w:outlineLvl w:val="0"/>
        <w:rPr>
          <w:color w:val="000000"/>
          <w:sz w:val="22"/>
          <w:szCs w:val="22"/>
          <w:lang w:val="sl-SI"/>
        </w:rPr>
      </w:pPr>
      <w:r w:rsidRPr="004A59B1">
        <w:rPr>
          <w:color w:val="000000"/>
          <w:sz w:val="22"/>
          <w:szCs w:val="22"/>
          <w:lang w:val="sl-SI"/>
        </w:rPr>
        <w:t>Študije toksičnosti ponavljajočih se odmerkov so pokazale blage do zmerne hematološke spremembe pri podganah, psih in opicah. Pri podganah in psih so jih spremljale spremembe v kostnem mozgu.</w:t>
      </w:r>
    </w:p>
    <w:p w14:paraId="5297A2B5" w14:textId="77777777" w:rsidR="00412C09" w:rsidRPr="004A59B1" w:rsidRDefault="00412C09" w:rsidP="009C1193">
      <w:pPr>
        <w:pStyle w:val="TextChar"/>
        <w:widowControl w:val="0"/>
        <w:spacing w:before="0"/>
        <w:jc w:val="left"/>
        <w:outlineLvl w:val="0"/>
        <w:rPr>
          <w:color w:val="000000"/>
          <w:sz w:val="22"/>
          <w:szCs w:val="22"/>
          <w:lang w:val="sl-SI"/>
        </w:rPr>
      </w:pPr>
    </w:p>
    <w:p w14:paraId="5297A2B6" w14:textId="77777777" w:rsidR="00412C09" w:rsidRPr="004A59B1" w:rsidRDefault="00412C09" w:rsidP="009C1193">
      <w:pPr>
        <w:pStyle w:val="TextChar"/>
        <w:widowControl w:val="0"/>
        <w:spacing w:before="0"/>
        <w:jc w:val="left"/>
        <w:outlineLvl w:val="0"/>
        <w:rPr>
          <w:color w:val="000000"/>
          <w:sz w:val="22"/>
          <w:szCs w:val="22"/>
          <w:lang w:val="it-IT"/>
        </w:rPr>
      </w:pPr>
      <w:r w:rsidRPr="004A59B1">
        <w:rPr>
          <w:color w:val="000000"/>
          <w:sz w:val="22"/>
          <w:szCs w:val="22"/>
          <w:lang w:val="sl-SI"/>
        </w:rPr>
        <w:t>Pri podganah in psih so bila tarčni organ jetra</w:t>
      </w:r>
      <w:r w:rsidRPr="004A59B1">
        <w:rPr>
          <w:color w:val="000000"/>
          <w:sz w:val="22"/>
          <w:szCs w:val="22"/>
          <w:lang w:val="it-IT"/>
        </w:rPr>
        <w:t xml:space="preserve">. </w:t>
      </w:r>
      <w:r w:rsidRPr="004A59B1">
        <w:rPr>
          <w:color w:val="000000"/>
          <w:sz w:val="22"/>
          <w:szCs w:val="22"/>
          <w:lang w:val="sl-SI"/>
        </w:rPr>
        <w:t xml:space="preserve">Pri obeh živalskih vrstah so opazili blago do zmerno zvišanje aminotransferaz in rahlo </w:t>
      </w:r>
      <w:r w:rsidR="00A968A1" w:rsidRPr="004A59B1">
        <w:rPr>
          <w:color w:val="000000"/>
          <w:sz w:val="22"/>
          <w:szCs w:val="22"/>
          <w:lang w:val="sl-SI"/>
        </w:rPr>
        <w:t>zmanjšanje</w:t>
      </w:r>
      <w:r w:rsidRPr="004A59B1">
        <w:rPr>
          <w:color w:val="000000"/>
          <w:sz w:val="22"/>
          <w:szCs w:val="22"/>
          <w:lang w:val="sl-SI"/>
        </w:rPr>
        <w:t xml:space="preserve"> koncentracij holesterola, trigliceridov, celotnih beljakovin in albuminov</w:t>
      </w:r>
      <w:r w:rsidRPr="004A59B1">
        <w:rPr>
          <w:color w:val="000000"/>
          <w:sz w:val="22"/>
          <w:szCs w:val="22"/>
          <w:lang w:val="it-IT"/>
        </w:rPr>
        <w:t xml:space="preserve">. </w:t>
      </w:r>
      <w:r w:rsidRPr="004A59B1">
        <w:rPr>
          <w:color w:val="000000"/>
          <w:sz w:val="22"/>
          <w:szCs w:val="22"/>
          <w:lang w:val="sl-SI"/>
        </w:rPr>
        <w:t>V podganjih jetrih niso opazili histopatoloških sprememb</w:t>
      </w:r>
      <w:r w:rsidRPr="004A59B1">
        <w:rPr>
          <w:color w:val="000000"/>
          <w:sz w:val="22"/>
          <w:szCs w:val="22"/>
          <w:lang w:val="it-IT"/>
        </w:rPr>
        <w:t xml:space="preserve">. </w:t>
      </w:r>
      <w:r w:rsidRPr="004A59B1">
        <w:rPr>
          <w:color w:val="000000"/>
          <w:sz w:val="22"/>
          <w:szCs w:val="22"/>
          <w:lang w:val="sl-SI"/>
        </w:rPr>
        <w:t>Pri psih, ki so zdravilo dobivali po 2 tedna, so opazili hudo toksičnost za jetra z zvišanimi jetrnimi encimi, hepatocelularno nekrozo, nekrozo žolčevodov in hiperplazijo žolčevodov</w:t>
      </w:r>
      <w:r w:rsidRPr="004A59B1">
        <w:rPr>
          <w:color w:val="000000"/>
          <w:sz w:val="22"/>
          <w:szCs w:val="22"/>
          <w:lang w:val="it-IT"/>
        </w:rPr>
        <w:t>.</w:t>
      </w:r>
    </w:p>
    <w:p w14:paraId="5297A2B7" w14:textId="77777777" w:rsidR="00412C09" w:rsidRPr="004A59B1" w:rsidRDefault="00412C09" w:rsidP="009C1193">
      <w:pPr>
        <w:pStyle w:val="TextChar"/>
        <w:widowControl w:val="0"/>
        <w:spacing w:before="0"/>
        <w:outlineLvl w:val="0"/>
        <w:rPr>
          <w:color w:val="000000"/>
          <w:sz w:val="22"/>
          <w:szCs w:val="22"/>
          <w:lang w:val="it-IT"/>
        </w:rPr>
      </w:pPr>
    </w:p>
    <w:p w14:paraId="5297A2B8" w14:textId="77777777" w:rsidR="00412C09" w:rsidRPr="004A59B1" w:rsidRDefault="00412C09" w:rsidP="009C1193">
      <w:pPr>
        <w:pStyle w:val="TextChar"/>
        <w:widowControl w:val="0"/>
        <w:spacing w:before="0"/>
        <w:jc w:val="left"/>
        <w:outlineLvl w:val="0"/>
        <w:rPr>
          <w:color w:val="000000"/>
          <w:sz w:val="22"/>
          <w:szCs w:val="22"/>
          <w:lang w:val="it-IT"/>
        </w:rPr>
      </w:pPr>
      <w:r w:rsidRPr="004A59B1">
        <w:rPr>
          <w:color w:val="000000"/>
          <w:sz w:val="22"/>
          <w:szCs w:val="22"/>
          <w:lang w:val="sl-SI"/>
        </w:rPr>
        <w:t xml:space="preserve">Pri opicah, ki so dobivale zdravilo po </w:t>
      </w:r>
      <w:r w:rsidRPr="004A59B1">
        <w:rPr>
          <w:color w:val="000000"/>
          <w:sz w:val="22"/>
          <w:szCs w:val="22"/>
          <w:lang w:val="it-IT"/>
        </w:rPr>
        <w:t>2 tedna, so opazili</w:t>
      </w:r>
      <w:r w:rsidRPr="004A59B1">
        <w:rPr>
          <w:color w:val="000000"/>
          <w:sz w:val="22"/>
          <w:szCs w:val="22"/>
          <w:lang w:val="sl-SI"/>
        </w:rPr>
        <w:t xml:space="preserve"> toksičnost za ledvice z žariščno mineralizacijo in razširitvijo ledvičnih tubulov in tubulno nefrozo</w:t>
      </w:r>
      <w:r w:rsidRPr="004A59B1">
        <w:rPr>
          <w:color w:val="000000"/>
          <w:sz w:val="22"/>
          <w:szCs w:val="22"/>
          <w:lang w:val="it-IT"/>
        </w:rPr>
        <w:t xml:space="preserve">. </w:t>
      </w:r>
      <w:r w:rsidRPr="004A59B1">
        <w:rPr>
          <w:color w:val="000000"/>
          <w:sz w:val="22"/>
          <w:szCs w:val="22"/>
          <w:lang w:val="sl-SI"/>
        </w:rPr>
        <w:t>Pri mnogih od teh živali sta se zvišala dušik sečnine v krvi (BUN</w:t>
      </w:r>
      <w:r w:rsidR="00A968A1" w:rsidRPr="004A59B1">
        <w:rPr>
          <w:color w:val="000000"/>
          <w:sz w:val="22"/>
          <w:szCs w:val="22"/>
          <w:lang w:val="sl-SI"/>
        </w:rPr>
        <w:t xml:space="preserve"> - </w:t>
      </w:r>
      <w:r w:rsidR="00A968A1" w:rsidRPr="004A59B1">
        <w:rPr>
          <w:i/>
          <w:color w:val="000000"/>
          <w:sz w:val="22"/>
          <w:szCs w:val="22"/>
          <w:lang w:val="it-IT"/>
        </w:rPr>
        <w:t>blood urea nitrogen</w:t>
      </w:r>
      <w:r w:rsidRPr="004A59B1">
        <w:rPr>
          <w:color w:val="000000"/>
          <w:sz w:val="22"/>
          <w:szCs w:val="22"/>
          <w:lang w:val="sl-SI"/>
        </w:rPr>
        <w:t>) in kreatinin</w:t>
      </w:r>
      <w:r w:rsidRPr="004A59B1">
        <w:rPr>
          <w:color w:val="000000"/>
          <w:sz w:val="22"/>
          <w:szCs w:val="22"/>
          <w:lang w:val="it-IT"/>
        </w:rPr>
        <w:t xml:space="preserve">. </w:t>
      </w:r>
      <w:r w:rsidRPr="004A59B1">
        <w:rPr>
          <w:color w:val="000000"/>
          <w:sz w:val="22"/>
          <w:szCs w:val="22"/>
          <w:lang w:val="sl-SI"/>
        </w:rPr>
        <w:t>Pri podganah so v 13-tedenski študiji pri odmerkih ≥ 6 mg/kg našli hiperplazijo prehodnega epitela v ledvični papili in v sečnem mehurju, brez sprememb serumskih ali urinskih parametrov</w:t>
      </w:r>
      <w:r w:rsidRPr="004A59B1">
        <w:rPr>
          <w:color w:val="000000"/>
          <w:sz w:val="22"/>
          <w:szCs w:val="22"/>
          <w:lang w:val="it-IT"/>
        </w:rPr>
        <w:t xml:space="preserve">. </w:t>
      </w:r>
      <w:r w:rsidRPr="004A59B1">
        <w:rPr>
          <w:color w:val="000000"/>
          <w:sz w:val="22"/>
          <w:szCs w:val="22"/>
          <w:lang w:val="sl-SI"/>
        </w:rPr>
        <w:t>Pri kroničnem dajanju imatiniba se je povečala pogostnost oportunističnih okužb</w:t>
      </w:r>
      <w:r w:rsidRPr="004A59B1">
        <w:rPr>
          <w:color w:val="000000"/>
          <w:sz w:val="22"/>
          <w:szCs w:val="22"/>
          <w:lang w:val="it-IT"/>
        </w:rPr>
        <w:t>.</w:t>
      </w:r>
    </w:p>
    <w:p w14:paraId="5297A2B9" w14:textId="77777777" w:rsidR="00412C09" w:rsidRPr="004A59B1" w:rsidRDefault="00412C09" w:rsidP="009C1193">
      <w:pPr>
        <w:pStyle w:val="TextChar"/>
        <w:widowControl w:val="0"/>
        <w:spacing w:before="0"/>
        <w:jc w:val="left"/>
        <w:outlineLvl w:val="0"/>
        <w:rPr>
          <w:color w:val="000000"/>
          <w:sz w:val="22"/>
          <w:szCs w:val="22"/>
          <w:lang w:val="it-IT"/>
        </w:rPr>
      </w:pPr>
    </w:p>
    <w:p w14:paraId="5297A2BA" w14:textId="77777777" w:rsidR="00412C09" w:rsidRPr="004A59B1" w:rsidRDefault="00412C09" w:rsidP="009C1193">
      <w:pPr>
        <w:pStyle w:val="TextChar"/>
        <w:widowControl w:val="0"/>
        <w:spacing w:before="0"/>
        <w:jc w:val="left"/>
        <w:outlineLvl w:val="0"/>
        <w:rPr>
          <w:color w:val="000000"/>
          <w:sz w:val="22"/>
          <w:szCs w:val="22"/>
          <w:lang w:val="it-IT"/>
        </w:rPr>
      </w:pPr>
      <w:r w:rsidRPr="004A59B1">
        <w:rPr>
          <w:color w:val="000000"/>
          <w:sz w:val="22"/>
          <w:szCs w:val="22"/>
          <w:lang w:val="sl-SI"/>
        </w:rPr>
        <w:t>V 39-tedenski študiji na opicah pri najmanjšem odmerku 15 mg/kg, kar je približno ena tretjina največjega odmerka za človeka (ki je 800 mg, izračunan na podlagi telesne površine), niso našli odmerk</w:t>
      </w:r>
      <w:r w:rsidR="00A968A1" w:rsidRPr="004A59B1">
        <w:rPr>
          <w:color w:val="000000"/>
          <w:sz w:val="22"/>
          <w:szCs w:val="22"/>
          <w:lang w:val="sl-SI"/>
        </w:rPr>
        <w:t>a</w:t>
      </w:r>
      <w:r w:rsidRPr="004A59B1">
        <w:rPr>
          <w:color w:val="000000"/>
          <w:sz w:val="22"/>
          <w:szCs w:val="22"/>
          <w:lang w:val="it-IT"/>
        </w:rPr>
        <w:t xml:space="preserve"> brez opaženih neželenih učinkov</w:t>
      </w:r>
      <w:r w:rsidR="00A968A1" w:rsidRPr="004A59B1">
        <w:rPr>
          <w:color w:val="000000"/>
          <w:sz w:val="22"/>
          <w:szCs w:val="22"/>
          <w:lang w:val="it-IT"/>
        </w:rPr>
        <w:t xml:space="preserve"> (NOAEL </w:t>
      </w:r>
      <w:r w:rsidR="00A968A1" w:rsidRPr="004A59B1">
        <w:rPr>
          <w:i/>
          <w:color w:val="000000"/>
          <w:sz w:val="22"/>
          <w:lang w:val="it-IT"/>
        </w:rPr>
        <w:t>- no observed adverse effect level</w:t>
      </w:r>
      <w:r w:rsidRPr="004A59B1">
        <w:rPr>
          <w:color w:val="000000"/>
          <w:sz w:val="22"/>
          <w:szCs w:val="22"/>
          <w:lang w:val="it-IT"/>
        </w:rPr>
        <w:t xml:space="preserve">). </w:t>
      </w:r>
      <w:r w:rsidRPr="004A59B1">
        <w:rPr>
          <w:color w:val="000000"/>
          <w:sz w:val="22"/>
          <w:szCs w:val="22"/>
          <w:lang w:val="sl-SI"/>
        </w:rPr>
        <w:t>Dajanje zdravila je povzročilo poslabšanje normalno obvladanih malarijskih okužb pri teh živalih</w:t>
      </w:r>
      <w:r w:rsidRPr="004A59B1">
        <w:rPr>
          <w:color w:val="000000"/>
          <w:sz w:val="22"/>
          <w:szCs w:val="22"/>
          <w:lang w:val="it-IT"/>
        </w:rPr>
        <w:t>.</w:t>
      </w:r>
    </w:p>
    <w:p w14:paraId="5297A2BB" w14:textId="77777777" w:rsidR="00412C09" w:rsidRPr="004A59B1" w:rsidRDefault="00412C09" w:rsidP="009C1193">
      <w:pPr>
        <w:pStyle w:val="TextChar"/>
        <w:widowControl w:val="0"/>
        <w:tabs>
          <w:tab w:val="left" w:pos="2500"/>
        </w:tabs>
        <w:spacing w:before="0"/>
        <w:jc w:val="left"/>
        <w:outlineLvl w:val="0"/>
        <w:rPr>
          <w:color w:val="000000"/>
          <w:sz w:val="22"/>
          <w:szCs w:val="22"/>
          <w:lang w:val="it-IT"/>
        </w:rPr>
      </w:pPr>
    </w:p>
    <w:p w14:paraId="5297A2BC" w14:textId="77777777" w:rsidR="00412C09" w:rsidRPr="004A59B1" w:rsidRDefault="00412C09" w:rsidP="009C1193">
      <w:pPr>
        <w:pStyle w:val="TextChar"/>
        <w:widowControl w:val="0"/>
        <w:spacing w:before="0"/>
        <w:jc w:val="left"/>
        <w:outlineLvl w:val="0"/>
        <w:rPr>
          <w:color w:val="000000"/>
          <w:sz w:val="22"/>
          <w:szCs w:val="22"/>
          <w:lang w:val="sl-SI"/>
        </w:rPr>
      </w:pPr>
      <w:r w:rsidRPr="004A59B1">
        <w:rPr>
          <w:color w:val="000000"/>
          <w:sz w:val="22"/>
          <w:szCs w:val="22"/>
          <w:lang w:val="sl-SI"/>
        </w:rPr>
        <w:t xml:space="preserve">Imatinib se ni izkazal za genotoksičnega pri </w:t>
      </w:r>
      <w:r w:rsidRPr="004A59B1">
        <w:rPr>
          <w:i/>
          <w:color w:val="000000"/>
          <w:sz w:val="22"/>
          <w:szCs w:val="22"/>
          <w:lang w:val="sl-SI"/>
        </w:rPr>
        <w:t>in vitro</w:t>
      </w:r>
      <w:r w:rsidRPr="004A59B1">
        <w:rPr>
          <w:color w:val="000000"/>
          <w:sz w:val="22"/>
          <w:szCs w:val="22"/>
          <w:lang w:val="sl-SI"/>
        </w:rPr>
        <w:t xml:space="preserve"> testiranju na bakterijskih celicah (Amesov test), </w:t>
      </w:r>
      <w:r w:rsidRPr="004A59B1">
        <w:rPr>
          <w:i/>
          <w:color w:val="000000"/>
          <w:sz w:val="22"/>
          <w:szCs w:val="22"/>
          <w:lang w:val="sl-SI"/>
        </w:rPr>
        <w:t>in vitro</w:t>
      </w:r>
      <w:r w:rsidRPr="004A59B1">
        <w:rPr>
          <w:color w:val="000000"/>
          <w:sz w:val="22"/>
          <w:szCs w:val="22"/>
          <w:lang w:val="sl-SI"/>
        </w:rPr>
        <w:t xml:space="preserve"> testiranju na sesalskih celicah (mišji limfom) in </w:t>
      </w:r>
      <w:r w:rsidRPr="004A59B1">
        <w:rPr>
          <w:i/>
          <w:color w:val="000000"/>
          <w:sz w:val="22"/>
          <w:szCs w:val="22"/>
          <w:lang w:val="sl-SI"/>
        </w:rPr>
        <w:t>in vivo</w:t>
      </w:r>
      <w:r w:rsidRPr="004A59B1">
        <w:rPr>
          <w:color w:val="000000"/>
          <w:sz w:val="22"/>
          <w:szCs w:val="22"/>
          <w:lang w:val="sl-SI"/>
        </w:rPr>
        <w:t xml:space="preserve"> podganjem mikronukleusnem testu</w:t>
      </w:r>
      <w:r w:rsidRPr="004A59B1">
        <w:rPr>
          <w:color w:val="000000"/>
          <w:sz w:val="22"/>
          <w:szCs w:val="22"/>
          <w:lang w:val="it-IT"/>
        </w:rPr>
        <w:t xml:space="preserve">. </w:t>
      </w:r>
      <w:r w:rsidRPr="004A59B1">
        <w:rPr>
          <w:color w:val="000000"/>
          <w:sz w:val="22"/>
          <w:szCs w:val="22"/>
          <w:lang w:val="sl-SI"/>
        </w:rPr>
        <w:t xml:space="preserve">Pozitivne genotoksične učinke so dobili za imatinib pri </w:t>
      </w:r>
      <w:r w:rsidRPr="004A59B1">
        <w:rPr>
          <w:i/>
          <w:color w:val="000000"/>
          <w:sz w:val="22"/>
          <w:szCs w:val="22"/>
          <w:lang w:val="sl-SI"/>
        </w:rPr>
        <w:t>in vitro</w:t>
      </w:r>
      <w:r w:rsidRPr="004A59B1">
        <w:rPr>
          <w:color w:val="000000"/>
          <w:sz w:val="22"/>
          <w:szCs w:val="22"/>
          <w:lang w:val="sl-SI"/>
        </w:rPr>
        <w:t xml:space="preserve"> testiranju na sesalskih celicah (jajčnik kitajskega hrčka) za klastogenost (kromosomska aberacija) v prisotnosti presnovne aktivacije</w:t>
      </w:r>
      <w:r w:rsidRPr="004A59B1">
        <w:rPr>
          <w:color w:val="000000"/>
          <w:sz w:val="22"/>
          <w:szCs w:val="22"/>
          <w:lang w:val="it-IT"/>
        </w:rPr>
        <w:t xml:space="preserve">. </w:t>
      </w:r>
      <w:r w:rsidRPr="004A59B1">
        <w:rPr>
          <w:color w:val="000000"/>
          <w:sz w:val="22"/>
          <w:szCs w:val="22"/>
          <w:lang w:val="sl-SI"/>
        </w:rPr>
        <w:t>Dva od vmesnih produktov postopka izdelave, ki sta prisotna tudi v končnem izdelku, sta pozitivna za mutagenezo v Amesovem testu. Eden od teh vmesnih produktov je bil pozitiven tudi v testu mišjega limfoma.</w:t>
      </w:r>
    </w:p>
    <w:p w14:paraId="5297A2BD" w14:textId="77777777" w:rsidR="00412C09" w:rsidRPr="004A59B1" w:rsidRDefault="00412C09" w:rsidP="009C1193">
      <w:pPr>
        <w:pStyle w:val="TextChar"/>
        <w:widowControl w:val="0"/>
        <w:spacing w:before="0"/>
        <w:jc w:val="left"/>
        <w:outlineLvl w:val="0"/>
        <w:rPr>
          <w:color w:val="000000"/>
          <w:sz w:val="22"/>
          <w:szCs w:val="22"/>
          <w:lang w:val="sl-SI"/>
        </w:rPr>
      </w:pPr>
    </w:p>
    <w:p w14:paraId="5297A2BE" w14:textId="77777777" w:rsidR="00412C09" w:rsidRPr="004A59B1" w:rsidRDefault="00412C09" w:rsidP="009C1193">
      <w:pPr>
        <w:pStyle w:val="TextChar"/>
        <w:widowControl w:val="0"/>
        <w:spacing w:before="0"/>
        <w:jc w:val="left"/>
        <w:rPr>
          <w:color w:val="000000"/>
          <w:sz w:val="22"/>
          <w:szCs w:val="22"/>
          <w:lang w:val="sl-SI"/>
        </w:rPr>
      </w:pPr>
      <w:r w:rsidRPr="004A59B1">
        <w:rPr>
          <w:color w:val="000000"/>
          <w:sz w:val="22"/>
          <w:szCs w:val="22"/>
          <w:lang w:val="sl-SI"/>
        </w:rPr>
        <w:t xml:space="preserve">V študiji plodnosti na podganjih samcih, ki so dobivali zdravilo 70 dni pred parjenjem, se je pri odmerku 60 mg/kg, ki je približno enakovreden največjemu kliničnemu odmerku 800 mg/dan, izračunanemu na podlagi telesne površine, zmanjšala masa mod in obmodkov in odstotek gibljivih semenčic. Pri odmerkih ≤ 20 mg/kg tega niso opazili. Pri psu so pri peroralnih odmerkih ≥ 30 mg/kg opazili tudi rahlo do zmerno zmanjšanje spermatogeneze. Ko so podganje samice dobivale zdravilo 14 dni pred parjenjem in nato ves čas do 6. dne brejosti, ni bilo nikakršnega učinka na parjenje ali na število brejih samic. Pri odmerku 60 mg/kg je prišlo pri samicah do znatne izgube plodov po vgnezditvi in do zmanjšanja števila </w:t>
      </w:r>
      <w:r w:rsidR="00B14B78" w:rsidRPr="004A59B1">
        <w:rPr>
          <w:color w:val="000000"/>
          <w:sz w:val="22"/>
          <w:szCs w:val="22"/>
          <w:lang w:val="sl-SI"/>
        </w:rPr>
        <w:t>živih</w:t>
      </w:r>
      <w:r w:rsidRPr="004A59B1">
        <w:rPr>
          <w:color w:val="000000"/>
          <w:sz w:val="22"/>
          <w:szCs w:val="22"/>
          <w:lang w:val="sl-SI"/>
        </w:rPr>
        <w:t xml:space="preserve"> plodov. Tega pri odmerkih ≤ 20 mg/kg niso opazili.</w:t>
      </w:r>
    </w:p>
    <w:p w14:paraId="5297A2BF" w14:textId="77777777" w:rsidR="00412C09" w:rsidRPr="004A59B1" w:rsidRDefault="00412C09" w:rsidP="009C1193">
      <w:pPr>
        <w:pStyle w:val="TextChar"/>
        <w:widowControl w:val="0"/>
        <w:spacing w:before="0"/>
        <w:jc w:val="left"/>
        <w:rPr>
          <w:color w:val="000000"/>
          <w:sz w:val="22"/>
          <w:szCs w:val="22"/>
          <w:lang w:val="sl-SI"/>
        </w:rPr>
      </w:pPr>
    </w:p>
    <w:p w14:paraId="5297A2C0" w14:textId="77777777" w:rsidR="00412C09" w:rsidRPr="004A59B1" w:rsidRDefault="00412C09" w:rsidP="009C1193">
      <w:pPr>
        <w:pStyle w:val="TextChar"/>
        <w:widowControl w:val="0"/>
        <w:spacing w:before="0"/>
        <w:jc w:val="left"/>
        <w:rPr>
          <w:color w:val="000000"/>
          <w:sz w:val="22"/>
          <w:szCs w:val="22"/>
          <w:lang w:val="sl-SI"/>
        </w:rPr>
      </w:pPr>
      <w:r w:rsidRPr="004A59B1">
        <w:rPr>
          <w:color w:val="000000"/>
          <w:sz w:val="22"/>
          <w:szCs w:val="22"/>
          <w:lang w:val="sl-SI"/>
        </w:rPr>
        <w:lastRenderedPageBreak/>
        <w:t>V peroralni študiji predporodnega in poporodnega razvoja pri podganah so pri skupini s 45 mg/kg/dan 14. ali 15. dne brejosti opazili rdeč izcedek iz nožnice. Pri enakem odmerku se je povečalo število mrtvorojenih mladičev in tistih, ki so poginili med dnevoma 0 in 4 po skotitvi. Pri potomcih F</w:t>
      </w:r>
      <w:r w:rsidRPr="004A59B1">
        <w:rPr>
          <w:color w:val="000000"/>
          <w:sz w:val="22"/>
          <w:szCs w:val="22"/>
          <w:vertAlign w:val="subscript"/>
          <w:lang w:val="sl-SI"/>
        </w:rPr>
        <w:t>1</w:t>
      </w:r>
      <w:r w:rsidRPr="004A59B1">
        <w:rPr>
          <w:color w:val="000000"/>
          <w:sz w:val="22"/>
          <w:szCs w:val="22"/>
          <w:lang w:val="sl-SI"/>
        </w:rPr>
        <w:t xml:space="preserve"> se je pri enakem odmerku povprečna telesna masa zmanjšala od skotitve do terminalnega žrtvovanja, število mladičev, ki so dosegli kriterij za ločitev prepucija, pa se je rahlo zmanjšalo. Plodnost F</w:t>
      </w:r>
      <w:r w:rsidRPr="004A59B1">
        <w:rPr>
          <w:color w:val="000000"/>
          <w:sz w:val="22"/>
          <w:szCs w:val="22"/>
          <w:vertAlign w:val="subscript"/>
          <w:lang w:val="sl-SI"/>
        </w:rPr>
        <w:t>1</w:t>
      </w:r>
      <w:r w:rsidRPr="004A59B1">
        <w:rPr>
          <w:color w:val="000000"/>
          <w:sz w:val="22"/>
          <w:szCs w:val="22"/>
          <w:lang w:val="sl-SI"/>
        </w:rPr>
        <w:t xml:space="preserve"> ni bila prizadeta, pač pa se je pri odmerku 45 mg/kg/dan povečalo število resorpcij in zmanjšalo število za življenje sposobnih plodov. Odmerek brez opaženega učinka (NOEL</w:t>
      </w:r>
      <w:r w:rsidR="00A968A1" w:rsidRPr="004A59B1">
        <w:rPr>
          <w:i/>
          <w:color w:val="000000"/>
          <w:sz w:val="22"/>
          <w:lang w:val="sl-SI"/>
        </w:rPr>
        <w:t>- no observed effect level</w:t>
      </w:r>
      <w:r w:rsidRPr="004A59B1">
        <w:rPr>
          <w:color w:val="000000"/>
          <w:sz w:val="22"/>
          <w:szCs w:val="22"/>
          <w:lang w:val="sl-SI"/>
        </w:rPr>
        <w:t>) tako na samice-matere kot na generacijo F</w:t>
      </w:r>
      <w:r w:rsidRPr="004A59B1">
        <w:rPr>
          <w:color w:val="000000"/>
          <w:sz w:val="22"/>
          <w:szCs w:val="22"/>
          <w:vertAlign w:val="subscript"/>
          <w:lang w:val="sl-SI"/>
        </w:rPr>
        <w:t>1</w:t>
      </w:r>
      <w:r w:rsidRPr="004A59B1">
        <w:rPr>
          <w:color w:val="000000"/>
          <w:sz w:val="22"/>
          <w:szCs w:val="22"/>
          <w:lang w:val="sl-SI"/>
        </w:rPr>
        <w:t xml:space="preserve"> je bil 15 mg/kg/dan (ena četrtina največjega odmerka za človeka, ki je 800 mg).</w:t>
      </w:r>
    </w:p>
    <w:p w14:paraId="5297A2C1" w14:textId="77777777" w:rsidR="00412C09" w:rsidRPr="004A59B1" w:rsidRDefault="00412C09" w:rsidP="009C1193">
      <w:pPr>
        <w:pStyle w:val="TextChar"/>
        <w:widowControl w:val="0"/>
        <w:spacing w:before="0"/>
        <w:jc w:val="left"/>
        <w:rPr>
          <w:color w:val="000000"/>
          <w:sz w:val="22"/>
          <w:szCs w:val="22"/>
          <w:lang w:val="sl-SI"/>
        </w:rPr>
      </w:pPr>
    </w:p>
    <w:p w14:paraId="5297A2C2" w14:textId="77777777" w:rsidR="00412C09" w:rsidRPr="004A59B1" w:rsidRDefault="00412C09" w:rsidP="009C1193">
      <w:pPr>
        <w:pStyle w:val="TextChar"/>
        <w:widowControl w:val="0"/>
        <w:spacing w:before="0"/>
        <w:jc w:val="left"/>
        <w:rPr>
          <w:color w:val="000000"/>
          <w:sz w:val="22"/>
          <w:szCs w:val="22"/>
          <w:lang w:val="sl-SI"/>
        </w:rPr>
      </w:pPr>
      <w:r w:rsidRPr="004A59B1">
        <w:rPr>
          <w:color w:val="000000"/>
          <w:sz w:val="22"/>
          <w:szCs w:val="22"/>
          <w:lang w:val="sl-SI"/>
        </w:rPr>
        <w:t>Imatinib je bil teratogen pri podganah, če so ga dobivale med organogenezo v odmerkih ≥ 100 mg/kg, kar je približno enako največjemu kliničnemu odmerku 800 mg/dan, izračunanemu na podlagi telesne površine. Teratogeni učinki so obsegali eksencefalijo ali encefalokelo, odsotnost ali zmanjšanje frontalnih kosti ter odsotnost parietalnih kosti. Teh učinkov pri odmerkih ≤ 30 mg/kg niso opazili.</w:t>
      </w:r>
    </w:p>
    <w:p w14:paraId="5297A2C3" w14:textId="77777777" w:rsidR="00412C09" w:rsidRPr="004A59B1" w:rsidRDefault="00412C09" w:rsidP="009C1193">
      <w:pPr>
        <w:pStyle w:val="TextChar"/>
        <w:widowControl w:val="0"/>
        <w:spacing w:before="0"/>
        <w:jc w:val="left"/>
        <w:rPr>
          <w:color w:val="000000"/>
          <w:sz w:val="22"/>
          <w:szCs w:val="22"/>
          <w:lang w:val="sl-SI"/>
        </w:rPr>
      </w:pPr>
    </w:p>
    <w:p w14:paraId="5297A2C4" w14:textId="77777777" w:rsidR="006E3868" w:rsidRPr="004A59B1" w:rsidRDefault="006E3868" w:rsidP="009C1193">
      <w:pPr>
        <w:pStyle w:val="TextChar"/>
        <w:widowControl w:val="0"/>
        <w:spacing w:before="0"/>
        <w:jc w:val="left"/>
        <w:rPr>
          <w:color w:val="000000"/>
          <w:sz w:val="22"/>
          <w:szCs w:val="22"/>
          <w:lang w:val="sl-SI"/>
        </w:rPr>
      </w:pPr>
      <w:r w:rsidRPr="004A59B1">
        <w:rPr>
          <w:color w:val="000000"/>
          <w:sz w:val="22"/>
          <w:szCs w:val="22"/>
          <w:lang w:val="sl-SI"/>
        </w:rPr>
        <w:t xml:space="preserve">V študiji toksičnih učinkov na razvoj mladih podgan (od 10. do 70. dne po rojstvu) niso odkrili novih tarčnih organov v primerjavi z znanimi tarčnimi organi pri odraslih podganah. V študiji toksičnih učinkov na razvoj mladičev so opažali vpliv na rast ter zakasnjeno odpiranje nožnice in ločevanje prepucija pri izpostavljenosti, ki ustreza približno 0,3 do 2-kratniku izpostavljenosti, do kakršne v povprečju pride pri otrocih, ki prejemajo </w:t>
      </w:r>
      <w:r w:rsidR="00A968A1" w:rsidRPr="004A59B1">
        <w:rPr>
          <w:color w:val="000000"/>
          <w:sz w:val="22"/>
          <w:szCs w:val="22"/>
          <w:lang w:val="sl-SI"/>
        </w:rPr>
        <w:t>največji</w:t>
      </w:r>
      <w:r w:rsidRPr="004A59B1">
        <w:rPr>
          <w:color w:val="000000"/>
          <w:sz w:val="22"/>
          <w:szCs w:val="22"/>
          <w:lang w:val="sl-SI"/>
        </w:rPr>
        <w:t xml:space="preserve"> priporočeni odmerek 340 mg/m</w:t>
      </w:r>
      <w:r w:rsidRPr="004A59B1">
        <w:rPr>
          <w:color w:val="000000"/>
          <w:sz w:val="22"/>
          <w:szCs w:val="22"/>
          <w:vertAlign w:val="superscript"/>
          <w:lang w:val="sl-SI"/>
        </w:rPr>
        <w:t>2</w:t>
      </w:r>
      <w:r w:rsidRPr="004A59B1">
        <w:rPr>
          <w:color w:val="000000"/>
          <w:sz w:val="22"/>
          <w:szCs w:val="22"/>
          <w:lang w:val="sl-SI"/>
        </w:rPr>
        <w:t xml:space="preserve">. Pri mladih živalih (okrog obdobja odstavljanja) so opažali tudi povečano smrtnost pri približno 2-kratniku izpostavljenosti, do kakršne v povprečju pride pri otrocih, ki prejemajo </w:t>
      </w:r>
      <w:r w:rsidR="00A968A1" w:rsidRPr="004A59B1">
        <w:rPr>
          <w:color w:val="000000"/>
          <w:sz w:val="22"/>
          <w:szCs w:val="22"/>
          <w:lang w:val="sl-SI"/>
        </w:rPr>
        <w:t>največji</w:t>
      </w:r>
      <w:r w:rsidRPr="004A59B1">
        <w:rPr>
          <w:color w:val="000000"/>
          <w:sz w:val="22"/>
          <w:szCs w:val="22"/>
          <w:lang w:val="sl-SI"/>
        </w:rPr>
        <w:t xml:space="preserve"> priporočeni odmerek 340 mg/m</w:t>
      </w:r>
      <w:r w:rsidRPr="004A59B1">
        <w:rPr>
          <w:color w:val="000000"/>
          <w:sz w:val="22"/>
          <w:szCs w:val="22"/>
          <w:vertAlign w:val="superscript"/>
          <w:lang w:val="sl-SI"/>
        </w:rPr>
        <w:t>2</w:t>
      </w:r>
      <w:r w:rsidRPr="004A59B1">
        <w:rPr>
          <w:color w:val="000000"/>
          <w:sz w:val="22"/>
          <w:szCs w:val="22"/>
          <w:lang w:val="sl-SI"/>
        </w:rPr>
        <w:t>.</w:t>
      </w:r>
    </w:p>
    <w:p w14:paraId="5297A2C5" w14:textId="77777777" w:rsidR="006E3868" w:rsidRPr="004A59B1" w:rsidRDefault="006E3868" w:rsidP="009C1193">
      <w:pPr>
        <w:pStyle w:val="TextChar"/>
        <w:widowControl w:val="0"/>
        <w:spacing w:before="0"/>
        <w:jc w:val="left"/>
        <w:rPr>
          <w:color w:val="000000"/>
          <w:sz w:val="22"/>
          <w:szCs w:val="22"/>
          <w:lang w:val="sl-SI"/>
        </w:rPr>
      </w:pPr>
    </w:p>
    <w:p w14:paraId="5297A2C6" w14:textId="77777777" w:rsidR="00412C09" w:rsidRPr="004A59B1" w:rsidRDefault="00412C09" w:rsidP="009C1193">
      <w:pPr>
        <w:widowControl w:val="0"/>
        <w:rPr>
          <w:bCs/>
          <w:color w:val="000000"/>
          <w:szCs w:val="22"/>
          <w:lang w:val="sl-SI"/>
        </w:rPr>
      </w:pPr>
      <w:r w:rsidRPr="004A59B1">
        <w:rPr>
          <w:bCs/>
          <w:color w:val="000000"/>
          <w:szCs w:val="22"/>
          <w:lang w:val="sl-SI"/>
        </w:rPr>
        <w:t>V 2-letni študiji karcinogenosti pri podganah je odmerjanje imanitiba 15</w:t>
      </w:r>
      <w:r w:rsidR="00A968A1" w:rsidRPr="004A59B1">
        <w:rPr>
          <w:bCs/>
          <w:color w:val="000000"/>
          <w:szCs w:val="22"/>
          <w:lang w:val="sl-SI"/>
        </w:rPr>
        <w:t> mg/kg/dan</w:t>
      </w:r>
      <w:r w:rsidRPr="004A59B1">
        <w:rPr>
          <w:bCs/>
          <w:color w:val="000000"/>
          <w:szCs w:val="22"/>
          <w:lang w:val="sl-SI"/>
        </w:rPr>
        <w:t>, 30</w:t>
      </w:r>
      <w:r w:rsidR="00A968A1" w:rsidRPr="004A59B1">
        <w:rPr>
          <w:bCs/>
          <w:color w:val="000000"/>
          <w:szCs w:val="22"/>
          <w:lang w:val="sl-SI"/>
        </w:rPr>
        <w:t> mg/kg/dan</w:t>
      </w:r>
      <w:r w:rsidRPr="004A59B1">
        <w:rPr>
          <w:bCs/>
          <w:color w:val="000000"/>
          <w:szCs w:val="22"/>
          <w:lang w:val="sl-SI"/>
        </w:rPr>
        <w:t xml:space="preserve"> in 60 mg/kg/dan povzročilo statistično značilno skrajšanje življenjske dobe samcev pri 60 mg/kg/dan in samic pri </w:t>
      </w:r>
      <w:r w:rsidRPr="004A59B1">
        <w:rPr>
          <w:color w:val="000000"/>
          <w:szCs w:val="22"/>
          <w:lang w:val="sl-SI"/>
        </w:rPr>
        <w:t>≥ </w:t>
      </w:r>
      <w:r w:rsidRPr="004A59B1">
        <w:rPr>
          <w:bCs/>
          <w:color w:val="000000"/>
          <w:szCs w:val="22"/>
          <w:lang w:val="sl-SI"/>
        </w:rPr>
        <w:t>30 mg/kg/dan. Histopatološki pregled poginulih je pokazal, da so glavni vzroki smrti oziroma razlogi za žrtvovanje kardiomiopatija (pri obeh spolih), kronična progresivna nefropatija (pri samicah) in papilom žlez prepucija. Tarčni organi za neoplastične spremembe so bili: ledvice, sečni mehur, sečnica, žleze prepucija in klitorisa, tanko črevo, obščitnične žleze, nadledvične žleze in ne-žlezni del želodca.</w:t>
      </w:r>
    </w:p>
    <w:p w14:paraId="5297A2C7" w14:textId="77777777" w:rsidR="00412C09" w:rsidRPr="004A59B1" w:rsidRDefault="00412C09" w:rsidP="009C1193">
      <w:pPr>
        <w:widowControl w:val="0"/>
        <w:rPr>
          <w:color w:val="000000"/>
          <w:szCs w:val="22"/>
          <w:lang w:val="sl-SI"/>
        </w:rPr>
      </w:pPr>
    </w:p>
    <w:p w14:paraId="5297A2C8" w14:textId="77777777" w:rsidR="00412C09" w:rsidRPr="004A59B1" w:rsidRDefault="00412C09" w:rsidP="009C1193">
      <w:pPr>
        <w:widowControl w:val="0"/>
        <w:rPr>
          <w:color w:val="000000"/>
          <w:szCs w:val="22"/>
          <w:lang w:val="sl-SI"/>
        </w:rPr>
      </w:pPr>
      <w:r w:rsidRPr="004A59B1">
        <w:rPr>
          <w:bCs/>
          <w:color w:val="000000"/>
          <w:szCs w:val="22"/>
          <w:lang w:val="sl-SI"/>
        </w:rPr>
        <w:t>Papilome/karcinome prepucijske/klitorisne žleze so opazili pri odmerkih od 30 mg/kg/dan naprej, kar predstavlja približno 0,5-kratnik oziroma 0,3-kratnik dnevne izpostavljenosti človeka (na podlagi AUC) pri odmerku 400 mg/dan oziroma 800 mg/dan, in 0,4-kratnik dnevne izpostavljenosti otrok (na podlagi AUC) pri 340 mg/m</w:t>
      </w:r>
      <w:r w:rsidRPr="004A59B1">
        <w:rPr>
          <w:bCs/>
          <w:color w:val="000000"/>
          <w:szCs w:val="22"/>
          <w:vertAlign w:val="superscript"/>
          <w:lang w:val="sl-SI"/>
        </w:rPr>
        <w:t>2</w:t>
      </w:r>
      <w:r w:rsidRPr="004A59B1">
        <w:rPr>
          <w:bCs/>
          <w:color w:val="000000"/>
          <w:szCs w:val="22"/>
          <w:lang w:val="sl-SI"/>
        </w:rPr>
        <w:t xml:space="preserve">/dan. </w:t>
      </w:r>
      <w:r w:rsidRPr="004A59B1">
        <w:rPr>
          <w:color w:val="000000"/>
          <w:szCs w:val="22"/>
          <w:lang w:val="sl-SI"/>
        </w:rPr>
        <w:t xml:space="preserve">Odmerek brez opaženega učinka (NOEL) je bil 15 mg/kg/dan. </w:t>
      </w:r>
      <w:r w:rsidRPr="004A59B1">
        <w:rPr>
          <w:bCs/>
          <w:color w:val="000000"/>
          <w:szCs w:val="22"/>
          <w:lang w:val="sl-SI"/>
        </w:rPr>
        <w:t>Adenome/karcinome ledvic, papilome sečnega mehurja in sečnice, adenokarcinome tankega črevesa, adenome obščitničnih žlez, benigne in maligne medularne tumorje nadlevičnih žlez in papilome/karcinome ne-žleznega dela želodca so opazili pri odmerku 60 mg/kg/dan, kar predstavlja približno 1,7 do 1-kratnik dnevne izpostavljenosti človeka (na podlagi AUC) pri odmerku 400 mg/dan oziroma 800 mg/dan in 1,2-kratnik dnevne izpostavljenosti otrok (na podlagi AUC) pri 340 mg/m</w:t>
      </w:r>
      <w:r w:rsidRPr="004A59B1">
        <w:rPr>
          <w:bCs/>
          <w:color w:val="000000"/>
          <w:szCs w:val="22"/>
          <w:vertAlign w:val="superscript"/>
          <w:lang w:val="sl-SI"/>
        </w:rPr>
        <w:t>2</w:t>
      </w:r>
      <w:r w:rsidRPr="004A59B1">
        <w:rPr>
          <w:bCs/>
          <w:color w:val="000000"/>
          <w:szCs w:val="22"/>
          <w:lang w:val="sl-SI"/>
        </w:rPr>
        <w:t>/dan. Odmerek brez opaženega učinka (NOEL) je bil 30 mg/kg/dan.</w:t>
      </w:r>
    </w:p>
    <w:p w14:paraId="5297A2C9" w14:textId="77777777" w:rsidR="00412C09" w:rsidRPr="004A59B1" w:rsidRDefault="00412C09" w:rsidP="009C1193">
      <w:pPr>
        <w:widowControl w:val="0"/>
        <w:rPr>
          <w:color w:val="000000"/>
          <w:szCs w:val="22"/>
          <w:lang w:val="sl-SI"/>
        </w:rPr>
      </w:pPr>
    </w:p>
    <w:p w14:paraId="5297A2CA" w14:textId="77777777" w:rsidR="00412C09" w:rsidRPr="004A59B1" w:rsidRDefault="00412C09" w:rsidP="009C1193">
      <w:pPr>
        <w:widowControl w:val="0"/>
        <w:rPr>
          <w:color w:val="000000"/>
          <w:szCs w:val="22"/>
          <w:lang w:val="sl-SI"/>
        </w:rPr>
      </w:pPr>
      <w:r w:rsidRPr="004A59B1">
        <w:rPr>
          <w:color w:val="000000"/>
          <w:szCs w:val="22"/>
          <w:lang w:val="sl-SI"/>
        </w:rPr>
        <w:t>Mehanizem in pomen teh ugotovitev iz študij karcinogenosti pri podganah za ljudi doslej še nista pojasnjena.</w:t>
      </w:r>
    </w:p>
    <w:p w14:paraId="5297A2CB" w14:textId="77777777" w:rsidR="00412C09" w:rsidRPr="004A59B1" w:rsidRDefault="00412C09" w:rsidP="009C1193">
      <w:pPr>
        <w:widowControl w:val="0"/>
        <w:rPr>
          <w:color w:val="000000"/>
          <w:szCs w:val="22"/>
          <w:lang w:val="sl-SI"/>
        </w:rPr>
      </w:pPr>
    </w:p>
    <w:p w14:paraId="5297A2CC" w14:textId="77777777" w:rsidR="00412C09" w:rsidRPr="004A59B1" w:rsidRDefault="00412C09" w:rsidP="009C1193">
      <w:pPr>
        <w:widowControl w:val="0"/>
        <w:rPr>
          <w:color w:val="000000"/>
          <w:szCs w:val="22"/>
          <w:lang w:val="sl-SI"/>
        </w:rPr>
      </w:pPr>
      <w:r w:rsidRPr="004A59B1">
        <w:rPr>
          <w:color w:val="000000"/>
          <w:szCs w:val="22"/>
          <w:lang w:val="sl-SI"/>
        </w:rPr>
        <w:t>Ne-neoplastične lezije organov, ki jih v prejšnjih predkliničnih študijah niso opazili, obsegajo srčnožilni sistem, pankreas, endokrine organe in zobe. Najbolj pomembne spremembe vključujejo hipertrofijo in dilatacijo srca, ki povzročata znake srčnega popuščanja pri nekaterih živalih.</w:t>
      </w:r>
    </w:p>
    <w:p w14:paraId="5297A2CD" w14:textId="77777777" w:rsidR="00412C09" w:rsidRPr="004A59B1" w:rsidRDefault="00412C09" w:rsidP="009C1193">
      <w:pPr>
        <w:pStyle w:val="EndnoteText"/>
        <w:widowControl w:val="0"/>
        <w:tabs>
          <w:tab w:val="clear" w:pos="567"/>
        </w:tabs>
        <w:rPr>
          <w:color w:val="000000"/>
          <w:szCs w:val="22"/>
          <w:lang w:val="sl-SI"/>
        </w:rPr>
      </w:pPr>
    </w:p>
    <w:p w14:paraId="5297A2CE" w14:textId="77777777" w:rsidR="00B14B78" w:rsidRPr="004A59B1" w:rsidRDefault="00B14B78" w:rsidP="009C1193">
      <w:pPr>
        <w:pStyle w:val="EndnoteText"/>
        <w:widowControl w:val="0"/>
        <w:tabs>
          <w:tab w:val="clear" w:pos="567"/>
        </w:tabs>
        <w:rPr>
          <w:color w:val="000000"/>
          <w:szCs w:val="22"/>
          <w:lang w:val="sl-SI"/>
        </w:rPr>
      </w:pPr>
      <w:r w:rsidRPr="004A59B1">
        <w:rPr>
          <w:color w:val="000000"/>
          <w:szCs w:val="22"/>
          <w:lang w:val="sl-SI"/>
        </w:rPr>
        <w:t>Zdravilna učinkovina imatinib predstavlja tveganje za okolje, in sicer za organizme v usedlinah.</w:t>
      </w:r>
    </w:p>
    <w:p w14:paraId="5297A2CF" w14:textId="77777777" w:rsidR="00B14B78" w:rsidRPr="004A59B1" w:rsidRDefault="00B14B78" w:rsidP="009C1193">
      <w:pPr>
        <w:pStyle w:val="EndnoteText"/>
        <w:widowControl w:val="0"/>
        <w:tabs>
          <w:tab w:val="clear" w:pos="567"/>
        </w:tabs>
        <w:rPr>
          <w:color w:val="000000"/>
          <w:szCs w:val="22"/>
          <w:lang w:val="sl-SI"/>
        </w:rPr>
      </w:pPr>
    </w:p>
    <w:p w14:paraId="5297A2D0" w14:textId="77777777" w:rsidR="00412C09" w:rsidRPr="004A59B1" w:rsidRDefault="00412C09" w:rsidP="009C1193">
      <w:pPr>
        <w:pStyle w:val="EndnoteText"/>
        <w:widowControl w:val="0"/>
        <w:tabs>
          <w:tab w:val="clear" w:pos="567"/>
        </w:tabs>
        <w:rPr>
          <w:color w:val="000000"/>
          <w:szCs w:val="22"/>
          <w:lang w:val="sl-SI"/>
        </w:rPr>
      </w:pPr>
    </w:p>
    <w:p w14:paraId="5297A2D1" w14:textId="77777777" w:rsidR="00444D75" w:rsidRPr="004A59B1" w:rsidRDefault="00444D75" w:rsidP="009C1193">
      <w:pPr>
        <w:keepNext/>
        <w:widowControl w:val="0"/>
        <w:tabs>
          <w:tab w:val="clear" w:pos="567"/>
        </w:tabs>
        <w:spacing w:line="240" w:lineRule="auto"/>
        <w:ind w:left="567" w:hanging="567"/>
        <w:rPr>
          <w:b/>
          <w:color w:val="000000"/>
          <w:szCs w:val="22"/>
          <w:lang w:val="sl-SI"/>
        </w:rPr>
      </w:pPr>
      <w:r w:rsidRPr="004A59B1">
        <w:rPr>
          <w:b/>
          <w:color w:val="000000"/>
          <w:szCs w:val="22"/>
          <w:lang w:val="sl-SI"/>
        </w:rPr>
        <w:lastRenderedPageBreak/>
        <w:t>6.</w:t>
      </w:r>
      <w:r w:rsidRPr="004A59B1">
        <w:rPr>
          <w:b/>
          <w:color w:val="000000"/>
          <w:szCs w:val="22"/>
          <w:lang w:val="sl-SI"/>
        </w:rPr>
        <w:tab/>
        <w:t>FARMACEVTSKI PODATKI</w:t>
      </w:r>
    </w:p>
    <w:p w14:paraId="5297A2D2" w14:textId="77777777" w:rsidR="00444D75" w:rsidRPr="004A59B1" w:rsidRDefault="00444D75" w:rsidP="009C1193">
      <w:pPr>
        <w:pStyle w:val="EndnoteText"/>
        <w:keepNext/>
        <w:widowControl w:val="0"/>
        <w:tabs>
          <w:tab w:val="clear" w:pos="567"/>
        </w:tabs>
        <w:rPr>
          <w:color w:val="000000"/>
          <w:szCs w:val="22"/>
          <w:lang w:val="sl-SI"/>
        </w:rPr>
      </w:pPr>
    </w:p>
    <w:p w14:paraId="5297A2D3" w14:textId="77777777" w:rsidR="00444D75" w:rsidRPr="004A59B1" w:rsidRDefault="00444D75" w:rsidP="009C1193">
      <w:pPr>
        <w:keepNext/>
        <w:widowControl w:val="0"/>
        <w:tabs>
          <w:tab w:val="clear" w:pos="567"/>
        </w:tabs>
        <w:spacing w:line="240" w:lineRule="auto"/>
        <w:ind w:left="567" w:hanging="567"/>
        <w:rPr>
          <w:color w:val="000000"/>
          <w:szCs w:val="22"/>
          <w:lang w:val="sl-SI"/>
        </w:rPr>
      </w:pPr>
      <w:r w:rsidRPr="004A59B1">
        <w:rPr>
          <w:b/>
          <w:color w:val="000000"/>
          <w:szCs w:val="22"/>
          <w:lang w:val="sl-SI"/>
        </w:rPr>
        <w:t>6.1</w:t>
      </w:r>
      <w:r w:rsidRPr="004A59B1">
        <w:rPr>
          <w:b/>
          <w:color w:val="000000"/>
          <w:szCs w:val="22"/>
          <w:lang w:val="sl-SI"/>
        </w:rPr>
        <w:tab/>
        <w:t>Seznam pomožnih snovi</w:t>
      </w:r>
    </w:p>
    <w:p w14:paraId="5297A2D4" w14:textId="77777777" w:rsidR="00444D75" w:rsidRPr="004A59B1" w:rsidRDefault="00444D75" w:rsidP="009C1193">
      <w:pPr>
        <w:keepNext/>
        <w:widowControl w:val="0"/>
        <w:tabs>
          <w:tab w:val="clear" w:pos="567"/>
        </w:tabs>
        <w:spacing w:line="240" w:lineRule="auto"/>
        <w:ind w:left="567" w:hanging="567"/>
        <w:rPr>
          <w:color w:val="000000"/>
          <w:szCs w:val="22"/>
          <w:lang w:val="sl-SI"/>
        </w:rPr>
      </w:pPr>
    </w:p>
    <w:p w14:paraId="5297A2D5" w14:textId="77777777" w:rsidR="00444D75" w:rsidRPr="004A59B1" w:rsidRDefault="00444D75" w:rsidP="009C1193">
      <w:pPr>
        <w:keepNext/>
        <w:widowControl w:val="0"/>
        <w:tabs>
          <w:tab w:val="clear" w:pos="567"/>
          <w:tab w:val="left" w:pos="1701"/>
        </w:tabs>
        <w:spacing w:line="240" w:lineRule="auto"/>
        <w:rPr>
          <w:color w:val="000000"/>
          <w:szCs w:val="22"/>
          <w:lang w:val="sl-SI"/>
        </w:rPr>
      </w:pPr>
      <w:r w:rsidRPr="004A59B1">
        <w:rPr>
          <w:color w:val="000000"/>
          <w:szCs w:val="22"/>
          <w:lang w:val="sl-SI"/>
        </w:rPr>
        <w:t>Jedro tablete:</w:t>
      </w:r>
    </w:p>
    <w:p w14:paraId="5297A2D6" w14:textId="77777777" w:rsidR="00444D75" w:rsidRPr="004A59B1" w:rsidRDefault="00444D75" w:rsidP="009C1193">
      <w:pPr>
        <w:keepNext/>
        <w:widowControl w:val="0"/>
        <w:tabs>
          <w:tab w:val="clear" w:pos="567"/>
          <w:tab w:val="left" w:pos="1701"/>
        </w:tabs>
        <w:spacing w:line="240" w:lineRule="auto"/>
        <w:rPr>
          <w:color w:val="000000"/>
          <w:szCs w:val="22"/>
          <w:lang w:val="sl-SI"/>
        </w:rPr>
      </w:pPr>
      <w:r w:rsidRPr="004A59B1">
        <w:rPr>
          <w:color w:val="000000"/>
          <w:szCs w:val="22"/>
          <w:lang w:val="sl-SI"/>
        </w:rPr>
        <w:t>mikrokristalna celuloza</w:t>
      </w:r>
    </w:p>
    <w:p w14:paraId="5297A2D7" w14:textId="77777777" w:rsidR="00444D75" w:rsidRPr="004A59B1" w:rsidRDefault="00444D75" w:rsidP="009C1193">
      <w:pPr>
        <w:keepNext/>
        <w:widowControl w:val="0"/>
        <w:tabs>
          <w:tab w:val="clear" w:pos="567"/>
        </w:tabs>
        <w:spacing w:line="240" w:lineRule="auto"/>
        <w:rPr>
          <w:color w:val="000000"/>
          <w:szCs w:val="22"/>
          <w:lang w:val="sl-SI"/>
        </w:rPr>
      </w:pPr>
      <w:r w:rsidRPr="004A59B1">
        <w:rPr>
          <w:color w:val="000000"/>
          <w:szCs w:val="22"/>
          <w:lang w:val="sl-SI"/>
        </w:rPr>
        <w:t>krospovidon</w:t>
      </w:r>
    </w:p>
    <w:p w14:paraId="5297A2D8" w14:textId="77777777" w:rsidR="00444D75" w:rsidRPr="004A59B1" w:rsidRDefault="00444D75" w:rsidP="009C1193">
      <w:pPr>
        <w:keepNext/>
        <w:widowControl w:val="0"/>
        <w:tabs>
          <w:tab w:val="clear" w:pos="567"/>
        </w:tabs>
        <w:spacing w:line="240" w:lineRule="auto"/>
        <w:rPr>
          <w:color w:val="000000"/>
          <w:szCs w:val="22"/>
          <w:lang w:val="sl-SI"/>
        </w:rPr>
      </w:pPr>
      <w:r w:rsidRPr="004A59B1">
        <w:rPr>
          <w:color w:val="000000"/>
          <w:szCs w:val="22"/>
          <w:lang w:val="sl-SI"/>
        </w:rPr>
        <w:t>hipromeloza</w:t>
      </w:r>
    </w:p>
    <w:p w14:paraId="5297A2D9" w14:textId="77777777" w:rsidR="00444D75" w:rsidRPr="004A59B1" w:rsidRDefault="00444D75" w:rsidP="009C1193">
      <w:pPr>
        <w:keepNext/>
        <w:widowControl w:val="0"/>
        <w:tabs>
          <w:tab w:val="clear" w:pos="567"/>
        </w:tabs>
        <w:spacing w:line="240" w:lineRule="auto"/>
        <w:rPr>
          <w:color w:val="000000"/>
          <w:szCs w:val="22"/>
          <w:lang w:val="sl-SI"/>
        </w:rPr>
      </w:pPr>
      <w:r w:rsidRPr="004A59B1">
        <w:rPr>
          <w:color w:val="000000"/>
          <w:szCs w:val="22"/>
          <w:lang w:val="sl-SI"/>
        </w:rPr>
        <w:t>magnezijev stearat</w:t>
      </w:r>
    </w:p>
    <w:p w14:paraId="5297A2DA" w14:textId="77777777" w:rsidR="00444D75" w:rsidRPr="004A59B1" w:rsidRDefault="00444D75" w:rsidP="009C1193">
      <w:pPr>
        <w:widowControl w:val="0"/>
        <w:tabs>
          <w:tab w:val="clear" w:pos="567"/>
        </w:tabs>
        <w:spacing w:line="240" w:lineRule="auto"/>
        <w:rPr>
          <w:color w:val="000000"/>
          <w:szCs w:val="22"/>
          <w:lang w:val="sl-SI"/>
        </w:rPr>
      </w:pPr>
      <w:r w:rsidRPr="004A59B1">
        <w:rPr>
          <w:color w:val="000000"/>
          <w:szCs w:val="22"/>
          <w:lang w:val="sl-SI"/>
        </w:rPr>
        <w:t>brezvodni koloidni silicijev dioksid</w:t>
      </w:r>
    </w:p>
    <w:p w14:paraId="5297A2DB" w14:textId="77777777" w:rsidR="00444D75" w:rsidRPr="004A59B1" w:rsidRDefault="00444D75" w:rsidP="009C1193">
      <w:pPr>
        <w:widowControl w:val="0"/>
        <w:tabs>
          <w:tab w:val="clear" w:pos="567"/>
        </w:tabs>
        <w:spacing w:line="240" w:lineRule="auto"/>
        <w:rPr>
          <w:color w:val="000000"/>
          <w:szCs w:val="22"/>
          <w:lang w:val="sl-SI"/>
        </w:rPr>
      </w:pPr>
    </w:p>
    <w:p w14:paraId="5297A2DC" w14:textId="77777777" w:rsidR="00444D75" w:rsidRPr="004A59B1" w:rsidRDefault="00444D75" w:rsidP="009C1193">
      <w:pPr>
        <w:keepNext/>
        <w:widowControl w:val="0"/>
        <w:tabs>
          <w:tab w:val="clear" w:pos="567"/>
        </w:tabs>
        <w:spacing w:line="240" w:lineRule="auto"/>
        <w:rPr>
          <w:color w:val="000000"/>
          <w:szCs w:val="22"/>
          <w:lang w:val="sl-SI"/>
        </w:rPr>
      </w:pPr>
      <w:r w:rsidRPr="004A59B1">
        <w:rPr>
          <w:color w:val="000000"/>
          <w:szCs w:val="22"/>
          <w:lang w:val="sl-SI"/>
        </w:rPr>
        <w:t>Obloga tablete:</w:t>
      </w:r>
    </w:p>
    <w:p w14:paraId="5297A2DD" w14:textId="77777777" w:rsidR="00444D75" w:rsidRPr="004A59B1" w:rsidRDefault="00444D75" w:rsidP="009C1193">
      <w:pPr>
        <w:keepNext/>
        <w:widowControl w:val="0"/>
        <w:tabs>
          <w:tab w:val="clear" w:pos="567"/>
        </w:tabs>
        <w:spacing w:line="240" w:lineRule="auto"/>
        <w:rPr>
          <w:color w:val="000000"/>
          <w:szCs w:val="22"/>
          <w:lang w:val="sl-SI"/>
        </w:rPr>
      </w:pPr>
      <w:r w:rsidRPr="004A59B1">
        <w:rPr>
          <w:color w:val="000000"/>
          <w:szCs w:val="22"/>
          <w:lang w:val="sl-SI"/>
        </w:rPr>
        <w:t>rdeči železov oksid (E172)</w:t>
      </w:r>
    </w:p>
    <w:p w14:paraId="5297A2DE" w14:textId="77777777" w:rsidR="00444D75" w:rsidRPr="004A59B1" w:rsidRDefault="00444D75" w:rsidP="009C1193">
      <w:pPr>
        <w:keepNext/>
        <w:widowControl w:val="0"/>
        <w:tabs>
          <w:tab w:val="clear" w:pos="567"/>
        </w:tabs>
        <w:spacing w:line="240" w:lineRule="auto"/>
        <w:rPr>
          <w:color w:val="000000"/>
          <w:szCs w:val="22"/>
          <w:lang w:val="sl-SI"/>
        </w:rPr>
      </w:pPr>
      <w:r w:rsidRPr="004A59B1">
        <w:rPr>
          <w:color w:val="000000"/>
          <w:szCs w:val="22"/>
          <w:lang w:val="sl-SI"/>
        </w:rPr>
        <w:t>rumeni železov oksid (E172)</w:t>
      </w:r>
    </w:p>
    <w:p w14:paraId="5297A2DF" w14:textId="77777777" w:rsidR="00444D75" w:rsidRPr="004A59B1" w:rsidRDefault="009F6E01" w:rsidP="009C1193">
      <w:pPr>
        <w:keepNext/>
        <w:widowControl w:val="0"/>
        <w:tabs>
          <w:tab w:val="clear" w:pos="567"/>
        </w:tabs>
        <w:spacing w:line="240" w:lineRule="auto"/>
        <w:rPr>
          <w:color w:val="000000"/>
          <w:szCs w:val="22"/>
          <w:lang w:val="sl-SI"/>
        </w:rPr>
      </w:pPr>
      <w:r w:rsidRPr="004A59B1">
        <w:rPr>
          <w:color w:val="000000"/>
          <w:szCs w:val="22"/>
          <w:lang w:val="sl-SI"/>
        </w:rPr>
        <w:t>makrogol</w:t>
      </w:r>
    </w:p>
    <w:p w14:paraId="5297A2E0" w14:textId="77777777" w:rsidR="009F6E01" w:rsidRPr="004A59B1" w:rsidRDefault="009F6E01" w:rsidP="009C1193">
      <w:pPr>
        <w:keepNext/>
        <w:widowControl w:val="0"/>
        <w:tabs>
          <w:tab w:val="clear" w:pos="567"/>
        </w:tabs>
        <w:spacing w:line="240" w:lineRule="auto"/>
        <w:rPr>
          <w:color w:val="000000"/>
          <w:szCs w:val="22"/>
          <w:lang w:val="sl-SI"/>
        </w:rPr>
      </w:pPr>
      <w:r w:rsidRPr="004A59B1">
        <w:rPr>
          <w:color w:val="000000"/>
          <w:szCs w:val="22"/>
          <w:lang w:val="sl-SI"/>
        </w:rPr>
        <w:t>smukec</w:t>
      </w:r>
    </w:p>
    <w:p w14:paraId="5297A2E1" w14:textId="77777777" w:rsidR="009F6E01" w:rsidRPr="004A59B1" w:rsidRDefault="009F6E01" w:rsidP="009C1193">
      <w:pPr>
        <w:widowControl w:val="0"/>
        <w:tabs>
          <w:tab w:val="clear" w:pos="567"/>
        </w:tabs>
        <w:spacing w:line="240" w:lineRule="auto"/>
        <w:rPr>
          <w:color w:val="000000"/>
          <w:szCs w:val="22"/>
          <w:lang w:val="sl-SI"/>
        </w:rPr>
      </w:pPr>
      <w:r w:rsidRPr="004A59B1">
        <w:rPr>
          <w:color w:val="000000"/>
          <w:szCs w:val="22"/>
          <w:lang w:val="sl-SI"/>
        </w:rPr>
        <w:t>hipromeloza</w:t>
      </w:r>
    </w:p>
    <w:p w14:paraId="5297A2E2" w14:textId="77777777" w:rsidR="009F6E01" w:rsidRPr="004A59B1" w:rsidRDefault="009F6E01" w:rsidP="009C1193">
      <w:pPr>
        <w:widowControl w:val="0"/>
        <w:tabs>
          <w:tab w:val="clear" w:pos="567"/>
        </w:tabs>
        <w:spacing w:line="240" w:lineRule="auto"/>
        <w:rPr>
          <w:color w:val="000000"/>
          <w:szCs w:val="22"/>
          <w:lang w:val="sl-SI"/>
        </w:rPr>
      </w:pPr>
    </w:p>
    <w:p w14:paraId="5297A2E3" w14:textId="77777777" w:rsidR="00444D75" w:rsidRPr="004A59B1" w:rsidRDefault="00444D75" w:rsidP="009C1193">
      <w:pPr>
        <w:keepNext/>
        <w:widowControl w:val="0"/>
        <w:tabs>
          <w:tab w:val="clear" w:pos="567"/>
        </w:tabs>
        <w:spacing w:line="240" w:lineRule="auto"/>
        <w:ind w:left="567" w:hanging="567"/>
        <w:rPr>
          <w:color w:val="000000"/>
          <w:szCs w:val="22"/>
          <w:lang w:val="sl-SI"/>
        </w:rPr>
      </w:pPr>
      <w:r w:rsidRPr="004A59B1">
        <w:rPr>
          <w:b/>
          <w:color w:val="000000"/>
          <w:szCs w:val="22"/>
          <w:lang w:val="sl-SI"/>
        </w:rPr>
        <w:t>6.2</w:t>
      </w:r>
      <w:r w:rsidRPr="004A59B1">
        <w:rPr>
          <w:b/>
          <w:color w:val="000000"/>
          <w:szCs w:val="22"/>
          <w:lang w:val="sl-SI"/>
        </w:rPr>
        <w:tab/>
        <w:t>Inkompatibilnosti</w:t>
      </w:r>
    </w:p>
    <w:p w14:paraId="5297A2E4" w14:textId="77777777" w:rsidR="00444D75" w:rsidRPr="004A59B1" w:rsidRDefault="00444D75" w:rsidP="009C1193">
      <w:pPr>
        <w:keepNext/>
        <w:widowControl w:val="0"/>
        <w:tabs>
          <w:tab w:val="clear" w:pos="567"/>
        </w:tabs>
        <w:spacing w:line="240" w:lineRule="auto"/>
        <w:rPr>
          <w:color w:val="000000"/>
          <w:szCs w:val="22"/>
          <w:lang w:val="sl-SI"/>
        </w:rPr>
      </w:pPr>
    </w:p>
    <w:p w14:paraId="5297A2E5" w14:textId="77777777" w:rsidR="00444D75" w:rsidRPr="004A59B1" w:rsidRDefault="00444D75" w:rsidP="009C1193">
      <w:pPr>
        <w:widowControl w:val="0"/>
        <w:tabs>
          <w:tab w:val="clear" w:pos="567"/>
        </w:tabs>
        <w:spacing w:line="240" w:lineRule="auto"/>
        <w:rPr>
          <w:color w:val="000000"/>
          <w:szCs w:val="22"/>
          <w:lang w:val="sl-SI"/>
        </w:rPr>
      </w:pPr>
      <w:r w:rsidRPr="004A59B1">
        <w:rPr>
          <w:color w:val="000000"/>
          <w:szCs w:val="22"/>
          <w:lang w:val="sl-SI"/>
        </w:rPr>
        <w:t>Navedba smiselno ni potrebna.</w:t>
      </w:r>
    </w:p>
    <w:p w14:paraId="5297A2E6" w14:textId="77777777" w:rsidR="00444D75" w:rsidRPr="004A59B1" w:rsidRDefault="00444D75" w:rsidP="009C1193">
      <w:pPr>
        <w:pStyle w:val="EndnoteText"/>
        <w:widowControl w:val="0"/>
        <w:tabs>
          <w:tab w:val="clear" w:pos="567"/>
        </w:tabs>
        <w:rPr>
          <w:color w:val="000000"/>
          <w:szCs w:val="22"/>
          <w:lang w:val="sl-SI"/>
        </w:rPr>
      </w:pPr>
    </w:p>
    <w:p w14:paraId="5297A2E7" w14:textId="77777777" w:rsidR="00444D75" w:rsidRPr="004A59B1" w:rsidRDefault="00444D75" w:rsidP="009C1193">
      <w:pPr>
        <w:keepNext/>
        <w:widowControl w:val="0"/>
        <w:tabs>
          <w:tab w:val="clear" w:pos="567"/>
        </w:tabs>
        <w:spacing w:line="240" w:lineRule="auto"/>
        <w:ind w:left="567" w:hanging="567"/>
        <w:rPr>
          <w:color w:val="000000"/>
          <w:szCs w:val="22"/>
          <w:lang w:val="sl-SI"/>
        </w:rPr>
      </w:pPr>
      <w:r w:rsidRPr="004A59B1">
        <w:rPr>
          <w:b/>
          <w:color w:val="000000"/>
          <w:szCs w:val="22"/>
          <w:lang w:val="sl-SI"/>
        </w:rPr>
        <w:t>6.3</w:t>
      </w:r>
      <w:r w:rsidRPr="004A59B1">
        <w:rPr>
          <w:b/>
          <w:color w:val="000000"/>
          <w:szCs w:val="22"/>
          <w:lang w:val="sl-SI"/>
        </w:rPr>
        <w:tab/>
        <w:t>Rok uporabnosti</w:t>
      </w:r>
    </w:p>
    <w:p w14:paraId="5297A2E8" w14:textId="77777777" w:rsidR="00444D75" w:rsidRPr="004A59B1" w:rsidRDefault="00444D75" w:rsidP="009C1193">
      <w:pPr>
        <w:keepNext/>
        <w:widowControl w:val="0"/>
        <w:tabs>
          <w:tab w:val="clear" w:pos="567"/>
        </w:tabs>
        <w:spacing w:line="240" w:lineRule="auto"/>
        <w:rPr>
          <w:color w:val="000000"/>
          <w:szCs w:val="22"/>
          <w:lang w:val="sl-SI"/>
        </w:rPr>
      </w:pPr>
    </w:p>
    <w:p w14:paraId="5297A2E9" w14:textId="77777777" w:rsidR="00444D75" w:rsidRPr="004A59B1" w:rsidRDefault="00444D75" w:rsidP="009C1193">
      <w:pPr>
        <w:pStyle w:val="EndnoteText"/>
        <w:widowControl w:val="0"/>
        <w:tabs>
          <w:tab w:val="clear" w:pos="567"/>
        </w:tabs>
        <w:rPr>
          <w:color w:val="000000"/>
          <w:szCs w:val="22"/>
          <w:lang w:val="sl-SI"/>
        </w:rPr>
      </w:pPr>
      <w:r w:rsidRPr="004A59B1">
        <w:rPr>
          <w:color w:val="000000"/>
          <w:szCs w:val="22"/>
          <w:lang w:val="sl-SI"/>
        </w:rPr>
        <w:t>3 leta</w:t>
      </w:r>
    </w:p>
    <w:p w14:paraId="5297A2EA" w14:textId="77777777" w:rsidR="00444D75" w:rsidRPr="004A59B1" w:rsidRDefault="00444D75" w:rsidP="009C1193">
      <w:pPr>
        <w:pStyle w:val="EndnoteText"/>
        <w:widowControl w:val="0"/>
        <w:tabs>
          <w:tab w:val="clear" w:pos="567"/>
        </w:tabs>
        <w:rPr>
          <w:color w:val="000000"/>
          <w:szCs w:val="22"/>
          <w:lang w:val="sl-SI"/>
        </w:rPr>
      </w:pPr>
    </w:p>
    <w:p w14:paraId="5297A2EB" w14:textId="77777777" w:rsidR="00444D75" w:rsidRPr="004A59B1" w:rsidRDefault="00444D75" w:rsidP="009C1193">
      <w:pPr>
        <w:keepNext/>
        <w:widowControl w:val="0"/>
        <w:tabs>
          <w:tab w:val="clear" w:pos="567"/>
        </w:tabs>
        <w:spacing w:line="240" w:lineRule="auto"/>
        <w:ind w:left="567" w:hanging="567"/>
        <w:rPr>
          <w:color w:val="000000"/>
          <w:szCs w:val="22"/>
          <w:lang w:val="sl-SI"/>
        </w:rPr>
      </w:pPr>
      <w:r w:rsidRPr="004A59B1">
        <w:rPr>
          <w:b/>
          <w:color w:val="000000"/>
          <w:szCs w:val="22"/>
          <w:lang w:val="sl-SI"/>
        </w:rPr>
        <w:t>6.4</w:t>
      </w:r>
      <w:r w:rsidRPr="004A59B1">
        <w:rPr>
          <w:b/>
          <w:color w:val="000000"/>
          <w:szCs w:val="22"/>
          <w:lang w:val="sl-SI"/>
        </w:rPr>
        <w:tab/>
        <w:t>Posebna navodila za shranjevanje</w:t>
      </w:r>
    </w:p>
    <w:p w14:paraId="5297A2EC" w14:textId="77777777" w:rsidR="00444D75" w:rsidRPr="004A59B1" w:rsidRDefault="00444D75" w:rsidP="009C1193">
      <w:pPr>
        <w:keepNext/>
        <w:widowControl w:val="0"/>
        <w:tabs>
          <w:tab w:val="clear" w:pos="567"/>
        </w:tabs>
        <w:spacing w:line="240" w:lineRule="auto"/>
        <w:rPr>
          <w:color w:val="000000"/>
          <w:szCs w:val="22"/>
          <w:lang w:val="sl-SI"/>
        </w:rPr>
      </w:pPr>
    </w:p>
    <w:p w14:paraId="5297A2ED" w14:textId="77777777" w:rsidR="00444D75" w:rsidRPr="004A59B1" w:rsidRDefault="00444D75" w:rsidP="009C1193">
      <w:pPr>
        <w:widowControl w:val="0"/>
        <w:tabs>
          <w:tab w:val="clear" w:pos="567"/>
        </w:tabs>
        <w:spacing w:line="240" w:lineRule="auto"/>
        <w:rPr>
          <w:color w:val="000000"/>
          <w:szCs w:val="22"/>
          <w:lang w:val="sl-SI"/>
        </w:rPr>
      </w:pPr>
      <w:r w:rsidRPr="004A59B1">
        <w:rPr>
          <w:color w:val="000000"/>
          <w:szCs w:val="22"/>
          <w:lang w:val="sl-SI"/>
        </w:rPr>
        <w:t>Shranjujte pri temperaturi do 30 </w:t>
      </w:r>
      <w:r w:rsidRPr="004A59B1">
        <w:rPr>
          <w:color w:val="000000"/>
          <w:szCs w:val="22"/>
        </w:rPr>
        <w:sym w:font="Symbol" w:char="F0B0"/>
      </w:r>
      <w:r w:rsidRPr="004A59B1">
        <w:rPr>
          <w:color w:val="000000"/>
          <w:szCs w:val="22"/>
          <w:lang w:val="sl-SI"/>
        </w:rPr>
        <w:t>C.</w:t>
      </w:r>
    </w:p>
    <w:p w14:paraId="5297A2EE" w14:textId="77777777" w:rsidR="00444D75" w:rsidRPr="004A59B1" w:rsidRDefault="00444D75" w:rsidP="009C1193">
      <w:pPr>
        <w:widowControl w:val="0"/>
        <w:tabs>
          <w:tab w:val="clear" w:pos="567"/>
        </w:tabs>
        <w:spacing w:line="240" w:lineRule="auto"/>
        <w:rPr>
          <w:color w:val="000000"/>
          <w:szCs w:val="22"/>
          <w:lang w:val="sl-SI"/>
        </w:rPr>
      </w:pPr>
    </w:p>
    <w:p w14:paraId="5297A2EF" w14:textId="77777777" w:rsidR="00444D75" w:rsidRPr="004A59B1" w:rsidRDefault="00444D75" w:rsidP="009C1193">
      <w:pPr>
        <w:widowControl w:val="0"/>
        <w:tabs>
          <w:tab w:val="clear" w:pos="567"/>
        </w:tabs>
        <w:spacing w:line="240" w:lineRule="auto"/>
        <w:rPr>
          <w:color w:val="000000"/>
          <w:szCs w:val="22"/>
          <w:lang w:val="sl-SI"/>
        </w:rPr>
      </w:pPr>
      <w:r w:rsidRPr="004A59B1">
        <w:rPr>
          <w:color w:val="000000"/>
          <w:szCs w:val="22"/>
          <w:lang w:val="sl-SI"/>
        </w:rPr>
        <w:t>Shranjujte v originalni ovojnini za zagotovitev zaščite pred vlago.</w:t>
      </w:r>
    </w:p>
    <w:p w14:paraId="5297A2F0" w14:textId="77777777" w:rsidR="00444D75" w:rsidRPr="004A59B1" w:rsidRDefault="00444D75" w:rsidP="009C1193">
      <w:pPr>
        <w:widowControl w:val="0"/>
        <w:tabs>
          <w:tab w:val="clear" w:pos="567"/>
        </w:tabs>
        <w:spacing w:line="240" w:lineRule="auto"/>
        <w:rPr>
          <w:color w:val="000000"/>
          <w:szCs w:val="22"/>
          <w:lang w:val="sl-SI"/>
        </w:rPr>
      </w:pPr>
    </w:p>
    <w:p w14:paraId="5297A2F1" w14:textId="77777777" w:rsidR="00444D75" w:rsidRPr="004A59B1" w:rsidRDefault="00444D75" w:rsidP="009C1193">
      <w:pPr>
        <w:keepNext/>
        <w:widowControl w:val="0"/>
        <w:tabs>
          <w:tab w:val="clear" w:pos="567"/>
        </w:tabs>
        <w:spacing w:line="240" w:lineRule="auto"/>
        <w:ind w:left="567" w:hanging="567"/>
        <w:rPr>
          <w:color w:val="000000"/>
          <w:szCs w:val="22"/>
          <w:lang w:val="sl-SI"/>
        </w:rPr>
      </w:pPr>
      <w:r w:rsidRPr="004A59B1">
        <w:rPr>
          <w:b/>
          <w:color w:val="000000"/>
          <w:szCs w:val="22"/>
          <w:lang w:val="sl-SI"/>
        </w:rPr>
        <w:t>6.5</w:t>
      </w:r>
      <w:r w:rsidRPr="004A59B1">
        <w:rPr>
          <w:b/>
          <w:color w:val="000000"/>
          <w:szCs w:val="22"/>
          <w:lang w:val="sl-SI"/>
        </w:rPr>
        <w:tab/>
        <w:t>Vrsta ovojnine in vsebina</w:t>
      </w:r>
    </w:p>
    <w:p w14:paraId="5297A2F2" w14:textId="77777777" w:rsidR="00444D75" w:rsidRPr="004A59B1" w:rsidRDefault="00444D75" w:rsidP="009C1193">
      <w:pPr>
        <w:pStyle w:val="EndnoteText"/>
        <w:keepNext/>
        <w:widowControl w:val="0"/>
        <w:tabs>
          <w:tab w:val="clear" w:pos="567"/>
        </w:tabs>
        <w:rPr>
          <w:color w:val="000000"/>
          <w:szCs w:val="22"/>
          <w:lang w:val="sl-SI"/>
        </w:rPr>
      </w:pPr>
    </w:p>
    <w:p w14:paraId="5297A2F3" w14:textId="77777777" w:rsidR="002C0312" w:rsidRDefault="002C0312" w:rsidP="009C1193">
      <w:pPr>
        <w:pStyle w:val="EndnoteText"/>
        <w:keepNext/>
        <w:widowControl w:val="0"/>
        <w:tabs>
          <w:tab w:val="clear" w:pos="567"/>
        </w:tabs>
        <w:rPr>
          <w:color w:val="000000"/>
          <w:szCs w:val="22"/>
          <w:lang w:val="sl-SI"/>
        </w:rPr>
      </w:pPr>
      <w:r w:rsidRPr="0092693C">
        <w:rPr>
          <w:color w:val="000000"/>
          <w:szCs w:val="22"/>
          <w:u w:val="single"/>
          <w:lang w:val="sl-SI"/>
        </w:rPr>
        <w:t>Glivec 100 mg filmsko obložene tablete</w:t>
      </w:r>
    </w:p>
    <w:p w14:paraId="5297A2F4" w14:textId="77777777" w:rsidR="00444D75" w:rsidRPr="004A59B1" w:rsidRDefault="00444D75" w:rsidP="000A6242">
      <w:pPr>
        <w:pStyle w:val="EndnoteText"/>
        <w:keepNext/>
        <w:widowControl w:val="0"/>
        <w:tabs>
          <w:tab w:val="clear" w:pos="567"/>
        </w:tabs>
        <w:rPr>
          <w:color w:val="000000"/>
          <w:szCs w:val="22"/>
          <w:lang w:val="sl-SI"/>
        </w:rPr>
      </w:pPr>
      <w:r w:rsidRPr="004A59B1">
        <w:rPr>
          <w:color w:val="000000"/>
          <w:szCs w:val="22"/>
          <w:lang w:val="sl-SI"/>
        </w:rPr>
        <w:t>Pretisni omoti iz PVC/aluminija.</w:t>
      </w:r>
    </w:p>
    <w:p w14:paraId="5297A2F5" w14:textId="77777777" w:rsidR="00444D75" w:rsidRPr="004A59B1" w:rsidRDefault="00AA5D87" w:rsidP="009C1193">
      <w:pPr>
        <w:pStyle w:val="EndnoteText"/>
        <w:widowControl w:val="0"/>
        <w:tabs>
          <w:tab w:val="clear" w:pos="567"/>
        </w:tabs>
        <w:rPr>
          <w:color w:val="000000"/>
          <w:szCs w:val="22"/>
          <w:lang w:val="sl-SI"/>
        </w:rPr>
      </w:pPr>
      <w:r w:rsidRPr="004A59B1">
        <w:rPr>
          <w:color w:val="000000"/>
          <w:szCs w:val="22"/>
          <w:lang w:val="sl-SI"/>
        </w:rPr>
        <w:t>Škatle</w:t>
      </w:r>
      <w:r w:rsidR="00444D75" w:rsidRPr="004A59B1">
        <w:rPr>
          <w:color w:val="000000"/>
          <w:szCs w:val="22"/>
          <w:lang w:val="sl-SI"/>
        </w:rPr>
        <w:t>, ki vsebujejo po 20, 60, 120 ali 180 filmsko obloženih tablet.</w:t>
      </w:r>
    </w:p>
    <w:p w14:paraId="5297A2F6" w14:textId="77777777" w:rsidR="00B32509" w:rsidRDefault="00B32509" w:rsidP="009C1193">
      <w:pPr>
        <w:pStyle w:val="EndnoteText"/>
        <w:widowControl w:val="0"/>
        <w:tabs>
          <w:tab w:val="clear" w:pos="567"/>
        </w:tabs>
        <w:rPr>
          <w:color w:val="000000"/>
          <w:szCs w:val="22"/>
          <w:u w:val="single"/>
          <w:lang w:val="pl-PL"/>
        </w:rPr>
      </w:pPr>
    </w:p>
    <w:p w14:paraId="5297A2F7" w14:textId="77777777" w:rsidR="00B32509" w:rsidRPr="004A59B1" w:rsidRDefault="00B32509" w:rsidP="009C1193">
      <w:pPr>
        <w:pStyle w:val="EndnoteText"/>
        <w:widowControl w:val="0"/>
        <w:tabs>
          <w:tab w:val="clear" w:pos="567"/>
        </w:tabs>
        <w:rPr>
          <w:color w:val="000000"/>
          <w:szCs w:val="22"/>
          <w:lang w:val="sl-SI"/>
        </w:rPr>
      </w:pPr>
      <w:r w:rsidRPr="004A59B1">
        <w:rPr>
          <w:color w:val="000000"/>
          <w:szCs w:val="22"/>
          <w:lang w:val="sl-SI"/>
        </w:rPr>
        <w:t>Pretisni omoti iz PVDC/aluminija.</w:t>
      </w:r>
    </w:p>
    <w:p w14:paraId="5297A2F8" w14:textId="77777777" w:rsidR="00B32509" w:rsidRPr="004A59B1" w:rsidRDefault="001055C6" w:rsidP="009C1193">
      <w:pPr>
        <w:pStyle w:val="EndnoteText"/>
        <w:widowControl w:val="0"/>
        <w:tabs>
          <w:tab w:val="clear" w:pos="567"/>
        </w:tabs>
        <w:rPr>
          <w:color w:val="000000"/>
          <w:szCs w:val="22"/>
          <w:lang w:val="sl-SI"/>
        </w:rPr>
      </w:pPr>
      <w:r>
        <w:rPr>
          <w:color w:val="000000"/>
          <w:szCs w:val="22"/>
          <w:lang w:val="sl-SI"/>
        </w:rPr>
        <w:t>Škatle, ki vsebujejo po 6</w:t>
      </w:r>
      <w:r w:rsidR="00B32509" w:rsidRPr="004A59B1">
        <w:rPr>
          <w:color w:val="000000"/>
          <w:szCs w:val="22"/>
          <w:lang w:val="sl-SI"/>
        </w:rPr>
        <w:t xml:space="preserve">0, </w:t>
      </w:r>
      <w:r w:rsidR="00B32509">
        <w:rPr>
          <w:color w:val="000000"/>
          <w:szCs w:val="22"/>
          <w:lang w:val="sl-SI"/>
        </w:rPr>
        <w:t>120</w:t>
      </w:r>
      <w:r w:rsidR="00B32509" w:rsidRPr="004A59B1">
        <w:rPr>
          <w:color w:val="000000"/>
          <w:szCs w:val="22"/>
          <w:lang w:val="sl-SI"/>
        </w:rPr>
        <w:t xml:space="preserve"> ali </w:t>
      </w:r>
      <w:r w:rsidR="00B32509">
        <w:rPr>
          <w:color w:val="000000"/>
          <w:szCs w:val="22"/>
          <w:lang w:val="sl-SI"/>
        </w:rPr>
        <w:t>180</w:t>
      </w:r>
      <w:r w:rsidR="00B32509" w:rsidRPr="004A59B1">
        <w:rPr>
          <w:color w:val="000000"/>
          <w:szCs w:val="22"/>
          <w:lang w:val="sl-SI"/>
        </w:rPr>
        <w:t> filmsko obloženih tablet.</w:t>
      </w:r>
    </w:p>
    <w:p w14:paraId="5297A2F9" w14:textId="77777777" w:rsidR="002C0312" w:rsidRDefault="002C0312" w:rsidP="009C1193">
      <w:pPr>
        <w:pStyle w:val="EndnoteText"/>
        <w:widowControl w:val="0"/>
        <w:tabs>
          <w:tab w:val="clear" w:pos="567"/>
        </w:tabs>
        <w:rPr>
          <w:color w:val="000000"/>
          <w:szCs w:val="22"/>
          <w:u w:val="single"/>
          <w:lang w:val="pl-PL"/>
        </w:rPr>
      </w:pPr>
    </w:p>
    <w:p w14:paraId="5297A2FA" w14:textId="77777777" w:rsidR="00444D75" w:rsidRPr="004A59B1" w:rsidRDefault="002C0312" w:rsidP="009C1193">
      <w:pPr>
        <w:pStyle w:val="EndnoteText"/>
        <w:keepNext/>
        <w:widowControl w:val="0"/>
        <w:tabs>
          <w:tab w:val="clear" w:pos="567"/>
        </w:tabs>
        <w:rPr>
          <w:color w:val="000000"/>
          <w:szCs w:val="22"/>
          <w:lang w:val="sl-SI"/>
        </w:rPr>
      </w:pPr>
      <w:r w:rsidRPr="0092693C">
        <w:rPr>
          <w:color w:val="000000"/>
          <w:szCs w:val="22"/>
          <w:u w:val="single"/>
          <w:lang w:val="pl-PL"/>
        </w:rPr>
        <w:t>Glivec 400 mg filmsko obložene tablete</w:t>
      </w:r>
    </w:p>
    <w:p w14:paraId="5297A2FB" w14:textId="77777777" w:rsidR="002C0312" w:rsidRPr="004A59B1" w:rsidRDefault="002C0312" w:rsidP="000A6242">
      <w:pPr>
        <w:pStyle w:val="EndnoteText"/>
        <w:keepNext/>
        <w:widowControl w:val="0"/>
        <w:tabs>
          <w:tab w:val="clear" w:pos="567"/>
        </w:tabs>
        <w:rPr>
          <w:color w:val="000000"/>
          <w:szCs w:val="22"/>
          <w:lang w:val="sl-SI"/>
        </w:rPr>
      </w:pPr>
      <w:r w:rsidRPr="004A59B1">
        <w:rPr>
          <w:color w:val="000000"/>
          <w:szCs w:val="22"/>
          <w:lang w:val="sl-SI"/>
        </w:rPr>
        <w:t>Pretisni omoti iz PVDC/aluminija.</w:t>
      </w:r>
    </w:p>
    <w:p w14:paraId="5297A2FC" w14:textId="77777777" w:rsidR="002C0312" w:rsidRPr="004A59B1" w:rsidRDefault="002C0312" w:rsidP="009C1193">
      <w:pPr>
        <w:pStyle w:val="EndnoteText"/>
        <w:widowControl w:val="0"/>
        <w:tabs>
          <w:tab w:val="clear" w:pos="567"/>
        </w:tabs>
        <w:rPr>
          <w:color w:val="000000"/>
          <w:szCs w:val="22"/>
          <w:lang w:val="sl-SI"/>
        </w:rPr>
      </w:pPr>
      <w:r w:rsidRPr="004A59B1">
        <w:rPr>
          <w:color w:val="000000"/>
          <w:szCs w:val="22"/>
          <w:lang w:val="sl-SI"/>
        </w:rPr>
        <w:t>Škatle, ki vsebujejo po 10, 30 ali 90 filmsko obloženih tablet.</w:t>
      </w:r>
    </w:p>
    <w:p w14:paraId="5297A2FD" w14:textId="77777777" w:rsidR="002C0312" w:rsidRDefault="002C0312" w:rsidP="009C1193">
      <w:pPr>
        <w:pStyle w:val="EndnoteText"/>
        <w:widowControl w:val="0"/>
        <w:tabs>
          <w:tab w:val="clear" w:pos="567"/>
        </w:tabs>
        <w:rPr>
          <w:color w:val="000000"/>
          <w:szCs w:val="22"/>
          <w:lang w:val="sl-SI"/>
        </w:rPr>
      </w:pPr>
    </w:p>
    <w:p w14:paraId="5297A2FE" w14:textId="77777777" w:rsidR="00444D75" w:rsidRPr="004A59B1" w:rsidRDefault="00444D75" w:rsidP="009C1193">
      <w:pPr>
        <w:pStyle w:val="EndnoteText"/>
        <w:widowControl w:val="0"/>
        <w:tabs>
          <w:tab w:val="clear" w:pos="567"/>
        </w:tabs>
        <w:rPr>
          <w:color w:val="000000"/>
          <w:szCs w:val="22"/>
          <w:lang w:val="sl-SI"/>
        </w:rPr>
      </w:pPr>
      <w:r w:rsidRPr="004A59B1">
        <w:rPr>
          <w:color w:val="000000"/>
          <w:szCs w:val="22"/>
          <w:lang w:val="sl-SI"/>
        </w:rPr>
        <w:t xml:space="preserve">Na trgu </w:t>
      </w:r>
      <w:r w:rsidR="002C0312">
        <w:rPr>
          <w:color w:val="000000"/>
          <w:szCs w:val="22"/>
          <w:lang w:val="sl-SI"/>
        </w:rPr>
        <w:t xml:space="preserve">morda </w:t>
      </w:r>
      <w:r w:rsidRPr="004A59B1">
        <w:rPr>
          <w:color w:val="000000"/>
          <w:szCs w:val="22"/>
          <w:lang w:val="sl-SI"/>
        </w:rPr>
        <w:t>ni vseh navedenih pakiranj.</w:t>
      </w:r>
    </w:p>
    <w:p w14:paraId="5297A2FF" w14:textId="77777777" w:rsidR="00444D75" w:rsidRPr="004A59B1" w:rsidRDefault="00444D75" w:rsidP="009C1193">
      <w:pPr>
        <w:pStyle w:val="EndnoteText"/>
        <w:widowControl w:val="0"/>
        <w:tabs>
          <w:tab w:val="clear" w:pos="567"/>
        </w:tabs>
        <w:rPr>
          <w:color w:val="000000"/>
          <w:szCs w:val="22"/>
          <w:lang w:val="sl-SI"/>
        </w:rPr>
      </w:pPr>
    </w:p>
    <w:p w14:paraId="5297A300" w14:textId="77777777" w:rsidR="007202D6" w:rsidRPr="004A59B1" w:rsidRDefault="007202D6" w:rsidP="009C1193">
      <w:pPr>
        <w:keepNext/>
        <w:widowControl w:val="0"/>
        <w:tabs>
          <w:tab w:val="clear" w:pos="567"/>
        </w:tabs>
        <w:spacing w:line="240" w:lineRule="auto"/>
        <w:ind w:left="567" w:hanging="567"/>
        <w:rPr>
          <w:color w:val="000000"/>
          <w:szCs w:val="22"/>
          <w:lang w:val="sl-SI"/>
        </w:rPr>
      </w:pPr>
      <w:r w:rsidRPr="004A59B1">
        <w:rPr>
          <w:b/>
          <w:color w:val="000000"/>
          <w:szCs w:val="22"/>
          <w:lang w:val="sl-SI"/>
        </w:rPr>
        <w:t>6.6</w:t>
      </w:r>
      <w:r w:rsidRPr="004A59B1">
        <w:rPr>
          <w:b/>
          <w:color w:val="000000"/>
          <w:szCs w:val="22"/>
          <w:lang w:val="sl-SI"/>
        </w:rPr>
        <w:tab/>
        <w:t>Posebni varnostni ukrepi za odstranjevanje</w:t>
      </w:r>
    </w:p>
    <w:p w14:paraId="5297A301" w14:textId="77777777" w:rsidR="007202D6" w:rsidRPr="004A59B1" w:rsidRDefault="007202D6" w:rsidP="009C1193">
      <w:pPr>
        <w:pStyle w:val="EndnoteText"/>
        <w:keepNext/>
        <w:widowControl w:val="0"/>
        <w:tabs>
          <w:tab w:val="clear" w:pos="567"/>
        </w:tabs>
        <w:rPr>
          <w:color w:val="000000"/>
          <w:szCs w:val="22"/>
          <w:lang w:val="sl-SI"/>
        </w:rPr>
      </w:pPr>
    </w:p>
    <w:p w14:paraId="5297A302" w14:textId="77777777" w:rsidR="00444D75" w:rsidRPr="004A59B1" w:rsidRDefault="00B14B78" w:rsidP="009C1193">
      <w:pPr>
        <w:pStyle w:val="EndnoteText"/>
        <w:widowControl w:val="0"/>
        <w:tabs>
          <w:tab w:val="clear" w:pos="567"/>
        </w:tabs>
        <w:rPr>
          <w:color w:val="000000"/>
          <w:szCs w:val="22"/>
          <w:lang w:val="sl-SI"/>
        </w:rPr>
      </w:pPr>
      <w:r w:rsidRPr="004A59B1">
        <w:rPr>
          <w:noProof/>
          <w:szCs w:val="24"/>
          <w:lang w:val="sl-SI"/>
        </w:rPr>
        <w:t>Neuporabljeno zdravilo ali odpadni material zavrzite v skladu z lokalnimi predpisi.</w:t>
      </w:r>
    </w:p>
    <w:p w14:paraId="5297A303" w14:textId="77777777" w:rsidR="00444D75" w:rsidRPr="004A59B1" w:rsidRDefault="00444D75" w:rsidP="009C1193">
      <w:pPr>
        <w:pStyle w:val="EndnoteText"/>
        <w:widowControl w:val="0"/>
        <w:tabs>
          <w:tab w:val="clear" w:pos="567"/>
        </w:tabs>
        <w:rPr>
          <w:color w:val="000000"/>
          <w:szCs w:val="22"/>
          <w:lang w:val="sl-SI"/>
        </w:rPr>
      </w:pPr>
    </w:p>
    <w:p w14:paraId="5297A304" w14:textId="77777777" w:rsidR="00444D75" w:rsidRPr="004A59B1" w:rsidRDefault="00444D75" w:rsidP="009C1193">
      <w:pPr>
        <w:pStyle w:val="EndnoteText"/>
        <w:widowControl w:val="0"/>
        <w:tabs>
          <w:tab w:val="clear" w:pos="567"/>
        </w:tabs>
        <w:rPr>
          <w:color w:val="000000"/>
          <w:szCs w:val="22"/>
          <w:lang w:val="sl-SI"/>
        </w:rPr>
      </w:pPr>
    </w:p>
    <w:p w14:paraId="5297A305" w14:textId="77777777" w:rsidR="00444D75" w:rsidRPr="004A59B1" w:rsidRDefault="00444D75" w:rsidP="009C1193">
      <w:pPr>
        <w:keepNext/>
        <w:widowControl w:val="0"/>
        <w:tabs>
          <w:tab w:val="clear" w:pos="567"/>
        </w:tabs>
        <w:spacing w:line="240" w:lineRule="auto"/>
        <w:ind w:left="567" w:hanging="567"/>
        <w:rPr>
          <w:color w:val="000000"/>
          <w:szCs w:val="22"/>
          <w:lang w:val="sl-SI"/>
        </w:rPr>
      </w:pPr>
      <w:r w:rsidRPr="004A59B1">
        <w:rPr>
          <w:b/>
          <w:color w:val="000000"/>
          <w:szCs w:val="22"/>
          <w:lang w:val="sl-SI"/>
        </w:rPr>
        <w:lastRenderedPageBreak/>
        <w:t>7.</w:t>
      </w:r>
      <w:r w:rsidRPr="004A59B1">
        <w:rPr>
          <w:b/>
          <w:color w:val="000000"/>
          <w:szCs w:val="22"/>
          <w:lang w:val="sl-SI"/>
        </w:rPr>
        <w:tab/>
        <w:t>IMETNIK DOVOLJENJA ZA PROMET</w:t>
      </w:r>
      <w:r w:rsidR="003B627C" w:rsidRPr="004A59B1">
        <w:rPr>
          <w:b/>
          <w:color w:val="000000"/>
          <w:szCs w:val="22"/>
          <w:lang w:val="sl-SI"/>
        </w:rPr>
        <w:t xml:space="preserve"> Z ZDRAVILOM</w:t>
      </w:r>
    </w:p>
    <w:p w14:paraId="5297A306" w14:textId="77777777" w:rsidR="00444D75" w:rsidRPr="004A59B1" w:rsidRDefault="00444D75" w:rsidP="009C1193">
      <w:pPr>
        <w:pStyle w:val="EndnoteText"/>
        <w:keepNext/>
        <w:widowControl w:val="0"/>
        <w:tabs>
          <w:tab w:val="clear" w:pos="567"/>
        </w:tabs>
        <w:rPr>
          <w:color w:val="000000"/>
          <w:szCs w:val="22"/>
          <w:lang w:val="sl-SI"/>
        </w:rPr>
      </w:pPr>
    </w:p>
    <w:p w14:paraId="5297A307" w14:textId="77777777" w:rsidR="00444D75" w:rsidRPr="004A59B1" w:rsidRDefault="00444D75" w:rsidP="009C1193">
      <w:pPr>
        <w:keepNext/>
        <w:widowControl w:val="0"/>
        <w:tabs>
          <w:tab w:val="clear" w:pos="567"/>
        </w:tabs>
        <w:spacing w:line="240" w:lineRule="auto"/>
        <w:rPr>
          <w:color w:val="000000"/>
          <w:szCs w:val="22"/>
        </w:rPr>
      </w:pPr>
      <w:r w:rsidRPr="004A59B1">
        <w:rPr>
          <w:color w:val="000000"/>
          <w:szCs w:val="22"/>
        </w:rPr>
        <w:t>Novartis Europharm Limited</w:t>
      </w:r>
    </w:p>
    <w:p w14:paraId="5297A308" w14:textId="77777777" w:rsidR="001A1DF7" w:rsidRPr="00EB33FE" w:rsidRDefault="001A1DF7" w:rsidP="009C1193">
      <w:pPr>
        <w:keepNext/>
        <w:widowControl w:val="0"/>
        <w:spacing w:line="240" w:lineRule="auto"/>
        <w:rPr>
          <w:color w:val="000000"/>
        </w:rPr>
      </w:pPr>
      <w:r w:rsidRPr="00EB33FE">
        <w:rPr>
          <w:color w:val="000000"/>
        </w:rPr>
        <w:t>Vista Building</w:t>
      </w:r>
    </w:p>
    <w:p w14:paraId="5297A309" w14:textId="77777777" w:rsidR="001A1DF7" w:rsidRPr="00EB33FE" w:rsidRDefault="001A1DF7" w:rsidP="009C1193">
      <w:pPr>
        <w:keepNext/>
        <w:widowControl w:val="0"/>
        <w:spacing w:line="240" w:lineRule="auto"/>
        <w:rPr>
          <w:color w:val="000000"/>
        </w:rPr>
      </w:pPr>
      <w:r w:rsidRPr="00EB33FE">
        <w:rPr>
          <w:color w:val="000000"/>
        </w:rPr>
        <w:t>Elm Park, Merrion Road</w:t>
      </w:r>
    </w:p>
    <w:p w14:paraId="5297A30A" w14:textId="77777777" w:rsidR="001A1DF7" w:rsidRPr="00EB33FE" w:rsidRDefault="001A1DF7" w:rsidP="009C1193">
      <w:pPr>
        <w:keepNext/>
        <w:widowControl w:val="0"/>
        <w:spacing w:line="240" w:lineRule="auto"/>
        <w:rPr>
          <w:color w:val="000000"/>
        </w:rPr>
      </w:pPr>
      <w:r w:rsidRPr="00EB33FE">
        <w:rPr>
          <w:color w:val="000000"/>
        </w:rPr>
        <w:t>Dublin 4</w:t>
      </w:r>
    </w:p>
    <w:p w14:paraId="5297A30B" w14:textId="77777777" w:rsidR="001A1DF7" w:rsidRDefault="001A1DF7" w:rsidP="009C1193">
      <w:pPr>
        <w:widowControl w:val="0"/>
        <w:spacing w:line="240" w:lineRule="auto"/>
        <w:rPr>
          <w:color w:val="000000"/>
        </w:rPr>
      </w:pPr>
      <w:r w:rsidRPr="00EB33FE">
        <w:rPr>
          <w:color w:val="000000"/>
        </w:rPr>
        <w:t>Irska</w:t>
      </w:r>
    </w:p>
    <w:p w14:paraId="5297A30C" w14:textId="77777777" w:rsidR="00444D75" w:rsidRPr="004A59B1" w:rsidRDefault="00444D75" w:rsidP="009C1193">
      <w:pPr>
        <w:widowControl w:val="0"/>
        <w:tabs>
          <w:tab w:val="clear" w:pos="567"/>
        </w:tabs>
        <w:spacing w:line="240" w:lineRule="auto"/>
        <w:rPr>
          <w:color w:val="000000"/>
          <w:szCs w:val="22"/>
        </w:rPr>
      </w:pPr>
    </w:p>
    <w:p w14:paraId="5297A30D" w14:textId="77777777" w:rsidR="00444D75" w:rsidRPr="004A59B1" w:rsidRDefault="00444D75" w:rsidP="009C1193">
      <w:pPr>
        <w:pStyle w:val="EndnoteText"/>
        <w:widowControl w:val="0"/>
        <w:tabs>
          <w:tab w:val="clear" w:pos="567"/>
        </w:tabs>
        <w:rPr>
          <w:color w:val="000000"/>
          <w:szCs w:val="22"/>
        </w:rPr>
      </w:pPr>
    </w:p>
    <w:p w14:paraId="5297A30E" w14:textId="77777777" w:rsidR="00444D75" w:rsidRPr="004A59B1" w:rsidRDefault="00444D75" w:rsidP="000A6242">
      <w:pPr>
        <w:pStyle w:val="BodyTextIndent"/>
        <w:keepNext/>
        <w:keepLines/>
        <w:widowControl w:val="0"/>
        <w:rPr>
          <w:color w:val="000000"/>
          <w:szCs w:val="22"/>
        </w:rPr>
      </w:pPr>
      <w:r w:rsidRPr="004A59B1">
        <w:rPr>
          <w:color w:val="000000"/>
          <w:szCs w:val="22"/>
        </w:rPr>
        <w:t>8.</w:t>
      </w:r>
      <w:r w:rsidRPr="004A59B1">
        <w:rPr>
          <w:color w:val="000000"/>
          <w:szCs w:val="22"/>
        </w:rPr>
        <w:tab/>
        <w:t>ŠTEVILKA (ŠTEVILKE) DOVOLJENJA (DOVOLJENJ) ZA PROMET</w:t>
      </w:r>
      <w:r w:rsidR="003B627C" w:rsidRPr="004A59B1">
        <w:rPr>
          <w:color w:val="000000"/>
          <w:szCs w:val="22"/>
        </w:rPr>
        <w:t xml:space="preserve"> Z ZDRAVILOM</w:t>
      </w:r>
    </w:p>
    <w:p w14:paraId="5297A30F" w14:textId="77777777" w:rsidR="00444D75" w:rsidRPr="004A59B1" w:rsidRDefault="00444D75" w:rsidP="009C1193">
      <w:pPr>
        <w:pStyle w:val="EndnoteText"/>
        <w:keepNext/>
        <w:widowControl w:val="0"/>
        <w:tabs>
          <w:tab w:val="clear" w:pos="567"/>
        </w:tabs>
        <w:rPr>
          <w:color w:val="000000"/>
          <w:szCs w:val="22"/>
        </w:rPr>
      </w:pPr>
    </w:p>
    <w:p w14:paraId="5297A310" w14:textId="77777777" w:rsidR="002D658D" w:rsidRDefault="002D658D" w:rsidP="009C1193">
      <w:pPr>
        <w:pStyle w:val="EndnoteText"/>
        <w:keepNext/>
        <w:widowControl w:val="0"/>
        <w:tabs>
          <w:tab w:val="clear" w:pos="567"/>
        </w:tabs>
        <w:rPr>
          <w:color w:val="000000"/>
          <w:szCs w:val="22"/>
          <w:lang w:val="pt-BR"/>
        </w:rPr>
      </w:pPr>
      <w:bookmarkStart w:id="6" w:name="OLE_LINK1"/>
      <w:r w:rsidRPr="0092693C">
        <w:rPr>
          <w:color w:val="000000"/>
          <w:szCs w:val="22"/>
          <w:u w:val="single"/>
          <w:lang w:val="sl-SI"/>
        </w:rPr>
        <w:t>Glivec 100 mg filmsko obložene tablete</w:t>
      </w:r>
    </w:p>
    <w:p w14:paraId="5297A311" w14:textId="77777777" w:rsidR="00444D75" w:rsidRPr="004A59B1" w:rsidRDefault="00444D75" w:rsidP="009C1193">
      <w:pPr>
        <w:pStyle w:val="EndnoteText"/>
        <w:keepNext/>
        <w:widowControl w:val="0"/>
        <w:tabs>
          <w:tab w:val="clear" w:pos="567"/>
        </w:tabs>
        <w:rPr>
          <w:color w:val="000000"/>
          <w:szCs w:val="22"/>
          <w:lang w:val="pt-BR"/>
        </w:rPr>
      </w:pPr>
      <w:r w:rsidRPr="004A59B1">
        <w:rPr>
          <w:color w:val="000000"/>
          <w:szCs w:val="22"/>
          <w:lang w:val="pt-BR"/>
        </w:rPr>
        <w:t>EU/1/01/198/007</w:t>
      </w:r>
    </w:p>
    <w:p w14:paraId="5297A312" w14:textId="77777777" w:rsidR="00444D75" w:rsidRPr="004A59B1" w:rsidRDefault="00444D75" w:rsidP="009C1193">
      <w:pPr>
        <w:pStyle w:val="EndnoteText"/>
        <w:keepNext/>
        <w:widowControl w:val="0"/>
        <w:tabs>
          <w:tab w:val="clear" w:pos="567"/>
        </w:tabs>
        <w:rPr>
          <w:color w:val="000000"/>
          <w:szCs w:val="22"/>
          <w:lang w:val="pt-BR"/>
        </w:rPr>
      </w:pPr>
      <w:r w:rsidRPr="004A59B1">
        <w:rPr>
          <w:color w:val="000000"/>
          <w:szCs w:val="22"/>
          <w:lang w:val="pt-BR"/>
        </w:rPr>
        <w:t>EU/1/01/198/008</w:t>
      </w:r>
    </w:p>
    <w:p w14:paraId="5297A313" w14:textId="77777777" w:rsidR="00444D75" w:rsidRPr="004A59B1" w:rsidRDefault="00444D75" w:rsidP="009C1193">
      <w:pPr>
        <w:pStyle w:val="EndnoteText"/>
        <w:keepNext/>
        <w:widowControl w:val="0"/>
        <w:tabs>
          <w:tab w:val="clear" w:pos="567"/>
        </w:tabs>
        <w:rPr>
          <w:color w:val="000000"/>
          <w:szCs w:val="22"/>
          <w:lang w:val="pt-BR"/>
        </w:rPr>
      </w:pPr>
      <w:r w:rsidRPr="004A59B1">
        <w:rPr>
          <w:color w:val="000000"/>
          <w:szCs w:val="22"/>
          <w:lang w:val="pt-BR"/>
        </w:rPr>
        <w:t>EU/1/01/198/011</w:t>
      </w:r>
    </w:p>
    <w:bookmarkEnd w:id="6"/>
    <w:p w14:paraId="5297A314" w14:textId="77777777" w:rsidR="00444D75" w:rsidRPr="004A59B1" w:rsidRDefault="00444D75" w:rsidP="009C1193">
      <w:pPr>
        <w:pStyle w:val="EndnoteText"/>
        <w:keepNext/>
        <w:widowControl w:val="0"/>
        <w:tabs>
          <w:tab w:val="clear" w:pos="567"/>
        </w:tabs>
        <w:rPr>
          <w:color w:val="000000"/>
          <w:szCs w:val="22"/>
          <w:lang w:val="pt-BR"/>
        </w:rPr>
      </w:pPr>
      <w:r w:rsidRPr="004A59B1">
        <w:rPr>
          <w:color w:val="000000"/>
          <w:szCs w:val="22"/>
          <w:lang w:val="pt-BR"/>
        </w:rPr>
        <w:t>EU/1/01/198/012</w:t>
      </w:r>
    </w:p>
    <w:p w14:paraId="5297A315" w14:textId="77777777" w:rsidR="00B32509" w:rsidRPr="002227FB" w:rsidRDefault="00B32509" w:rsidP="009C1193">
      <w:pPr>
        <w:pStyle w:val="EndnoteText"/>
        <w:keepNext/>
        <w:widowControl w:val="0"/>
        <w:tabs>
          <w:tab w:val="clear" w:pos="567"/>
        </w:tabs>
        <w:rPr>
          <w:color w:val="000000"/>
          <w:szCs w:val="22"/>
          <w:lang w:val="de-CH"/>
        </w:rPr>
      </w:pPr>
      <w:r w:rsidRPr="002227FB">
        <w:rPr>
          <w:color w:val="000000"/>
          <w:szCs w:val="22"/>
          <w:lang w:val="de-CH"/>
        </w:rPr>
        <w:t>EU/1/01/198/01</w:t>
      </w:r>
      <w:r w:rsidR="008045F0" w:rsidRPr="002227FB">
        <w:rPr>
          <w:color w:val="000000"/>
          <w:szCs w:val="22"/>
          <w:lang w:val="de-CH"/>
        </w:rPr>
        <w:t>4</w:t>
      </w:r>
    </w:p>
    <w:p w14:paraId="5297A316" w14:textId="77777777" w:rsidR="00B32509" w:rsidRPr="002227FB" w:rsidRDefault="00B32509" w:rsidP="009C1193">
      <w:pPr>
        <w:pStyle w:val="EndnoteText"/>
        <w:keepNext/>
        <w:widowControl w:val="0"/>
        <w:tabs>
          <w:tab w:val="clear" w:pos="567"/>
        </w:tabs>
        <w:rPr>
          <w:color w:val="000000"/>
          <w:szCs w:val="22"/>
          <w:lang w:val="de-CH"/>
        </w:rPr>
      </w:pPr>
      <w:r w:rsidRPr="002227FB">
        <w:rPr>
          <w:color w:val="000000"/>
          <w:szCs w:val="22"/>
          <w:lang w:val="de-CH"/>
        </w:rPr>
        <w:t>EU/1/01/198/01</w:t>
      </w:r>
      <w:r w:rsidR="008045F0" w:rsidRPr="002227FB">
        <w:rPr>
          <w:color w:val="000000"/>
          <w:szCs w:val="22"/>
          <w:lang w:val="de-CH"/>
        </w:rPr>
        <w:t>5</w:t>
      </w:r>
    </w:p>
    <w:p w14:paraId="5297A317" w14:textId="77777777" w:rsidR="001055C6" w:rsidRPr="002227FB" w:rsidRDefault="001055C6" w:rsidP="009C1193">
      <w:pPr>
        <w:pStyle w:val="EndnoteText"/>
        <w:widowControl w:val="0"/>
        <w:tabs>
          <w:tab w:val="clear" w:pos="567"/>
        </w:tabs>
        <w:rPr>
          <w:color w:val="000000"/>
          <w:szCs w:val="22"/>
          <w:lang w:val="de-CH"/>
        </w:rPr>
      </w:pPr>
      <w:r w:rsidRPr="002227FB">
        <w:rPr>
          <w:color w:val="000000"/>
          <w:szCs w:val="22"/>
          <w:lang w:val="de-CH"/>
        </w:rPr>
        <w:t>EU/1/01/198/01</w:t>
      </w:r>
      <w:r w:rsidR="008045F0" w:rsidRPr="002227FB">
        <w:rPr>
          <w:color w:val="000000"/>
          <w:szCs w:val="22"/>
          <w:lang w:val="de-CH"/>
        </w:rPr>
        <w:t>6</w:t>
      </w:r>
    </w:p>
    <w:p w14:paraId="5297A318" w14:textId="77777777" w:rsidR="00444D75" w:rsidRDefault="00444D75" w:rsidP="009C1193">
      <w:pPr>
        <w:widowControl w:val="0"/>
        <w:tabs>
          <w:tab w:val="clear" w:pos="567"/>
        </w:tabs>
        <w:spacing w:line="240" w:lineRule="auto"/>
        <w:rPr>
          <w:color w:val="000000"/>
          <w:szCs w:val="22"/>
          <w:lang w:val="pt-BR"/>
        </w:rPr>
      </w:pPr>
    </w:p>
    <w:p w14:paraId="5297A319" w14:textId="77777777" w:rsidR="002D658D" w:rsidRDefault="002D658D" w:rsidP="009C1193">
      <w:pPr>
        <w:keepNext/>
        <w:widowControl w:val="0"/>
        <w:tabs>
          <w:tab w:val="clear" w:pos="567"/>
        </w:tabs>
        <w:spacing w:line="240" w:lineRule="auto"/>
        <w:rPr>
          <w:color w:val="000000"/>
          <w:szCs w:val="22"/>
          <w:u w:val="single"/>
          <w:lang w:val="pl-PL"/>
        </w:rPr>
      </w:pPr>
      <w:r w:rsidRPr="0092693C">
        <w:rPr>
          <w:color w:val="000000"/>
          <w:szCs w:val="22"/>
          <w:u w:val="single"/>
          <w:lang w:val="pl-PL"/>
        </w:rPr>
        <w:t>Glivec 400 mg filmsko obložene tablete</w:t>
      </w:r>
    </w:p>
    <w:p w14:paraId="5297A31A" w14:textId="77777777" w:rsidR="002D658D" w:rsidRPr="002227FB" w:rsidRDefault="002D658D" w:rsidP="009C1193">
      <w:pPr>
        <w:pStyle w:val="EndnoteText"/>
        <w:keepNext/>
        <w:widowControl w:val="0"/>
        <w:tabs>
          <w:tab w:val="clear" w:pos="567"/>
        </w:tabs>
        <w:rPr>
          <w:color w:val="000000"/>
          <w:szCs w:val="22"/>
          <w:lang w:val="de-CH"/>
        </w:rPr>
      </w:pPr>
      <w:r w:rsidRPr="002227FB">
        <w:rPr>
          <w:color w:val="000000"/>
          <w:szCs w:val="22"/>
          <w:lang w:val="de-CH"/>
        </w:rPr>
        <w:t>EU/1/01/198/009</w:t>
      </w:r>
    </w:p>
    <w:p w14:paraId="5297A31B" w14:textId="77777777" w:rsidR="002D658D" w:rsidRPr="002227FB" w:rsidRDefault="002D658D" w:rsidP="009C1193">
      <w:pPr>
        <w:pStyle w:val="EndnoteText"/>
        <w:keepNext/>
        <w:widowControl w:val="0"/>
        <w:tabs>
          <w:tab w:val="clear" w:pos="567"/>
        </w:tabs>
        <w:rPr>
          <w:color w:val="000000"/>
          <w:szCs w:val="22"/>
          <w:lang w:val="de-CH"/>
        </w:rPr>
      </w:pPr>
      <w:r w:rsidRPr="002227FB">
        <w:rPr>
          <w:color w:val="000000"/>
          <w:szCs w:val="22"/>
          <w:lang w:val="de-CH"/>
        </w:rPr>
        <w:t>EU/1/01/198/010</w:t>
      </w:r>
    </w:p>
    <w:p w14:paraId="5297A31C" w14:textId="77777777" w:rsidR="002D658D" w:rsidRPr="002227FB" w:rsidRDefault="002D658D" w:rsidP="009C1193">
      <w:pPr>
        <w:pStyle w:val="EndnoteText"/>
        <w:widowControl w:val="0"/>
        <w:tabs>
          <w:tab w:val="clear" w:pos="567"/>
        </w:tabs>
        <w:rPr>
          <w:color w:val="000000"/>
          <w:szCs w:val="22"/>
          <w:lang w:val="de-CH"/>
        </w:rPr>
      </w:pPr>
      <w:r w:rsidRPr="002227FB">
        <w:rPr>
          <w:color w:val="000000"/>
          <w:szCs w:val="22"/>
          <w:lang w:val="de-CH"/>
        </w:rPr>
        <w:t>EU/1/01/198/013</w:t>
      </w:r>
    </w:p>
    <w:p w14:paraId="5297A31D" w14:textId="77777777" w:rsidR="002D658D" w:rsidRPr="004A59B1" w:rsidRDefault="002D658D" w:rsidP="009C1193">
      <w:pPr>
        <w:widowControl w:val="0"/>
        <w:tabs>
          <w:tab w:val="clear" w:pos="567"/>
        </w:tabs>
        <w:spacing w:line="240" w:lineRule="auto"/>
        <w:rPr>
          <w:color w:val="000000"/>
          <w:szCs w:val="22"/>
          <w:lang w:val="pt-BR"/>
        </w:rPr>
      </w:pPr>
    </w:p>
    <w:p w14:paraId="5297A31E" w14:textId="77777777" w:rsidR="00444D75" w:rsidRPr="004A59B1" w:rsidRDefault="00444D75" w:rsidP="009C1193">
      <w:pPr>
        <w:widowControl w:val="0"/>
        <w:tabs>
          <w:tab w:val="clear" w:pos="567"/>
        </w:tabs>
        <w:spacing w:line="240" w:lineRule="auto"/>
        <w:rPr>
          <w:color w:val="000000"/>
          <w:szCs w:val="22"/>
          <w:lang w:val="pt-BR"/>
        </w:rPr>
      </w:pPr>
    </w:p>
    <w:p w14:paraId="5297A31F" w14:textId="77777777" w:rsidR="00444D75" w:rsidRPr="004A59B1" w:rsidRDefault="00444D75" w:rsidP="000A6242">
      <w:pPr>
        <w:keepNext/>
        <w:keepLines/>
        <w:widowControl w:val="0"/>
        <w:tabs>
          <w:tab w:val="clear" w:pos="567"/>
        </w:tabs>
        <w:spacing w:line="240" w:lineRule="auto"/>
        <w:ind w:left="567" w:hanging="567"/>
        <w:rPr>
          <w:color w:val="000000"/>
          <w:szCs w:val="22"/>
          <w:lang w:val="pt-BR"/>
        </w:rPr>
      </w:pPr>
      <w:r w:rsidRPr="004A59B1">
        <w:rPr>
          <w:b/>
          <w:color w:val="000000"/>
          <w:szCs w:val="22"/>
          <w:lang w:val="pt-BR"/>
        </w:rPr>
        <w:t>9.</w:t>
      </w:r>
      <w:r w:rsidRPr="004A59B1">
        <w:rPr>
          <w:b/>
          <w:color w:val="000000"/>
          <w:szCs w:val="22"/>
          <w:lang w:val="pt-BR"/>
        </w:rPr>
        <w:tab/>
        <w:t>DATUM PRIDOBITVE/PODALJŠANJA DOVOLJENJA ZA PROMET</w:t>
      </w:r>
      <w:r w:rsidR="003B627C" w:rsidRPr="004A59B1">
        <w:rPr>
          <w:b/>
          <w:color w:val="000000"/>
          <w:szCs w:val="22"/>
          <w:lang w:val="pt-BR"/>
        </w:rPr>
        <w:t xml:space="preserve"> Z ZDRAVILOM</w:t>
      </w:r>
    </w:p>
    <w:p w14:paraId="5297A320" w14:textId="77777777" w:rsidR="00444D75" w:rsidRPr="004A59B1" w:rsidRDefault="00444D75" w:rsidP="009C1193">
      <w:pPr>
        <w:keepNext/>
        <w:widowControl w:val="0"/>
        <w:spacing w:line="240" w:lineRule="auto"/>
        <w:rPr>
          <w:color w:val="000000"/>
          <w:szCs w:val="22"/>
          <w:lang w:val="pt-BR"/>
        </w:rPr>
      </w:pPr>
    </w:p>
    <w:p w14:paraId="5297A321" w14:textId="77777777" w:rsidR="00444D75" w:rsidRPr="004A59B1" w:rsidRDefault="007202D6" w:rsidP="009C1193">
      <w:pPr>
        <w:keepNext/>
        <w:widowControl w:val="0"/>
        <w:tabs>
          <w:tab w:val="clear" w:pos="567"/>
        </w:tabs>
        <w:spacing w:line="240" w:lineRule="auto"/>
        <w:rPr>
          <w:color w:val="000000"/>
          <w:szCs w:val="22"/>
          <w:lang w:val="pl-PL"/>
        </w:rPr>
      </w:pPr>
      <w:r w:rsidRPr="004A59B1">
        <w:rPr>
          <w:color w:val="000000"/>
          <w:szCs w:val="22"/>
          <w:lang w:val="pl-PL"/>
        </w:rPr>
        <w:t xml:space="preserve">Datum </w:t>
      </w:r>
      <w:r w:rsidR="003B627C" w:rsidRPr="004A59B1">
        <w:rPr>
          <w:color w:val="000000"/>
          <w:szCs w:val="22"/>
          <w:lang w:val="pl-PL"/>
        </w:rPr>
        <w:t xml:space="preserve">prve </w:t>
      </w:r>
      <w:r w:rsidR="00977584">
        <w:rPr>
          <w:color w:val="000000"/>
          <w:szCs w:val="22"/>
          <w:lang w:val="pl-PL"/>
        </w:rPr>
        <w:t>odobritve</w:t>
      </w:r>
      <w:r w:rsidRPr="004A59B1">
        <w:rPr>
          <w:color w:val="000000"/>
          <w:szCs w:val="22"/>
          <w:lang w:val="pl-PL"/>
        </w:rPr>
        <w:t xml:space="preserve">: </w:t>
      </w:r>
      <w:r w:rsidR="002536BA" w:rsidRPr="004A59B1">
        <w:rPr>
          <w:color w:val="000000"/>
          <w:szCs w:val="22"/>
          <w:lang w:val="pl-PL"/>
        </w:rPr>
        <w:t>7</w:t>
      </w:r>
      <w:r w:rsidR="00444D75" w:rsidRPr="004A59B1">
        <w:rPr>
          <w:color w:val="000000"/>
          <w:szCs w:val="22"/>
          <w:lang w:val="pl-PL"/>
        </w:rPr>
        <w:t>.</w:t>
      </w:r>
      <w:r w:rsidR="003B627C" w:rsidRPr="004A59B1">
        <w:rPr>
          <w:color w:val="000000"/>
          <w:szCs w:val="22"/>
          <w:lang w:val="pl-PL"/>
        </w:rPr>
        <w:t xml:space="preserve"> november </w:t>
      </w:r>
      <w:r w:rsidR="00444D75" w:rsidRPr="004A59B1">
        <w:rPr>
          <w:color w:val="000000"/>
          <w:szCs w:val="22"/>
          <w:lang w:val="pl-PL"/>
        </w:rPr>
        <w:t>200</w:t>
      </w:r>
      <w:r w:rsidR="002536BA" w:rsidRPr="004A59B1">
        <w:rPr>
          <w:color w:val="000000"/>
          <w:szCs w:val="22"/>
          <w:lang w:val="pl-PL"/>
        </w:rPr>
        <w:t>1</w:t>
      </w:r>
    </w:p>
    <w:p w14:paraId="5297A322" w14:textId="77777777" w:rsidR="000505E3" w:rsidRPr="004A59B1" w:rsidRDefault="000505E3" w:rsidP="009C1193">
      <w:pPr>
        <w:widowControl w:val="0"/>
        <w:spacing w:line="240" w:lineRule="auto"/>
        <w:rPr>
          <w:color w:val="000000"/>
          <w:szCs w:val="22"/>
          <w:lang w:val="pl-PL"/>
        </w:rPr>
      </w:pPr>
      <w:r w:rsidRPr="004A59B1">
        <w:rPr>
          <w:color w:val="000000"/>
          <w:szCs w:val="22"/>
          <w:lang w:val="pl-PL"/>
        </w:rPr>
        <w:t xml:space="preserve">Datum </w:t>
      </w:r>
      <w:r w:rsidR="003B627C" w:rsidRPr="004A59B1">
        <w:rPr>
          <w:color w:val="000000"/>
          <w:szCs w:val="22"/>
          <w:lang w:val="pl-PL"/>
        </w:rPr>
        <w:t xml:space="preserve">zadnjega </w:t>
      </w:r>
      <w:r w:rsidRPr="004A59B1">
        <w:rPr>
          <w:color w:val="000000"/>
          <w:szCs w:val="22"/>
          <w:lang w:val="pl-PL"/>
        </w:rPr>
        <w:t>podaljšanja: 7.</w:t>
      </w:r>
      <w:r w:rsidR="003B627C" w:rsidRPr="004A59B1">
        <w:rPr>
          <w:color w:val="000000"/>
          <w:szCs w:val="22"/>
          <w:lang w:val="pl-PL"/>
        </w:rPr>
        <w:t xml:space="preserve"> november </w:t>
      </w:r>
      <w:r w:rsidRPr="004A59B1">
        <w:rPr>
          <w:color w:val="000000"/>
          <w:szCs w:val="22"/>
          <w:lang w:val="pl-PL"/>
        </w:rPr>
        <w:t>2006</w:t>
      </w:r>
    </w:p>
    <w:p w14:paraId="5297A323" w14:textId="77777777" w:rsidR="00444D75" w:rsidRPr="004A59B1" w:rsidRDefault="00444D75" w:rsidP="009C1193">
      <w:pPr>
        <w:widowControl w:val="0"/>
        <w:tabs>
          <w:tab w:val="clear" w:pos="567"/>
        </w:tabs>
        <w:spacing w:line="240" w:lineRule="auto"/>
        <w:rPr>
          <w:color w:val="000000"/>
          <w:szCs w:val="22"/>
          <w:lang w:val="pl-PL"/>
        </w:rPr>
      </w:pPr>
    </w:p>
    <w:p w14:paraId="5297A324" w14:textId="77777777" w:rsidR="00444D75" w:rsidRPr="004A59B1" w:rsidRDefault="00444D75" w:rsidP="009C1193">
      <w:pPr>
        <w:widowControl w:val="0"/>
        <w:tabs>
          <w:tab w:val="clear" w:pos="567"/>
        </w:tabs>
        <w:spacing w:line="240" w:lineRule="auto"/>
        <w:rPr>
          <w:color w:val="000000"/>
          <w:szCs w:val="22"/>
          <w:lang w:val="pl-PL"/>
        </w:rPr>
      </w:pPr>
    </w:p>
    <w:p w14:paraId="5297A325" w14:textId="77777777" w:rsidR="00444D75" w:rsidRPr="004A59B1" w:rsidRDefault="00444D75" w:rsidP="009C1193">
      <w:pPr>
        <w:widowControl w:val="0"/>
        <w:tabs>
          <w:tab w:val="clear" w:pos="567"/>
        </w:tabs>
        <w:spacing w:line="240" w:lineRule="auto"/>
        <w:ind w:left="567" w:hanging="567"/>
        <w:rPr>
          <w:b/>
          <w:color w:val="000000"/>
          <w:szCs w:val="22"/>
          <w:lang w:val="pl-PL"/>
        </w:rPr>
      </w:pPr>
      <w:r w:rsidRPr="004A59B1">
        <w:rPr>
          <w:b/>
          <w:color w:val="000000"/>
          <w:szCs w:val="22"/>
          <w:lang w:val="pl-PL"/>
        </w:rPr>
        <w:t>10.</w:t>
      </w:r>
      <w:r w:rsidRPr="004A59B1">
        <w:rPr>
          <w:b/>
          <w:color w:val="000000"/>
          <w:szCs w:val="22"/>
          <w:lang w:val="pl-PL"/>
        </w:rPr>
        <w:tab/>
        <w:t>DATUM ZADNJE REVIZIJE BESEDILA</w:t>
      </w:r>
    </w:p>
    <w:p w14:paraId="5297A326" w14:textId="77777777" w:rsidR="007B4621" w:rsidRPr="004A59B1" w:rsidRDefault="007B4621" w:rsidP="009C1193">
      <w:pPr>
        <w:widowControl w:val="0"/>
        <w:tabs>
          <w:tab w:val="clear" w:pos="567"/>
        </w:tabs>
        <w:spacing w:line="240" w:lineRule="auto"/>
        <w:ind w:left="567" w:hanging="567"/>
        <w:rPr>
          <w:bCs/>
          <w:color w:val="000000"/>
          <w:szCs w:val="22"/>
          <w:lang w:val="pl-PL"/>
        </w:rPr>
      </w:pPr>
    </w:p>
    <w:p w14:paraId="5297A327" w14:textId="77777777" w:rsidR="007B4621" w:rsidRPr="004A59B1" w:rsidRDefault="007B4621" w:rsidP="009C1193">
      <w:pPr>
        <w:widowControl w:val="0"/>
        <w:tabs>
          <w:tab w:val="clear" w:pos="567"/>
        </w:tabs>
        <w:spacing w:line="240" w:lineRule="auto"/>
        <w:ind w:left="567" w:hanging="567"/>
        <w:rPr>
          <w:bCs/>
          <w:color w:val="000000"/>
          <w:szCs w:val="22"/>
          <w:lang w:val="pl-PL"/>
        </w:rPr>
      </w:pPr>
    </w:p>
    <w:p w14:paraId="5297A328" w14:textId="77777777" w:rsidR="007B4621" w:rsidRPr="004A59B1" w:rsidRDefault="007B4621" w:rsidP="009C1193">
      <w:pPr>
        <w:pStyle w:val="Text"/>
        <w:widowControl w:val="0"/>
        <w:tabs>
          <w:tab w:val="left" w:pos="567"/>
        </w:tabs>
        <w:spacing w:before="0"/>
        <w:jc w:val="left"/>
        <w:rPr>
          <w:color w:val="000000"/>
          <w:sz w:val="22"/>
          <w:szCs w:val="22"/>
          <w:lang w:val="pl-PL"/>
        </w:rPr>
      </w:pPr>
      <w:r w:rsidRPr="004A59B1">
        <w:rPr>
          <w:color w:val="000000"/>
          <w:sz w:val="22"/>
          <w:szCs w:val="22"/>
          <w:lang w:val="pl-PL"/>
        </w:rPr>
        <w:t>Podrobne informacije o zdravilu so objavljene na spletni strani Evropske agencije za zdravila http://www.ema.europa.eu</w:t>
      </w:r>
      <w:r w:rsidR="006E3868" w:rsidRPr="004A59B1">
        <w:rPr>
          <w:color w:val="000000"/>
          <w:sz w:val="22"/>
          <w:szCs w:val="22"/>
          <w:lang w:val="pl-PL"/>
        </w:rPr>
        <w:t>.</w:t>
      </w:r>
    </w:p>
    <w:p w14:paraId="5297A329" w14:textId="77777777" w:rsidR="007B4621" w:rsidRPr="004A59B1" w:rsidRDefault="007B4621" w:rsidP="009C1193">
      <w:pPr>
        <w:widowControl w:val="0"/>
        <w:tabs>
          <w:tab w:val="clear" w:pos="567"/>
        </w:tabs>
        <w:spacing w:line="240" w:lineRule="auto"/>
        <w:ind w:left="567" w:hanging="567"/>
        <w:rPr>
          <w:color w:val="000000"/>
          <w:szCs w:val="22"/>
          <w:lang w:val="pl-PL"/>
        </w:rPr>
      </w:pPr>
    </w:p>
    <w:p w14:paraId="5297A32A" w14:textId="77777777" w:rsidR="00FF48C2" w:rsidRPr="004A59B1" w:rsidRDefault="00444D75" w:rsidP="009C1193">
      <w:pPr>
        <w:pStyle w:val="TextChar"/>
        <w:widowControl w:val="0"/>
        <w:spacing w:before="0"/>
        <w:jc w:val="left"/>
        <w:rPr>
          <w:color w:val="000000"/>
          <w:szCs w:val="22"/>
          <w:lang w:val="sl-SI"/>
        </w:rPr>
      </w:pPr>
      <w:r w:rsidRPr="004A59B1">
        <w:rPr>
          <w:b/>
          <w:color w:val="000000"/>
          <w:szCs w:val="22"/>
          <w:lang w:val="pl-PL"/>
        </w:rPr>
        <w:br w:type="page"/>
      </w:r>
    </w:p>
    <w:p w14:paraId="5297A32B" w14:textId="77777777" w:rsidR="00FF48C2" w:rsidRPr="004A59B1" w:rsidRDefault="00FF48C2" w:rsidP="009C1193">
      <w:pPr>
        <w:pStyle w:val="EndnoteText"/>
        <w:widowControl w:val="0"/>
        <w:rPr>
          <w:color w:val="000000"/>
          <w:szCs w:val="22"/>
          <w:lang w:val="sl-SI"/>
        </w:rPr>
      </w:pPr>
    </w:p>
    <w:p w14:paraId="5297A32C" w14:textId="77777777" w:rsidR="00841424" w:rsidRPr="004A59B1" w:rsidRDefault="00841424" w:rsidP="009C1193">
      <w:pPr>
        <w:widowControl w:val="0"/>
        <w:rPr>
          <w:color w:val="000000"/>
          <w:szCs w:val="22"/>
          <w:lang w:val="pl-PL"/>
        </w:rPr>
      </w:pPr>
    </w:p>
    <w:p w14:paraId="5297A32D" w14:textId="77777777" w:rsidR="00841424" w:rsidRPr="004A59B1" w:rsidRDefault="00841424" w:rsidP="009C1193">
      <w:pPr>
        <w:widowControl w:val="0"/>
        <w:rPr>
          <w:color w:val="000000"/>
          <w:szCs w:val="22"/>
          <w:lang w:val="pl-PL"/>
        </w:rPr>
      </w:pPr>
    </w:p>
    <w:p w14:paraId="5297A32E" w14:textId="77777777" w:rsidR="00841424" w:rsidRPr="004A59B1" w:rsidRDefault="00841424" w:rsidP="009C1193">
      <w:pPr>
        <w:widowControl w:val="0"/>
        <w:rPr>
          <w:color w:val="000000"/>
          <w:szCs w:val="22"/>
          <w:lang w:val="pl-PL"/>
        </w:rPr>
      </w:pPr>
    </w:p>
    <w:p w14:paraId="5297A32F" w14:textId="77777777" w:rsidR="00841424" w:rsidRPr="004A59B1" w:rsidRDefault="00841424" w:rsidP="009C1193">
      <w:pPr>
        <w:widowControl w:val="0"/>
        <w:rPr>
          <w:color w:val="000000"/>
          <w:szCs w:val="22"/>
          <w:lang w:val="pl-PL"/>
        </w:rPr>
      </w:pPr>
    </w:p>
    <w:p w14:paraId="5297A330" w14:textId="77777777" w:rsidR="00841424" w:rsidRDefault="00841424" w:rsidP="009C1193">
      <w:pPr>
        <w:widowControl w:val="0"/>
        <w:rPr>
          <w:color w:val="000000"/>
          <w:szCs w:val="22"/>
          <w:lang w:val="pl-PL"/>
        </w:rPr>
      </w:pPr>
    </w:p>
    <w:p w14:paraId="5297A331" w14:textId="77777777" w:rsidR="000A6242" w:rsidRDefault="000A6242" w:rsidP="009C1193">
      <w:pPr>
        <w:widowControl w:val="0"/>
        <w:rPr>
          <w:color w:val="000000"/>
          <w:szCs w:val="22"/>
          <w:lang w:val="pl-PL"/>
        </w:rPr>
      </w:pPr>
    </w:p>
    <w:p w14:paraId="5297A332" w14:textId="77777777" w:rsidR="000A6242" w:rsidRDefault="000A6242" w:rsidP="009C1193">
      <w:pPr>
        <w:widowControl w:val="0"/>
        <w:rPr>
          <w:color w:val="000000"/>
          <w:szCs w:val="22"/>
          <w:lang w:val="pl-PL"/>
        </w:rPr>
      </w:pPr>
    </w:p>
    <w:p w14:paraId="5297A333" w14:textId="77777777" w:rsidR="000A6242" w:rsidRPr="004A59B1" w:rsidRDefault="000A6242" w:rsidP="009C1193">
      <w:pPr>
        <w:widowControl w:val="0"/>
        <w:rPr>
          <w:color w:val="000000"/>
          <w:szCs w:val="22"/>
          <w:lang w:val="pl-PL"/>
        </w:rPr>
      </w:pPr>
    </w:p>
    <w:p w14:paraId="5297A334" w14:textId="77777777" w:rsidR="00841424" w:rsidRPr="004A59B1" w:rsidRDefault="00841424" w:rsidP="009C1193">
      <w:pPr>
        <w:widowControl w:val="0"/>
        <w:rPr>
          <w:color w:val="000000"/>
          <w:szCs w:val="22"/>
          <w:lang w:val="pl-PL"/>
        </w:rPr>
      </w:pPr>
    </w:p>
    <w:p w14:paraId="5297A335" w14:textId="77777777" w:rsidR="00841424" w:rsidRPr="004A59B1" w:rsidRDefault="00841424" w:rsidP="009C1193">
      <w:pPr>
        <w:widowControl w:val="0"/>
        <w:rPr>
          <w:color w:val="000000"/>
          <w:szCs w:val="22"/>
          <w:lang w:val="pl-PL"/>
        </w:rPr>
      </w:pPr>
    </w:p>
    <w:p w14:paraId="5297A336" w14:textId="77777777" w:rsidR="00841424" w:rsidRPr="004A59B1" w:rsidRDefault="00841424" w:rsidP="009C1193">
      <w:pPr>
        <w:widowControl w:val="0"/>
        <w:rPr>
          <w:color w:val="000000"/>
          <w:szCs w:val="22"/>
          <w:lang w:val="pl-PL"/>
        </w:rPr>
      </w:pPr>
    </w:p>
    <w:p w14:paraId="5297A337" w14:textId="77777777" w:rsidR="00841424" w:rsidRPr="004A59B1" w:rsidRDefault="00841424" w:rsidP="009C1193">
      <w:pPr>
        <w:widowControl w:val="0"/>
        <w:rPr>
          <w:color w:val="000000"/>
          <w:szCs w:val="22"/>
          <w:lang w:val="pl-PL"/>
        </w:rPr>
      </w:pPr>
    </w:p>
    <w:p w14:paraId="5297A338" w14:textId="77777777" w:rsidR="00841424" w:rsidRPr="004A59B1" w:rsidRDefault="00841424" w:rsidP="009C1193">
      <w:pPr>
        <w:widowControl w:val="0"/>
        <w:rPr>
          <w:color w:val="000000"/>
          <w:szCs w:val="22"/>
          <w:lang w:val="pl-PL"/>
        </w:rPr>
      </w:pPr>
    </w:p>
    <w:p w14:paraId="5297A339" w14:textId="77777777" w:rsidR="00841424" w:rsidRPr="004A59B1" w:rsidRDefault="00841424" w:rsidP="009C1193">
      <w:pPr>
        <w:widowControl w:val="0"/>
        <w:rPr>
          <w:color w:val="000000"/>
          <w:szCs w:val="22"/>
          <w:lang w:val="pl-PL"/>
        </w:rPr>
      </w:pPr>
    </w:p>
    <w:p w14:paraId="5297A33A" w14:textId="77777777" w:rsidR="00841424" w:rsidRPr="004A59B1" w:rsidRDefault="00841424" w:rsidP="009C1193">
      <w:pPr>
        <w:widowControl w:val="0"/>
        <w:rPr>
          <w:color w:val="000000"/>
          <w:szCs w:val="22"/>
          <w:lang w:val="pl-PL"/>
        </w:rPr>
      </w:pPr>
    </w:p>
    <w:p w14:paraId="5297A33B" w14:textId="77777777" w:rsidR="00841424" w:rsidRPr="004A59B1" w:rsidRDefault="00841424" w:rsidP="009C1193">
      <w:pPr>
        <w:widowControl w:val="0"/>
        <w:rPr>
          <w:color w:val="000000"/>
          <w:szCs w:val="22"/>
          <w:lang w:val="pl-PL"/>
        </w:rPr>
      </w:pPr>
    </w:p>
    <w:p w14:paraId="5297A33C" w14:textId="77777777" w:rsidR="00841424" w:rsidRPr="004A59B1" w:rsidRDefault="00841424" w:rsidP="009C1193">
      <w:pPr>
        <w:widowControl w:val="0"/>
        <w:rPr>
          <w:color w:val="000000"/>
          <w:szCs w:val="22"/>
          <w:lang w:val="pl-PL"/>
        </w:rPr>
      </w:pPr>
    </w:p>
    <w:p w14:paraId="5297A33D" w14:textId="77777777" w:rsidR="00841424" w:rsidRPr="004A59B1" w:rsidRDefault="00841424" w:rsidP="009C1193">
      <w:pPr>
        <w:widowControl w:val="0"/>
        <w:rPr>
          <w:color w:val="000000"/>
          <w:szCs w:val="22"/>
          <w:lang w:val="pl-PL"/>
        </w:rPr>
      </w:pPr>
    </w:p>
    <w:p w14:paraId="5297A33E" w14:textId="77777777" w:rsidR="00841424" w:rsidRPr="004A59B1" w:rsidRDefault="00841424" w:rsidP="009C1193">
      <w:pPr>
        <w:widowControl w:val="0"/>
        <w:rPr>
          <w:color w:val="000000"/>
          <w:szCs w:val="22"/>
          <w:lang w:val="pl-PL"/>
        </w:rPr>
      </w:pPr>
    </w:p>
    <w:p w14:paraId="5297A33F" w14:textId="77777777" w:rsidR="00841424" w:rsidRPr="004A59B1" w:rsidRDefault="00841424" w:rsidP="009C1193">
      <w:pPr>
        <w:widowControl w:val="0"/>
        <w:rPr>
          <w:color w:val="000000"/>
          <w:szCs w:val="22"/>
          <w:lang w:val="pl-PL"/>
        </w:rPr>
      </w:pPr>
    </w:p>
    <w:p w14:paraId="5297A340" w14:textId="77777777" w:rsidR="00841424" w:rsidRPr="004A59B1" w:rsidRDefault="00841424" w:rsidP="009C1193">
      <w:pPr>
        <w:widowControl w:val="0"/>
        <w:rPr>
          <w:color w:val="000000"/>
          <w:szCs w:val="22"/>
          <w:lang w:val="pl-PL"/>
        </w:rPr>
      </w:pPr>
    </w:p>
    <w:p w14:paraId="5297A341" w14:textId="77777777" w:rsidR="00841424" w:rsidRPr="004A59B1" w:rsidRDefault="00841424" w:rsidP="009C1193">
      <w:pPr>
        <w:widowControl w:val="0"/>
        <w:rPr>
          <w:color w:val="000000"/>
          <w:szCs w:val="22"/>
          <w:lang w:val="pl-PL"/>
        </w:rPr>
      </w:pPr>
    </w:p>
    <w:p w14:paraId="5297A342" w14:textId="77777777" w:rsidR="00841424" w:rsidRPr="004A59B1" w:rsidRDefault="00841424" w:rsidP="009C1193">
      <w:pPr>
        <w:widowControl w:val="0"/>
        <w:jc w:val="center"/>
        <w:rPr>
          <w:b/>
          <w:color w:val="000000"/>
          <w:szCs w:val="22"/>
          <w:lang w:val="pl-PL"/>
        </w:rPr>
      </w:pPr>
      <w:r w:rsidRPr="004A59B1">
        <w:rPr>
          <w:b/>
          <w:color w:val="000000"/>
          <w:szCs w:val="22"/>
          <w:lang w:val="pl-PL"/>
        </w:rPr>
        <w:t>PRILOGA II</w:t>
      </w:r>
    </w:p>
    <w:p w14:paraId="5297A343" w14:textId="77777777" w:rsidR="00841424" w:rsidRPr="004A59B1" w:rsidRDefault="00841424" w:rsidP="009C1193">
      <w:pPr>
        <w:widowControl w:val="0"/>
        <w:ind w:right="1416"/>
        <w:rPr>
          <w:color w:val="000000"/>
          <w:szCs w:val="22"/>
          <w:lang w:val="pl-PL"/>
        </w:rPr>
      </w:pPr>
    </w:p>
    <w:p w14:paraId="5297A344" w14:textId="77777777" w:rsidR="00841424" w:rsidRPr="004A59B1" w:rsidRDefault="00841424" w:rsidP="009C1193">
      <w:pPr>
        <w:widowControl w:val="0"/>
        <w:tabs>
          <w:tab w:val="left" w:pos="1701"/>
        </w:tabs>
        <w:ind w:left="1701" w:right="1416" w:hanging="567"/>
        <w:rPr>
          <w:b/>
          <w:color w:val="000000"/>
          <w:szCs w:val="22"/>
          <w:lang w:val="pl-PL"/>
        </w:rPr>
      </w:pPr>
      <w:r w:rsidRPr="004A59B1">
        <w:rPr>
          <w:b/>
          <w:color w:val="000000"/>
          <w:szCs w:val="22"/>
          <w:lang w:val="pl-PL"/>
        </w:rPr>
        <w:t>A.</w:t>
      </w:r>
      <w:r w:rsidRPr="004A59B1">
        <w:rPr>
          <w:b/>
          <w:color w:val="000000"/>
          <w:szCs w:val="22"/>
          <w:lang w:val="pl-PL"/>
        </w:rPr>
        <w:tab/>
        <w:t>IZDELOVALEC, ODGOVOREN ZA SPROŠČANJE SERIJ</w:t>
      </w:r>
    </w:p>
    <w:p w14:paraId="5297A345" w14:textId="77777777" w:rsidR="00841424" w:rsidRPr="004A59B1" w:rsidRDefault="00841424" w:rsidP="009C1193">
      <w:pPr>
        <w:widowControl w:val="0"/>
        <w:ind w:right="1416"/>
        <w:rPr>
          <w:color w:val="000000"/>
          <w:szCs w:val="22"/>
          <w:lang w:val="pl-PL"/>
        </w:rPr>
      </w:pPr>
    </w:p>
    <w:p w14:paraId="5297A346" w14:textId="77777777" w:rsidR="00841424" w:rsidRPr="004A59B1" w:rsidRDefault="00841424" w:rsidP="009C1193">
      <w:pPr>
        <w:widowControl w:val="0"/>
        <w:tabs>
          <w:tab w:val="left" w:pos="1701"/>
        </w:tabs>
        <w:ind w:left="1134" w:right="1416"/>
        <w:rPr>
          <w:b/>
          <w:color w:val="000000"/>
          <w:szCs w:val="22"/>
          <w:lang w:val="pl-PL"/>
        </w:rPr>
      </w:pPr>
      <w:r w:rsidRPr="004A59B1">
        <w:rPr>
          <w:b/>
          <w:color w:val="000000"/>
          <w:szCs w:val="22"/>
          <w:lang w:val="pl-PL"/>
        </w:rPr>
        <w:t>B.</w:t>
      </w:r>
      <w:r w:rsidRPr="004A59B1">
        <w:rPr>
          <w:b/>
          <w:color w:val="000000"/>
          <w:szCs w:val="22"/>
          <w:lang w:val="pl-PL"/>
        </w:rPr>
        <w:tab/>
        <w:t>POGOJI ALI OMEJITVE GLEDE OSKRBE IN UPORABE</w:t>
      </w:r>
    </w:p>
    <w:p w14:paraId="5297A347" w14:textId="77777777" w:rsidR="00841424" w:rsidRPr="004A59B1" w:rsidRDefault="00841424" w:rsidP="009C1193">
      <w:pPr>
        <w:widowControl w:val="0"/>
        <w:tabs>
          <w:tab w:val="left" w:pos="1701"/>
        </w:tabs>
        <w:ind w:right="1416"/>
        <w:rPr>
          <w:color w:val="000000"/>
          <w:szCs w:val="22"/>
          <w:lang w:val="pl-PL"/>
        </w:rPr>
      </w:pPr>
    </w:p>
    <w:p w14:paraId="5297A348" w14:textId="77777777" w:rsidR="00841424" w:rsidRPr="004A59B1" w:rsidRDefault="00841424" w:rsidP="009C1193">
      <w:pPr>
        <w:widowControl w:val="0"/>
        <w:tabs>
          <w:tab w:val="left" w:pos="1701"/>
        </w:tabs>
        <w:ind w:left="1689" w:right="1416" w:hanging="555"/>
        <w:rPr>
          <w:b/>
          <w:color w:val="000000"/>
          <w:szCs w:val="22"/>
          <w:lang w:val="pl-PL"/>
        </w:rPr>
      </w:pPr>
      <w:r w:rsidRPr="004A59B1">
        <w:rPr>
          <w:b/>
          <w:color w:val="000000"/>
          <w:szCs w:val="22"/>
          <w:lang w:val="pl-PL"/>
        </w:rPr>
        <w:t>C.</w:t>
      </w:r>
      <w:r w:rsidRPr="004A59B1">
        <w:rPr>
          <w:b/>
          <w:color w:val="000000"/>
          <w:szCs w:val="22"/>
          <w:lang w:val="pl-PL"/>
        </w:rPr>
        <w:tab/>
        <w:t>DRUGI POGOJI IN ZAHTEVE DOVOLJENJA ZA PROMET Z ZDRAVILOM</w:t>
      </w:r>
    </w:p>
    <w:p w14:paraId="5297A349" w14:textId="77777777" w:rsidR="004C502E" w:rsidRPr="004A59B1" w:rsidRDefault="004C502E" w:rsidP="009C1193">
      <w:pPr>
        <w:widowControl w:val="0"/>
        <w:tabs>
          <w:tab w:val="clear" w:pos="567"/>
        </w:tabs>
        <w:ind w:right="1416"/>
        <w:rPr>
          <w:color w:val="000000"/>
          <w:szCs w:val="22"/>
          <w:lang w:val="pl-PL"/>
        </w:rPr>
      </w:pPr>
    </w:p>
    <w:p w14:paraId="5297A34A" w14:textId="77777777" w:rsidR="004C502E" w:rsidRPr="004A59B1" w:rsidRDefault="004C502E" w:rsidP="009C1193">
      <w:pPr>
        <w:widowControl w:val="0"/>
        <w:ind w:left="1701" w:right="1416" w:hanging="567"/>
        <w:rPr>
          <w:b/>
          <w:szCs w:val="22"/>
          <w:lang w:val="pl-PL"/>
        </w:rPr>
      </w:pPr>
      <w:r w:rsidRPr="004A59B1">
        <w:rPr>
          <w:b/>
          <w:szCs w:val="22"/>
          <w:lang w:val="pl-PL"/>
        </w:rPr>
        <w:t>D.</w:t>
      </w:r>
      <w:r w:rsidRPr="004A59B1">
        <w:rPr>
          <w:b/>
          <w:szCs w:val="22"/>
          <w:lang w:val="pl-PL"/>
        </w:rPr>
        <w:tab/>
      </w:r>
      <w:r w:rsidRPr="004A59B1">
        <w:rPr>
          <w:b/>
          <w:caps/>
          <w:szCs w:val="22"/>
          <w:lang w:val="pl-PL"/>
        </w:rPr>
        <w:t>POGOJI ALI OMEJITVE V ZVEZI Z VARNO IN UČINKOVITO UPORABO ZDRAVILA</w:t>
      </w:r>
    </w:p>
    <w:p w14:paraId="5297A34B" w14:textId="77777777" w:rsidR="004C502E" w:rsidRPr="004A59B1" w:rsidRDefault="004C502E" w:rsidP="009C1193">
      <w:pPr>
        <w:widowControl w:val="0"/>
        <w:tabs>
          <w:tab w:val="clear" w:pos="567"/>
        </w:tabs>
        <w:ind w:right="1416"/>
        <w:rPr>
          <w:color w:val="000000"/>
          <w:szCs w:val="22"/>
          <w:lang w:val="pl-PL"/>
        </w:rPr>
      </w:pPr>
    </w:p>
    <w:p w14:paraId="5297A34C" w14:textId="77777777" w:rsidR="00841424" w:rsidRPr="00BD5EB8" w:rsidRDefault="00841424" w:rsidP="009C1193">
      <w:pPr>
        <w:widowControl w:val="0"/>
        <w:ind w:left="567" w:hanging="567"/>
        <w:rPr>
          <w:szCs w:val="22"/>
          <w:lang w:val="pl-PL"/>
        </w:rPr>
      </w:pPr>
      <w:r w:rsidRPr="004A59B1">
        <w:rPr>
          <w:color w:val="000000"/>
          <w:szCs w:val="22"/>
          <w:lang w:val="pl-PL"/>
        </w:rPr>
        <w:br w:type="page"/>
      </w:r>
      <w:r w:rsidRPr="00BD5EB8">
        <w:rPr>
          <w:b/>
          <w:szCs w:val="22"/>
          <w:lang w:val="pl-PL"/>
        </w:rPr>
        <w:lastRenderedPageBreak/>
        <w:t>A.</w:t>
      </w:r>
      <w:r w:rsidRPr="00BD5EB8">
        <w:rPr>
          <w:b/>
          <w:szCs w:val="22"/>
          <w:lang w:val="pl-PL"/>
        </w:rPr>
        <w:tab/>
        <w:t>IZDELOVALEC, ODGOVOREN ZA SPROŠČANJE SERIJ</w:t>
      </w:r>
    </w:p>
    <w:p w14:paraId="5297A34D" w14:textId="77777777" w:rsidR="00841424" w:rsidRPr="00BD5EB8" w:rsidRDefault="00841424" w:rsidP="009C1193">
      <w:pPr>
        <w:widowControl w:val="0"/>
        <w:ind w:right="1416"/>
        <w:rPr>
          <w:szCs w:val="22"/>
          <w:lang w:val="pl-PL"/>
        </w:rPr>
      </w:pPr>
    </w:p>
    <w:p w14:paraId="5297A34E" w14:textId="77777777" w:rsidR="00841424" w:rsidRPr="00BD5EB8" w:rsidRDefault="00841424" w:rsidP="009C1193">
      <w:pPr>
        <w:widowControl w:val="0"/>
        <w:rPr>
          <w:szCs w:val="22"/>
          <w:lang w:val="pl-PL"/>
        </w:rPr>
      </w:pPr>
      <w:r w:rsidRPr="00BD5EB8">
        <w:rPr>
          <w:szCs w:val="22"/>
          <w:u w:val="single"/>
          <w:lang w:val="pl-PL"/>
        </w:rPr>
        <w:t>Ime in naslov izdelovalca, odgovornega za sproščanje serij</w:t>
      </w:r>
    </w:p>
    <w:p w14:paraId="5297A34F" w14:textId="77777777" w:rsidR="00841424" w:rsidRPr="00BD5EB8" w:rsidRDefault="00841424" w:rsidP="009C1193">
      <w:pPr>
        <w:widowControl w:val="0"/>
        <w:rPr>
          <w:szCs w:val="22"/>
          <w:lang w:val="pl-PL"/>
        </w:rPr>
      </w:pPr>
    </w:p>
    <w:p w14:paraId="5297A350" w14:textId="77777777" w:rsidR="00BD5EB8" w:rsidRPr="002905B8" w:rsidRDefault="00BD5EB8" w:rsidP="009C1193">
      <w:pPr>
        <w:widowControl w:val="0"/>
        <w:tabs>
          <w:tab w:val="left" w:pos="7513"/>
        </w:tabs>
        <w:spacing w:line="240" w:lineRule="auto"/>
        <w:rPr>
          <w:szCs w:val="22"/>
          <w:lang w:val="fr-CH"/>
        </w:rPr>
      </w:pPr>
      <w:r w:rsidRPr="002905B8">
        <w:rPr>
          <w:szCs w:val="22"/>
          <w:lang w:val="fr-CH"/>
        </w:rPr>
        <w:t>Lek d.d, PE PROIZVODNJA LENDAVA</w:t>
      </w:r>
    </w:p>
    <w:p w14:paraId="5297A351" w14:textId="77777777" w:rsidR="00BD5EB8" w:rsidRPr="00BD5EB8" w:rsidRDefault="00BD5EB8" w:rsidP="009C1193">
      <w:pPr>
        <w:widowControl w:val="0"/>
        <w:tabs>
          <w:tab w:val="left" w:pos="7513"/>
        </w:tabs>
        <w:spacing w:line="240" w:lineRule="auto"/>
        <w:rPr>
          <w:szCs w:val="22"/>
          <w:lang w:val="fr-CH"/>
        </w:rPr>
      </w:pPr>
      <w:r w:rsidRPr="00BD5EB8">
        <w:rPr>
          <w:szCs w:val="22"/>
          <w:lang w:val="fr-CH"/>
        </w:rPr>
        <w:t>Trimlini 2D</w:t>
      </w:r>
    </w:p>
    <w:p w14:paraId="5297A352" w14:textId="77777777" w:rsidR="00BD5EB8" w:rsidRPr="00BD5EB8" w:rsidRDefault="00BD5EB8" w:rsidP="009C1193">
      <w:pPr>
        <w:widowControl w:val="0"/>
        <w:tabs>
          <w:tab w:val="left" w:pos="7513"/>
        </w:tabs>
        <w:spacing w:line="240" w:lineRule="auto"/>
        <w:rPr>
          <w:szCs w:val="22"/>
          <w:lang w:val="fr-CH"/>
        </w:rPr>
      </w:pPr>
      <w:r w:rsidRPr="00BD5EB8">
        <w:rPr>
          <w:szCs w:val="22"/>
          <w:lang w:val="fr-CH"/>
        </w:rPr>
        <w:t>Lendava, 9220</w:t>
      </w:r>
    </w:p>
    <w:p w14:paraId="5297A353" w14:textId="77777777" w:rsidR="00BD5EB8" w:rsidRPr="00BD5EB8" w:rsidRDefault="00BD5EB8" w:rsidP="009C1193">
      <w:pPr>
        <w:widowControl w:val="0"/>
        <w:tabs>
          <w:tab w:val="left" w:pos="7513"/>
        </w:tabs>
        <w:spacing w:line="240" w:lineRule="auto"/>
        <w:rPr>
          <w:szCs w:val="22"/>
          <w:lang w:val="pt-BR"/>
        </w:rPr>
      </w:pPr>
      <w:r w:rsidRPr="00BD5EB8">
        <w:rPr>
          <w:szCs w:val="22"/>
          <w:lang w:val="fr-CH"/>
        </w:rPr>
        <w:t>Sloveni</w:t>
      </w:r>
      <w:r>
        <w:rPr>
          <w:szCs w:val="22"/>
          <w:lang w:val="fr-CH"/>
        </w:rPr>
        <w:t>j</w:t>
      </w:r>
      <w:r w:rsidRPr="00BD5EB8">
        <w:rPr>
          <w:szCs w:val="22"/>
          <w:lang w:val="fr-CH"/>
        </w:rPr>
        <w:t>a</w:t>
      </w:r>
    </w:p>
    <w:p w14:paraId="5297A354" w14:textId="77777777" w:rsidR="00BD5EB8" w:rsidRPr="00BD5EB8" w:rsidRDefault="00BD5EB8" w:rsidP="009C1193">
      <w:pPr>
        <w:widowControl w:val="0"/>
        <w:tabs>
          <w:tab w:val="left" w:pos="7513"/>
        </w:tabs>
        <w:spacing w:line="240" w:lineRule="auto"/>
        <w:rPr>
          <w:szCs w:val="22"/>
          <w:lang w:val="pt-BR"/>
        </w:rPr>
      </w:pPr>
    </w:p>
    <w:p w14:paraId="5297A355" w14:textId="77777777" w:rsidR="00841424" w:rsidRPr="002905B8" w:rsidRDefault="00841424" w:rsidP="009C1193">
      <w:pPr>
        <w:widowControl w:val="0"/>
        <w:tabs>
          <w:tab w:val="left" w:pos="7513"/>
        </w:tabs>
        <w:rPr>
          <w:szCs w:val="22"/>
          <w:lang w:val="fr-CH"/>
        </w:rPr>
      </w:pPr>
      <w:r w:rsidRPr="002905B8">
        <w:rPr>
          <w:szCs w:val="22"/>
          <w:lang w:val="fr-CH"/>
        </w:rPr>
        <w:t>Novartis Pharma GmbH</w:t>
      </w:r>
    </w:p>
    <w:p w14:paraId="5297A356" w14:textId="77777777" w:rsidR="00841424" w:rsidRPr="00BD5EB8" w:rsidRDefault="00841424" w:rsidP="009C1193">
      <w:pPr>
        <w:widowControl w:val="0"/>
        <w:tabs>
          <w:tab w:val="left" w:pos="7513"/>
        </w:tabs>
        <w:rPr>
          <w:szCs w:val="22"/>
          <w:lang w:val="de-CH"/>
        </w:rPr>
      </w:pPr>
      <w:r w:rsidRPr="00BD5EB8">
        <w:rPr>
          <w:szCs w:val="22"/>
          <w:lang w:val="de-CH"/>
        </w:rPr>
        <w:t>Roonstrasse 25</w:t>
      </w:r>
    </w:p>
    <w:p w14:paraId="5297A357" w14:textId="77777777" w:rsidR="00841424" w:rsidRPr="00BD5EB8" w:rsidRDefault="00841424" w:rsidP="009C1193">
      <w:pPr>
        <w:widowControl w:val="0"/>
        <w:spacing w:line="240" w:lineRule="auto"/>
        <w:ind w:left="709" w:hanging="709"/>
        <w:rPr>
          <w:snapToGrid w:val="0"/>
          <w:szCs w:val="22"/>
          <w:lang w:val="de-CH"/>
        </w:rPr>
      </w:pPr>
      <w:r w:rsidRPr="00BD5EB8">
        <w:rPr>
          <w:szCs w:val="22"/>
          <w:lang w:val="de-CH"/>
        </w:rPr>
        <w:t xml:space="preserve">D-90429 </w:t>
      </w:r>
      <w:r w:rsidRPr="00BD5EB8">
        <w:rPr>
          <w:snapToGrid w:val="0"/>
          <w:szCs w:val="22"/>
          <w:lang w:val="de-CH"/>
        </w:rPr>
        <w:t>Nürnberg</w:t>
      </w:r>
    </w:p>
    <w:p w14:paraId="5297A358" w14:textId="77777777" w:rsidR="00841424" w:rsidRPr="002227FB" w:rsidRDefault="00841424" w:rsidP="009C1193">
      <w:pPr>
        <w:pStyle w:val="EndnoteText"/>
        <w:widowControl w:val="0"/>
        <w:numPr>
          <w:ilvl w:val="12"/>
          <w:numId w:val="0"/>
        </w:numPr>
        <w:tabs>
          <w:tab w:val="clear" w:pos="567"/>
        </w:tabs>
        <w:rPr>
          <w:snapToGrid w:val="0"/>
          <w:szCs w:val="22"/>
          <w:lang w:val="en-US"/>
        </w:rPr>
      </w:pPr>
      <w:r w:rsidRPr="002227FB">
        <w:rPr>
          <w:snapToGrid w:val="0"/>
          <w:szCs w:val="22"/>
          <w:lang w:val="en-US"/>
        </w:rPr>
        <w:t>Nemčija</w:t>
      </w:r>
    </w:p>
    <w:p w14:paraId="5297A359" w14:textId="2ACF2F56" w:rsidR="00841424" w:rsidRPr="002227FB" w:rsidRDefault="00841424" w:rsidP="009C1193">
      <w:pPr>
        <w:widowControl w:val="0"/>
        <w:rPr>
          <w:szCs w:val="22"/>
          <w:lang w:val="en-US"/>
        </w:rPr>
      </w:pPr>
    </w:p>
    <w:p w14:paraId="31FDF05A" w14:textId="77777777" w:rsidR="00915BAD" w:rsidRPr="002227FB" w:rsidRDefault="00915BAD" w:rsidP="00915BAD">
      <w:pPr>
        <w:widowControl w:val="0"/>
        <w:rPr>
          <w:szCs w:val="22"/>
          <w:lang w:val="en-US"/>
        </w:rPr>
      </w:pPr>
      <w:r w:rsidRPr="002227FB">
        <w:rPr>
          <w:szCs w:val="22"/>
          <w:lang w:val="en-US"/>
        </w:rPr>
        <w:t>Sandoz S.R.L.</w:t>
      </w:r>
    </w:p>
    <w:p w14:paraId="75FA876E" w14:textId="77777777" w:rsidR="00915BAD" w:rsidRPr="002227FB" w:rsidRDefault="00915BAD" w:rsidP="00915BAD">
      <w:pPr>
        <w:widowControl w:val="0"/>
        <w:rPr>
          <w:szCs w:val="22"/>
          <w:lang w:val="en-US"/>
        </w:rPr>
      </w:pPr>
      <w:r w:rsidRPr="002227FB">
        <w:rPr>
          <w:szCs w:val="22"/>
          <w:lang w:val="en-US"/>
        </w:rPr>
        <w:t>Str. Livezeni nr. 7A</w:t>
      </w:r>
    </w:p>
    <w:p w14:paraId="272A85E4" w14:textId="77777777" w:rsidR="00915BAD" w:rsidRPr="002227FB" w:rsidRDefault="00915BAD" w:rsidP="00915BAD">
      <w:pPr>
        <w:widowControl w:val="0"/>
        <w:rPr>
          <w:szCs w:val="22"/>
          <w:lang w:val="en-US"/>
        </w:rPr>
      </w:pPr>
      <w:r w:rsidRPr="002227FB">
        <w:rPr>
          <w:szCs w:val="22"/>
          <w:lang w:val="en-US"/>
        </w:rPr>
        <w:t>540472, Targu Mures</w:t>
      </w:r>
    </w:p>
    <w:p w14:paraId="6957C537" w14:textId="2B514934" w:rsidR="00915BAD" w:rsidRPr="002227FB" w:rsidRDefault="00915BAD" w:rsidP="00915BAD">
      <w:pPr>
        <w:widowControl w:val="0"/>
        <w:rPr>
          <w:szCs w:val="22"/>
          <w:lang w:val="en-US"/>
        </w:rPr>
      </w:pPr>
      <w:r w:rsidRPr="002227FB">
        <w:rPr>
          <w:szCs w:val="22"/>
          <w:lang w:val="en-US"/>
        </w:rPr>
        <w:t>Romunija</w:t>
      </w:r>
    </w:p>
    <w:p w14:paraId="68721F3D" w14:textId="77777777" w:rsidR="00915BAD" w:rsidRPr="002227FB" w:rsidRDefault="00915BAD" w:rsidP="00915BAD">
      <w:pPr>
        <w:widowControl w:val="0"/>
        <w:rPr>
          <w:szCs w:val="22"/>
          <w:lang w:val="en-US"/>
        </w:rPr>
      </w:pPr>
    </w:p>
    <w:p w14:paraId="5297A35A" w14:textId="77777777" w:rsidR="00BD5EB8" w:rsidRPr="002227FB" w:rsidRDefault="00BD5EB8" w:rsidP="009C1193">
      <w:pPr>
        <w:widowControl w:val="0"/>
        <w:rPr>
          <w:szCs w:val="22"/>
          <w:lang w:val="en-US"/>
        </w:rPr>
      </w:pPr>
      <w:r w:rsidRPr="002227FB">
        <w:rPr>
          <w:szCs w:val="22"/>
          <w:lang w:val="en-US"/>
        </w:rPr>
        <w:t>V natisnjenem navodilu za uporabo zdravila morata biti navedena ime in naslov izdelovalca, odgovornega za sprostitev zadevne serije.</w:t>
      </w:r>
    </w:p>
    <w:p w14:paraId="5297A35B" w14:textId="77777777" w:rsidR="00BD5EB8" w:rsidRPr="002227FB" w:rsidRDefault="00BD5EB8" w:rsidP="009C1193">
      <w:pPr>
        <w:widowControl w:val="0"/>
        <w:rPr>
          <w:szCs w:val="22"/>
          <w:lang w:val="en-US"/>
        </w:rPr>
      </w:pPr>
    </w:p>
    <w:p w14:paraId="5297A35C" w14:textId="77777777" w:rsidR="00841424" w:rsidRPr="002227FB" w:rsidRDefault="00841424" w:rsidP="009C1193">
      <w:pPr>
        <w:widowControl w:val="0"/>
        <w:rPr>
          <w:szCs w:val="22"/>
          <w:lang w:val="en-US"/>
        </w:rPr>
      </w:pPr>
    </w:p>
    <w:p w14:paraId="5297A35D" w14:textId="77777777" w:rsidR="00841424" w:rsidRPr="002227FB" w:rsidRDefault="00841424" w:rsidP="000A6242">
      <w:pPr>
        <w:keepNext/>
        <w:widowControl w:val="0"/>
        <w:ind w:left="567" w:hanging="567"/>
        <w:rPr>
          <w:b/>
          <w:color w:val="000000"/>
          <w:szCs w:val="22"/>
          <w:lang w:val="en-US"/>
        </w:rPr>
      </w:pPr>
      <w:r w:rsidRPr="002227FB">
        <w:rPr>
          <w:b/>
          <w:color w:val="000000"/>
          <w:szCs w:val="22"/>
          <w:lang w:val="en-US"/>
        </w:rPr>
        <w:t>B.</w:t>
      </w:r>
      <w:r w:rsidRPr="002227FB">
        <w:rPr>
          <w:b/>
          <w:color w:val="000000"/>
          <w:szCs w:val="22"/>
          <w:lang w:val="en-US"/>
        </w:rPr>
        <w:tab/>
        <w:t>POGOJI ALI OMEJITVE GLEDE OSKRBE IN UPORABE</w:t>
      </w:r>
    </w:p>
    <w:p w14:paraId="5297A35E" w14:textId="77777777" w:rsidR="00841424" w:rsidRPr="002227FB" w:rsidRDefault="00841424" w:rsidP="000A6242">
      <w:pPr>
        <w:keepNext/>
        <w:widowControl w:val="0"/>
        <w:rPr>
          <w:color w:val="000000"/>
          <w:szCs w:val="22"/>
          <w:lang w:val="en-US"/>
        </w:rPr>
      </w:pPr>
    </w:p>
    <w:p w14:paraId="5297A35F" w14:textId="77777777" w:rsidR="00841424" w:rsidRPr="004A59B1" w:rsidRDefault="00841424" w:rsidP="009C1193">
      <w:pPr>
        <w:widowControl w:val="0"/>
        <w:numPr>
          <w:ilvl w:val="12"/>
          <w:numId w:val="0"/>
        </w:numPr>
        <w:rPr>
          <w:color w:val="000000"/>
          <w:szCs w:val="22"/>
          <w:lang w:val="pt-BR"/>
        </w:rPr>
      </w:pPr>
      <w:r w:rsidRPr="004A59B1">
        <w:rPr>
          <w:color w:val="000000"/>
          <w:szCs w:val="22"/>
          <w:lang w:val="pt-BR"/>
        </w:rPr>
        <w:t xml:space="preserve">Predpisovanje in izdaja zdravila je le </w:t>
      </w:r>
      <w:r w:rsidR="000D79CE">
        <w:rPr>
          <w:color w:val="000000"/>
          <w:szCs w:val="22"/>
          <w:lang w:val="pt-BR"/>
        </w:rPr>
        <w:t xml:space="preserve">na recept </w:t>
      </w:r>
      <w:r w:rsidRPr="004A59B1">
        <w:rPr>
          <w:color w:val="000000"/>
          <w:szCs w:val="22"/>
          <w:lang w:val="pt-BR"/>
        </w:rPr>
        <w:t>s posebnim režimom (glejte Prilogo I: Povzetek glavnih značilnosti zdravila, poglavje 4.2).</w:t>
      </w:r>
    </w:p>
    <w:p w14:paraId="5297A360" w14:textId="77777777" w:rsidR="00841424" w:rsidRPr="004A59B1" w:rsidRDefault="00841424" w:rsidP="009C1193">
      <w:pPr>
        <w:widowControl w:val="0"/>
        <w:numPr>
          <w:ilvl w:val="12"/>
          <w:numId w:val="0"/>
        </w:numPr>
        <w:rPr>
          <w:noProof/>
          <w:color w:val="000000"/>
          <w:szCs w:val="22"/>
          <w:lang w:val="pt-BR"/>
        </w:rPr>
      </w:pPr>
    </w:p>
    <w:p w14:paraId="5297A361" w14:textId="77777777" w:rsidR="00841424" w:rsidRPr="004A59B1" w:rsidRDefault="00841424" w:rsidP="009C1193">
      <w:pPr>
        <w:widowControl w:val="0"/>
        <w:numPr>
          <w:ilvl w:val="12"/>
          <w:numId w:val="0"/>
        </w:numPr>
        <w:rPr>
          <w:color w:val="000000"/>
          <w:szCs w:val="22"/>
          <w:lang w:val="pt-BR"/>
        </w:rPr>
      </w:pPr>
    </w:p>
    <w:p w14:paraId="5297A362" w14:textId="77777777" w:rsidR="00841424" w:rsidRPr="004A59B1" w:rsidRDefault="00841424" w:rsidP="000A6242">
      <w:pPr>
        <w:keepNext/>
        <w:widowControl w:val="0"/>
        <w:ind w:right="567"/>
        <w:rPr>
          <w:color w:val="000000"/>
          <w:szCs w:val="22"/>
          <w:lang w:val="pl-PL"/>
        </w:rPr>
      </w:pPr>
      <w:r w:rsidRPr="004A59B1">
        <w:rPr>
          <w:b/>
          <w:color w:val="000000"/>
          <w:szCs w:val="22"/>
          <w:lang w:val="pl-PL"/>
        </w:rPr>
        <w:t>C.</w:t>
      </w:r>
      <w:r w:rsidRPr="004A59B1">
        <w:rPr>
          <w:b/>
          <w:color w:val="000000"/>
          <w:szCs w:val="22"/>
          <w:lang w:val="pl-PL"/>
        </w:rPr>
        <w:tab/>
        <w:t>DRUGI POGOJI IN ZAHTEVE DOVOLJENJA ZA PROMET Z ZDRAVILOM</w:t>
      </w:r>
    </w:p>
    <w:p w14:paraId="5297A363" w14:textId="77777777" w:rsidR="00841424" w:rsidRPr="004A59B1" w:rsidRDefault="00841424" w:rsidP="000A6242">
      <w:pPr>
        <w:keepNext/>
        <w:widowControl w:val="0"/>
        <w:ind w:right="-1"/>
        <w:rPr>
          <w:color w:val="000000"/>
          <w:szCs w:val="22"/>
          <w:lang w:val="pl-PL"/>
        </w:rPr>
      </w:pPr>
    </w:p>
    <w:p w14:paraId="5297A364" w14:textId="77777777" w:rsidR="004C502E" w:rsidRPr="003F2EE1" w:rsidRDefault="004C502E" w:rsidP="000A6242">
      <w:pPr>
        <w:keepNext/>
        <w:widowControl w:val="0"/>
        <w:numPr>
          <w:ilvl w:val="0"/>
          <w:numId w:val="61"/>
        </w:numPr>
        <w:ind w:right="-1" w:hanging="720"/>
        <w:rPr>
          <w:b/>
          <w:szCs w:val="22"/>
          <w:lang w:val="pl-PL"/>
        </w:rPr>
      </w:pPr>
      <w:r w:rsidRPr="003F2EE1">
        <w:rPr>
          <w:b/>
          <w:szCs w:val="22"/>
          <w:lang w:val="pl-PL"/>
        </w:rPr>
        <w:t>Redno posodobljena poročila o varnosti zdravila (PSUR)</w:t>
      </w:r>
    </w:p>
    <w:p w14:paraId="5297A365" w14:textId="77777777" w:rsidR="000A6242" w:rsidRDefault="000A6242" w:rsidP="000A6242">
      <w:pPr>
        <w:keepNext/>
        <w:widowControl w:val="0"/>
        <w:rPr>
          <w:iCs/>
          <w:szCs w:val="22"/>
          <w:lang w:val="pl-PL"/>
        </w:rPr>
      </w:pPr>
    </w:p>
    <w:p w14:paraId="5297A366" w14:textId="77777777" w:rsidR="005B6490" w:rsidRPr="003F2EE1" w:rsidRDefault="000D79CE" w:rsidP="009C1193">
      <w:pPr>
        <w:widowControl w:val="0"/>
        <w:rPr>
          <w:lang w:val="pl-PL"/>
        </w:rPr>
      </w:pPr>
      <w:r w:rsidRPr="003F2EE1">
        <w:rPr>
          <w:iCs/>
          <w:szCs w:val="22"/>
          <w:lang w:val="pl-PL"/>
        </w:rPr>
        <w:t xml:space="preserve">Zahteve glede predložitve rednega posodobljenega poročila o varnosti zdravila za </w:t>
      </w:r>
      <w:r w:rsidR="005B6490" w:rsidRPr="003F2EE1">
        <w:rPr>
          <w:iCs/>
          <w:szCs w:val="22"/>
          <w:lang w:val="pl-PL"/>
        </w:rPr>
        <w:t xml:space="preserve">to zdravilo </w:t>
      </w:r>
      <w:r w:rsidRPr="003F2EE1">
        <w:rPr>
          <w:lang w:val="pl-PL"/>
        </w:rPr>
        <w:t>so</w:t>
      </w:r>
      <w:r w:rsidR="005B6490" w:rsidRPr="003F2EE1">
        <w:rPr>
          <w:lang w:val="pl-PL"/>
        </w:rPr>
        <w:t xml:space="preserve"> določen</w:t>
      </w:r>
      <w:r w:rsidRPr="003F2EE1">
        <w:rPr>
          <w:lang w:val="pl-PL"/>
        </w:rPr>
        <w:t>e</w:t>
      </w:r>
      <w:r w:rsidR="005B6490" w:rsidRPr="003F2EE1">
        <w:rPr>
          <w:lang w:val="pl-PL"/>
        </w:rPr>
        <w:t xml:space="preserve"> v seznamu referenčnih datumov </w:t>
      </w:r>
      <w:r w:rsidRPr="003F2EE1">
        <w:rPr>
          <w:lang w:val="pl-PL"/>
        </w:rPr>
        <w:t>EU</w:t>
      </w:r>
      <w:r w:rsidR="005B6490" w:rsidRPr="003F2EE1">
        <w:rPr>
          <w:lang w:val="pl-PL"/>
        </w:rPr>
        <w:t xml:space="preserve"> (seznamu EURD), opredeljenem v členu 107c(7) Direktive 2001/83/ES</w:t>
      </w:r>
      <w:r w:rsidRPr="003F2EE1">
        <w:rPr>
          <w:lang w:val="pl-PL"/>
        </w:rPr>
        <w:t>, in vseh kasnejših posodobitvah,</w:t>
      </w:r>
      <w:r w:rsidR="005B6490" w:rsidRPr="003F2EE1">
        <w:rPr>
          <w:lang w:val="pl-PL"/>
        </w:rPr>
        <w:t xml:space="preserve"> objavljen</w:t>
      </w:r>
      <w:r w:rsidRPr="003F2EE1">
        <w:rPr>
          <w:lang w:val="pl-PL"/>
        </w:rPr>
        <w:t>ih</w:t>
      </w:r>
      <w:r w:rsidR="005B6490" w:rsidRPr="003F2EE1">
        <w:rPr>
          <w:lang w:val="pl-PL"/>
        </w:rPr>
        <w:t xml:space="preserve"> na evropskem spletnem portalu o zdravilih.</w:t>
      </w:r>
    </w:p>
    <w:p w14:paraId="5297A367" w14:textId="77777777" w:rsidR="005B6490" w:rsidRPr="003F2EE1" w:rsidRDefault="005B6490" w:rsidP="009C1193">
      <w:pPr>
        <w:widowControl w:val="0"/>
        <w:rPr>
          <w:lang w:val="pl-PL"/>
        </w:rPr>
      </w:pPr>
    </w:p>
    <w:p w14:paraId="5297A368" w14:textId="77777777" w:rsidR="006C587B" w:rsidRPr="003F2EE1" w:rsidRDefault="006C587B" w:rsidP="009C1193">
      <w:pPr>
        <w:widowControl w:val="0"/>
        <w:rPr>
          <w:lang w:val="pl-PL"/>
        </w:rPr>
      </w:pPr>
    </w:p>
    <w:p w14:paraId="5297A369" w14:textId="77777777" w:rsidR="005B6490" w:rsidRPr="003F2EE1" w:rsidRDefault="005B6490" w:rsidP="000A6242">
      <w:pPr>
        <w:keepNext/>
        <w:widowControl w:val="0"/>
        <w:ind w:left="567" w:hanging="567"/>
        <w:rPr>
          <w:b/>
          <w:bCs/>
          <w:szCs w:val="22"/>
          <w:lang w:val="pl-PL"/>
        </w:rPr>
      </w:pPr>
      <w:r w:rsidRPr="003F2EE1">
        <w:rPr>
          <w:b/>
          <w:bCs/>
          <w:szCs w:val="22"/>
          <w:lang w:val="pl-PL"/>
        </w:rPr>
        <w:t>D.</w:t>
      </w:r>
      <w:r w:rsidRPr="003F2EE1">
        <w:rPr>
          <w:b/>
          <w:bCs/>
          <w:szCs w:val="22"/>
          <w:lang w:val="pl-PL"/>
        </w:rPr>
        <w:tab/>
        <w:t>POGOJI ALI OMEJITVE V ZVEZI Z VARNO IN UČINKOVITO UPORABO ZDRAVILA</w:t>
      </w:r>
    </w:p>
    <w:p w14:paraId="5297A36A" w14:textId="77777777" w:rsidR="005B6490" w:rsidRPr="003F2EE1" w:rsidRDefault="005B6490" w:rsidP="000A6242">
      <w:pPr>
        <w:keepNext/>
        <w:widowControl w:val="0"/>
        <w:spacing w:line="240" w:lineRule="auto"/>
        <w:ind w:right="567"/>
        <w:jc w:val="both"/>
        <w:rPr>
          <w:noProof/>
          <w:szCs w:val="24"/>
          <w:lang w:val="pl-PL"/>
        </w:rPr>
      </w:pPr>
    </w:p>
    <w:p w14:paraId="5297A36B" w14:textId="77777777" w:rsidR="00841424" w:rsidRPr="004A59B1" w:rsidRDefault="00841424" w:rsidP="000A6242">
      <w:pPr>
        <w:keepNext/>
        <w:widowControl w:val="0"/>
        <w:numPr>
          <w:ilvl w:val="0"/>
          <w:numId w:val="61"/>
        </w:numPr>
        <w:ind w:right="-1" w:hanging="720"/>
        <w:rPr>
          <w:b/>
          <w:color w:val="000000"/>
          <w:szCs w:val="22"/>
          <w:lang w:val="pl-PL"/>
        </w:rPr>
      </w:pPr>
      <w:r w:rsidRPr="004A59B1">
        <w:rPr>
          <w:b/>
          <w:color w:val="000000"/>
          <w:szCs w:val="22"/>
          <w:lang w:val="pl-PL"/>
        </w:rPr>
        <w:t>Načrt za obvladovanje tveganj (RMP)</w:t>
      </w:r>
    </w:p>
    <w:p w14:paraId="5297A36C" w14:textId="77777777" w:rsidR="000A6242" w:rsidRDefault="000A6242" w:rsidP="000A6242">
      <w:pPr>
        <w:keepNext/>
        <w:widowControl w:val="0"/>
        <w:rPr>
          <w:noProof/>
          <w:color w:val="000000"/>
          <w:lang w:val="pl-PL"/>
        </w:rPr>
      </w:pPr>
    </w:p>
    <w:p w14:paraId="5297A36D" w14:textId="77777777" w:rsidR="00841424" w:rsidRPr="004A59B1" w:rsidRDefault="00841424" w:rsidP="009C1193">
      <w:pPr>
        <w:widowControl w:val="0"/>
        <w:rPr>
          <w:color w:val="000000"/>
          <w:lang w:val="pl-PL"/>
        </w:rPr>
      </w:pPr>
      <w:r w:rsidRPr="004A59B1">
        <w:rPr>
          <w:noProof/>
          <w:color w:val="000000"/>
          <w:lang w:val="pl-PL"/>
        </w:rPr>
        <w:t xml:space="preserve">Imetnik dovoljenja za promet z zdravilom bo izvedel </w:t>
      </w:r>
      <w:r w:rsidR="00326C4C" w:rsidRPr="004A59B1">
        <w:rPr>
          <w:noProof/>
          <w:color w:val="000000"/>
          <w:lang w:val="pl-PL"/>
        </w:rPr>
        <w:t xml:space="preserve">zahtevane </w:t>
      </w:r>
      <w:r w:rsidRPr="004A59B1">
        <w:rPr>
          <w:noProof/>
          <w:color w:val="000000"/>
          <w:lang w:val="pl-PL"/>
        </w:rPr>
        <w:t>farmakovigilančne aktivnosti</w:t>
      </w:r>
      <w:r w:rsidR="005B6490" w:rsidRPr="004A59B1">
        <w:rPr>
          <w:noProof/>
          <w:color w:val="000000"/>
          <w:lang w:val="pl-PL"/>
        </w:rPr>
        <w:t xml:space="preserve"> in ukrepe</w:t>
      </w:r>
      <w:r w:rsidRPr="004A59B1">
        <w:rPr>
          <w:color w:val="000000"/>
          <w:lang w:val="pl-PL"/>
        </w:rPr>
        <w:t xml:space="preserve">, podrobno opisane v sprejetem </w:t>
      </w:r>
      <w:r w:rsidRPr="004A59B1">
        <w:rPr>
          <w:color w:val="000000"/>
          <w:szCs w:val="22"/>
          <w:lang w:val="pl-PL"/>
        </w:rPr>
        <w:t>RMP, predloženem</w:t>
      </w:r>
      <w:r w:rsidRPr="004A59B1">
        <w:rPr>
          <w:color w:val="000000"/>
          <w:lang w:val="pl-PL"/>
        </w:rPr>
        <w:t xml:space="preserve"> v modulu</w:t>
      </w:r>
      <w:r w:rsidRPr="004A59B1">
        <w:rPr>
          <w:noProof/>
          <w:color w:val="000000"/>
          <w:lang w:val="pl-PL"/>
        </w:rPr>
        <w:t xml:space="preserve"> 1.8.2 dovoljenja za promet z zdravilom,</w:t>
      </w:r>
      <w:r w:rsidRPr="004A59B1">
        <w:rPr>
          <w:color w:val="000000"/>
          <w:lang w:val="pl-PL"/>
        </w:rPr>
        <w:t xml:space="preserve"> in vseh nadaljnjih </w:t>
      </w:r>
      <w:r w:rsidR="005B6490" w:rsidRPr="004A59B1">
        <w:rPr>
          <w:color w:val="000000"/>
          <w:lang w:val="pl-PL"/>
        </w:rPr>
        <w:t xml:space="preserve">sprejetih </w:t>
      </w:r>
      <w:r w:rsidRPr="004A59B1">
        <w:rPr>
          <w:color w:val="000000"/>
          <w:lang w:val="pl-PL"/>
        </w:rPr>
        <w:t>posodobitvah RMP.</w:t>
      </w:r>
    </w:p>
    <w:p w14:paraId="5297A36E" w14:textId="77777777" w:rsidR="00841424" w:rsidRPr="004A59B1" w:rsidRDefault="00841424" w:rsidP="009C1193">
      <w:pPr>
        <w:widowControl w:val="0"/>
        <w:tabs>
          <w:tab w:val="clear" w:pos="567"/>
        </w:tabs>
        <w:autoSpaceDE w:val="0"/>
        <w:autoSpaceDN w:val="0"/>
        <w:adjustRightInd w:val="0"/>
        <w:spacing w:line="240" w:lineRule="auto"/>
        <w:rPr>
          <w:color w:val="000000"/>
          <w:szCs w:val="22"/>
          <w:lang w:val="pl-PL"/>
        </w:rPr>
      </w:pPr>
    </w:p>
    <w:p w14:paraId="5297A36F" w14:textId="77777777" w:rsidR="00D4160A" w:rsidRPr="003F2EE1" w:rsidRDefault="00D4160A" w:rsidP="000A6242">
      <w:pPr>
        <w:keepNext/>
        <w:widowControl w:val="0"/>
        <w:numPr>
          <w:ilvl w:val="12"/>
          <w:numId w:val="0"/>
        </w:numPr>
        <w:spacing w:line="240" w:lineRule="auto"/>
        <w:rPr>
          <w:noProof/>
          <w:szCs w:val="24"/>
          <w:lang w:val="fr-CH"/>
        </w:rPr>
      </w:pPr>
      <w:r w:rsidRPr="003F2EE1">
        <w:rPr>
          <w:noProof/>
          <w:szCs w:val="24"/>
          <w:lang w:val="fr-CH"/>
        </w:rPr>
        <w:t>Posodobljen RMP je treba predložiti:</w:t>
      </w:r>
    </w:p>
    <w:p w14:paraId="5297A370" w14:textId="77777777" w:rsidR="00D4160A" w:rsidRPr="003F2EE1" w:rsidRDefault="00D4160A" w:rsidP="009C1193">
      <w:pPr>
        <w:widowControl w:val="0"/>
        <w:numPr>
          <w:ilvl w:val="0"/>
          <w:numId w:val="62"/>
        </w:numPr>
        <w:spacing w:line="240" w:lineRule="auto"/>
        <w:ind w:left="567" w:hanging="567"/>
        <w:rPr>
          <w:noProof/>
          <w:szCs w:val="24"/>
          <w:lang w:val="fr-CH"/>
        </w:rPr>
      </w:pPr>
      <w:r w:rsidRPr="003F2EE1">
        <w:rPr>
          <w:noProof/>
          <w:szCs w:val="24"/>
          <w:lang w:val="fr-CH"/>
        </w:rPr>
        <w:t>na zahtevo Evropske agencije za zdravila;</w:t>
      </w:r>
    </w:p>
    <w:p w14:paraId="5297A371" w14:textId="77777777" w:rsidR="00D4160A" w:rsidRPr="003F2EE1" w:rsidRDefault="00D4160A" w:rsidP="009C1193">
      <w:pPr>
        <w:widowControl w:val="0"/>
        <w:numPr>
          <w:ilvl w:val="0"/>
          <w:numId w:val="62"/>
        </w:numPr>
        <w:spacing w:line="240" w:lineRule="auto"/>
        <w:ind w:left="567" w:hanging="567"/>
        <w:rPr>
          <w:noProof/>
          <w:szCs w:val="24"/>
          <w:lang w:val="fr-CH"/>
        </w:rPr>
      </w:pPr>
      <w:r w:rsidRPr="003F2EE1">
        <w:rPr>
          <w:noProof/>
          <w:szCs w:val="24"/>
          <w:lang w:val="fr-CH"/>
        </w:rPr>
        <w:t>ob vsakršni spremembi sistema za obvladovanje tveganj, zlasti kadar je tovrstna sprememba posledica prejema novih informacij, ki lahko privedejo do znatne spremembe razmerja med koristmi in tveganji, ali kadar je ta sprememba posledica tega, da je bil dosežen pomemben mejnik (farmakovigilančni ali povezan z zmanjševanjem tveganja).</w:t>
      </w:r>
    </w:p>
    <w:p w14:paraId="5297A372" w14:textId="77777777" w:rsidR="00D4160A" w:rsidRPr="003F2EE1" w:rsidRDefault="00D4160A" w:rsidP="009C1193">
      <w:pPr>
        <w:widowControl w:val="0"/>
        <w:spacing w:line="240" w:lineRule="auto"/>
        <w:ind w:right="-1"/>
        <w:rPr>
          <w:i/>
          <w:noProof/>
          <w:szCs w:val="24"/>
          <w:lang w:val="fr-CH"/>
        </w:rPr>
      </w:pPr>
    </w:p>
    <w:p w14:paraId="5297A373" w14:textId="77777777" w:rsidR="0058332E" w:rsidRPr="004A59B1" w:rsidRDefault="0058332E" w:rsidP="000A6242">
      <w:pPr>
        <w:keepNext/>
        <w:keepLines/>
        <w:widowControl w:val="0"/>
        <w:numPr>
          <w:ilvl w:val="0"/>
          <w:numId w:val="63"/>
        </w:numPr>
        <w:tabs>
          <w:tab w:val="clear" w:pos="567"/>
          <w:tab w:val="clear" w:pos="720"/>
        </w:tabs>
        <w:ind w:left="567" w:hanging="567"/>
        <w:rPr>
          <w:b/>
          <w:bCs/>
          <w:lang w:val="pl-PL"/>
        </w:rPr>
      </w:pPr>
      <w:r w:rsidRPr="004A59B1">
        <w:rPr>
          <w:b/>
          <w:szCs w:val="22"/>
          <w:lang w:val="pl-PL"/>
        </w:rPr>
        <w:lastRenderedPageBreak/>
        <w:t>Obveznost izvedbe ukrepov po pridobitvi dovoljenja za promet</w:t>
      </w:r>
    </w:p>
    <w:p w14:paraId="5297A374" w14:textId="77777777" w:rsidR="0058332E" w:rsidRPr="004A59B1" w:rsidRDefault="0058332E" w:rsidP="000A6242">
      <w:pPr>
        <w:pStyle w:val="NormalAgency"/>
        <w:keepNext/>
        <w:keepLines/>
        <w:widowControl w:val="0"/>
        <w:rPr>
          <w:rFonts w:ascii="Times New Roman" w:hAnsi="Times New Roman"/>
          <w:b/>
          <w:bCs/>
          <w:i/>
          <w:iCs/>
          <w:lang w:val="pl-PL"/>
        </w:rPr>
      </w:pPr>
    </w:p>
    <w:p w14:paraId="5297A375" w14:textId="77777777" w:rsidR="0058332E" w:rsidRPr="004A59B1" w:rsidRDefault="0058332E" w:rsidP="000A6242">
      <w:pPr>
        <w:keepNext/>
        <w:keepLines/>
        <w:widowControl w:val="0"/>
        <w:rPr>
          <w:lang w:val="pl-PL"/>
        </w:rPr>
      </w:pPr>
      <w:r w:rsidRPr="004A59B1">
        <w:rPr>
          <w:lang w:val="pl-PL"/>
        </w:rPr>
        <w:t xml:space="preserve">Imetnik dovoljenja za promet </w:t>
      </w:r>
      <w:r w:rsidR="003631FC" w:rsidRPr="004A59B1">
        <w:rPr>
          <w:lang w:val="pl-PL"/>
        </w:rPr>
        <w:t>z zdravilom mora v določenem časovnem okviru izvesti naslednje ukrepe</w:t>
      </w:r>
      <w:r w:rsidRPr="004A59B1">
        <w:rPr>
          <w:lang w:val="pl-PL"/>
        </w:rPr>
        <w:t>:</w:t>
      </w:r>
    </w:p>
    <w:p w14:paraId="5297A376" w14:textId="77777777" w:rsidR="0058332E" w:rsidRPr="004A59B1" w:rsidRDefault="0058332E" w:rsidP="000A6242">
      <w:pPr>
        <w:keepNext/>
        <w:keepLines/>
        <w:widowControl w:val="0"/>
        <w:rPr>
          <w:lang w:val="pl-PL"/>
        </w:rPr>
      </w:pPr>
    </w:p>
    <w:tbl>
      <w:tblPr>
        <w:tblW w:w="4900" w:type="pct"/>
        <w:tblCellMar>
          <w:left w:w="0" w:type="dxa"/>
          <w:right w:w="0" w:type="dxa"/>
        </w:tblCellMar>
        <w:tblLook w:val="04A0" w:firstRow="1" w:lastRow="0" w:firstColumn="1" w:lastColumn="0" w:noHBand="0" w:noVBand="1"/>
      </w:tblPr>
      <w:tblGrid>
        <w:gridCol w:w="7417"/>
        <w:gridCol w:w="1453"/>
      </w:tblGrid>
      <w:tr w:rsidR="0058332E" w:rsidRPr="004A59B1" w14:paraId="5297A379" w14:textId="77777777" w:rsidTr="000A6242">
        <w:trPr>
          <w:cantSplit/>
        </w:trPr>
        <w:tc>
          <w:tcPr>
            <w:tcW w:w="418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297A377" w14:textId="77777777" w:rsidR="0058332E" w:rsidRPr="004A59B1" w:rsidRDefault="000414DC" w:rsidP="000A6242">
            <w:pPr>
              <w:keepNext/>
              <w:keepLines/>
              <w:widowControl w:val="0"/>
              <w:ind w:right="-1"/>
              <w:rPr>
                <w:rFonts w:eastAsia="Calibri"/>
                <w:b/>
                <w:bCs/>
                <w:szCs w:val="22"/>
              </w:rPr>
            </w:pPr>
            <w:r w:rsidRPr="004A59B1">
              <w:rPr>
                <w:b/>
                <w:bCs/>
              </w:rPr>
              <w:t>Opis</w:t>
            </w:r>
          </w:p>
        </w:tc>
        <w:tc>
          <w:tcPr>
            <w:tcW w:w="819"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5297A378" w14:textId="77777777" w:rsidR="0058332E" w:rsidRPr="004A59B1" w:rsidRDefault="000414DC" w:rsidP="000A6242">
            <w:pPr>
              <w:keepNext/>
              <w:keepLines/>
              <w:widowControl w:val="0"/>
              <w:ind w:right="-1"/>
              <w:rPr>
                <w:rFonts w:eastAsia="Calibri"/>
                <w:b/>
                <w:bCs/>
                <w:szCs w:val="22"/>
              </w:rPr>
            </w:pPr>
            <w:r w:rsidRPr="004A59B1">
              <w:rPr>
                <w:b/>
                <w:bCs/>
              </w:rPr>
              <w:t>Do datuma</w:t>
            </w:r>
          </w:p>
        </w:tc>
      </w:tr>
      <w:tr w:rsidR="0058332E" w:rsidRPr="004A59B1" w14:paraId="5297A37C" w14:textId="77777777" w:rsidTr="000A6242">
        <w:trPr>
          <w:cantSplit/>
        </w:trPr>
        <w:tc>
          <w:tcPr>
            <w:tcW w:w="418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97A37A" w14:textId="77777777" w:rsidR="0058332E" w:rsidRPr="004A59B1" w:rsidRDefault="00A25291" w:rsidP="000A6242">
            <w:pPr>
              <w:keepNext/>
              <w:keepLines/>
              <w:widowControl w:val="0"/>
              <w:ind w:right="-1"/>
              <w:rPr>
                <w:rFonts w:eastAsia="Calibri"/>
                <w:szCs w:val="22"/>
              </w:rPr>
            </w:pPr>
            <w:r w:rsidRPr="004A59B1">
              <w:t>Izvesti opazovalni register za zbiranje podatkov o učinkovitosti in varnosti pri pediatričnih bolnikih z na novo diagnosticirano Ph+ akutno limfoblastno levkemijo (ALL), ki se zdravijo s kemoterapijo + imatinibom ± presaditvijo krvotvornih matičnih celic. Predati končno poročilo študije.</w:t>
            </w:r>
          </w:p>
        </w:tc>
        <w:tc>
          <w:tcPr>
            <w:tcW w:w="819" w:type="pct"/>
            <w:tcBorders>
              <w:top w:val="nil"/>
              <w:left w:val="nil"/>
              <w:bottom w:val="single" w:sz="8" w:space="0" w:color="auto"/>
              <w:right w:val="single" w:sz="8" w:space="0" w:color="auto"/>
            </w:tcBorders>
            <w:tcMar>
              <w:top w:w="0" w:type="dxa"/>
              <w:left w:w="108" w:type="dxa"/>
              <w:bottom w:w="0" w:type="dxa"/>
              <w:right w:w="108" w:type="dxa"/>
            </w:tcMar>
            <w:hideMark/>
          </w:tcPr>
          <w:p w14:paraId="5297A37B" w14:textId="3FBB93BF" w:rsidR="0058332E" w:rsidRPr="004A59B1" w:rsidRDefault="00181AA0" w:rsidP="00181AA0">
            <w:pPr>
              <w:keepNext/>
              <w:keepLines/>
              <w:widowControl w:val="0"/>
              <w:ind w:right="-1"/>
              <w:rPr>
                <w:rFonts w:eastAsia="Calibri"/>
                <w:szCs w:val="22"/>
              </w:rPr>
            </w:pPr>
            <w:r>
              <w:t>2</w:t>
            </w:r>
            <w:r w:rsidR="005621B0">
              <w:t>3/06/202</w:t>
            </w:r>
            <w:r w:rsidR="00896EA8">
              <w:t>3</w:t>
            </w:r>
          </w:p>
        </w:tc>
      </w:tr>
    </w:tbl>
    <w:p w14:paraId="5297A37D" w14:textId="77777777" w:rsidR="0058332E" w:rsidRPr="004A59B1" w:rsidRDefault="0058332E" w:rsidP="009C1193">
      <w:pPr>
        <w:widowControl w:val="0"/>
        <w:ind w:right="-1"/>
        <w:rPr>
          <w:noProof/>
          <w:color w:val="000000"/>
          <w:lang w:val="pl-PL"/>
        </w:rPr>
      </w:pPr>
    </w:p>
    <w:p w14:paraId="5297A37E" w14:textId="77777777" w:rsidR="00841424" w:rsidRPr="004A59B1" w:rsidRDefault="00841424" w:rsidP="009C1193">
      <w:pPr>
        <w:widowControl w:val="0"/>
        <w:tabs>
          <w:tab w:val="clear" w:pos="567"/>
        </w:tabs>
        <w:spacing w:line="240" w:lineRule="auto"/>
        <w:ind w:left="567" w:hanging="567"/>
        <w:rPr>
          <w:color w:val="000000"/>
          <w:szCs w:val="22"/>
          <w:lang w:val="nb-NO"/>
        </w:rPr>
      </w:pPr>
      <w:r w:rsidRPr="004A59B1">
        <w:rPr>
          <w:color w:val="000000"/>
          <w:szCs w:val="22"/>
          <w:lang w:val="nb-NO"/>
        </w:rPr>
        <w:br w:type="page"/>
      </w:r>
    </w:p>
    <w:p w14:paraId="5297A37F" w14:textId="77777777" w:rsidR="00841424" w:rsidRPr="004A59B1" w:rsidRDefault="00841424" w:rsidP="009C1193">
      <w:pPr>
        <w:widowControl w:val="0"/>
        <w:tabs>
          <w:tab w:val="clear" w:pos="567"/>
        </w:tabs>
        <w:spacing w:line="240" w:lineRule="auto"/>
        <w:ind w:right="566"/>
        <w:rPr>
          <w:color w:val="000000"/>
          <w:szCs w:val="22"/>
          <w:lang w:val="nb-NO"/>
        </w:rPr>
      </w:pPr>
    </w:p>
    <w:p w14:paraId="5297A380" w14:textId="77777777" w:rsidR="00841424" w:rsidRPr="004A59B1" w:rsidRDefault="00841424" w:rsidP="009C1193">
      <w:pPr>
        <w:widowControl w:val="0"/>
        <w:tabs>
          <w:tab w:val="clear" w:pos="567"/>
        </w:tabs>
        <w:spacing w:line="240" w:lineRule="auto"/>
        <w:rPr>
          <w:color w:val="000000"/>
          <w:szCs w:val="22"/>
          <w:lang w:val="nb-NO"/>
        </w:rPr>
      </w:pPr>
    </w:p>
    <w:p w14:paraId="5297A381" w14:textId="77777777" w:rsidR="00841424" w:rsidRPr="004A59B1" w:rsidRDefault="00841424" w:rsidP="009C1193">
      <w:pPr>
        <w:widowControl w:val="0"/>
        <w:tabs>
          <w:tab w:val="clear" w:pos="567"/>
        </w:tabs>
        <w:spacing w:line="240" w:lineRule="auto"/>
        <w:rPr>
          <w:color w:val="000000"/>
          <w:szCs w:val="22"/>
          <w:lang w:val="nb-NO"/>
        </w:rPr>
      </w:pPr>
    </w:p>
    <w:p w14:paraId="5297A382" w14:textId="77777777" w:rsidR="00841424" w:rsidRPr="004A59B1" w:rsidRDefault="00841424" w:rsidP="009C1193">
      <w:pPr>
        <w:widowControl w:val="0"/>
        <w:tabs>
          <w:tab w:val="clear" w:pos="567"/>
        </w:tabs>
        <w:spacing w:line="240" w:lineRule="auto"/>
        <w:rPr>
          <w:color w:val="000000"/>
          <w:szCs w:val="22"/>
          <w:lang w:val="nb-NO"/>
        </w:rPr>
      </w:pPr>
    </w:p>
    <w:p w14:paraId="5297A383" w14:textId="77777777" w:rsidR="00841424" w:rsidRPr="004A59B1" w:rsidRDefault="00841424" w:rsidP="009C1193">
      <w:pPr>
        <w:widowControl w:val="0"/>
        <w:tabs>
          <w:tab w:val="clear" w:pos="567"/>
        </w:tabs>
        <w:spacing w:line="240" w:lineRule="auto"/>
        <w:rPr>
          <w:color w:val="000000"/>
          <w:szCs w:val="22"/>
          <w:lang w:val="nb-NO"/>
        </w:rPr>
      </w:pPr>
    </w:p>
    <w:p w14:paraId="5297A384" w14:textId="77777777" w:rsidR="00841424" w:rsidRPr="004A59B1" w:rsidRDefault="00841424" w:rsidP="009C1193">
      <w:pPr>
        <w:widowControl w:val="0"/>
        <w:tabs>
          <w:tab w:val="clear" w:pos="567"/>
        </w:tabs>
        <w:spacing w:line="240" w:lineRule="auto"/>
        <w:rPr>
          <w:color w:val="000000"/>
          <w:szCs w:val="22"/>
          <w:lang w:val="nb-NO"/>
        </w:rPr>
      </w:pPr>
    </w:p>
    <w:p w14:paraId="5297A385" w14:textId="77777777" w:rsidR="00841424" w:rsidRPr="004A59B1" w:rsidRDefault="00841424" w:rsidP="009C1193">
      <w:pPr>
        <w:widowControl w:val="0"/>
        <w:tabs>
          <w:tab w:val="clear" w:pos="567"/>
        </w:tabs>
        <w:spacing w:line="240" w:lineRule="auto"/>
        <w:rPr>
          <w:color w:val="000000"/>
          <w:szCs w:val="22"/>
          <w:lang w:val="nb-NO"/>
        </w:rPr>
      </w:pPr>
    </w:p>
    <w:p w14:paraId="5297A386" w14:textId="77777777" w:rsidR="00841424" w:rsidRPr="004A59B1" w:rsidRDefault="00841424" w:rsidP="009C1193">
      <w:pPr>
        <w:widowControl w:val="0"/>
        <w:tabs>
          <w:tab w:val="clear" w:pos="567"/>
        </w:tabs>
        <w:spacing w:line="240" w:lineRule="auto"/>
        <w:rPr>
          <w:color w:val="000000"/>
          <w:szCs w:val="22"/>
          <w:lang w:val="nb-NO"/>
        </w:rPr>
      </w:pPr>
    </w:p>
    <w:p w14:paraId="5297A387" w14:textId="77777777" w:rsidR="00841424" w:rsidRPr="004A59B1" w:rsidRDefault="00841424" w:rsidP="009C1193">
      <w:pPr>
        <w:widowControl w:val="0"/>
        <w:tabs>
          <w:tab w:val="clear" w:pos="567"/>
        </w:tabs>
        <w:spacing w:line="240" w:lineRule="auto"/>
        <w:rPr>
          <w:color w:val="000000"/>
          <w:szCs w:val="22"/>
          <w:lang w:val="nb-NO"/>
        </w:rPr>
      </w:pPr>
    </w:p>
    <w:p w14:paraId="5297A388" w14:textId="77777777" w:rsidR="00841424" w:rsidRPr="004A59B1" w:rsidRDefault="00841424" w:rsidP="009C1193">
      <w:pPr>
        <w:widowControl w:val="0"/>
        <w:tabs>
          <w:tab w:val="clear" w:pos="567"/>
        </w:tabs>
        <w:spacing w:line="240" w:lineRule="auto"/>
        <w:rPr>
          <w:color w:val="000000"/>
          <w:szCs w:val="22"/>
          <w:lang w:val="nb-NO"/>
        </w:rPr>
      </w:pPr>
    </w:p>
    <w:p w14:paraId="5297A389" w14:textId="77777777" w:rsidR="00841424" w:rsidRPr="004A59B1" w:rsidRDefault="00841424" w:rsidP="009C1193">
      <w:pPr>
        <w:widowControl w:val="0"/>
        <w:tabs>
          <w:tab w:val="clear" w:pos="567"/>
        </w:tabs>
        <w:spacing w:line="240" w:lineRule="auto"/>
        <w:rPr>
          <w:color w:val="000000"/>
          <w:szCs w:val="22"/>
          <w:lang w:val="nb-NO"/>
        </w:rPr>
      </w:pPr>
    </w:p>
    <w:p w14:paraId="5297A38A" w14:textId="77777777" w:rsidR="00841424" w:rsidRPr="004A59B1" w:rsidRDefault="00841424" w:rsidP="009C1193">
      <w:pPr>
        <w:widowControl w:val="0"/>
        <w:tabs>
          <w:tab w:val="clear" w:pos="567"/>
        </w:tabs>
        <w:spacing w:line="240" w:lineRule="auto"/>
        <w:rPr>
          <w:color w:val="000000"/>
          <w:szCs w:val="22"/>
          <w:lang w:val="nb-NO"/>
        </w:rPr>
      </w:pPr>
    </w:p>
    <w:p w14:paraId="5297A38B" w14:textId="77777777" w:rsidR="00841424" w:rsidRPr="004A59B1" w:rsidRDefault="00841424" w:rsidP="009C1193">
      <w:pPr>
        <w:widowControl w:val="0"/>
        <w:tabs>
          <w:tab w:val="clear" w:pos="567"/>
        </w:tabs>
        <w:spacing w:line="240" w:lineRule="auto"/>
        <w:rPr>
          <w:color w:val="000000"/>
          <w:szCs w:val="22"/>
          <w:lang w:val="nb-NO"/>
        </w:rPr>
      </w:pPr>
    </w:p>
    <w:p w14:paraId="5297A38C" w14:textId="77777777" w:rsidR="00841424" w:rsidRPr="004A59B1" w:rsidRDefault="00841424" w:rsidP="009C1193">
      <w:pPr>
        <w:widowControl w:val="0"/>
        <w:tabs>
          <w:tab w:val="clear" w:pos="567"/>
        </w:tabs>
        <w:spacing w:line="240" w:lineRule="auto"/>
        <w:rPr>
          <w:color w:val="000000"/>
          <w:szCs w:val="22"/>
          <w:lang w:val="nb-NO"/>
        </w:rPr>
      </w:pPr>
    </w:p>
    <w:p w14:paraId="5297A38D" w14:textId="77777777" w:rsidR="00841424" w:rsidRPr="004A59B1" w:rsidRDefault="00841424" w:rsidP="009C1193">
      <w:pPr>
        <w:widowControl w:val="0"/>
        <w:tabs>
          <w:tab w:val="clear" w:pos="567"/>
        </w:tabs>
        <w:spacing w:line="240" w:lineRule="auto"/>
        <w:rPr>
          <w:color w:val="000000"/>
          <w:szCs w:val="22"/>
          <w:lang w:val="nb-NO"/>
        </w:rPr>
      </w:pPr>
    </w:p>
    <w:p w14:paraId="5297A38E" w14:textId="77777777" w:rsidR="00841424" w:rsidRPr="004A59B1" w:rsidRDefault="00841424" w:rsidP="009C1193">
      <w:pPr>
        <w:widowControl w:val="0"/>
        <w:tabs>
          <w:tab w:val="clear" w:pos="567"/>
        </w:tabs>
        <w:spacing w:line="240" w:lineRule="auto"/>
        <w:rPr>
          <w:color w:val="000000"/>
          <w:szCs w:val="22"/>
          <w:lang w:val="nb-NO"/>
        </w:rPr>
      </w:pPr>
    </w:p>
    <w:p w14:paraId="5297A38F" w14:textId="77777777" w:rsidR="00841424" w:rsidRPr="004A59B1" w:rsidRDefault="00841424" w:rsidP="009C1193">
      <w:pPr>
        <w:widowControl w:val="0"/>
        <w:tabs>
          <w:tab w:val="clear" w:pos="567"/>
        </w:tabs>
        <w:spacing w:line="240" w:lineRule="auto"/>
        <w:rPr>
          <w:color w:val="000000"/>
          <w:szCs w:val="22"/>
          <w:lang w:val="nb-NO"/>
        </w:rPr>
      </w:pPr>
    </w:p>
    <w:p w14:paraId="5297A390" w14:textId="77777777" w:rsidR="00841424" w:rsidRPr="004A59B1" w:rsidRDefault="00841424" w:rsidP="009C1193">
      <w:pPr>
        <w:widowControl w:val="0"/>
        <w:tabs>
          <w:tab w:val="clear" w:pos="567"/>
        </w:tabs>
        <w:spacing w:line="240" w:lineRule="auto"/>
        <w:rPr>
          <w:color w:val="000000"/>
          <w:szCs w:val="22"/>
          <w:lang w:val="nb-NO"/>
        </w:rPr>
      </w:pPr>
    </w:p>
    <w:p w14:paraId="5297A391" w14:textId="77777777" w:rsidR="00841424" w:rsidRPr="004A59B1" w:rsidRDefault="00841424" w:rsidP="009C1193">
      <w:pPr>
        <w:widowControl w:val="0"/>
        <w:tabs>
          <w:tab w:val="clear" w:pos="567"/>
        </w:tabs>
        <w:spacing w:line="240" w:lineRule="auto"/>
        <w:rPr>
          <w:color w:val="000000"/>
          <w:szCs w:val="22"/>
          <w:lang w:val="nb-NO"/>
        </w:rPr>
      </w:pPr>
    </w:p>
    <w:p w14:paraId="5297A392" w14:textId="77777777" w:rsidR="00841424" w:rsidRPr="004A59B1" w:rsidRDefault="00841424" w:rsidP="009C1193">
      <w:pPr>
        <w:widowControl w:val="0"/>
        <w:tabs>
          <w:tab w:val="clear" w:pos="567"/>
        </w:tabs>
        <w:spacing w:line="240" w:lineRule="auto"/>
        <w:rPr>
          <w:color w:val="000000"/>
          <w:szCs w:val="22"/>
          <w:lang w:val="nb-NO"/>
        </w:rPr>
      </w:pPr>
    </w:p>
    <w:p w14:paraId="5297A393" w14:textId="77777777" w:rsidR="00841424" w:rsidRPr="004A59B1" w:rsidRDefault="00841424" w:rsidP="009C1193">
      <w:pPr>
        <w:widowControl w:val="0"/>
        <w:tabs>
          <w:tab w:val="clear" w:pos="567"/>
        </w:tabs>
        <w:spacing w:line="240" w:lineRule="auto"/>
        <w:rPr>
          <w:color w:val="000000"/>
          <w:szCs w:val="22"/>
          <w:lang w:val="nb-NO"/>
        </w:rPr>
      </w:pPr>
    </w:p>
    <w:p w14:paraId="5297A394" w14:textId="77777777" w:rsidR="00841424" w:rsidRDefault="00841424" w:rsidP="009C1193">
      <w:pPr>
        <w:widowControl w:val="0"/>
        <w:tabs>
          <w:tab w:val="clear" w:pos="567"/>
        </w:tabs>
        <w:spacing w:line="240" w:lineRule="auto"/>
        <w:rPr>
          <w:color w:val="000000"/>
          <w:szCs w:val="22"/>
          <w:lang w:val="nb-NO"/>
        </w:rPr>
      </w:pPr>
    </w:p>
    <w:p w14:paraId="5297A395" w14:textId="77777777" w:rsidR="000A6242" w:rsidRPr="004A59B1" w:rsidRDefault="000A6242" w:rsidP="009C1193">
      <w:pPr>
        <w:widowControl w:val="0"/>
        <w:tabs>
          <w:tab w:val="clear" w:pos="567"/>
        </w:tabs>
        <w:spacing w:line="240" w:lineRule="auto"/>
        <w:rPr>
          <w:color w:val="000000"/>
          <w:szCs w:val="22"/>
          <w:lang w:val="nb-NO"/>
        </w:rPr>
      </w:pPr>
    </w:p>
    <w:p w14:paraId="5297A396" w14:textId="77777777" w:rsidR="00841424" w:rsidRPr="004A59B1" w:rsidRDefault="00841424" w:rsidP="009C1193">
      <w:pPr>
        <w:widowControl w:val="0"/>
        <w:tabs>
          <w:tab w:val="clear" w:pos="567"/>
        </w:tabs>
        <w:spacing w:line="240" w:lineRule="auto"/>
        <w:jc w:val="center"/>
        <w:rPr>
          <w:b/>
          <w:color w:val="000000"/>
          <w:szCs w:val="22"/>
          <w:lang w:val="it-IT"/>
        </w:rPr>
      </w:pPr>
      <w:r w:rsidRPr="004A59B1">
        <w:rPr>
          <w:b/>
          <w:color w:val="000000"/>
          <w:szCs w:val="22"/>
          <w:lang w:val="it-IT"/>
        </w:rPr>
        <w:t>PRILOGA III</w:t>
      </w:r>
    </w:p>
    <w:p w14:paraId="5297A397" w14:textId="77777777" w:rsidR="00841424" w:rsidRPr="004A59B1" w:rsidRDefault="00841424" w:rsidP="009C1193">
      <w:pPr>
        <w:widowControl w:val="0"/>
        <w:tabs>
          <w:tab w:val="clear" w:pos="567"/>
        </w:tabs>
        <w:spacing w:line="240" w:lineRule="auto"/>
        <w:jc w:val="center"/>
        <w:rPr>
          <w:color w:val="000000"/>
          <w:szCs w:val="22"/>
          <w:lang w:val="it-IT"/>
        </w:rPr>
      </w:pPr>
    </w:p>
    <w:p w14:paraId="5297A398" w14:textId="77777777" w:rsidR="00841424" w:rsidRPr="004A59B1" w:rsidRDefault="00841424" w:rsidP="009C1193">
      <w:pPr>
        <w:widowControl w:val="0"/>
        <w:tabs>
          <w:tab w:val="clear" w:pos="567"/>
        </w:tabs>
        <w:spacing w:line="240" w:lineRule="auto"/>
        <w:jc w:val="center"/>
        <w:rPr>
          <w:b/>
          <w:color w:val="000000"/>
          <w:szCs w:val="22"/>
          <w:lang w:val="it-IT"/>
        </w:rPr>
      </w:pPr>
      <w:r w:rsidRPr="004A59B1">
        <w:rPr>
          <w:b/>
          <w:color w:val="000000"/>
          <w:szCs w:val="22"/>
          <w:lang w:val="it-IT"/>
        </w:rPr>
        <w:t>OZNAČEVANJE IN NAVODILO ZA UPORABO</w:t>
      </w:r>
    </w:p>
    <w:p w14:paraId="5297A399" w14:textId="77777777" w:rsidR="00841424" w:rsidRPr="004A59B1" w:rsidRDefault="00841424" w:rsidP="009C1193">
      <w:pPr>
        <w:pStyle w:val="EndnoteText"/>
        <w:widowControl w:val="0"/>
        <w:tabs>
          <w:tab w:val="clear" w:pos="567"/>
        </w:tabs>
        <w:rPr>
          <w:color w:val="000000"/>
          <w:szCs w:val="22"/>
          <w:lang w:val="it-IT"/>
        </w:rPr>
      </w:pPr>
      <w:r w:rsidRPr="004A59B1">
        <w:rPr>
          <w:color w:val="000000"/>
          <w:szCs w:val="22"/>
          <w:lang w:val="it-IT"/>
        </w:rPr>
        <w:br w:type="page"/>
      </w:r>
    </w:p>
    <w:p w14:paraId="5297A39A" w14:textId="77777777" w:rsidR="00841424" w:rsidRPr="004A59B1" w:rsidRDefault="00841424" w:rsidP="009C1193">
      <w:pPr>
        <w:widowControl w:val="0"/>
        <w:tabs>
          <w:tab w:val="clear" w:pos="567"/>
        </w:tabs>
        <w:spacing w:line="240" w:lineRule="auto"/>
        <w:rPr>
          <w:color w:val="000000"/>
          <w:szCs w:val="22"/>
          <w:lang w:val="it-IT"/>
        </w:rPr>
      </w:pPr>
    </w:p>
    <w:p w14:paraId="5297A39B" w14:textId="77777777" w:rsidR="00841424" w:rsidRPr="004A59B1" w:rsidRDefault="00841424" w:rsidP="009C1193">
      <w:pPr>
        <w:widowControl w:val="0"/>
        <w:tabs>
          <w:tab w:val="clear" w:pos="567"/>
        </w:tabs>
        <w:spacing w:line="240" w:lineRule="auto"/>
        <w:rPr>
          <w:color w:val="000000"/>
          <w:szCs w:val="22"/>
          <w:lang w:val="it-IT"/>
        </w:rPr>
      </w:pPr>
    </w:p>
    <w:p w14:paraId="5297A39C" w14:textId="77777777" w:rsidR="00841424" w:rsidRPr="004A59B1" w:rsidRDefault="00841424" w:rsidP="009C1193">
      <w:pPr>
        <w:widowControl w:val="0"/>
        <w:tabs>
          <w:tab w:val="clear" w:pos="567"/>
        </w:tabs>
        <w:spacing w:line="240" w:lineRule="auto"/>
        <w:rPr>
          <w:color w:val="000000"/>
          <w:szCs w:val="22"/>
          <w:lang w:val="it-IT"/>
        </w:rPr>
      </w:pPr>
    </w:p>
    <w:p w14:paraId="5297A39D" w14:textId="77777777" w:rsidR="00841424" w:rsidRPr="004A59B1" w:rsidRDefault="00841424" w:rsidP="009C1193">
      <w:pPr>
        <w:widowControl w:val="0"/>
        <w:tabs>
          <w:tab w:val="clear" w:pos="567"/>
        </w:tabs>
        <w:spacing w:line="240" w:lineRule="auto"/>
        <w:rPr>
          <w:color w:val="000000"/>
          <w:szCs w:val="22"/>
          <w:lang w:val="it-IT"/>
        </w:rPr>
      </w:pPr>
    </w:p>
    <w:p w14:paraId="5297A39E" w14:textId="77777777" w:rsidR="00841424" w:rsidRPr="004A59B1" w:rsidRDefault="00841424" w:rsidP="009C1193">
      <w:pPr>
        <w:widowControl w:val="0"/>
        <w:tabs>
          <w:tab w:val="clear" w:pos="567"/>
        </w:tabs>
        <w:spacing w:line="240" w:lineRule="auto"/>
        <w:rPr>
          <w:color w:val="000000"/>
          <w:szCs w:val="22"/>
          <w:lang w:val="it-IT"/>
        </w:rPr>
      </w:pPr>
    </w:p>
    <w:p w14:paraId="5297A39F" w14:textId="77777777" w:rsidR="00841424" w:rsidRPr="004A59B1" w:rsidRDefault="00841424" w:rsidP="009C1193">
      <w:pPr>
        <w:widowControl w:val="0"/>
        <w:tabs>
          <w:tab w:val="clear" w:pos="567"/>
        </w:tabs>
        <w:spacing w:line="240" w:lineRule="auto"/>
        <w:rPr>
          <w:color w:val="000000"/>
          <w:szCs w:val="22"/>
          <w:lang w:val="it-IT"/>
        </w:rPr>
      </w:pPr>
    </w:p>
    <w:p w14:paraId="5297A3A0" w14:textId="77777777" w:rsidR="00841424" w:rsidRPr="004A59B1" w:rsidRDefault="00841424" w:rsidP="009C1193">
      <w:pPr>
        <w:widowControl w:val="0"/>
        <w:tabs>
          <w:tab w:val="clear" w:pos="567"/>
        </w:tabs>
        <w:spacing w:line="240" w:lineRule="auto"/>
        <w:rPr>
          <w:color w:val="000000"/>
          <w:szCs w:val="22"/>
          <w:lang w:val="it-IT"/>
        </w:rPr>
      </w:pPr>
    </w:p>
    <w:p w14:paraId="5297A3A1" w14:textId="77777777" w:rsidR="00841424" w:rsidRPr="004A59B1" w:rsidRDefault="00841424" w:rsidP="009C1193">
      <w:pPr>
        <w:widowControl w:val="0"/>
        <w:tabs>
          <w:tab w:val="clear" w:pos="567"/>
        </w:tabs>
        <w:spacing w:line="240" w:lineRule="auto"/>
        <w:rPr>
          <w:color w:val="000000"/>
          <w:szCs w:val="22"/>
          <w:lang w:val="it-IT"/>
        </w:rPr>
      </w:pPr>
    </w:p>
    <w:p w14:paraId="5297A3A2" w14:textId="77777777" w:rsidR="00841424" w:rsidRPr="004A59B1" w:rsidRDefault="00841424" w:rsidP="009C1193">
      <w:pPr>
        <w:widowControl w:val="0"/>
        <w:tabs>
          <w:tab w:val="clear" w:pos="567"/>
        </w:tabs>
        <w:spacing w:line="240" w:lineRule="auto"/>
        <w:rPr>
          <w:color w:val="000000"/>
          <w:szCs w:val="22"/>
          <w:lang w:val="it-IT"/>
        </w:rPr>
      </w:pPr>
    </w:p>
    <w:p w14:paraId="5297A3A3" w14:textId="77777777" w:rsidR="00841424" w:rsidRPr="004A59B1" w:rsidRDefault="00841424" w:rsidP="009C1193">
      <w:pPr>
        <w:widowControl w:val="0"/>
        <w:tabs>
          <w:tab w:val="clear" w:pos="567"/>
        </w:tabs>
        <w:spacing w:line="240" w:lineRule="auto"/>
        <w:rPr>
          <w:color w:val="000000"/>
          <w:szCs w:val="22"/>
          <w:lang w:val="it-IT"/>
        </w:rPr>
      </w:pPr>
    </w:p>
    <w:p w14:paraId="5297A3A4" w14:textId="77777777" w:rsidR="00841424" w:rsidRPr="004A59B1" w:rsidRDefault="00841424" w:rsidP="009C1193">
      <w:pPr>
        <w:widowControl w:val="0"/>
        <w:tabs>
          <w:tab w:val="clear" w:pos="567"/>
        </w:tabs>
        <w:spacing w:line="240" w:lineRule="auto"/>
        <w:rPr>
          <w:color w:val="000000"/>
          <w:szCs w:val="22"/>
          <w:lang w:val="it-IT"/>
        </w:rPr>
      </w:pPr>
    </w:p>
    <w:p w14:paraId="5297A3A5" w14:textId="77777777" w:rsidR="00841424" w:rsidRPr="004A59B1" w:rsidRDefault="00841424" w:rsidP="009C1193">
      <w:pPr>
        <w:widowControl w:val="0"/>
        <w:tabs>
          <w:tab w:val="clear" w:pos="567"/>
        </w:tabs>
        <w:spacing w:line="240" w:lineRule="auto"/>
        <w:rPr>
          <w:color w:val="000000"/>
          <w:szCs w:val="22"/>
          <w:lang w:val="it-IT"/>
        </w:rPr>
      </w:pPr>
    </w:p>
    <w:p w14:paraId="5297A3A6" w14:textId="77777777" w:rsidR="00841424" w:rsidRPr="004A59B1" w:rsidRDefault="00841424" w:rsidP="009C1193">
      <w:pPr>
        <w:widowControl w:val="0"/>
        <w:tabs>
          <w:tab w:val="clear" w:pos="567"/>
        </w:tabs>
        <w:spacing w:line="240" w:lineRule="auto"/>
        <w:rPr>
          <w:color w:val="000000"/>
          <w:szCs w:val="22"/>
          <w:lang w:val="it-IT"/>
        </w:rPr>
      </w:pPr>
    </w:p>
    <w:p w14:paraId="5297A3A7" w14:textId="77777777" w:rsidR="00841424" w:rsidRPr="004A59B1" w:rsidRDefault="00841424" w:rsidP="009C1193">
      <w:pPr>
        <w:widowControl w:val="0"/>
        <w:tabs>
          <w:tab w:val="clear" w:pos="567"/>
        </w:tabs>
        <w:spacing w:line="240" w:lineRule="auto"/>
        <w:rPr>
          <w:color w:val="000000"/>
          <w:szCs w:val="22"/>
          <w:lang w:val="it-IT"/>
        </w:rPr>
      </w:pPr>
    </w:p>
    <w:p w14:paraId="5297A3A8" w14:textId="77777777" w:rsidR="00841424" w:rsidRPr="004A59B1" w:rsidRDefault="00841424" w:rsidP="009C1193">
      <w:pPr>
        <w:widowControl w:val="0"/>
        <w:tabs>
          <w:tab w:val="clear" w:pos="567"/>
        </w:tabs>
        <w:spacing w:line="240" w:lineRule="auto"/>
        <w:rPr>
          <w:color w:val="000000"/>
          <w:szCs w:val="22"/>
          <w:lang w:val="it-IT"/>
        </w:rPr>
      </w:pPr>
    </w:p>
    <w:p w14:paraId="5297A3A9" w14:textId="77777777" w:rsidR="00841424" w:rsidRPr="004A59B1" w:rsidRDefault="00841424" w:rsidP="009C1193">
      <w:pPr>
        <w:widowControl w:val="0"/>
        <w:tabs>
          <w:tab w:val="clear" w:pos="567"/>
        </w:tabs>
        <w:spacing w:line="240" w:lineRule="auto"/>
        <w:rPr>
          <w:color w:val="000000"/>
          <w:szCs w:val="22"/>
          <w:lang w:val="it-IT"/>
        </w:rPr>
      </w:pPr>
    </w:p>
    <w:p w14:paraId="5297A3AA" w14:textId="77777777" w:rsidR="00841424" w:rsidRPr="004A59B1" w:rsidRDefault="00841424" w:rsidP="009C1193">
      <w:pPr>
        <w:widowControl w:val="0"/>
        <w:tabs>
          <w:tab w:val="clear" w:pos="567"/>
        </w:tabs>
        <w:spacing w:line="240" w:lineRule="auto"/>
        <w:rPr>
          <w:color w:val="000000"/>
          <w:szCs w:val="22"/>
          <w:lang w:val="it-IT"/>
        </w:rPr>
      </w:pPr>
    </w:p>
    <w:p w14:paraId="5297A3AB" w14:textId="77777777" w:rsidR="00841424" w:rsidRPr="004A59B1" w:rsidRDefault="00841424" w:rsidP="009C1193">
      <w:pPr>
        <w:widowControl w:val="0"/>
        <w:tabs>
          <w:tab w:val="clear" w:pos="567"/>
        </w:tabs>
        <w:spacing w:line="240" w:lineRule="auto"/>
        <w:rPr>
          <w:color w:val="000000"/>
          <w:szCs w:val="22"/>
          <w:lang w:val="it-IT"/>
        </w:rPr>
      </w:pPr>
    </w:p>
    <w:p w14:paraId="5297A3AC" w14:textId="77777777" w:rsidR="00841424" w:rsidRPr="004A59B1" w:rsidRDefault="00841424" w:rsidP="009C1193">
      <w:pPr>
        <w:widowControl w:val="0"/>
        <w:tabs>
          <w:tab w:val="clear" w:pos="567"/>
        </w:tabs>
        <w:spacing w:line="240" w:lineRule="auto"/>
        <w:rPr>
          <w:color w:val="000000"/>
          <w:szCs w:val="22"/>
          <w:lang w:val="it-IT"/>
        </w:rPr>
      </w:pPr>
    </w:p>
    <w:p w14:paraId="5297A3AD" w14:textId="77777777" w:rsidR="00841424" w:rsidRPr="004A59B1" w:rsidRDefault="00841424" w:rsidP="009C1193">
      <w:pPr>
        <w:widowControl w:val="0"/>
        <w:tabs>
          <w:tab w:val="clear" w:pos="567"/>
        </w:tabs>
        <w:spacing w:line="240" w:lineRule="auto"/>
        <w:rPr>
          <w:color w:val="000000"/>
          <w:szCs w:val="22"/>
          <w:lang w:val="it-IT"/>
        </w:rPr>
      </w:pPr>
    </w:p>
    <w:p w14:paraId="5297A3AE" w14:textId="77777777" w:rsidR="00841424" w:rsidRPr="004A59B1" w:rsidRDefault="00841424" w:rsidP="009C1193">
      <w:pPr>
        <w:widowControl w:val="0"/>
        <w:tabs>
          <w:tab w:val="clear" w:pos="567"/>
        </w:tabs>
        <w:spacing w:line="240" w:lineRule="auto"/>
        <w:rPr>
          <w:color w:val="000000"/>
          <w:szCs w:val="22"/>
          <w:lang w:val="it-IT"/>
        </w:rPr>
      </w:pPr>
    </w:p>
    <w:p w14:paraId="5297A3AF" w14:textId="77777777" w:rsidR="00841424" w:rsidRDefault="00841424" w:rsidP="009C1193">
      <w:pPr>
        <w:widowControl w:val="0"/>
        <w:tabs>
          <w:tab w:val="clear" w:pos="567"/>
        </w:tabs>
        <w:spacing w:line="240" w:lineRule="auto"/>
        <w:rPr>
          <w:color w:val="000000"/>
          <w:szCs w:val="22"/>
          <w:lang w:val="it-IT"/>
        </w:rPr>
      </w:pPr>
    </w:p>
    <w:p w14:paraId="5297A3B0" w14:textId="77777777" w:rsidR="000A6242" w:rsidRPr="004A59B1" w:rsidRDefault="000A6242" w:rsidP="009C1193">
      <w:pPr>
        <w:widowControl w:val="0"/>
        <w:tabs>
          <w:tab w:val="clear" w:pos="567"/>
        </w:tabs>
        <w:spacing w:line="240" w:lineRule="auto"/>
        <w:rPr>
          <w:color w:val="000000"/>
          <w:szCs w:val="22"/>
          <w:lang w:val="it-IT"/>
        </w:rPr>
      </w:pPr>
    </w:p>
    <w:p w14:paraId="5297A3B1" w14:textId="77777777" w:rsidR="00841424" w:rsidRPr="004A59B1" w:rsidRDefault="00841424" w:rsidP="009C1193">
      <w:pPr>
        <w:widowControl w:val="0"/>
        <w:tabs>
          <w:tab w:val="clear" w:pos="567"/>
        </w:tabs>
        <w:spacing w:line="240" w:lineRule="auto"/>
        <w:jc w:val="center"/>
        <w:rPr>
          <w:color w:val="000000"/>
          <w:szCs w:val="22"/>
          <w:lang w:val="it-IT"/>
        </w:rPr>
      </w:pPr>
      <w:r w:rsidRPr="004A59B1">
        <w:rPr>
          <w:b/>
          <w:color w:val="000000"/>
          <w:szCs w:val="22"/>
          <w:lang w:val="it-IT"/>
        </w:rPr>
        <w:t>A. OZNAČEVANJE</w:t>
      </w:r>
    </w:p>
    <w:p w14:paraId="5297A3B2" w14:textId="77777777" w:rsidR="00841424" w:rsidRPr="004A59B1" w:rsidRDefault="00841424" w:rsidP="009C1193">
      <w:pPr>
        <w:widowControl w:val="0"/>
        <w:tabs>
          <w:tab w:val="clear" w:pos="567"/>
        </w:tabs>
        <w:spacing w:line="240" w:lineRule="auto"/>
        <w:rPr>
          <w:color w:val="000000"/>
          <w:szCs w:val="22"/>
          <w:lang w:val="it-IT"/>
        </w:rPr>
      </w:pPr>
      <w:r w:rsidRPr="004A59B1">
        <w:rPr>
          <w:color w:val="000000"/>
          <w:szCs w:val="22"/>
          <w:lang w:val="it-IT"/>
        </w:rPr>
        <w:br w:type="page"/>
      </w:r>
    </w:p>
    <w:p w14:paraId="5297A431" w14:textId="77777777" w:rsidR="000A6242" w:rsidRPr="000A6242" w:rsidRDefault="000A6242" w:rsidP="000A6242">
      <w:pPr>
        <w:widowControl w:val="0"/>
        <w:tabs>
          <w:tab w:val="clear" w:pos="567"/>
        </w:tabs>
        <w:spacing w:line="240" w:lineRule="auto"/>
        <w:rPr>
          <w:color w:val="000000"/>
          <w:szCs w:val="22"/>
          <w:lang w:val="pl-PL"/>
        </w:rPr>
      </w:pPr>
    </w:p>
    <w:p w14:paraId="5297A432"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pl-PL"/>
        </w:rPr>
      </w:pPr>
      <w:r w:rsidRPr="004A59B1">
        <w:rPr>
          <w:b/>
          <w:color w:val="000000"/>
          <w:szCs w:val="22"/>
          <w:lang w:val="pl-PL"/>
        </w:rPr>
        <w:t>PODATKI NA ZUNANJI OVOJNINI</w:t>
      </w:r>
    </w:p>
    <w:p w14:paraId="5297A433"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pl-PL"/>
        </w:rPr>
      </w:pPr>
    </w:p>
    <w:p w14:paraId="5297A434"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spacing w:line="240" w:lineRule="auto"/>
        <w:rPr>
          <w:b/>
          <w:color w:val="000000"/>
          <w:szCs w:val="22"/>
          <w:lang w:val="pl-PL"/>
        </w:rPr>
      </w:pPr>
      <w:r w:rsidRPr="004A59B1">
        <w:rPr>
          <w:b/>
          <w:color w:val="000000"/>
          <w:szCs w:val="22"/>
          <w:lang w:val="pl-PL"/>
        </w:rPr>
        <w:t>KARTONSKA ŠKATLA</w:t>
      </w:r>
    </w:p>
    <w:p w14:paraId="5297A435" w14:textId="77777777" w:rsidR="00841424" w:rsidRPr="004A59B1" w:rsidRDefault="00841424" w:rsidP="009C1193">
      <w:pPr>
        <w:widowControl w:val="0"/>
        <w:tabs>
          <w:tab w:val="clear" w:pos="567"/>
        </w:tabs>
        <w:spacing w:line="240" w:lineRule="auto"/>
        <w:rPr>
          <w:color w:val="000000"/>
          <w:szCs w:val="22"/>
          <w:lang w:val="pl-PL"/>
        </w:rPr>
      </w:pPr>
    </w:p>
    <w:p w14:paraId="5297A436" w14:textId="77777777" w:rsidR="00841424" w:rsidRPr="004A59B1" w:rsidRDefault="00841424" w:rsidP="009C1193">
      <w:pPr>
        <w:widowControl w:val="0"/>
        <w:tabs>
          <w:tab w:val="clear" w:pos="567"/>
        </w:tabs>
        <w:spacing w:line="240" w:lineRule="auto"/>
        <w:rPr>
          <w:color w:val="000000"/>
          <w:szCs w:val="22"/>
          <w:lang w:val="pl-PL"/>
        </w:rPr>
      </w:pPr>
    </w:p>
    <w:p w14:paraId="5297A437"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1.</w:t>
      </w:r>
      <w:r w:rsidRPr="004A59B1">
        <w:rPr>
          <w:b/>
          <w:color w:val="000000"/>
          <w:szCs w:val="22"/>
          <w:lang w:val="pl-PL"/>
        </w:rPr>
        <w:tab/>
        <w:t>IME ZDRAVILA</w:t>
      </w:r>
    </w:p>
    <w:p w14:paraId="5297A438" w14:textId="77777777" w:rsidR="00841424" w:rsidRPr="004A59B1" w:rsidRDefault="00841424" w:rsidP="009C1193">
      <w:pPr>
        <w:widowControl w:val="0"/>
        <w:tabs>
          <w:tab w:val="clear" w:pos="567"/>
        </w:tabs>
        <w:spacing w:line="240" w:lineRule="auto"/>
        <w:rPr>
          <w:color w:val="000000"/>
          <w:szCs w:val="22"/>
          <w:lang w:val="pl-PL"/>
        </w:rPr>
      </w:pPr>
    </w:p>
    <w:p w14:paraId="5297A439" w14:textId="77777777" w:rsidR="00841424" w:rsidRPr="004A59B1" w:rsidRDefault="00841424" w:rsidP="009C1193">
      <w:pPr>
        <w:widowControl w:val="0"/>
        <w:tabs>
          <w:tab w:val="clear" w:pos="567"/>
        </w:tabs>
        <w:spacing w:line="240" w:lineRule="auto"/>
        <w:rPr>
          <w:color w:val="000000"/>
          <w:szCs w:val="22"/>
          <w:lang w:val="pl-PL"/>
        </w:rPr>
      </w:pPr>
      <w:r w:rsidRPr="004A59B1">
        <w:rPr>
          <w:color w:val="000000"/>
          <w:szCs w:val="22"/>
          <w:lang w:val="pl-PL"/>
        </w:rPr>
        <w:t>Glivec 100 mg trde kapsule</w:t>
      </w:r>
    </w:p>
    <w:p w14:paraId="5297A43A" w14:textId="77777777" w:rsidR="00841424" w:rsidRPr="004A59B1" w:rsidRDefault="00841424" w:rsidP="009C1193">
      <w:pPr>
        <w:widowControl w:val="0"/>
        <w:tabs>
          <w:tab w:val="clear" w:pos="567"/>
        </w:tabs>
        <w:spacing w:line="240" w:lineRule="auto"/>
        <w:rPr>
          <w:color w:val="000000"/>
          <w:szCs w:val="22"/>
          <w:lang w:val="pl-PL"/>
        </w:rPr>
      </w:pPr>
      <w:r w:rsidRPr="004A59B1">
        <w:rPr>
          <w:color w:val="000000"/>
          <w:szCs w:val="22"/>
          <w:lang w:val="pl-PL"/>
        </w:rPr>
        <w:t>imatinib</w:t>
      </w:r>
    </w:p>
    <w:p w14:paraId="5297A43B" w14:textId="77777777" w:rsidR="00841424" w:rsidRPr="004A59B1" w:rsidRDefault="00841424" w:rsidP="009C1193">
      <w:pPr>
        <w:widowControl w:val="0"/>
        <w:tabs>
          <w:tab w:val="clear" w:pos="567"/>
        </w:tabs>
        <w:spacing w:line="240" w:lineRule="auto"/>
        <w:rPr>
          <w:color w:val="000000"/>
          <w:szCs w:val="22"/>
          <w:lang w:val="pl-PL"/>
        </w:rPr>
      </w:pPr>
    </w:p>
    <w:p w14:paraId="5297A43C" w14:textId="77777777" w:rsidR="00841424" w:rsidRPr="004A59B1" w:rsidRDefault="00841424" w:rsidP="009C1193">
      <w:pPr>
        <w:widowControl w:val="0"/>
        <w:tabs>
          <w:tab w:val="clear" w:pos="567"/>
        </w:tabs>
        <w:spacing w:line="240" w:lineRule="auto"/>
        <w:rPr>
          <w:color w:val="000000"/>
          <w:szCs w:val="22"/>
          <w:lang w:val="pl-PL"/>
        </w:rPr>
      </w:pPr>
    </w:p>
    <w:p w14:paraId="5297A43D"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2.</w:t>
      </w:r>
      <w:r w:rsidRPr="004A59B1">
        <w:rPr>
          <w:b/>
          <w:color w:val="000000"/>
          <w:szCs w:val="22"/>
          <w:lang w:val="pl-PL"/>
        </w:rPr>
        <w:tab/>
        <w:t>NAVEDBA ENE ALI VEČ UČINKOVIN</w:t>
      </w:r>
    </w:p>
    <w:p w14:paraId="5297A43E" w14:textId="77777777" w:rsidR="00841424" w:rsidRPr="004A59B1" w:rsidRDefault="00841424" w:rsidP="009C1193">
      <w:pPr>
        <w:widowControl w:val="0"/>
        <w:tabs>
          <w:tab w:val="clear" w:pos="567"/>
        </w:tabs>
        <w:spacing w:line="240" w:lineRule="auto"/>
        <w:rPr>
          <w:color w:val="000000"/>
          <w:szCs w:val="22"/>
          <w:lang w:val="pl-PL"/>
        </w:rPr>
      </w:pPr>
    </w:p>
    <w:p w14:paraId="5297A43F" w14:textId="77777777" w:rsidR="00841424" w:rsidRPr="004A59B1" w:rsidRDefault="004225C2" w:rsidP="009C1193">
      <w:pPr>
        <w:pStyle w:val="TextChar"/>
        <w:widowControl w:val="0"/>
        <w:spacing w:before="0"/>
        <w:jc w:val="left"/>
        <w:rPr>
          <w:color w:val="000000"/>
          <w:sz w:val="22"/>
          <w:szCs w:val="22"/>
          <w:lang w:val="pl-PL"/>
        </w:rPr>
      </w:pPr>
      <w:r>
        <w:rPr>
          <w:color w:val="000000"/>
          <w:sz w:val="22"/>
          <w:szCs w:val="22"/>
          <w:lang w:val="pl-PL"/>
        </w:rPr>
        <w:t>Ena</w:t>
      </w:r>
      <w:r w:rsidR="00841424" w:rsidRPr="004A59B1">
        <w:rPr>
          <w:color w:val="000000"/>
          <w:sz w:val="22"/>
          <w:szCs w:val="22"/>
          <w:lang w:val="pl-PL"/>
        </w:rPr>
        <w:t xml:space="preserve"> kapsula vsebuje 100 mg imatiniba (v obliki mesilata).</w:t>
      </w:r>
    </w:p>
    <w:p w14:paraId="5297A440" w14:textId="77777777" w:rsidR="00841424" w:rsidRPr="004A59B1" w:rsidRDefault="00841424" w:rsidP="009C1193">
      <w:pPr>
        <w:widowControl w:val="0"/>
        <w:tabs>
          <w:tab w:val="clear" w:pos="567"/>
        </w:tabs>
        <w:spacing w:line="240" w:lineRule="auto"/>
        <w:rPr>
          <w:color w:val="000000"/>
          <w:szCs w:val="22"/>
          <w:lang w:val="pl-PL"/>
        </w:rPr>
      </w:pPr>
    </w:p>
    <w:p w14:paraId="5297A441" w14:textId="77777777" w:rsidR="00841424" w:rsidRPr="004A59B1" w:rsidRDefault="00841424" w:rsidP="009C1193">
      <w:pPr>
        <w:widowControl w:val="0"/>
        <w:tabs>
          <w:tab w:val="clear" w:pos="567"/>
        </w:tabs>
        <w:spacing w:line="240" w:lineRule="auto"/>
        <w:rPr>
          <w:color w:val="000000"/>
          <w:szCs w:val="22"/>
          <w:lang w:val="pl-PL"/>
        </w:rPr>
      </w:pPr>
    </w:p>
    <w:p w14:paraId="5297A442"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3.</w:t>
      </w:r>
      <w:r w:rsidRPr="004A59B1">
        <w:rPr>
          <w:b/>
          <w:color w:val="000000"/>
          <w:szCs w:val="22"/>
          <w:lang w:val="pl-PL"/>
        </w:rPr>
        <w:tab/>
        <w:t>SEZNAM POMOŽNIH SNOVI</w:t>
      </w:r>
    </w:p>
    <w:p w14:paraId="5297A443" w14:textId="77777777" w:rsidR="00841424" w:rsidRPr="004A59B1" w:rsidRDefault="00841424" w:rsidP="009C1193">
      <w:pPr>
        <w:widowControl w:val="0"/>
        <w:tabs>
          <w:tab w:val="clear" w:pos="567"/>
        </w:tabs>
        <w:spacing w:line="240" w:lineRule="auto"/>
        <w:rPr>
          <w:color w:val="000000"/>
          <w:szCs w:val="22"/>
          <w:lang w:val="pl-PL"/>
        </w:rPr>
      </w:pPr>
    </w:p>
    <w:p w14:paraId="5297A444" w14:textId="77777777" w:rsidR="00841424" w:rsidRPr="004A59B1" w:rsidRDefault="00841424" w:rsidP="009C1193">
      <w:pPr>
        <w:widowControl w:val="0"/>
        <w:tabs>
          <w:tab w:val="clear" w:pos="567"/>
        </w:tabs>
        <w:spacing w:line="240" w:lineRule="auto"/>
        <w:rPr>
          <w:color w:val="000000"/>
          <w:szCs w:val="22"/>
          <w:lang w:val="pl-PL"/>
        </w:rPr>
      </w:pPr>
    </w:p>
    <w:p w14:paraId="5297A445"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4.</w:t>
      </w:r>
      <w:r w:rsidRPr="004A59B1">
        <w:rPr>
          <w:b/>
          <w:color w:val="000000"/>
          <w:szCs w:val="22"/>
          <w:lang w:val="pl-PL"/>
        </w:rPr>
        <w:tab/>
        <w:t>FARMACEVTSKA OBLIKA IN VSEBINA</w:t>
      </w:r>
    </w:p>
    <w:p w14:paraId="5297A446" w14:textId="77777777" w:rsidR="00841424" w:rsidRPr="004A59B1" w:rsidRDefault="00841424" w:rsidP="009C1193">
      <w:pPr>
        <w:widowControl w:val="0"/>
        <w:tabs>
          <w:tab w:val="clear" w:pos="567"/>
        </w:tabs>
        <w:spacing w:line="240" w:lineRule="auto"/>
        <w:rPr>
          <w:color w:val="000000"/>
          <w:szCs w:val="22"/>
          <w:lang w:val="pl-PL"/>
        </w:rPr>
      </w:pPr>
    </w:p>
    <w:p w14:paraId="5297A447" w14:textId="77777777" w:rsidR="00841424" w:rsidRPr="004A59B1" w:rsidRDefault="00841424" w:rsidP="009C1193">
      <w:pPr>
        <w:pStyle w:val="EndnoteText"/>
        <w:widowControl w:val="0"/>
        <w:rPr>
          <w:color w:val="000000"/>
          <w:szCs w:val="22"/>
          <w:lang w:val="pl-PL"/>
        </w:rPr>
      </w:pPr>
      <w:r w:rsidRPr="004A59B1">
        <w:rPr>
          <w:color w:val="000000"/>
          <w:szCs w:val="22"/>
          <w:lang w:val="pl-PL"/>
        </w:rPr>
        <w:t>24 trdih kapsul</w:t>
      </w:r>
    </w:p>
    <w:p w14:paraId="5297A448" w14:textId="77777777" w:rsidR="00841424" w:rsidRPr="004A59B1" w:rsidRDefault="00841424" w:rsidP="009C1193">
      <w:pPr>
        <w:widowControl w:val="0"/>
        <w:tabs>
          <w:tab w:val="clear" w:pos="567"/>
        </w:tabs>
        <w:spacing w:line="240" w:lineRule="auto"/>
        <w:rPr>
          <w:color w:val="000000"/>
          <w:szCs w:val="22"/>
          <w:shd w:val="clear" w:color="auto" w:fill="D9D9D9"/>
          <w:lang w:val="pl-PL"/>
        </w:rPr>
      </w:pPr>
      <w:r w:rsidRPr="004A59B1">
        <w:rPr>
          <w:color w:val="000000"/>
          <w:szCs w:val="22"/>
          <w:shd w:val="clear" w:color="auto" w:fill="D9D9D9"/>
          <w:lang w:val="pl-PL"/>
        </w:rPr>
        <w:t>48 trdih kapsul</w:t>
      </w:r>
    </w:p>
    <w:p w14:paraId="5297A449" w14:textId="77777777" w:rsidR="00841424" w:rsidRPr="004A59B1" w:rsidRDefault="00841424" w:rsidP="009C1193">
      <w:pPr>
        <w:widowControl w:val="0"/>
        <w:tabs>
          <w:tab w:val="clear" w:pos="567"/>
        </w:tabs>
        <w:spacing w:line="240" w:lineRule="auto"/>
        <w:rPr>
          <w:color w:val="000000"/>
          <w:szCs w:val="22"/>
          <w:shd w:val="clear" w:color="auto" w:fill="D9D9D9"/>
          <w:lang w:val="pl-PL"/>
        </w:rPr>
      </w:pPr>
      <w:r w:rsidRPr="004A59B1">
        <w:rPr>
          <w:color w:val="000000"/>
          <w:szCs w:val="22"/>
          <w:shd w:val="clear" w:color="auto" w:fill="D9D9D9"/>
          <w:lang w:val="pl-PL"/>
        </w:rPr>
        <w:t>96 trdih kapsul</w:t>
      </w:r>
    </w:p>
    <w:p w14:paraId="5297A44A" w14:textId="77777777" w:rsidR="00841424" w:rsidRPr="004A59B1" w:rsidRDefault="00841424" w:rsidP="009C1193">
      <w:pPr>
        <w:widowControl w:val="0"/>
        <w:tabs>
          <w:tab w:val="clear" w:pos="567"/>
        </w:tabs>
        <w:spacing w:line="240" w:lineRule="auto"/>
        <w:rPr>
          <w:color w:val="000000"/>
          <w:szCs w:val="22"/>
          <w:shd w:val="clear" w:color="auto" w:fill="D9D9D9"/>
          <w:lang w:val="pl-PL"/>
        </w:rPr>
      </w:pPr>
      <w:r w:rsidRPr="004A59B1">
        <w:rPr>
          <w:color w:val="000000"/>
          <w:szCs w:val="22"/>
          <w:shd w:val="clear" w:color="auto" w:fill="D9D9D9"/>
          <w:lang w:val="pl-PL"/>
        </w:rPr>
        <w:t>120 trdih kapsul</w:t>
      </w:r>
    </w:p>
    <w:p w14:paraId="5297A44B" w14:textId="77777777" w:rsidR="00841424" w:rsidRPr="004A59B1" w:rsidRDefault="00841424" w:rsidP="009C1193">
      <w:pPr>
        <w:widowControl w:val="0"/>
        <w:tabs>
          <w:tab w:val="clear" w:pos="567"/>
        </w:tabs>
        <w:spacing w:line="240" w:lineRule="auto"/>
        <w:rPr>
          <w:color w:val="000000"/>
          <w:szCs w:val="22"/>
          <w:shd w:val="clear" w:color="auto" w:fill="D9D9D9"/>
          <w:lang w:val="pl-PL"/>
        </w:rPr>
      </w:pPr>
      <w:r w:rsidRPr="004A59B1">
        <w:rPr>
          <w:color w:val="000000"/>
          <w:szCs w:val="22"/>
          <w:shd w:val="clear" w:color="auto" w:fill="D9D9D9"/>
          <w:lang w:val="pl-PL"/>
        </w:rPr>
        <w:t>180 trdih kapsul</w:t>
      </w:r>
    </w:p>
    <w:p w14:paraId="5297A44C" w14:textId="77777777" w:rsidR="00841424" w:rsidRPr="004A59B1" w:rsidRDefault="00841424" w:rsidP="009C1193">
      <w:pPr>
        <w:widowControl w:val="0"/>
        <w:tabs>
          <w:tab w:val="clear" w:pos="567"/>
        </w:tabs>
        <w:spacing w:line="240" w:lineRule="auto"/>
        <w:rPr>
          <w:color w:val="000000"/>
          <w:szCs w:val="22"/>
          <w:lang w:val="pl-PL"/>
        </w:rPr>
      </w:pPr>
    </w:p>
    <w:p w14:paraId="5297A44D" w14:textId="77777777" w:rsidR="00841424" w:rsidRPr="004A59B1" w:rsidRDefault="00841424" w:rsidP="009C1193">
      <w:pPr>
        <w:widowControl w:val="0"/>
        <w:tabs>
          <w:tab w:val="clear" w:pos="567"/>
        </w:tabs>
        <w:spacing w:line="240" w:lineRule="auto"/>
        <w:rPr>
          <w:color w:val="000000"/>
          <w:szCs w:val="22"/>
          <w:lang w:val="pl-PL"/>
        </w:rPr>
      </w:pPr>
    </w:p>
    <w:p w14:paraId="5297A44E"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5.</w:t>
      </w:r>
      <w:r w:rsidRPr="004A59B1">
        <w:rPr>
          <w:b/>
          <w:color w:val="000000"/>
          <w:szCs w:val="22"/>
          <w:lang w:val="pl-PL"/>
        </w:rPr>
        <w:tab/>
        <w:t>POSTOPEK IN POT(I) UPORABE ZDRAVILA</w:t>
      </w:r>
    </w:p>
    <w:p w14:paraId="5297A44F" w14:textId="77777777" w:rsidR="00841424" w:rsidRPr="004A59B1" w:rsidRDefault="00841424" w:rsidP="009C1193">
      <w:pPr>
        <w:widowControl w:val="0"/>
        <w:tabs>
          <w:tab w:val="clear" w:pos="567"/>
        </w:tabs>
        <w:spacing w:line="240" w:lineRule="auto"/>
        <w:rPr>
          <w:color w:val="000000"/>
          <w:szCs w:val="22"/>
          <w:lang w:val="pl-PL"/>
        </w:rPr>
      </w:pPr>
    </w:p>
    <w:p w14:paraId="5297A450" w14:textId="77777777" w:rsidR="00841424" w:rsidRPr="004A59B1" w:rsidRDefault="00841424" w:rsidP="009C1193">
      <w:pPr>
        <w:pStyle w:val="EndnoteText"/>
        <w:widowControl w:val="0"/>
        <w:tabs>
          <w:tab w:val="clear" w:pos="567"/>
        </w:tabs>
        <w:rPr>
          <w:color w:val="000000"/>
          <w:szCs w:val="22"/>
          <w:lang w:val="pl-PL"/>
        </w:rPr>
      </w:pPr>
      <w:r w:rsidRPr="004A59B1">
        <w:rPr>
          <w:color w:val="000000"/>
          <w:szCs w:val="22"/>
          <w:lang w:val="pl-PL"/>
        </w:rPr>
        <w:t>Peroralna uporaba. Pred uporabo preberite priloženo navodilo</w:t>
      </w:r>
      <w:r w:rsidR="003B627C" w:rsidRPr="004A59B1">
        <w:rPr>
          <w:color w:val="000000"/>
          <w:szCs w:val="22"/>
          <w:lang w:val="pl-PL"/>
        </w:rPr>
        <w:t>!</w:t>
      </w:r>
    </w:p>
    <w:p w14:paraId="5297A451" w14:textId="77777777" w:rsidR="00841424" w:rsidRPr="004A59B1" w:rsidRDefault="00841424" w:rsidP="009C1193">
      <w:pPr>
        <w:widowControl w:val="0"/>
        <w:tabs>
          <w:tab w:val="clear" w:pos="567"/>
        </w:tabs>
        <w:spacing w:line="240" w:lineRule="auto"/>
        <w:rPr>
          <w:color w:val="000000"/>
          <w:szCs w:val="22"/>
          <w:lang w:val="pl-PL"/>
        </w:rPr>
      </w:pPr>
    </w:p>
    <w:p w14:paraId="5297A452" w14:textId="77777777" w:rsidR="00841424" w:rsidRPr="004A59B1" w:rsidRDefault="00841424" w:rsidP="009C1193">
      <w:pPr>
        <w:widowControl w:val="0"/>
        <w:tabs>
          <w:tab w:val="clear" w:pos="567"/>
        </w:tabs>
        <w:spacing w:line="240" w:lineRule="auto"/>
        <w:rPr>
          <w:color w:val="000000"/>
          <w:szCs w:val="22"/>
          <w:lang w:val="pl-PL"/>
        </w:rPr>
      </w:pPr>
    </w:p>
    <w:p w14:paraId="5297A453"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6.</w:t>
      </w:r>
      <w:r w:rsidRPr="004A59B1">
        <w:rPr>
          <w:b/>
          <w:color w:val="000000"/>
          <w:szCs w:val="22"/>
          <w:lang w:val="pl-PL"/>
        </w:rPr>
        <w:tab/>
        <w:t>POSEBNO OPOZORILO O SHRANJEVANJU ZDRAVILA ZUNAJ DOSEGA IN POGLEDA OTROK</w:t>
      </w:r>
    </w:p>
    <w:p w14:paraId="5297A454" w14:textId="77777777" w:rsidR="00841424" w:rsidRPr="004A59B1" w:rsidRDefault="00841424" w:rsidP="009C1193">
      <w:pPr>
        <w:widowControl w:val="0"/>
        <w:tabs>
          <w:tab w:val="clear" w:pos="567"/>
        </w:tabs>
        <w:spacing w:line="240" w:lineRule="auto"/>
        <w:rPr>
          <w:color w:val="000000"/>
          <w:szCs w:val="22"/>
          <w:lang w:val="pl-PL"/>
        </w:rPr>
      </w:pPr>
    </w:p>
    <w:p w14:paraId="5297A455" w14:textId="77777777" w:rsidR="00841424" w:rsidRPr="004A59B1" w:rsidRDefault="00841424" w:rsidP="009C1193">
      <w:pPr>
        <w:widowControl w:val="0"/>
        <w:tabs>
          <w:tab w:val="clear" w:pos="567"/>
        </w:tabs>
        <w:spacing w:line="240" w:lineRule="auto"/>
        <w:rPr>
          <w:color w:val="000000"/>
          <w:szCs w:val="22"/>
          <w:lang w:val="pl-PL"/>
        </w:rPr>
      </w:pPr>
      <w:r w:rsidRPr="004A59B1">
        <w:rPr>
          <w:color w:val="000000"/>
          <w:szCs w:val="22"/>
          <w:lang w:val="pl-PL"/>
        </w:rPr>
        <w:t>Zdravilo shranjujte nedosegljivo otrokom!</w:t>
      </w:r>
    </w:p>
    <w:p w14:paraId="5297A456" w14:textId="77777777" w:rsidR="00841424" w:rsidRPr="004A59B1" w:rsidRDefault="00841424" w:rsidP="009C1193">
      <w:pPr>
        <w:widowControl w:val="0"/>
        <w:tabs>
          <w:tab w:val="clear" w:pos="567"/>
        </w:tabs>
        <w:spacing w:line="240" w:lineRule="auto"/>
        <w:rPr>
          <w:color w:val="000000"/>
          <w:szCs w:val="22"/>
          <w:lang w:val="pl-PL"/>
        </w:rPr>
      </w:pPr>
    </w:p>
    <w:p w14:paraId="5297A457" w14:textId="77777777" w:rsidR="00841424" w:rsidRPr="004A59B1" w:rsidRDefault="00841424" w:rsidP="009C1193">
      <w:pPr>
        <w:widowControl w:val="0"/>
        <w:tabs>
          <w:tab w:val="clear" w:pos="567"/>
        </w:tabs>
        <w:spacing w:line="240" w:lineRule="auto"/>
        <w:rPr>
          <w:color w:val="000000"/>
          <w:szCs w:val="22"/>
          <w:lang w:val="pl-PL"/>
        </w:rPr>
      </w:pPr>
    </w:p>
    <w:p w14:paraId="5297A458"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7.</w:t>
      </w:r>
      <w:r w:rsidRPr="004A59B1">
        <w:rPr>
          <w:b/>
          <w:color w:val="000000"/>
          <w:szCs w:val="22"/>
          <w:lang w:val="pl-PL"/>
        </w:rPr>
        <w:tab/>
        <w:t>DRUGA POSEBNA OPOZORILA, ČE SO POTREBNA</w:t>
      </w:r>
    </w:p>
    <w:p w14:paraId="5297A459" w14:textId="77777777" w:rsidR="00841424" w:rsidRPr="004A59B1" w:rsidRDefault="00841424" w:rsidP="009C1193">
      <w:pPr>
        <w:widowControl w:val="0"/>
        <w:tabs>
          <w:tab w:val="clear" w:pos="567"/>
        </w:tabs>
        <w:spacing w:line="240" w:lineRule="auto"/>
        <w:rPr>
          <w:color w:val="000000"/>
          <w:szCs w:val="22"/>
          <w:lang w:val="pl-PL"/>
        </w:rPr>
      </w:pPr>
    </w:p>
    <w:p w14:paraId="5297A45A" w14:textId="77777777" w:rsidR="00841424" w:rsidRPr="004A59B1" w:rsidRDefault="00841424" w:rsidP="009C1193">
      <w:pPr>
        <w:widowControl w:val="0"/>
        <w:tabs>
          <w:tab w:val="clear" w:pos="567"/>
        </w:tabs>
        <w:spacing w:line="240" w:lineRule="auto"/>
        <w:rPr>
          <w:color w:val="000000"/>
          <w:szCs w:val="22"/>
          <w:lang w:val="pl-PL"/>
        </w:rPr>
      </w:pPr>
      <w:r w:rsidRPr="004A59B1">
        <w:rPr>
          <w:color w:val="000000"/>
          <w:szCs w:val="22"/>
          <w:lang w:val="pl-PL"/>
        </w:rPr>
        <w:t>Uporabljajte samo po zdravnikovih navodilih.</w:t>
      </w:r>
    </w:p>
    <w:p w14:paraId="5297A45B" w14:textId="77777777" w:rsidR="00841424" w:rsidRPr="004A59B1" w:rsidRDefault="00841424" w:rsidP="009C1193">
      <w:pPr>
        <w:widowControl w:val="0"/>
        <w:tabs>
          <w:tab w:val="clear" w:pos="567"/>
        </w:tabs>
        <w:spacing w:line="240" w:lineRule="auto"/>
        <w:rPr>
          <w:color w:val="000000"/>
          <w:szCs w:val="22"/>
          <w:lang w:val="pl-PL"/>
        </w:rPr>
      </w:pPr>
    </w:p>
    <w:p w14:paraId="5297A45C" w14:textId="77777777" w:rsidR="00841424" w:rsidRPr="004A59B1" w:rsidRDefault="00841424" w:rsidP="009C1193">
      <w:pPr>
        <w:widowControl w:val="0"/>
        <w:tabs>
          <w:tab w:val="clear" w:pos="567"/>
        </w:tabs>
        <w:spacing w:line="240" w:lineRule="auto"/>
        <w:rPr>
          <w:color w:val="000000"/>
          <w:szCs w:val="22"/>
          <w:lang w:val="pl-PL"/>
        </w:rPr>
      </w:pPr>
    </w:p>
    <w:p w14:paraId="5297A45D"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8.</w:t>
      </w:r>
      <w:r w:rsidRPr="004A59B1">
        <w:rPr>
          <w:b/>
          <w:color w:val="000000"/>
          <w:szCs w:val="22"/>
          <w:lang w:val="pl-PL"/>
        </w:rPr>
        <w:tab/>
        <w:t>DATUM IZTEKA ROKA UPORABNOSTI ZDRAVILA</w:t>
      </w:r>
    </w:p>
    <w:p w14:paraId="5297A45E" w14:textId="77777777" w:rsidR="00841424" w:rsidRPr="004A59B1" w:rsidRDefault="00841424" w:rsidP="009C1193">
      <w:pPr>
        <w:widowControl w:val="0"/>
        <w:tabs>
          <w:tab w:val="clear" w:pos="567"/>
        </w:tabs>
        <w:spacing w:line="240" w:lineRule="auto"/>
        <w:rPr>
          <w:color w:val="000000"/>
          <w:szCs w:val="22"/>
          <w:lang w:val="pl-PL"/>
        </w:rPr>
      </w:pPr>
    </w:p>
    <w:p w14:paraId="5297A45F" w14:textId="77777777" w:rsidR="00841424" w:rsidRPr="004A59B1" w:rsidRDefault="00841424" w:rsidP="009C1193">
      <w:pPr>
        <w:pStyle w:val="EndnoteText"/>
        <w:widowControl w:val="0"/>
        <w:tabs>
          <w:tab w:val="clear" w:pos="567"/>
        </w:tabs>
        <w:rPr>
          <w:color w:val="000000"/>
          <w:szCs w:val="22"/>
          <w:lang w:val="pl-PL"/>
        </w:rPr>
      </w:pPr>
      <w:r w:rsidRPr="004A59B1">
        <w:rPr>
          <w:color w:val="000000"/>
          <w:szCs w:val="22"/>
          <w:lang w:val="pl-PL"/>
        </w:rPr>
        <w:t>EXP</w:t>
      </w:r>
    </w:p>
    <w:p w14:paraId="5297A460" w14:textId="77777777" w:rsidR="00841424" w:rsidRPr="004A59B1" w:rsidRDefault="00841424" w:rsidP="009C1193">
      <w:pPr>
        <w:widowControl w:val="0"/>
        <w:tabs>
          <w:tab w:val="clear" w:pos="567"/>
        </w:tabs>
        <w:spacing w:line="240" w:lineRule="auto"/>
        <w:rPr>
          <w:color w:val="000000"/>
          <w:szCs w:val="22"/>
          <w:lang w:val="pl-PL"/>
        </w:rPr>
      </w:pPr>
    </w:p>
    <w:p w14:paraId="5297A461" w14:textId="77777777" w:rsidR="00841424" w:rsidRPr="004A59B1" w:rsidRDefault="00841424" w:rsidP="009C1193">
      <w:pPr>
        <w:widowControl w:val="0"/>
        <w:tabs>
          <w:tab w:val="clear" w:pos="567"/>
        </w:tabs>
        <w:spacing w:line="240" w:lineRule="auto"/>
        <w:rPr>
          <w:color w:val="000000"/>
          <w:szCs w:val="22"/>
          <w:lang w:val="pl-PL"/>
        </w:rPr>
      </w:pPr>
    </w:p>
    <w:p w14:paraId="5297A462" w14:textId="77777777" w:rsidR="00841424" w:rsidRPr="004A59B1" w:rsidRDefault="00841424" w:rsidP="009C1193">
      <w:pPr>
        <w:keepNext/>
        <w:keepLines/>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szCs w:val="22"/>
          <w:lang w:val="pl-PL"/>
        </w:rPr>
      </w:pPr>
      <w:r w:rsidRPr="004A59B1">
        <w:rPr>
          <w:b/>
          <w:color w:val="000000"/>
          <w:szCs w:val="22"/>
          <w:lang w:val="pl-PL"/>
        </w:rPr>
        <w:t>9.</w:t>
      </w:r>
      <w:r w:rsidRPr="004A59B1">
        <w:rPr>
          <w:b/>
          <w:color w:val="000000"/>
          <w:szCs w:val="22"/>
          <w:lang w:val="pl-PL"/>
        </w:rPr>
        <w:tab/>
        <w:t>POSEBNA NAVODILA ZA SHRANJEVANJE</w:t>
      </w:r>
    </w:p>
    <w:p w14:paraId="5297A463" w14:textId="77777777" w:rsidR="00841424" w:rsidRPr="004A59B1" w:rsidRDefault="00841424" w:rsidP="009C1193">
      <w:pPr>
        <w:keepNext/>
        <w:keepLines/>
        <w:widowControl w:val="0"/>
        <w:tabs>
          <w:tab w:val="clear" w:pos="567"/>
        </w:tabs>
        <w:spacing w:line="240" w:lineRule="auto"/>
        <w:rPr>
          <w:color w:val="000000"/>
          <w:szCs w:val="22"/>
          <w:lang w:val="pl-PL"/>
        </w:rPr>
      </w:pPr>
    </w:p>
    <w:p w14:paraId="5297A464" w14:textId="77777777" w:rsidR="00841424" w:rsidRPr="004A59B1" w:rsidRDefault="00841424" w:rsidP="000A6242">
      <w:pPr>
        <w:pStyle w:val="TextChar"/>
        <w:keepLines/>
        <w:widowControl w:val="0"/>
        <w:spacing w:before="0"/>
        <w:rPr>
          <w:color w:val="000000"/>
          <w:sz w:val="22"/>
          <w:szCs w:val="22"/>
          <w:lang w:val="pl-PL"/>
        </w:rPr>
      </w:pPr>
      <w:r w:rsidRPr="004A59B1">
        <w:rPr>
          <w:color w:val="000000"/>
          <w:sz w:val="22"/>
          <w:szCs w:val="22"/>
          <w:lang w:val="pl-PL"/>
        </w:rPr>
        <w:t>Shranjujte pri temperaturi do 30 </w:t>
      </w:r>
      <w:r w:rsidRPr="004A59B1">
        <w:rPr>
          <w:color w:val="000000"/>
          <w:sz w:val="22"/>
          <w:szCs w:val="22"/>
        </w:rPr>
        <w:sym w:font="Symbol" w:char="F0B0"/>
      </w:r>
      <w:r w:rsidRPr="004A59B1">
        <w:rPr>
          <w:color w:val="000000"/>
          <w:sz w:val="22"/>
          <w:szCs w:val="22"/>
          <w:lang w:val="pl-PL"/>
        </w:rPr>
        <w:t>C. Shranjujte v originalni ovojnini</w:t>
      </w:r>
      <w:r w:rsidRPr="004A59B1">
        <w:rPr>
          <w:noProof/>
          <w:color w:val="000000"/>
          <w:sz w:val="22"/>
          <w:szCs w:val="22"/>
          <w:lang w:val="sl-SI"/>
        </w:rPr>
        <w:t xml:space="preserve"> za zagotovitev zaščite pred vlago</w:t>
      </w:r>
      <w:r w:rsidRPr="004A59B1">
        <w:rPr>
          <w:color w:val="000000"/>
          <w:sz w:val="22"/>
          <w:szCs w:val="22"/>
          <w:lang w:val="pl-PL"/>
        </w:rPr>
        <w:t>.</w:t>
      </w:r>
    </w:p>
    <w:p w14:paraId="5297A465" w14:textId="77777777" w:rsidR="00841424" w:rsidRPr="004A59B1" w:rsidRDefault="00841424" w:rsidP="009C1193">
      <w:pPr>
        <w:widowControl w:val="0"/>
        <w:tabs>
          <w:tab w:val="clear" w:pos="567"/>
        </w:tabs>
        <w:spacing w:line="240" w:lineRule="auto"/>
        <w:rPr>
          <w:color w:val="000000"/>
          <w:szCs w:val="22"/>
          <w:lang w:val="pl-PL"/>
        </w:rPr>
      </w:pPr>
    </w:p>
    <w:p w14:paraId="5297A466" w14:textId="77777777" w:rsidR="00841424" w:rsidRPr="004A59B1" w:rsidRDefault="00841424" w:rsidP="009C1193">
      <w:pPr>
        <w:widowControl w:val="0"/>
        <w:tabs>
          <w:tab w:val="clear" w:pos="567"/>
        </w:tabs>
        <w:spacing w:line="240" w:lineRule="auto"/>
        <w:rPr>
          <w:color w:val="000000"/>
          <w:szCs w:val="22"/>
          <w:lang w:val="pl-PL"/>
        </w:rPr>
      </w:pPr>
    </w:p>
    <w:p w14:paraId="5297A467" w14:textId="77777777" w:rsidR="00841424" w:rsidRPr="004A59B1" w:rsidRDefault="00841424" w:rsidP="000A6242">
      <w:pPr>
        <w:keepNext/>
        <w:keepLines/>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lastRenderedPageBreak/>
        <w:t>10.</w:t>
      </w:r>
      <w:r w:rsidRPr="004A59B1">
        <w:rPr>
          <w:b/>
          <w:color w:val="000000"/>
          <w:szCs w:val="22"/>
          <w:lang w:val="pl-PL"/>
        </w:rPr>
        <w:tab/>
        <w:t>POSEBNI VARNOSTNI UKREPI ZA ODSTRANJEVANJE NEUPORABLJENIH ZDRAVIL ALI IZ NJIH NASTALIH ODPADNIH SNOVI, KADAR SO POTREBNI</w:t>
      </w:r>
    </w:p>
    <w:p w14:paraId="5297A468" w14:textId="77777777" w:rsidR="00841424" w:rsidRPr="004A59B1" w:rsidRDefault="00841424" w:rsidP="009C1193">
      <w:pPr>
        <w:widowControl w:val="0"/>
        <w:tabs>
          <w:tab w:val="clear" w:pos="567"/>
        </w:tabs>
        <w:spacing w:line="240" w:lineRule="auto"/>
        <w:rPr>
          <w:color w:val="000000"/>
          <w:szCs w:val="22"/>
          <w:lang w:val="pl-PL"/>
        </w:rPr>
      </w:pPr>
    </w:p>
    <w:p w14:paraId="5297A469" w14:textId="77777777" w:rsidR="00841424" w:rsidRPr="004A59B1" w:rsidRDefault="00841424" w:rsidP="009C1193">
      <w:pPr>
        <w:widowControl w:val="0"/>
        <w:tabs>
          <w:tab w:val="clear" w:pos="567"/>
        </w:tabs>
        <w:spacing w:line="240" w:lineRule="auto"/>
        <w:rPr>
          <w:color w:val="000000"/>
          <w:szCs w:val="22"/>
          <w:lang w:val="pl-PL"/>
        </w:rPr>
      </w:pPr>
    </w:p>
    <w:p w14:paraId="5297A46A" w14:textId="77777777" w:rsidR="00841424" w:rsidRPr="004A59B1" w:rsidRDefault="00841424" w:rsidP="000A6242">
      <w:pPr>
        <w:keepNext/>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11.</w:t>
      </w:r>
      <w:r w:rsidRPr="004A59B1">
        <w:rPr>
          <w:b/>
          <w:color w:val="000000"/>
          <w:szCs w:val="22"/>
          <w:lang w:val="pl-PL"/>
        </w:rPr>
        <w:tab/>
        <w:t>IME IN NASLOV IMETNIKA DOVOLJENJA ZA PROMET Z ZDRAVILOM</w:t>
      </w:r>
    </w:p>
    <w:p w14:paraId="5297A46B" w14:textId="77777777" w:rsidR="00841424" w:rsidRPr="004A59B1" w:rsidRDefault="00841424" w:rsidP="000A6242">
      <w:pPr>
        <w:keepNext/>
        <w:widowControl w:val="0"/>
        <w:tabs>
          <w:tab w:val="clear" w:pos="567"/>
        </w:tabs>
        <w:spacing w:line="240" w:lineRule="auto"/>
        <w:rPr>
          <w:color w:val="000000"/>
          <w:szCs w:val="22"/>
          <w:lang w:val="pl-PL"/>
        </w:rPr>
      </w:pPr>
    </w:p>
    <w:p w14:paraId="5297A46C" w14:textId="77777777" w:rsidR="00841424" w:rsidRPr="004A59B1" w:rsidRDefault="00841424" w:rsidP="000A6242">
      <w:pPr>
        <w:pStyle w:val="EndnoteText"/>
        <w:keepNext/>
        <w:widowControl w:val="0"/>
        <w:tabs>
          <w:tab w:val="clear" w:pos="567"/>
        </w:tabs>
        <w:rPr>
          <w:color w:val="000000"/>
          <w:szCs w:val="22"/>
        </w:rPr>
      </w:pPr>
      <w:r w:rsidRPr="004A59B1">
        <w:rPr>
          <w:color w:val="000000"/>
          <w:szCs w:val="22"/>
        </w:rPr>
        <w:t>Novartis Europharm Limited</w:t>
      </w:r>
    </w:p>
    <w:p w14:paraId="5297A46D" w14:textId="77777777" w:rsidR="001A1DF7" w:rsidRPr="00EB33FE" w:rsidRDefault="001A1DF7" w:rsidP="009C1193">
      <w:pPr>
        <w:keepNext/>
        <w:widowControl w:val="0"/>
        <w:spacing w:line="240" w:lineRule="auto"/>
        <w:rPr>
          <w:color w:val="000000"/>
        </w:rPr>
      </w:pPr>
      <w:r w:rsidRPr="00EB33FE">
        <w:rPr>
          <w:color w:val="000000"/>
        </w:rPr>
        <w:t>Vista Building</w:t>
      </w:r>
    </w:p>
    <w:p w14:paraId="5297A46E" w14:textId="77777777" w:rsidR="001A1DF7" w:rsidRPr="00EB33FE" w:rsidRDefault="001A1DF7" w:rsidP="009C1193">
      <w:pPr>
        <w:keepNext/>
        <w:widowControl w:val="0"/>
        <w:spacing w:line="240" w:lineRule="auto"/>
        <w:rPr>
          <w:color w:val="000000"/>
        </w:rPr>
      </w:pPr>
      <w:r w:rsidRPr="00EB33FE">
        <w:rPr>
          <w:color w:val="000000"/>
        </w:rPr>
        <w:t>Elm Park, Merrion Road</w:t>
      </w:r>
    </w:p>
    <w:p w14:paraId="5297A46F" w14:textId="77777777" w:rsidR="001A1DF7" w:rsidRPr="00EB33FE" w:rsidRDefault="001A1DF7" w:rsidP="009C1193">
      <w:pPr>
        <w:keepNext/>
        <w:widowControl w:val="0"/>
        <w:spacing w:line="240" w:lineRule="auto"/>
        <w:rPr>
          <w:color w:val="000000"/>
        </w:rPr>
      </w:pPr>
      <w:r w:rsidRPr="00EB33FE">
        <w:rPr>
          <w:color w:val="000000"/>
        </w:rPr>
        <w:t>Dublin 4</w:t>
      </w:r>
    </w:p>
    <w:p w14:paraId="5297A470" w14:textId="77777777" w:rsidR="001A1DF7" w:rsidRDefault="001A1DF7" w:rsidP="009C1193">
      <w:pPr>
        <w:widowControl w:val="0"/>
        <w:spacing w:line="240" w:lineRule="auto"/>
        <w:rPr>
          <w:color w:val="000000"/>
        </w:rPr>
      </w:pPr>
      <w:r w:rsidRPr="00EB33FE">
        <w:rPr>
          <w:color w:val="000000"/>
        </w:rPr>
        <w:t>Irska</w:t>
      </w:r>
    </w:p>
    <w:p w14:paraId="5297A471" w14:textId="77777777" w:rsidR="00841424" w:rsidRPr="004A59B1" w:rsidRDefault="00841424" w:rsidP="009C1193">
      <w:pPr>
        <w:widowControl w:val="0"/>
        <w:tabs>
          <w:tab w:val="clear" w:pos="567"/>
        </w:tabs>
        <w:spacing w:line="240" w:lineRule="auto"/>
        <w:rPr>
          <w:color w:val="000000"/>
          <w:szCs w:val="22"/>
        </w:rPr>
      </w:pPr>
    </w:p>
    <w:p w14:paraId="5297A472" w14:textId="77777777" w:rsidR="00841424" w:rsidRPr="004A59B1" w:rsidRDefault="00841424" w:rsidP="009C1193">
      <w:pPr>
        <w:widowControl w:val="0"/>
        <w:tabs>
          <w:tab w:val="clear" w:pos="567"/>
        </w:tabs>
        <w:spacing w:line="240" w:lineRule="auto"/>
        <w:rPr>
          <w:color w:val="000000"/>
          <w:szCs w:val="22"/>
        </w:rPr>
      </w:pPr>
    </w:p>
    <w:p w14:paraId="5297A473"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4A59B1">
        <w:rPr>
          <w:b/>
          <w:color w:val="000000"/>
          <w:szCs w:val="22"/>
          <w:lang w:val="sv-SE"/>
        </w:rPr>
        <w:t>12.</w:t>
      </w:r>
      <w:r w:rsidRPr="004A59B1">
        <w:rPr>
          <w:b/>
          <w:color w:val="000000"/>
          <w:szCs w:val="22"/>
          <w:lang w:val="sv-SE"/>
        </w:rPr>
        <w:tab/>
        <w:t>ŠTEVILKA(E) DOVOLJENJA (DOVOLJENJ) ZA PROMET</w:t>
      </w:r>
    </w:p>
    <w:p w14:paraId="5297A474" w14:textId="77777777" w:rsidR="00841424" w:rsidRPr="004A59B1" w:rsidRDefault="00841424" w:rsidP="009C1193">
      <w:pPr>
        <w:widowControl w:val="0"/>
        <w:tabs>
          <w:tab w:val="clear" w:pos="567"/>
        </w:tabs>
        <w:spacing w:line="240" w:lineRule="auto"/>
        <w:rPr>
          <w:color w:val="000000"/>
          <w:szCs w:val="22"/>
          <w:lang w:val="sv-SE"/>
        </w:rPr>
      </w:pPr>
    </w:p>
    <w:p w14:paraId="5297A475" w14:textId="77777777" w:rsidR="00841424" w:rsidRPr="004A59B1" w:rsidRDefault="00841424" w:rsidP="009C1193">
      <w:pPr>
        <w:pStyle w:val="EndnoteText"/>
        <w:widowControl w:val="0"/>
        <w:tabs>
          <w:tab w:val="clear" w:pos="567"/>
          <w:tab w:val="left" w:pos="2268"/>
        </w:tabs>
        <w:rPr>
          <w:color w:val="000000"/>
          <w:szCs w:val="22"/>
          <w:shd w:val="clear" w:color="auto" w:fill="D9D9D9"/>
          <w:lang w:val="sv-SE"/>
        </w:rPr>
      </w:pPr>
      <w:r w:rsidRPr="004A59B1">
        <w:rPr>
          <w:color w:val="000000"/>
          <w:szCs w:val="22"/>
          <w:lang w:val="sv-SE"/>
        </w:rPr>
        <w:t>EU/1/01/198/002</w:t>
      </w:r>
      <w:r w:rsidRPr="004A59B1">
        <w:rPr>
          <w:color w:val="000000"/>
          <w:szCs w:val="22"/>
          <w:lang w:val="sv-SE"/>
        </w:rPr>
        <w:tab/>
      </w:r>
      <w:r w:rsidRPr="004A59B1">
        <w:rPr>
          <w:color w:val="000000"/>
          <w:szCs w:val="22"/>
          <w:shd w:val="clear" w:color="auto" w:fill="D9D9D9"/>
          <w:lang w:val="sv-SE"/>
        </w:rPr>
        <w:t>24 kapsul</w:t>
      </w:r>
    </w:p>
    <w:p w14:paraId="5297A476" w14:textId="77777777" w:rsidR="00841424" w:rsidRPr="004A59B1" w:rsidRDefault="00841424" w:rsidP="009C1193">
      <w:pPr>
        <w:widowControl w:val="0"/>
        <w:tabs>
          <w:tab w:val="clear" w:pos="567"/>
          <w:tab w:val="left" w:pos="2268"/>
        </w:tabs>
        <w:spacing w:line="240" w:lineRule="auto"/>
        <w:rPr>
          <w:color w:val="000000"/>
          <w:szCs w:val="22"/>
          <w:shd w:val="clear" w:color="auto" w:fill="D9D9D9"/>
          <w:lang w:val="sv-SE"/>
        </w:rPr>
      </w:pPr>
      <w:r w:rsidRPr="004A59B1">
        <w:rPr>
          <w:color w:val="000000"/>
          <w:szCs w:val="22"/>
          <w:shd w:val="clear" w:color="auto" w:fill="D9D9D9"/>
          <w:lang w:val="sv-SE"/>
        </w:rPr>
        <w:t>EU/1/01/198/003</w:t>
      </w:r>
      <w:r w:rsidRPr="004A59B1">
        <w:rPr>
          <w:color w:val="000000"/>
          <w:szCs w:val="22"/>
          <w:shd w:val="clear" w:color="auto" w:fill="D9D9D9"/>
          <w:lang w:val="sv-SE"/>
        </w:rPr>
        <w:tab/>
        <w:t>48 kapsul</w:t>
      </w:r>
    </w:p>
    <w:p w14:paraId="5297A477" w14:textId="77777777" w:rsidR="00841424" w:rsidRPr="004A59B1" w:rsidRDefault="00841424" w:rsidP="009C1193">
      <w:pPr>
        <w:widowControl w:val="0"/>
        <w:tabs>
          <w:tab w:val="clear" w:pos="567"/>
          <w:tab w:val="left" w:pos="2268"/>
        </w:tabs>
        <w:spacing w:line="240" w:lineRule="auto"/>
        <w:rPr>
          <w:color w:val="000000"/>
          <w:szCs w:val="22"/>
          <w:shd w:val="clear" w:color="auto" w:fill="D9D9D9"/>
          <w:lang w:val="sv-SE"/>
        </w:rPr>
      </w:pPr>
      <w:r w:rsidRPr="004A59B1">
        <w:rPr>
          <w:color w:val="000000"/>
          <w:szCs w:val="22"/>
          <w:shd w:val="clear" w:color="auto" w:fill="D9D9D9"/>
          <w:lang w:val="sv-SE"/>
        </w:rPr>
        <w:t>EU/1/01/198/004</w:t>
      </w:r>
      <w:r w:rsidRPr="004A59B1">
        <w:rPr>
          <w:color w:val="000000"/>
          <w:szCs w:val="22"/>
          <w:shd w:val="clear" w:color="auto" w:fill="D9D9D9"/>
          <w:lang w:val="sv-SE"/>
        </w:rPr>
        <w:tab/>
        <w:t>96 kapsul</w:t>
      </w:r>
    </w:p>
    <w:p w14:paraId="5297A478" w14:textId="77777777" w:rsidR="00841424" w:rsidRPr="004A59B1" w:rsidRDefault="00841424" w:rsidP="009C1193">
      <w:pPr>
        <w:widowControl w:val="0"/>
        <w:tabs>
          <w:tab w:val="clear" w:pos="567"/>
          <w:tab w:val="left" w:pos="2268"/>
        </w:tabs>
        <w:spacing w:line="240" w:lineRule="auto"/>
        <w:rPr>
          <w:color w:val="000000"/>
          <w:szCs w:val="22"/>
          <w:shd w:val="clear" w:color="auto" w:fill="D9D9D9"/>
          <w:lang w:val="sv-SE"/>
        </w:rPr>
      </w:pPr>
      <w:r w:rsidRPr="004A59B1">
        <w:rPr>
          <w:color w:val="000000"/>
          <w:szCs w:val="22"/>
          <w:shd w:val="clear" w:color="auto" w:fill="D9D9D9"/>
          <w:lang w:val="sv-SE"/>
        </w:rPr>
        <w:t>EU/1/01/198/005</w:t>
      </w:r>
      <w:r w:rsidRPr="004A59B1">
        <w:rPr>
          <w:color w:val="000000"/>
          <w:szCs w:val="22"/>
          <w:shd w:val="clear" w:color="auto" w:fill="D9D9D9"/>
          <w:lang w:val="sv-SE"/>
        </w:rPr>
        <w:tab/>
        <w:t>120 kapsul</w:t>
      </w:r>
    </w:p>
    <w:p w14:paraId="5297A479" w14:textId="77777777" w:rsidR="00841424" w:rsidRPr="004A59B1" w:rsidRDefault="00841424" w:rsidP="009C1193">
      <w:pPr>
        <w:widowControl w:val="0"/>
        <w:tabs>
          <w:tab w:val="clear" w:pos="567"/>
          <w:tab w:val="left" w:pos="2268"/>
        </w:tabs>
        <w:spacing w:line="240" w:lineRule="auto"/>
        <w:rPr>
          <w:color w:val="000000"/>
          <w:szCs w:val="22"/>
          <w:shd w:val="clear" w:color="auto" w:fill="D9D9D9"/>
          <w:lang w:val="sv-SE"/>
        </w:rPr>
      </w:pPr>
      <w:r w:rsidRPr="004A59B1">
        <w:rPr>
          <w:color w:val="000000"/>
          <w:szCs w:val="22"/>
          <w:shd w:val="clear" w:color="auto" w:fill="D9D9D9"/>
          <w:lang w:val="sv-SE"/>
        </w:rPr>
        <w:t>EU/1/01/198/006</w:t>
      </w:r>
      <w:r w:rsidRPr="004A59B1">
        <w:rPr>
          <w:color w:val="000000"/>
          <w:szCs w:val="22"/>
          <w:shd w:val="clear" w:color="auto" w:fill="D9D9D9"/>
          <w:lang w:val="sv-SE"/>
        </w:rPr>
        <w:tab/>
        <w:t>180 kapsul</w:t>
      </w:r>
    </w:p>
    <w:p w14:paraId="5297A47A" w14:textId="77777777" w:rsidR="00841424" w:rsidRPr="004A59B1" w:rsidRDefault="00841424" w:rsidP="009C1193">
      <w:pPr>
        <w:widowControl w:val="0"/>
        <w:tabs>
          <w:tab w:val="clear" w:pos="567"/>
        </w:tabs>
        <w:spacing w:line="240" w:lineRule="auto"/>
        <w:rPr>
          <w:color w:val="000000"/>
          <w:szCs w:val="22"/>
          <w:lang w:val="sv-SE"/>
        </w:rPr>
      </w:pPr>
    </w:p>
    <w:p w14:paraId="5297A47B" w14:textId="77777777" w:rsidR="00841424" w:rsidRPr="004A59B1" w:rsidRDefault="00841424" w:rsidP="009C1193">
      <w:pPr>
        <w:widowControl w:val="0"/>
        <w:tabs>
          <w:tab w:val="clear" w:pos="567"/>
        </w:tabs>
        <w:spacing w:line="240" w:lineRule="auto"/>
        <w:rPr>
          <w:color w:val="000000"/>
          <w:szCs w:val="22"/>
          <w:lang w:val="sv-SE"/>
        </w:rPr>
      </w:pPr>
    </w:p>
    <w:p w14:paraId="5297A47C"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4A59B1">
        <w:rPr>
          <w:b/>
          <w:color w:val="000000"/>
          <w:szCs w:val="22"/>
          <w:lang w:val="sv-SE"/>
        </w:rPr>
        <w:t>13.</w:t>
      </w:r>
      <w:r w:rsidRPr="004A59B1">
        <w:rPr>
          <w:b/>
          <w:color w:val="000000"/>
          <w:szCs w:val="22"/>
          <w:lang w:val="sv-SE"/>
        </w:rPr>
        <w:tab/>
        <w:t>ŠTEVILKA SERIJE</w:t>
      </w:r>
    </w:p>
    <w:p w14:paraId="5297A47D" w14:textId="77777777" w:rsidR="00841424" w:rsidRPr="004A59B1" w:rsidRDefault="00841424" w:rsidP="009C1193">
      <w:pPr>
        <w:widowControl w:val="0"/>
        <w:tabs>
          <w:tab w:val="clear" w:pos="567"/>
        </w:tabs>
        <w:spacing w:line="240" w:lineRule="auto"/>
        <w:rPr>
          <w:color w:val="000000"/>
          <w:szCs w:val="22"/>
          <w:lang w:val="sv-SE"/>
        </w:rPr>
      </w:pPr>
    </w:p>
    <w:p w14:paraId="5297A47E" w14:textId="77777777" w:rsidR="00841424" w:rsidRPr="004A59B1" w:rsidRDefault="00332440" w:rsidP="009C1193">
      <w:pPr>
        <w:widowControl w:val="0"/>
        <w:tabs>
          <w:tab w:val="clear" w:pos="567"/>
        </w:tabs>
        <w:spacing w:line="240" w:lineRule="auto"/>
        <w:rPr>
          <w:color w:val="000000"/>
          <w:szCs w:val="22"/>
          <w:lang w:val="sv-SE"/>
        </w:rPr>
      </w:pPr>
      <w:r>
        <w:rPr>
          <w:color w:val="000000"/>
          <w:szCs w:val="22"/>
          <w:lang w:val="sv-SE"/>
        </w:rPr>
        <w:t>Lot</w:t>
      </w:r>
    </w:p>
    <w:p w14:paraId="5297A47F" w14:textId="77777777" w:rsidR="00841424" w:rsidRPr="004A59B1" w:rsidRDefault="00841424" w:rsidP="009C1193">
      <w:pPr>
        <w:widowControl w:val="0"/>
        <w:tabs>
          <w:tab w:val="clear" w:pos="567"/>
        </w:tabs>
        <w:spacing w:line="240" w:lineRule="auto"/>
        <w:rPr>
          <w:color w:val="000000"/>
          <w:szCs w:val="22"/>
          <w:lang w:val="sv-SE"/>
        </w:rPr>
      </w:pPr>
    </w:p>
    <w:p w14:paraId="5297A480" w14:textId="77777777" w:rsidR="00841424" w:rsidRPr="004A59B1" w:rsidRDefault="00841424" w:rsidP="009C1193">
      <w:pPr>
        <w:widowControl w:val="0"/>
        <w:tabs>
          <w:tab w:val="clear" w:pos="567"/>
        </w:tabs>
        <w:spacing w:line="240" w:lineRule="auto"/>
        <w:rPr>
          <w:color w:val="000000"/>
          <w:szCs w:val="22"/>
          <w:lang w:val="sv-SE"/>
        </w:rPr>
      </w:pPr>
    </w:p>
    <w:p w14:paraId="5297A481"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4A59B1">
        <w:rPr>
          <w:b/>
          <w:color w:val="000000"/>
          <w:szCs w:val="22"/>
          <w:lang w:val="sv-SE"/>
        </w:rPr>
        <w:t>14.</w:t>
      </w:r>
      <w:r w:rsidRPr="004A59B1">
        <w:rPr>
          <w:b/>
          <w:color w:val="000000"/>
          <w:szCs w:val="22"/>
          <w:lang w:val="sv-SE"/>
        </w:rPr>
        <w:tab/>
        <w:t>NAČIN IZDAJANJA ZDRAVILA</w:t>
      </w:r>
    </w:p>
    <w:p w14:paraId="5297A482" w14:textId="77777777" w:rsidR="00841424" w:rsidRPr="004A59B1" w:rsidRDefault="00841424" w:rsidP="009C1193">
      <w:pPr>
        <w:widowControl w:val="0"/>
        <w:tabs>
          <w:tab w:val="clear" w:pos="567"/>
        </w:tabs>
        <w:spacing w:line="240" w:lineRule="auto"/>
        <w:rPr>
          <w:color w:val="000000"/>
          <w:szCs w:val="22"/>
          <w:lang w:val="sv-SE"/>
        </w:rPr>
      </w:pPr>
    </w:p>
    <w:p w14:paraId="5297A483" w14:textId="77777777" w:rsidR="00841424" w:rsidRPr="004A59B1" w:rsidRDefault="00841424" w:rsidP="009C1193">
      <w:pPr>
        <w:widowControl w:val="0"/>
        <w:tabs>
          <w:tab w:val="clear" w:pos="567"/>
        </w:tabs>
        <w:spacing w:line="240" w:lineRule="auto"/>
        <w:rPr>
          <w:color w:val="000000"/>
          <w:szCs w:val="22"/>
          <w:lang w:val="sv-SE"/>
        </w:rPr>
      </w:pPr>
    </w:p>
    <w:p w14:paraId="5297A484"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15.</w:t>
      </w:r>
      <w:r w:rsidRPr="004A59B1">
        <w:rPr>
          <w:b/>
          <w:color w:val="000000"/>
          <w:szCs w:val="22"/>
          <w:lang w:val="pl-PL"/>
        </w:rPr>
        <w:tab/>
        <w:t>NAVODILA ZA UPORABO</w:t>
      </w:r>
    </w:p>
    <w:p w14:paraId="5297A485" w14:textId="77777777" w:rsidR="00841424" w:rsidRPr="004A59B1" w:rsidRDefault="00841424" w:rsidP="009C1193">
      <w:pPr>
        <w:widowControl w:val="0"/>
        <w:tabs>
          <w:tab w:val="clear" w:pos="567"/>
        </w:tabs>
        <w:spacing w:line="240" w:lineRule="auto"/>
        <w:rPr>
          <w:color w:val="000000"/>
          <w:szCs w:val="22"/>
          <w:u w:val="single"/>
          <w:lang w:val="pl-PL"/>
        </w:rPr>
      </w:pPr>
    </w:p>
    <w:p w14:paraId="5297A486" w14:textId="77777777" w:rsidR="00841424" w:rsidRPr="004A59B1" w:rsidRDefault="00841424" w:rsidP="009C1193">
      <w:pPr>
        <w:widowControl w:val="0"/>
        <w:tabs>
          <w:tab w:val="clear" w:pos="567"/>
        </w:tabs>
        <w:spacing w:line="240" w:lineRule="auto"/>
        <w:rPr>
          <w:color w:val="000000"/>
          <w:szCs w:val="22"/>
          <w:u w:val="single"/>
          <w:lang w:val="pl-PL"/>
        </w:rPr>
      </w:pPr>
    </w:p>
    <w:p w14:paraId="5297A487"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b/>
          <w:color w:val="000000"/>
          <w:szCs w:val="22"/>
          <w:lang w:val="pl-PL"/>
        </w:rPr>
      </w:pPr>
      <w:r w:rsidRPr="004A59B1">
        <w:rPr>
          <w:b/>
          <w:color w:val="000000"/>
          <w:szCs w:val="22"/>
          <w:lang w:val="pl-PL"/>
        </w:rPr>
        <w:t>16.</w:t>
      </w:r>
      <w:r w:rsidRPr="004A59B1">
        <w:rPr>
          <w:b/>
          <w:color w:val="000000"/>
          <w:szCs w:val="22"/>
          <w:lang w:val="pl-PL"/>
        </w:rPr>
        <w:tab/>
        <w:t>PODATKI V BRAILLOVI PISAVI</w:t>
      </w:r>
    </w:p>
    <w:p w14:paraId="5297A488" w14:textId="77777777" w:rsidR="00841424" w:rsidRPr="004A59B1" w:rsidRDefault="00841424" w:rsidP="009C1193">
      <w:pPr>
        <w:widowControl w:val="0"/>
        <w:tabs>
          <w:tab w:val="clear" w:pos="567"/>
        </w:tabs>
        <w:spacing w:line="240" w:lineRule="auto"/>
        <w:rPr>
          <w:color w:val="000000"/>
          <w:szCs w:val="22"/>
          <w:lang w:val="pl-PL"/>
        </w:rPr>
      </w:pPr>
    </w:p>
    <w:p w14:paraId="5297A489" w14:textId="77777777" w:rsidR="00841424" w:rsidRPr="004A59B1" w:rsidRDefault="00841424" w:rsidP="009C1193">
      <w:pPr>
        <w:widowControl w:val="0"/>
        <w:tabs>
          <w:tab w:val="clear" w:pos="567"/>
        </w:tabs>
        <w:spacing w:line="240" w:lineRule="auto"/>
        <w:rPr>
          <w:color w:val="000000"/>
          <w:szCs w:val="22"/>
          <w:lang w:val="pl-PL"/>
        </w:rPr>
      </w:pPr>
      <w:r w:rsidRPr="004A59B1">
        <w:rPr>
          <w:color w:val="000000"/>
          <w:szCs w:val="22"/>
          <w:lang w:val="pl-PL"/>
        </w:rPr>
        <w:t>Glivec 100 mg</w:t>
      </w:r>
    </w:p>
    <w:p w14:paraId="5297A48A" w14:textId="77777777" w:rsidR="00841424" w:rsidRDefault="00841424" w:rsidP="009C1193">
      <w:pPr>
        <w:widowControl w:val="0"/>
        <w:tabs>
          <w:tab w:val="clear" w:pos="567"/>
        </w:tabs>
        <w:spacing w:line="240" w:lineRule="auto"/>
        <w:rPr>
          <w:color w:val="000000"/>
          <w:szCs w:val="22"/>
          <w:lang w:val="pl-PL"/>
        </w:rPr>
      </w:pPr>
    </w:p>
    <w:p w14:paraId="5297A48B" w14:textId="77777777" w:rsidR="00800C08" w:rsidRDefault="00800C08" w:rsidP="009C1193">
      <w:pPr>
        <w:widowControl w:val="0"/>
        <w:tabs>
          <w:tab w:val="clear" w:pos="567"/>
        </w:tabs>
        <w:spacing w:line="240" w:lineRule="auto"/>
        <w:rPr>
          <w:color w:val="000000"/>
          <w:szCs w:val="22"/>
          <w:lang w:val="pl-PL"/>
        </w:rPr>
      </w:pPr>
    </w:p>
    <w:p w14:paraId="5297A48C" w14:textId="77777777" w:rsidR="00800C08" w:rsidRDefault="00800C08" w:rsidP="009C1193">
      <w:pPr>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lang w:val="sl-SI"/>
        </w:rPr>
      </w:pPr>
      <w:r>
        <w:rPr>
          <w:b/>
          <w:bCs/>
          <w:lang w:val="sl-SI"/>
        </w:rPr>
        <w:t>17.</w:t>
      </w:r>
      <w:r>
        <w:rPr>
          <w:b/>
          <w:bCs/>
          <w:lang w:val="sl-SI"/>
        </w:rPr>
        <w:tab/>
      </w:r>
      <w:r w:rsidRPr="0058717D">
        <w:rPr>
          <w:b/>
          <w:bCs/>
          <w:lang w:val="sl-SI"/>
        </w:rPr>
        <w:t>EDINSTVENA OZNAKA – DVODIMENZIONALNA ČRTNA KODA</w:t>
      </w:r>
    </w:p>
    <w:p w14:paraId="5297A48D" w14:textId="77777777" w:rsidR="00800C08" w:rsidRDefault="00800C08" w:rsidP="009C1193">
      <w:pPr>
        <w:widowControl w:val="0"/>
        <w:tabs>
          <w:tab w:val="clear" w:pos="567"/>
        </w:tabs>
        <w:spacing w:line="240" w:lineRule="auto"/>
        <w:rPr>
          <w:lang w:val="sl-SI"/>
        </w:rPr>
      </w:pPr>
    </w:p>
    <w:p w14:paraId="5297A48E" w14:textId="77777777" w:rsidR="00800C08" w:rsidRPr="001D3FD4" w:rsidRDefault="00800C08" w:rsidP="009C1193">
      <w:pPr>
        <w:widowControl w:val="0"/>
        <w:tabs>
          <w:tab w:val="clear" w:pos="567"/>
        </w:tabs>
        <w:spacing w:line="240" w:lineRule="auto"/>
        <w:rPr>
          <w:noProof/>
          <w:shd w:val="pct15" w:color="auto" w:fill="auto"/>
          <w:lang w:val="pt-BR"/>
        </w:rPr>
      </w:pPr>
      <w:r w:rsidRPr="001D3FD4">
        <w:rPr>
          <w:noProof/>
          <w:shd w:val="pct15" w:color="auto" w:fill="auto"/>
          <w:lang w:val="pt-BR"/>
        </w:rPr>
        <w:t>Vsebuje dvodimenzionalno črtno kodo z edinstveno oznako.</w:t>
      </w:r>
    </w:p>
    <w:p w14:paraId="5297A48F" w14:textId="77777777" w:rsidR="00800C08" w:rsidRDefault="00800C08" w:rsidP="009C1193">
      <w:pPr>
        <w:widowControl w:val="0"/>
        <w:tabs>
          <w:tab w:val="clear" w:pos="567"/>
        </w:tabs>
        <w:spacing w:line="240" w:lineRule="auto"/>
        <w:rPr>
          <w:lang w:val="sl-SI"/>
        </w:rPr>
      </w:pPr>
    </w:p>
    <w:p w14:paraId="5297A490" w14:textId="77777777" w:rsidR="00800C08" w:rsidRDefault="00800C08" w:rsidP="009C1193">
      <w:pPr>
        <w:widowControl w:val="0"/>
        <w:tabs>
          <w:tab w:val="clear" w:pos="567"/>
        </w:tabs>
        <w:spacing w:line="240" w:lineRule="auto"/>
        <w:rPr>
          <w:lang w:val="sl-SI"/>
        </w:rPr>
      </w:pPr>
    </w:p>
    <w:p w14:paraId="5297A491" w14:textId="77777777" w:rsidR="00800C08" w:rsidRDefault="00800C08" w:rsidP="009C1193">
      <w:pPr>
        <w:keepNext/>
        <w:keepLines/>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lang w:val="sl-SI"/>
        </w:rPr>
      </w:pPr>
      <w:r>
        <w:rPr>
          <w:b/>
          <w:bCs/>
          <w:lang w:val="sl-SI"/>
        </w:rPr>
        <w:t>18.</w:t>
      </w:r>
      <w:r>
        <w:rPr>
          <w:b/>
          <w:bCs/>
          <w:lang w:val="sl-SI"/>
        </w:rPr>
        <w:tab/>
      </w:r>
      <w:r w:rsidRPr="0058717D">
        <w:rPr>
          <w:b/>
          <w:bCs/>
          <w:lang w:val="sl-SI"/>
        </w:rPr>
        <w:t>EDINSTVENA OZNAKA – V BERLJIVI OBLIKI</w:t>
      </w:r>
    </w:p>
    <w:p w14:paraId="5297A492" w14:textId="77777777" w:rsidR="00800C08" w:rsidRDefault="00800C08" w:rsidP="009C1193">
      <w:pPr>
        <w:keepNext/>
        <w:keepLines/>
        <w:widowControl w:val="0"/>
        <w:tabs>
          <w:tab w:val="clear" w:pos="567"/>
        </w:tabs>
        <w:spacing w:line="240" w:lineRule="auto"/>
        <w:rPr>
          <w:lang w:val="sl-SI"/>
        </w:rPr>
      </w:pPr>
    </w:p>
    <w:p w14:paraId="5297A493" w14:textId="77777777" w:rsidR="00800C08" w:rsidRDefault="00800C08" w:rsidP="009C1193">
      <w:pPr>
        <w:keepNext/>
        <w:keepLines/>
        <w:widowControl w:val="0"/>
        <w:tabs>
          <w:tab w:val="clear" w:pos="567"/>
        </w:tabs>
        <w:spacing w:line="240" w:lineRule="auto"/>
        <w:rPr>
          <w:lang w:val="sl-SI"/>
        </w:rPr>
      </w:pPr>
      <w:r>
        <w:rPr>
          <w:lang w:val="sl-SI"/>
        </w:rPr>
        <w:t>PC:</w:t>
      </w:r>
    </w:p>
    <w:p w14:paraId="5297A494" w14:textId="77777777" w:rsidR="00800C08" w:rsidRDefault="00800C08" w:rsidP="009C1193">
      <w:pPr>
        <w:keepNext/>
        <w:keepLines/>
        <w:widowControl w:val="0"/>
        <w:tabs>
          <w:tab w:val="clear" w:pos="567"/>
        </w:tabs>
        <w:spacing w:line="240" w:lineRule="auto"/>
        <w:rPr>
          <w:lang w:val="sl-SI"/>
        </w:rPr>
      </w:pPr>
      <w:r>
        <w:rPr>
          <w:lang w:val="sl-SI"/>
        </w:rPr>
        <w:t>SN:</w:t>
      </w:r>
    </w:p>
    <w:p w14:paraId="5297A495" w14:textId="77777777" w:rsidR="00800C08" w:rsidRDefault="00800C08" w:rsidP="000A6242">
      <w:pPr>
        <w:widowControl w:val="0"/>
        <w:tabs>
          <w:tab w:val="clear" w:pos="567"/>
        </w:tabs>
        <w:spacing w:line="240" w:lineRule="auto"/>
        <w:rPr>
          <w:lang w:val="sl-SI"/>
        </w:rPr>
      </w:pPr>
      <w:r w:rsidRPr="000A6242">
        <w:rPr>
          <w:color w:val="000000"/>
          <w:szCs w:val="22"/>
          <w:lang w:val="pl-PL"/>
        </w:rPr>
        <w:t>NN</w:t>
      </w:r>
      <w:r>
        <w:rPr>
          <w:lang w:val="sl-SI"/>
        </w:rPr>
        <w:t>:</w:t>
      </w:r>
    </w:p>
    <w:p w14:paraId="5297A496" w14:textId="77777777" w:rsidR="00800C08" w:rsidRPr="004A59B1" w:rsidRDefault="00800C08" w:rsidP="009C1193">
      <w:pPr>
        <w:widowControl w:val="0"/>
        <w:tabs>
          <w:tab w:val="clear" w:pos="567"/>
        </w:tabs>
        <w:spacing w:line="240" w:lineRule="auto"/>
        <w:rPr>
          <w:color w:val="000000"/>
          <w:szCs w:val="22"/>
          <w:lang w:val="pl-PL"/>
        </w:rPr>
      </w:pPr>
    </w:p>
    <w:p w14:paraId="5297A497" w14:textId="77777777" w:rsidR="00841424" w:rsidRPr="004A59B1" w:rsidRDefault="00841424" w:rsidP="009C1193">
      <w:pPr>
        <w:widowControl w:val="0"/>
        <w:tabs>
          <w:tab w:val="clear" w:pos="567"/>
        </w:tabs>
        <w:spacing w:line="240" w:lineRule="auto"/>
        <w:rPr>
          <w:color w:val="000000"/>
          <w:szCs w:val="22"/>
          <w:lang w:val="pl-PL"/>
        </w:rPr>
      </w:pPr>
      <w:r w:rsidRPr="004A59B1">
        <w:rPr>
          <w:b/>
          <w:color w:val="000000"/>
          <w:szCs w:val="22"/>
          <w:u w:val="single"/>
          <w:lang w:val="pl-PL"/>
        </w:rPr>
        <w:br w:type="page"/>
      </w:r>
    </w:p>
    <w:p w14:paraId="5297A498" w14:textId="77777777" w:rsidR="000A6242" w:rsidRPr="000A6242" w:rsidRDefault="000A6242" w:rsidP="000A6242">
      <w:pPr>
        <w:widowControl w:val="0"/>
        <w:tabs>
          <w:tab w:val="clear" w:pos="567"/>
          <w:tab w:val="left" w:pos="5748"/>
        </w:tabs>
        <w:spacing w:line="240" w:lineRule="auto"/>
        <w:rPr>
          <w:color w:val="000000"/>
          <w:szCs w:val="22"/>
          <w:lang w:val="pl-PL"/>
        </w:rPr>
      </w:pPr>
    </w:p>
    <w:p w14:paraId="5297A499"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pl-PL"/>
        </w:rPr>
      </w:pPr>
      <w:r w:rsidRPr="004A59B1">
        <w:rPr>
          <w:b/>
          <w:color w:val="000000"/>
          <w:szCs w:val="22"/>
          <w:lang w:val="pl-PL"/>
        </w:rPr>
        <w:t>PODATKI, KI MORAJO BITI NAJMANJ NAVEDENI NA PRETISNEM OMOTU ALI DVOJNEM TRAKU</w:t>
      </w:r>
    </w:p>
    <w:p w14:paraId="5297A49A"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pl-PL"/>
        </w:rPr>
      </w:pPr>
    </w:p>
    <w:p w14:paraId="5297A49B"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pl-PL"/>
        </w:rPr>
      </w:pPr>
      <w:r w:rsidRPr="004A59B1">
        <w:rPr>
          <w:b/>
          <w:color w:val="000000"/>
          <w:szCs w:val="22"/>
          <w:lang w:val="pl-PL"/>
        </w:rPr>
        <w:t>PRETISNI OMOTI</w:t>
      </w:r>
    </w:p>
    <w:p w14:paraId="5297A49C" w14:textId="77777777" w:rsidR="00841424" w:rsidRPr="004A59B1" w:rsidRDefault="00841424" w:rsidP="009C1193">
      <w:pPr>
        <w:widowControl w:val="0"/>
        <w:tabs>
          <w:tab w:val="clear" w:pos="567"/>
          <w:tab w:val="left" w:pos="5748"/>
        </w:tabs>
        <w:spacing w:line="240" w:lineRule="auto"/>
        <w:rPr>
          <w:color w:val="000000"/>
          <w:szCs w:val="22"/>
          <w:lang w:val="pl-PL"/>
        </w:rPr>
      </w:pPr>
    </w:p>
    <w:p w14:paraId="5297A49D" w14:textId="77777777" w:rsidR="00841424" w:rsidRPr="004A59B1" w:rsidRDefault="00841424" w:rsidP="009C1193">
      <w:pPr>
        <w:widowControl w:val="0"/>
        <w:tabs>
          <w:tab w:val="clear" w:pos="567"/>
        </w:tabs>
        <w:spacing w:line="240" w:lineRule="auto"/>
        <w:rPr>
          <w:color w:val="000000"/>
          <w:szCs w:val="22"/>
          <w:lang w:val="pl-PL"/>
        </w:rPr>
      </w:pPr>
    </w:p>
    <w:p w14:paraId="5297A49E"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1.</w:t>
      </w:r>
      <w:r w:rsidRPr="004A59B1">
        <w:rPr>
          <w:b/>
          <w:color w:val="000000"/>
          <w:szCs w:val="22"/>
          <w:lang w:val="pl-PL"/>
        </w:rPr>
        <w:tab/>
        <w:t>IME ZDRAVILA</w:t>
      </w:r>
    </w:p>
    <w:p w14:paraId="5297A49F" w14:textId="77777777" w:rsidR="00841424" w:rsidRPr="004A59B1" w:rsidRDefault="00841424" w:rsidP="009C1193">
      <w:pPr>
        <w:widowControl w:val="0"/>
        <w:tabs>
          <w:tab w:val="clear" w:pos="567"/>
        </w:tabs>
        <w:spacing w:line="240" w:lineRule="auto"/>
        <w:ind w:left="567" w:hanging="567"/>
        <w:rPr>
          <w:color w:val="000000"/>
          <w:szCs w:val="22"/>
          <w:lang w:val="pl-PL"/>
        </w:rPr>
      </w:pPr>
    </w:p>
    <w:p w14:paraId="5297A4A0" w14:textId="77777777" w:rsidR="00841424" w:rsidRPr="004A59B1" w:rsidRDefault="00841424" w:rsidP="009C1193">
      <w:pPr>
        <w:widowControl w:val="0"/>
        <w:tabs>
          <w:tab w:val="clear" w:pos="567"/>
        </w:tabs>
        <w:spacing w:line="240" w:lineRule="auto"/>
        <w:rPr>
          <w:color w:val="000000"/>
          <w:szCs w:val="22"/>
          <w:lang w:val="pl-PL"/>
        </w:rPr>
      </w:pPr>
      <w:r w:rsidRPr="004A59B1">
        <w:rPr>
          <w:color w:val="000000"/>
          <w:szCs w:val="22"/>
          <w:lang w:val="pl-PL"/>
        </w:rPr>
        <w:t>Glivec 100 mg kapsule</w:t>
      </w:r>
    </w:p>
    <w:p w14:paraId="5297A4A1" w14:textId="77777777" w:rsidR="00841424" w:rsidRPr="004A59B1" w:rsidRDefault="00841424" w:rsidP="009C1193">
      <w:pPr>
        <w:widowControl w:val="0"/>
        <w:tabs>
          <w:tab w:val="clear" w:pos="567"/>
        </w:tabs>
        <w:spacing w:line="240" w:lineRule="auto"/>
        <w:rPr>
          <w:color w:val="000000"/>
          <w:szCs w:val="22"/>
          <w:lang w:val="pl-PL"/>
        </w:rPr>
      </w:pPr>
      <w:r w:rsidRPr="004A59B1">
        <w:rPr>
          <w:color w:val="000000"/>
          <w:szCs w:val="22"/>
          <w:lang w:val="pl-PL"/>
        </w:rPr>
        <w:t>imatinib</w:t>
      </w:r>
    </w:p>
    <w:p w14:paraId="5297A4A2" w14:textId="77777777" w:rsidR="00841424" w:rsidRPr="004A59B1" w:rsidRDefault="00841424" w:rsidP="009C1193">
      <w:pPr>
        <w:widowControl w:val="0"/>
        <w:tabs>
          <w:tab w:val="clear" w:pos="567"/>
        </w:tabs>
        <w:spacing w:line="240" w:lineRule="auto"/>
        <w:rPr>
          <w:color w:val="000000"/>
          <w:szCs w:val="22"/>
          <w:lang w:val="pl-PL"/>
        </w:rPr>
      </w:pPr>
    </w:p>
    <w:p w14:paraId="5297A4A3" w14:textId="77777777" w:rsidR="00841424" w:rsidRPr="004A59B1" w:rsidRDefault="00841424" w:rsidP="009C1193">
      <w:pPr>
        <w:widowControl w:val="0"/>
        <w:tabs>
          <w:tab w:val="clear" w:pos="567"/>
        </w:tabs>
        <w:spacing w:line="240" w:lineRule="auto"/>
        <w:rPr>
          <w:color w:val="000000"/>
          <w:szCs w:val="22"/>
          <w:lang w:val="pl-PL"/>
        </w:rPr>
      </w:pPr>
    </w:p>
    <w:p w14:paraId="5297A4A4"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2.</w:t>
      </w:r>
      <w:r w:rsidRPr="004A59B1">
        <w:rPr>
          <w:b/>
          <w:color w:val="000000"/>
          <w:szCs w:val="22"/>
          <w:lang w:val="pl-PL"/>
        </w:rPr>
        <w:tab/>
        <w:t>IME IMETNIKA DOVOLJENJA ZA PROMET Z ZDRAVILOM</w:t>
      </w:r>
    </w:p>
    <w:p w14:paraId="5297A4A5" w14:textId="77777777" w:rsidR="00841424" w:rsidRPr="004A59B1" w:rsidRDefault="00841424" w:rsidP="009C1193">
      <w:pPr>
        <w:widowControl w:val="0"/>
        <w:tabs>
          <w:tab w:val="clear" w:pos="567"/>
        </w:tabs>
        <w:spacing w:line="240" w:lineRule="auto"/>
        <w:rPr>
          <w:color w:val="000000"/>
          <w:szCs w:val="22"/>
          <w:lang w:val="pl-PL"/>
        </w:rPr>
      </w:pPr>
    </w:p>
    <w:p w14:paraId="5297A4A6" w14:textId="77777777" w:rsidR="00841424" w:rsidRPr="004A59B1" w:rsidRDefault="00841424" w:rsidP="009C1193">
      <w:pPr>
        <w:widowControl w:val="0"/>
        <w:tabs>
          <w:tab w:val="clear" w:pos="567"/>
        </w:tabs>
        <w:spacing w:line="240" w:lineRule="auto"/>
        <w:rPr>
          <w:color w:val="000000"/>
          <w:szCs w:val="22"/>
          <w:lang w:val="pl-PL"/>
        </w:rPr>
      </w:pPr>
      <w:r w:rsidRPr="004A59B1">
        <w:rPr>
          <w:color w:val="000000"/>
          <w:szCs w:val="22"/>
          <w:lang w:val="pl-PL"/>
        </w:rPr>
        <w:t>Novartis Europharm Limited</w:t>
      </w:r>
    </w:p>
    <w:p w14:paraId="5297A4A7" w14:textId="77777777" w:rsidR="00841424" w:rsidRPr="004A59B1" w:rsidRDefault="00841424" w:rsidP="009C1193">
      <w:pPr>
        <w:widowControl w:val="0"/>
        <w:tabs>
          <w:tab w:val="clear" w:pos="567"/>
        </w:tabs>
        <w:spacing w:line="240" w:lineRule="auto"/>
        <w:rPr>
          <w:color w:val="000000"/>
          <w:szCs w:val="22"/>
          <w:lang w:val="pl-PL"/>
        </w:rPr>
      </w:pPr>
    </w:p>
    <w:p w14:paraId="5297A4A8" w14:textId="77777777" w:rsidR="00841424" w:rsidRPr="004A59B1" w:rsidRDefault="00841424" w:rsidP="009C1193">
      <w:pPr>
        <w:widowControl w:val="0"/>
        <w:tabs>
          <w:tab w:val="clear" w:pos="567"/>
        </w:tabs>
        <w:spacing w:line="240" w:lineRule="auto"/>
        <w:rPr>
          <w:color w:val="000000"/>
          <w:szCs w:val="22"/>
          <w:lang w:val="pl-PL"/>
        </w:rPr>
      </w:pPr>
    </w:p>
    <w:p w14:paraId="5297A4A9"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3.</w:t>
      </w:r>
      <w:r w:rsidRPr="004A59B1">
        <w:rPr>
          <w:b/>
          <w:color w:val="000000"/>
          <w:szCs w:val="22"/>
          <w:lang w:val="pl-PL"/>
        </w:rPr>
        <w:tab/>
        <w:t>DATUM IZTEKA ROKA UPORABNOSTI ZDRAVILA</w:t>
      </w:r>
    </w:p>
    <w:p w14:paraId="5297A4AA" w14:textId="77777777" w:rsidR="00841424" w:rsidRPr="004A59B1" w:rsidRDefault="00841424" w:rsidP="009C1193">
      <w:pPr>
        <w:widowControl w:val="0"/>
        <w:tabs>
          <w:tab w:val="clear" w:pos="567"/>
        </w:tabs>
        <w:spacing w:line="240" w:lineRule="auto"/>
        <w:rPr>
          <w:color w:val="000000"/>
          <w:szCs w:val="22"/>
          <w:lang w:val="pl-PL"/>
        </w:rPr>
      </w:pPr>
    </w:p>
    <w:p w14:paraId="5297A4AB" w14:textId="77777777" w:rsidR="00841424" w:rsidRPr="004A59B1" w:rsidRDefault="00841424" w:rsidP="009C1193">
      <w:pPr>
        <w:pStyle w:val="EndnoteText"/>
        <w:widowControl w:val="0"/>
        <w:tabs>
          <w:tab w:val="clear" w:pos="567"/>
        </w:tabs>
        <w:rPr>
          <w:color w:val="000000"/>
          <w:szCs w:val="22"/>
          <w:lang w:val="pl-PL"/>
        </w:rPr>
      </w:pPr>
      <w:r w:rsidRPr="004A59B1">
        <w:rPr>
          <w:color w:val="000000"/>
          <w:szCs w:val="22"/>
          <w:lang w:val="pl-PL"/>
        </w:rPr>
        <w:t>EXP</w:t>
      </w:r>
    </w:p>
    <w:p w14:paraId="5297A4AC" w14:textId="77777777" w:rsidR="00841424" w:rsidRPr="004A59B1" w:rsidRDefault="00841424" w:rsidP="009C1193">
      <w:pPr>
        <w:widowControl w:val="0"/>
        <w:tabs>
          <w:tab w:val="clear" w:pos="567"/>
        </w:tabs>
        <w:spacing w:line="240" w:lineRule="auto"/>
        <w:rPr>
          <w:color w:val="000000"/>
          <w:szCs w:val="22"/>
          <w:lang w:val="pl-PL"/>
        </w:rPr>
      </w:pPr>
    </w:p>
    <w:p w14:paraId="5297A4AD" w14:textId="77777777" w:rsidR="00841424" w:rsidRPr="004A59B1" w:rsidRDefault="00841424" w:rsidP="009C1193">
      <w:pPr>
        <w:widowControl w:val="0"/>
        <w:tabs>
          <w:tab w:val="clear" w:pos="567"/>
        </w:tabs>
        <w:spacing w:line="240" w:lineRule="auto"/>
        <w:rPr>
          <w:color w:val="000000"/>
          <w:szCs w:val="22"/>
          <w:lang w:val="pl-PL"/>
        </w:rPr>
      </w:pPr>
    </w:p>
    <w:p w14:paraId="5297A4AE"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4.</w:t>
      </w:r>
      <w:r w:rsidRPr="004A59B1">
        <w:rPr>
          <w:b/>
          <w:color w:val="000000"/>
          <w:szCs w:val="22"/>
          <w:lang w:val="pl-PL"/>
        </w:rPr>
        <w:tab/>
        <w:t>ŠTEVILKA SERIJE</w:t>
      </w:r>
    </w:p>
    <w:p w14:paraId="5297A4AF" w14:textId="77777777" w:rsidR="00841424" w:rsidRPr="004A59B1" w:rsidRDefault="00841424" w:rsidP="009C1193">
      <w:pPr>
        <w:widowControl w:val="0"/>
        <w:tabs>
          <w:tab w:val="clear" w:pos="567"/>
        </w:tabs>
        <w:spacing w:line="240" w:lineRule="auto"/>
        <w:rPr>
          <w:color w:val="000000"/>
          <w:szCs w:val="22"/>
          <w:lang w:val="pl-PL"/>
        </w:rPr>
      </w:pPr>
    </w:p>
    <w:p w14:paraId="5297A4B0" w14:textId="77777777" w:rsidR="00841424" w:rsidRPr="004A59B1" w:rsidRDefault="00841424" w:rsidP="009C1193">
      <w:pPr>
        <w:widowControl w:val="0"/>
        <w:tabs>
          <w:tab w:val="clear" w:pos="567"/>
        </w:tabs>
        <w:spacing w:line="240" w:lineRule="auto"/>
        <w:rPr>
          <w:color w:val="000000"/>
          <w:szCs w:val="22"/>
          <w:lang w:val="pl-PL"/>
        </w:rPr>
      </w:pPr>
      <w:r w:rsidRPr="004A59B1">
        <w:rPr>
          <w:color w:val="000000"/>
          <w:szCs w:val="22"/>
          <w:lang w:val="pl-PL"/>
        </w:rPr>
        <w:t>Lot</w:t>
      </w:r>
    </w:p>
    <w:p w14:paraId="5297A4B1" w14:textId="77777777" w:rsidR="00841424" w:rsidRPr="004A59B1" w:rsidRDefault="00841424" w:rsidP="009C1193">
      <w:pPr>
        <w:widowControl w:val="0"/>
        <w:tabs>
          <w:tab w:val="clear" w:pos="567"/>
        </w:tabs>
        <w:spacing w:line="240" w:lineRule="auto"/>
        <w:rPr>
          <w:color w:val="000000"/>
          <w:szCs w:val="22"/>
          <w:lang w:val="pl-PL"/>
        </w:rPr>
      </w:pPr>
    </w:p>
    <w:p w14:paraId="5297A4B2" w14:textId="77777777" w:rsidR="00841424" w:rsidRPr="004A59B1" w:rsidRDefault="00841424" w:rsidP="009C1193">
      <w:pPr>
        <w:widowControl w:val="0"/>
        <w:tabs>
          <w:tab w:val="clear" w:pos="567"/>
        </w:tabs>
        <w:spacing w:line="240" w:lineRule="auto"/>
        <w:rPr>
          <w:color w:val="000000"/>
          <w:szCs w:val="22"/>
          <w:lang w:val="pl-PL"/>
        </w:rPr>
      </w:pPr>
    </w:p>
    <w:p w14:paraId="5297A4B3"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noProof/>
          <w:color w:val="000000"/>
          <w:lang w:val="pl-PL"/>
        </w:rPr>
      </w:pPr>
      <w:r w:rsidRPr="004A59B1">
        <w:rPr>
          <w:b/>
          <w:noProof/>
          <w:color w:val="000000"/>
          <w:lang w:val="pl-PL"/>
        </w:rPr>
        <w:t>5.</w:t>
      </w:r>
      <w:r w:rsidRPr="004A59B1">
        <w:rPr>
          <w:b/>
          <w:noProof/>
          <w:color w:val="000000"/>
          <w:lang w:val="pl-PL"/>
        </w:rPr>
        <w:tab/>
        <w:t>DRUGI PODATKI</w:t>
      </w:r>
    </w:p>
    <w:p w14:paraId="5297A4B4" w14:textId="77777777" w:rsidR="00841424" w:rsidRPr="004A59B1" w:rsidRDefault="00841424" w:rsidP="009C1193">
      <w:pPr>
        <w:widowControl w:val="0"/>
        <w:tabs>
          <w:tab w:val="clear" w:pos="567"/>
        </w:tabs>
        <w:spacing w:line="240" w:lineRule="auto"/>
        <w:rPr>
          <w:color w:val="000000"/>
          <w:szCs w:val="22"/>
          <w:lang w:val="pl-PL"/>
        </w:rPr>
      </w:pPr>
    </w:p>
    <w:p w14:paraId="5297A4B5" w14:textId="77777777" w:rsidR="00841424" w:rsidRPr="004A59B1" w:rsidRDefault="00841424" w:rsidP="009C1193">
      <w:pPr>
        <w:widowControl w:val="0"/>
        <w:tabs>
          <w:tab w:val="clear" w:pos="567"/>
        </w:tabs>
        <w:spacing w:line="240" w:lineRule="auto"/>
        <w:rPr>
          <w:color w:val="000000"/>
          <w:szCs w:val="22"/>
          <w:lang w:val="pl-PL"/>
        </w:rPr>
      </w:pPr>
    </w:p>
    <w:p w14:paraId="5297A4B6" w14:textId="77777777" w:rsidR="00841424" w:rsidRPr="004A59B1" w:rsidRDefault="00841424" w:rsidP="009C1193">
      <w:pPr>
        <w:widowControl w:val="0"/>
        <w:tabs>
          <w:tab w:val="clear" w:pos="567"/>
        </w:tabs>
        <w:spacing w:line="240" w:lineRule="auto"/>
        <w:rPr>
          <w:color w:val="000000"/>
          <w:szCs w:val="22"/>
          <w:lang w:val="pl-PL"/>
        </w:rPr>
      </w:pPr>
      <w:r w:rsidRPr="004A59B1">
        <w:rPr>
          <w:b/>
          <w:color w:val="000000"/>
          <w:szCs w:val="22"/>
          <w:lang w:val="pl-PL"/>
        </w:rPr>
        <w:br w:type="page"/>
      </w:r>
    </w:p>
    <w:p w14:paraId="5297A4B7" w14:textId="77777777" w:rsidR="000A6242" w:rsidRPr="000A6242" w:rsidRDefault="000A6242" w:rsidP="000A6242">
      <w:pPr>
        <w:widowControl w:val="0"/>
        <w:tabs>
          <w:tab w:val="clear" w:pos="567"/>
        </w:tabs>
        <w:spacing w:line="240" w:lineRule="auto"/>
        <w:rPr>
          <w:color w:val="000000"/>
          <w:szCs w:val="22"/>
          <w:lang w:val="pl-PL"/>
        </w:rPr>
      </w:pPr>
    </w:p>
    <w:p w14:paraId="5297A4B8"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pl-PL"/>
        </w:rPr>
      </w:pPr>
      <w:r w:rsidRPr="004A59B1">
        <w:rPr>
          <w:b/>
          <w:color w:val="000000"/>
          <w:szCs w:val="22"/>
          <w:lang w:val="pl-PL"/>
        </w:rPr>
        <w:t>PODATKI NA ZUNANJI OVOJNINI</w:t>
      </w:r>
    </w:p>
    <w:p w14:paraId="5297A4B9"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pl-PL"/>
        </w:rPr>
      </w:pPr>
    </w:p>
    <w:p w14:paraId="5297A4BA"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spacing w:line="240" w:lineRule="auto"/>
        <w:rPr>
          <w:b/>
          <w:color w:val="000000"/>
          <w:szCs w:val="22"/>
          <w:lang w:val="pl-PL"/>
        </w:rPr>
      </w:pPr>
      <w:r w:rsidRPr="004A59B1">
        <w:rPr>
          <w:b/>
          <w:color w:val="000000"/>
          <w:szCs w:val="22"/>
          <w:lang w:val="pl-PL"/>
        </w:rPr>
        <w:t>KARTONSKA ŠKATLA</w:t>
      </w:r>
    </w:p>
    <w:p w14:paraId="5297A4BB" w14:textId="77777777" w:rsidR="00841424" w:rsidRPr="004A59B1" w:rsidRDefault="00841424" w:rsidP="009C1193">
      <w:pPr>
        <w:widowControl w:val="0"/>
        <w:tabs>
          <w:tab w:val="clear" w:pos="567"/>
        </w:tabs>
        <w:spacing w:line="240" w:lineRule="auto"/>
        <w:rPr>
          <w:color w:val="000000"/>
          <w:szCs w:val="22"/>
          <w:lang w:val="pl-PL"/>
        </w:rPr>
      </w:pPr>
    </w:p>
    <w:p w14:paraId="5297A4BC" w14:textId="77777777" w:rsidR="00841424" w:rsidRPr="004A59B1" w:rsidRDefault="00841424" w:rsidP="009C1193">
      <w:pPr>
        <w:widowControl w:val="0"/>
        <w:tabs>
          <w:tab w:val="clear" w:pos="567"/>
        </w:tabs>
        <w:spacing w:line="240" w:lineRule="auto"/>
        <w:rPr>
          <w:color w:val="000000"/>
          <w:szCs w:val="22"/>
          <w:lang w:val="pl-PL"/>
        </w:rPr>
      </w:pPr>
    </w:p>
    <w:p w14:paraId="5297A4BD"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1.</w:t>
      </w:r>
      <w:r w:rsidRPr="004A59B1">
        <w:rPr>
          <w:b/>
          <w:color w:val="000000"/>
          <w:szCs w:val="22"/>
          <w:lang w:val="pl-PL"/>
        </w:rPr>
        <w:tab/>
        <w:t>IME ZDRAVILA</w:t>
      </w:r>
    </w:p>
    <w:p w14:paraId="5297A4BE" w14:textId="77777777" w:rsidR="00841424" w:rsidRPr="004A59B1" w:rsidRDefault="00841424" w:rsidP="009C1193">
      <w:pPr>
        <w:widowControl w:val="0"/>
        <w:tabs>
          <w:tab w:val="clear" w:pos="567"/>
        </w:tabs>
        <w:spacing w:line="240" w:lineRule="auto"/>
        <w:rPr>
          <w:color w:val="000000"/>
          <w:szCs w:val="22"/>
          <w:lang w:val="pl-PL"/>
        </w:rPr>
      </w:pPr>
    </w:p>
    <w:p w14:paraId="5297A4BF" w14:textId="77777777" w:rsidR="00841424" w:rsidRPr="004A59B1" w:rsidRDefault="00841424" w:rsidP="009C1193">
      <w:pPr>
        <w:widowControl w:val="0"/>
        <w:tabs>
          <w:tab w:val="clear" w:pos="567"/>
        </w:tabs>
        <w:spacing w:line="240" w:lineRule="auto"/>
        <w:rPr>
          <w:color w:val="000000"/>
          <w:szCs w:val="22"/>
          <w:lang w:val="pl-PL"/>
        </w:rPr>
      </w:pPr>
      <w:r w:rsidRPr="004A59B1">
        <w:rPr>
          <w:color w:val="000000"/>
          <w:szCs w:val="22"/>
          <w:lang w:val="pl-PL"/>
        </w:rPr>
        <w:t>Glivec 100 mg filmsko obložene tablete</w:t>
      </w:r>
    </w:p>
    <w:p w14:paraId="5297A4C0" w14:textId="77777777" w:rsidR="00841424" w:rsidRPr="004A59B1" w:rsidRDefault="00841424" w:rsidP="009C1193">
      <w:pPr>
        <w:widowControl w:val="0"/>
        <w:tabs>
          <w:tab w:val="clear" w:pos="567"/>
        </w:tabs>
        <w:spacing w:line="240" w:lineRule="auto"/>
        <w:rPr>
          <w:color w:val="000000"/>
          <w:szCs w:val="22"/>
          <w:lang w:val="pl-PL"/>
        </w:rPr>
      </w:pPr>
      <w:r w:rsidRPr="004A59B1">
        <w:rPr>
          <w:color w:val="000000"/>
          <w:szCs w:val="22"/>
          <w:lang w:val="pl-PL"/>
        </w:rPr>
        <w:t>imatinib</w:t>
      </w:r>
    </w:p>
    <w:p w14:paraId="5297A4C1" w14:textId="77777777" w:rsidR="00841424" w:rsidRPr="004A59B1" w:rsidRDefault="00841424" w:rsidP="009C1193">
      <w:pPr>
        <w:widowControl w:val="0"/>
        <w:tabs>
          <w:tab w:val="clear" w:pos="567"/>
        </w:tabs>
        <w:spacing w:line="240" w:lineRule="auto"/>
        <w:rPr>
          <w:color w:val="000000"/>
          <w:szCs w:val="22"/>
          <w:lang w:val="pl-PL"/>
        </w:rPr>
      </w:pPr>
    </w:p>
    <w:p w14:paraId="5297A4C2" w14:textId="77777777" w:rsidR="00841424" w:rsidRPr="004A59B1" w:rsidRDefault="00841424" w:rsidP="009C1193">
      <w:pPr>
        <w:widowControl w:val="0"/>
        <w:tabs>
          <w:tab w:val="clear" w:pos="567"/>
        </w:tabs>
        <w:spacing w:line="240" w:lineRule="auto"/>
        <w:rPr>
          <w:color w:val="000000"/>
          <w:szCs w:val="22"/>
          <w:lang w:val="pl-PL"/>
        </w:rPr>
      </w:pPr>
    </w:p>
    <w:p w14:paraId="5297A4C3"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2.</w:t>
      </w:r>
      <w:r w:rsidRPr="004A59B1">
        <w:rPr>
          <w:b/>
          <w:color w:val="000000"/>
          <w:szCs w:val="22"/>
          <w:lang w:val="pl-PL"/>
        </w:rPr>
        <w:tab/>
        <w:t>NAVEDBA ENE ALI VEČ UČINKOVIN</w:t>
      </w:r>
    </w:p>
    <w:p w14:paraId="5297A4C4" w14:textId="77777777" w:rsidR="00841424" w:rsidRPr="004A59B1" w:rsidRDefault="00841424" w:rsidP="009C1193">
      <w:pPr>
        <w:widowControl w:val="0"/>
        <w:tabs>
          <w:tab w:val="clear" w:pos="567"/>
        </w:tabs>
        <w:spacing w:line="240" w:lineRule="auto"/>
        <w:rPr>
          <w:color w:val="000000"/>
          <w:szCs w:val="22"/>
          <w:lang w:val="pl-PL"/>
        </w:rPr>
      </w:pPr>
    </w:p>
    <w:p w14:paraId="5297A4C5" w14:textId="77777777" w:rsidR="00841424" w:rsidRPr="004A59B1" w:rsidRDefault="007B66AF" w:rsidP="009C1193">
      <w:pPr>
        <w:pStyle w:val="TextChar"/>
        <w:widowControl w:val="0"/>
        <w:spacing w:before="0"/>
        <w:jc w:val="left"/>
        <w:rPr>
          <w:color w:val="000000"/>
          <w:sz w:val="22"/>
          <w:szCs w:val="22"/>
          <w:lang w:val="pl-PL"/>
        </w:rPr>
      </w:pPr>
      <w:r>
        <w:rPr>
          <w:color w:val="000000"/>
          <w:sz w:val="22"/>
          <w:szCs w:val="22"/>
          <w:lang w:val="pl-PL"/>
        </w:rPr>
        <w:t>Ena</w:t>
      </w:r>
      <w:r w:rsidR="00841424" w:rsidRPr="004A59B1">
        <w:rPr>
          <w:color w:val="000000"/>
          <w:sz w:val="22"/>
          <w:szCs w:val="22"/>
          <w:lang w:val="pl-PL"/>
        </w:rPr>
        <w:t xml:space="preserve"> filmsko obložena tableta vsebuje 100 mg imatiniba (v obliki mesilata).</w:t>
      </w:r>
    </w:p>
    <w:p w14:paraId="5297A4C6" w14:textId="77777777" w:rsidR="00841424" w:rsidRPr="004A59B1" w:rsidRDefault="00841424" w:rsidP="009C1193">
      <w:pPr>
        <w:widowControl w:val="0"/>
        <w:tabs>
          <w:tab w:val="clear" w:pos="567"/>
        </w:tabs>
        <w:spacing w:line="240" w:lineRule="auto"/>
        <w:rPr>
          <w:color w:val="000000"/>
          <w:szCs w:val="22"/>
          <w:lang w:val="pl-PL"/>
        </w:rPr>
      </w:pPr>
    </w:p>
    <w:p w14:paraId="5297A4C7" w14:textId="77777777" w:rsidR="00841424" w:rsidRPr="004A59B1" w:rsidRDefault="00841424" w:rsidP="009C1193">
      <w:pPr>
        <w:widowControl w:val="0"/>
        <w:tabs>
          <w:tab w:val="clear" w:pos="567"/>
        </w:tabs>
        <w:spacing w:line="240" w:lineRule="auto"/>
        <w:rPr>
          <w:color w:val="000000"/>
          <w:szCs w:val="22"/>
          <w:lang w:val="pl-PL"/>
        </w:rPr>
      </w:pPr>
    </w:p>
    <w:p w14:paraId="5297A4C8"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3.</w:t>
      </w:r>
      <w:r w:rsidRPr="004A59B1">
        <w:rPr>
          <w:b/>
          <w:color w:val="000000"/>
          <w:szCs w:val="22"/>
          <w:lang w:val="pl-PL"/>
        </w:rPr>
        <w:tab/>
        <w:t>SEZNAM POMOŽNIH SNOVI</w:t>
      </w:r>
    </w:p>
    <w:p w14:paraId="5297A4C9" w14:textId="77777777" w:rsidR="00841424" w:rsidRPr="004A59B1" w:rsidRDefault="00841424" w:rsidP="009C1193">
      <w:pPr>
        <w:widowControl w:val="0"/>
        <w:tabs>
          <w:tab w:val="clear" w:pos="567"/>
        </w:tabs>
        <w:spacing w:line="240" w:lineRule="auto"/>
        <w:rPr>
          <w:color w:val="000000"/>
          <w:szCs w:val="22"/>
          <w:lang w:val="pl-PL"/>
        </w:rPr>
      </w:pPr>
    </w:p>
    <w:p w14:paraId="5297A4CA" w14:textId="77777777" w:rsidR="00841424" w:rsidRPr="004A59B1" w:rsidRDefault="00841424" w:rsidP="009C1193">
      <w:pPr>
        <w:widowControl w:val="0"/>
        <w:tabs>
          <w:tab w:val="clear" w:pos="567"/>
        </w:tabs>
        <w:spacing w:line="240" w:lineRule="auto"/>
        <w:rPr>
          <w:color w:val="000000"/>
          <w:szCs w:val="22"/>
          <w:lang w:val="pl-PL"/>
        </w:rPr>
      </w:pPr>
    </w:p>
    <w:p w14:paraId="5297A4CB"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4.</w:t>
      </w:r>
      <w:r w:rsidRPr="004A59B1">
        <w:rPr>
          <w:b/>
          <w:color w:val="000000"/>
          <w:szCs w:val="22"/>
          <w:lang w:val="pl-PL"/>
        </w:rPr>
        <w:tab/>
        <w:t>FARMACEVTSKA OBLIKA IN VSEBINA</w:t>
      </w:r>
    </w:p>
    <w:p w14:paraId="5297A4CC" w14:textId="77777777" w:rsidR="00841424" w:rsidRPr="004A59B1" w:rsidRDefault="00841424" w:rsidP="009C1193">
      <w:pPr>
        <w:widowControl w:val="0"/>
        <w:tabs>
          <w:tab w:val="clear" w:pos="567"/>
        </w:tabs>
        <w:spacing w:line="240" w:lineRule="auto"/>
        <w:rPr>
          <w:color w:val="000000"/>
          <w:szCs w:val="22"/>
          <w:lang w:val="pl-PL"/>
        </w:rPr>
      </w:pPr>
    </w:p>
    <w:p w14:paraId="5297A4CD" w14:textId="77777777" w:rsidR="00841424" w:rsidRPr="004A59B1" w:rsidRDefault="00841424" w:rsidP="009C1193">
      <w:pPr>
        <w:pStyle w:val="EndnoteText"/>
        <w:widowControl w:val="0"/>
        <w:rPr>
          <w:color w:val="000000"/>
          <w:szCs w:val="22"/>
          <w:lang w:val="pl-PL"/>
        </w:rPr>
      </w:pPr>
      <w:r w:rsidRPr="001055C6">
        <w:rPr>
          <w:color w:val="000000"/>
          <w:szCs w:val="22"/>
          <w:lang w:val="pl-PL"/>
        </w:rPr>
        <w:t>20 filmsko obloženih tablet</w:t>
      </w:r>
    </w:p>
    <w:p w14:paraId="5297A4CE" w14:textId="77777777" w:rsidR="00841424" w:rsidRPr="004A59B1" w:rsidRDefault="00841424" w:rsidP="009C1193">
      <w:pPr>
        <w:widowControl w:val="0"/>
        <w:rPr>
          <w:color w:val="000000"/>
          <w:szCs w:val="22"/>
          <w:shd w:val="clear" w:color="auto" w:fill="D9D9D9"/>
          <w:lang w:val="pl-PL"/>
        </w:rPr>
      </w:pPr>
      <w:r w:rsidRPr="004A59B1">
        <w:rPr>
          <w:color w:val="000000"/>
          <w:szCs w:val="22"/>
          <w:shd w:val="clear" w:color="auto" w:fill="D9D9D9"/>
          <w:lang w:val="pl-PL"/>
        </w:rPr>
        <w:t>60 filmsko obloženih tablet</w:t>
      </w:r>
    </w:p>
    <w:p w14:paraId="5297A4CF" w14:textId="77777777" w:rsidR="00841424" w:rsidRPr="004A59B1" w:rsidRDefault="00841424" w:rsidP="009C1193">
      <w:pPr>
        <w:widowControl w:val="0"/>
        <w:rPr>
          <w:color w:val="000000"/>
          <w:szCs w:val="22"/>
          <w:shd w:val="clear" w:color="auto" w:fill="D9D9D9"/>
          <w:lang w:val="pl-PL"/>
        </w:rPr>
      </w:pPr>
      <w:r w:rsidRPr="004A59B1">
        <w:rPr>
          <w:color w:val="000000"/>
          <w:szCs w:val="22"/>
          <w:shd w:val="clear" w:color="auto" w:fill="D9D9D9"/>
          <w:lang w:val="pl-PL"/>
        </w:rPr>
        <w:t>120 filmsko obloženih tablet</w:t>
      </w:r>
    </w:p>
    <w:p w14:paraId="5297A4D0" w14:textId="77777777" w:rsidR="00841424" w:rsidRPr="004A59B1" w:rsidRDefault="00841424" w:rsidP="009C1193">
      <w:pPr>
        <w:widowControl w:val="0"/>
        <w:tabs>
          <w:tab w:val="clear" w:pos="567"/>
        </w:tabs>
        <w:spacing w:line="240" w:lineRule="auto"/>
        <w:rPr>
          <w:color w:val="000000"/>
          <w:szCs w:val="22"/>
          <w:lang w:val="pl-PL"/>
        </w:rPr>
      </w:pPr>
      <w:r w:rsidRPr="004A59B1">
        <w:rPr>
          <w:color w:val="000000"/>
          <w:szCs w:val="22"/>
          <w:shd w:val="clear" w:color="auto" w:fill="D9D9D9"/>
          <w:lang w:val="pl-PL"/>
        </w:rPr>
        <w:t>180 filmsko obloženih tablet</w:t>
      </w:r>
    </w:p>
    <w:p w14:paraId="5297A4D1" w14:textId="77777777" w:rsidR="00841424" w:rsidRPr="004A59B1" w:rsidRDefault="00841424" w:rsidP="009C1193">
      <w:pPr>
        <w:widowControl w:val="0"/>
        <w:tabs>
          <w:tab w:val="clear" w:pos="567"/>
        </w:tabs>
        <w:spacing w:line="240" w:lineRule="auto"/>
        <w:rPr>
          <w:color w:val="000000"/>
          <w:szCs w:val="22"/>
          <w:lang w:val="pl-PL"/>
        </w:rPr>
      </w:pPr>
    </w:p>
    <w:p w14:paraId="5297A4D2" w14:textId="77777777" w:rsidR="00841424" w:rsidRPr="004A59B1" w:rsidRDefault="00841424" w:rsidP="009C1193">
      <w:pPr>
        <w:widowControl w:val="0"/>
        <w:tabs>
          <w:tab w:val="clear" w:pos="567"/>
        </w:tabs>
        <w:spacing w:line="240" w:lineRule="auto"/>
        <w:rPr>
          <w:color w:val="000000"/>
          <w:szCs w:val="22"/>
          <w:lang w:val="pl-PL"/>
        </w:rPr>
      </w:pPr>
    </w:p>
    <w:p w14:paraId="5297A4D3"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5.</w:t>
      </w:r>
      <w:r w:rsidRPr="004A59B1">
        <w:rPr>
          <w:b/>
          <w:color w:val="000000"/>
          <w:szCs w:val="22"/>
          <w:lang w:val="pl-PL"/>
        </w:rPr>
        <w:tab/>
        <w:t>POSTOPEK IN POT(I) UPORABE ZDRAVILA</w:t>
      </w:r>
    </w:p>
    <w:p w14:paraId="5297A4D4" w14:textId="77777777" w:rsidR="00841424" w:rsidRPr="004A59B1" w:rsidRDefault="00841424" w:rsidP="009C1193">
      <w:pPr>
        <w:widowControl w:val="0"/>
        <w:tabs>
          <w:tab w:val="clear" w:pos="567"/>
        </w:tabs>
        <w:spacing w:line="240" w:lineRule="auto"/>
        <w:rPr>
          <w:color w:val="000000"/>
          <w:szCs w:val="22"/>
          <w:lang w:val="pl-PL"/>
        </w:rPr>
      </w:pPr>
    </w:p>
    <w:p w14:paraId="5297A4D5" w14:textId="77777777" w:rsidR="00841424" w:rsidRPr="004A59B1" w:rsidRDefault="00841424" w:rsidP="009C1193">
      <w:pPr>
        <w:pStyle w:val="EndnoteText"/>
        <w:widowControl w:val="0"/>
        <w:tabs>
          <w:tab w:val="clear" w:pos="567"/>
        </w:tabs>
        <w:rPr>
          <w:color w:val="000000"/>
          <w:szCs w:val="22"/>
          <w:lang w:val="pl-PL"/>
        </w:rPr>
      </w:pPr>
      <w:r w:rsidRPr="004A59B1">
        <w:rPr>
          <w:color w:val="000000"/>
          <w:szCs w:val="22"/>
          <w:lang w:val="pl-PL"/>
        </w:rPr>
        <w:t>Peroralna uporaba. Pred uporabo preberite priloženo navodilo</w:t>
      </w:r>
      <w:r w:rsidR="003B627C" w:rsidRPr="004A59B1">
        <w:rPr>
          <w:color w:val="000000"/>
          <w:szCs w:val="22"/>
          <w:lang w:val="pl-PL"/>
        </w:rPr>
        <w:t>!</w:t>
      </w:r>
    </w:p>
    <w:p w14:paraId="5297A4D6" w14:textId="77777777" w:rsidR="00841424" w:rsidRPr="004A59B1" w:rsidRDefault="00841424" w:rsidP="009C1193">
      <w:pPr>
        <w:widowControl w:val="0"/>
        <w:tabs>
          <w:tab w:val="clear" w:pos="567"/>
        </w:tabs>
        <w:spacing w:line="240" w:lineRule="auto"/>
        <w:rPr>
          <w:color w:val="000000"/>
          <w:szCs w:val="22"/>
          <w:lang w:val="pl-PL"/>
        </w:rPr>
      </w:pPr>
    </w:p>
    <w:p w14:paraId="5297A4D7" w14:textId="77777777" w:rsidR="00841424" w:rsidRPr="004A59B1" w:rsidRDefault="00841424" w:rsidP="009C1193">
      <w:pPr>
        <w:widowControl w:val="0"/>
        <w:tabs>
          <w:tab w:val="clear" w:pos="567"/>
        </w:tabs>
        <w:spacing w:line="240" w:lineRule="auto"/>
        <w:rPr>
          <w:color w:val="000000"/>
          <w:szCs w:val="22"/>
          <w:lang w:val="pl-PL"/>
        </w:rPr>
      </w:pPr>
    </w:p>
    <w:p w14:paraId="5297A4D8"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6.</w:t>
      </w:r>
      <w:r w:rsidRPr="004A59B1">
        <w:rPr>
          <w:b/>
          <w:color w:val="000000"/>
          <w:szCs w:val="22"/>
          <w:lang w:val="pl-PL"/>
        </w:rPr>
        <w:tab/>
        <w:t>POSEBNO OPOZORILO O SHRANJEVANJU ZDRAVILA ZUNAJ DOSEGA IN POGLEDA OTROK</w:t>
      </w:r>
    </w:p>
    <w:p w14:paraId="5297A4D9" w14:textId="77777777" w:rsidR="00841424" w:rsidRPr="004A59B1" w:rsidRDefault="00841424" w:rsidP="009C1193">
      <w:pPr>
        <w:widowControl w:val="0"/>
        <w:tabs>
          <w:tab w:val="clear" w:pos="567"/>
        </w:tabs>
        <w:spacing w:line="240" w:lineRule="auto"/>
        <w:rPr>
          <w:color w:val="000000"/>
          <w:szCs w:val="22"/>
          <w:lang w:val="pl-PL"/>
        </w:rPr>
      </w:pPr>
    </w:p>
    <w:p w14:paraId="5297A4DA" w14:textId="77777777" w:rsidR="00841424" w:rsidRPr="004A59B1" w:rsidRDefault="00841424" w:rsidP="009C1193">
      <w:pPr>
        <w:widowControl w:val="0"/>
        <w:tabs>
          <w:tab w:val="clear" w:pos="567"/>
        </w:tabs>
        <w:spacing w:line="240" w:lineRule="auto"/>
        <w:rPr>
          <w:color w:val="000000"/>
          <w:szCs w:val="22"/>
          <w:lang w:val="pl-PL"/>
        </w:rPr>
      </w:pPr>
      <w:r w:rsidRPr="004A59B1">
        <w:rPr>
          <w:color w:val="000000"/>
          <w:szCs w:val="22"/>
          <w:lang w:val="pl-PL"/>
        </w:rPr>
        <w:t>Zdravilo shranjujte nedosegljivo otrokom!</w:t>
      </w:r>
    </w:p>
    <w:p w14:paraId="5297A4DB" w14:textId="77777777" w:rsidR="00841424" w:rsidRPr="004A59B1" w:rsidRDefault="00841424" w:rsidP="009C1193">
      <w:pPr>
        <w:widowControl w:val="0"/>
        <w:tabs>
          <w:tab w:val="clear" w:pos="567"/>
        </w:tabs>
        <w:spacing w:line="240" w:lineRule="auto"/>
        <w:rPr>
          <w:color w:val="000000"/>
          <w:szCs w:val="22"/>
          <w:lang w:val="pl-PL"/>
        </w:rPr>
      </w:pPr>
    </w:p>
    <w:p w14:paraId="5297A4DC" w14:textId="77777777" w:rsidR="00841424" w:rsidRPr="004A59B1" w:rsidRDefault="00841424" w:rsidP="009C1193">
      <w:pPr>
        <w:widowControl w:val="0"/>
        <w:tabs>
          <w:tab w:val="clear" w:pos="567"/>
        </w:tabs>
        <w:spacing w:line="240" w:lineRule="auto"/>
        <w:rPr>
          <w:color w:val="000000"/>
          <w:szCs w:val="22"/>
          <w:lang w:val="pl-PL"/>
        </w:rPr>
      </w:pPr>
    </w:p>
    <w:p w14:paraId="5297A4DD"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7.</w:t>
      </w:r>
      <w:r w:rsidRPr="004A59B1">
        <w:rPr>
          <w:b/>
          <w:color w:val="000000"/>
          <w:szCs w:val="22"/>
          <w:lang w:val="pl-PL"/>
        </w:rPr>
        <w:tab/>
        <w:t>DRUGA POSEBNA OPOZORILA, ČE SO POTREBNA</w:t>
      </w:r>
    </w:p>
    <w:p w14:paraId="5297A4DE" w14:textId="77777777" w:rsidR="00841424" w:rsidRPr="004A59B1" w:rsidRDefault="00841424" w:rsidP="009C1193">
      <w:pPr>
        <w:widowControl w:val="0"/>
        <w:tabs>
          <w:tab w:val="clear" w:pos="567"/>
        </w:tabs>
        <w:spacing w:line="240" w:lineRule="auto"/>
        <w:rPr>
          <w:color w:val="000000"/>
          <w:szCs w:val="22"/>
          <w:lang w:val="pl-PL"/>
        </w:rPr>
      </w:pPr>
    </w:p>
    <w:p w14:paraId="5297A4DF" w14:textId="77777777" w:rsidR="00841424" w:rsidRPr="004A59B1" w:rsidRDefault="00841424" w:rsidP="009C1193">
      <w:pPr>
        <w:widowControl w:val="0"/>
        <w:tabs>
          <w:tab w:val="clear" w:pos="567"/>
        </w:tabs>
        <w:spacing w:line="240" w:lineRule="auto"/>
        <w:rPr>
          <w:color w:val="000000"/>
          <w:szCs w:val="22"/>
          <w:lang w:val="pl-PL"/>
        </w:rPr>
      </w:pPr>
      <w:r w:rsidRPr="004A59B1">
        <w:rPr>
          <w:color w:val="000000"/>
          <w:szCs w:val="22"/>
          <w:lang w:val="pl-PL"/>
        </w:rPr>
        <w:t>Uporabljajte samo po zdravnikovih navodilih.</w:t>
      </w:r>
    </w:p>
    <w:p w14:paraId="5297A4E0" w14:textId="77777777" w:rsidR="00841424" w:rsidRPr="004A59B1" w:rsidRDefault="00841424" w:rsidP="009C1193">
      <w:pPr>
        <w:widowControl w:val="0"/>
        <w:tabs>
          <w:tab w:val="clear" w:pos="567"/>
        </w:tabs>
        <w:spacing w:line="240" w:lineRule="auto"/>
        <w:rPr>
          <w:color w:val="000000"/>
          <w:szCs w:val="22"/>
          <w:lang w:val="pl-PL"/>
        </w:rPr>
      </w:pPr>
    </w:p>
    <w:p w14:paraId="5297A4E1" w14:textId="77777777" w:rsidR="00841424" w:rsidRPr="004A59B1" w:rsidRDefault="00841424" w:rsidP="009C1193">
      <w:pPr>
        <w:widowControl w:val="0"/>
        <w:tabs>
          <w:tab w:val="clear" w:pos="567"/>
        </w:tabs>
        <w:spacing w:line="240" w:lineRule="auto"/>
        <w:rPr>
          <w:color w:val="000000"/>
          <w:szCs w:val="22"/>
          <w:lang w:val="pl-PL"/>
        </w:rPr>
      </w:pPr>
    </w:p>
    <w:p w14:paraId="5297A4E2"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8.</w:t>
      </w:r>
      <w:r w:rsidRPr="004A59B1">
        <w:rPr>
          <w:b/>
          <w:color w:val="000000"/>
          <w:szCs w:val="22"/>
          <w:lang w:val="pl-PL"/>
        </w:rPr>
        <w:tab/>
        <w:t>DATUM IZTEKA ROKA UPORABNOSTI ZDRAVILA</w:t>
      </w:r>
    </w:p>
    <w:p w14:paraId="5297A4E3" w14:textId="77777777" w:rsidR="00841424" w:rsidRPr="004A59B1" w:rsidRDefault="00841424" w:rsidP="009C1193">
      <w:pPr>
        <w:widowControl w:val="0"/>
        <w:tabs>
          <w:tab w:val="clear" w:pos="567"/>
        </w:tabs>
        <w:spacing w:line="240" w:lineRule="auto"/>
        <w:rPr>
          <w:color w:val="000000"/>
          <w:szCs w:val="22"/>
          <w:lang w:val="pl-PL"/>
        </w:rPr>
      </w:pPr>
    </w:p>
    <w:p w14:paraId="5297A4E4" w14:textId="77777777" w:rsidR="00841424" w:rsidRPr="004A59B1" w:rsidRDefault="00841424" w:rsidP="009C1193">
      <w:pPr>
        <w:pStyle w:val="EndnoteText"/>
        <w:widowControl w:val="0"/>
        <w:tabs>
          <w:tab w:val="clear" w:pos="567"/>
        </w:tabs>
        <w:rPr>
          <w:color w:val="000000"/>
          <w:szCs w:val="22"/>
          <w:lang w:val="pl-PL"/>
        </w:rPr>
      </w:pPr>
      <w:r w:rsidRPr="004A59B1">
        <w:rPr>
          <w:color w:val="000000"/>
          <w:szCs w:val="22"/>
          <w:lang w:val="pl-PL"/>
        </w:rPr>
        <w:t>EXP</w:t>
      </w:r>
    </w:p>
    <w:p w14:paraId="5297A4E5" w14:textId="77777777" w:rsidR="00841424" w:rsidRPr="004A59B1" w:rsidRDefault="00841424" w:rsidP="009C1193">
      <w:pPr>
        <w:widowControl w:val="0"/>
        <w:tabs>
          <w:tab w:val="clear" w:pos="567"/>
        </w:tabs>
        <w:spacing w:line="240" w:lineRule="auto"/>
        <w:rPr>
          <w:color w:val="000000"/>
          <w:szCs w:val="22"/>
          <w:lang w:val="pl-PL"/>
        </w:rPr>
      </w:pPr>
    </w:p>
    <w:p w14:paraId="5297A4E6" w14:textId="77777777" w:rsidR="00841424" w:rsidRPr="004A59B1" w:rsidRDefault="00841424" w:rsidP="009C1193">
      <w:pPr>
        <w:widowControl w:val="0"/>
        <w:tabs>
          <w:tab w:val="clear" w:pos="567"/>
        </w:tabs>
        <w:spacing w:line="240" w:lineRule="auto"/>
        <w:rPr>
          <w:color w:val="000000"/>
          <w:szCs w:val="22"/>
          <w:lang w:val="pl-PL"/>
        </w:rPr>
      </w:pPr>
    </w:p>
    <w:p w14:paraId="5297A4E7" w14:textId="77777777" w:rsidR="00841424" w:rsidRPr="004A59B1" w:rsidRDefault="00841424" w:rsidP="009C1193">
      <w:pPr>
        <w:keepNext/>
        <w:keepLines/>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szCs w:val="22"/>
          <w:lang w:val="pl-PL"/>
        </w:rPr>
      </w:pPr>
      <w:r w:rsidRPr="004A59B1">
        <w:rPr>
          <w:b/>
          <w:color w:val="000000"/>
          <w:szCs w:val="22"/>
          <w:lang w:val="pl-PL"/>
        </w:rPr>
        <w:t>9.</w:t>
      </w:r>
      <w:r w:rsidRPr="004A59B1">
        <w:rPr>
          <w:b/>
          <w:color w:val="000000"/>
          <w:szCs w:val="22"/>
          <w:lang w:val="pl-PL"/>
        </w:rPr>
        <w:tab/>
        <w:t>POSEBNA NAVODILA ZA SHRANJEVANJE</w:t>
      </w:r>
    </w:p>
    <w:p w14:paraId="5297A4E8" w14:textId="77777777" w:rsidR="00841424" w:rsidRPr="004A59B1" w:rsidRDefault="00841424" w:rsidP="009C1193">
      <w:pPr>
        <w:keepNext/>
        <w:keepLines/>
        <w:widowControl w:val="0"/>
        <w:tabs>
          <w:tab w:val="clear" w:pos="567"/>
        </w:tabs>
        <w:spacing w:line="240" w:lineRule="auto"/>
        <w:rPr>
          <w:color w:val="000000"/>
          <w:szCs w:val="22"/>
          <w:lang w:val="pl-PL"/>
        </w:rPr>
      </w:pPr>
    </w:p>
    <w:p w14:paraId="5297A4E9" w14:textId="77777777" w:rsidR="00841424" w:rsidRPr="004A59B1" w:rsidRDefault="00841424" w:rsidP="000A6242">
      <w:pPr>
        <w:pStyle w:val="TextChar"/>
        <w:keepLines/>
        <w:widowControl w:val="0"/>
        <w:spacing w:before="0"/>
        <w:jc w:val="left"/>
        <w:rPr>
          <w:color w:val="000000"/>
          <w:sz w:val="22"/>
          <w:szCs w:val="22"/>
          <w:lang w:val="pl-PL"/>
        </w:rPr>
      </w:pPr>
      <w:r w:rsidRPr="004A59B1">
        <w:rPr>
          <w:color w:val="000000"/>
          <w:sz w:val="22"/>
          <w:szCs w:val="22"/>
          <w:lang w:val="pl-PL"/>
        </w:rPr>
        <w:t>Shranjujte pri temperaturi do 30 </w:t>
      </w:r>
      <w:r w:rsidRPr="004A59B1">
        <w:rPr>
          <w:color w:val="000000"/>
          <w:sz w:val="22"/>
          <w:szCs w:val="22"/>
        </w:rPr>
        <w:sym w:font="Symbol" w:char="F0B0"/>
      </w:r>
      <w:r w:rsidRPr="004A59B1">
        <w:rPr>
          <w:color w:val="000000"/>
          <w:sz w:val="22"/>
          <w:szCs w:val="22"/>
          <w:lang w:val="pl-PL"/>
        </w:rPr>
        <w:t>C. Shranjujte v originalni ovojnini za zagotovitev zaščite pred vlago.</w:t>
      </w:r>
    </w:p>
    <w:p w14:paraId="5297A4EA" w14:textId="77777777" w:rsidR="00841424" w:rsidRPr="004A59B1" w:rsidRDefault="00841424" w:rsidP="009C1193">
      <w:pPr>
        <w:widowControl w:val="0"/>
        <w:tabs>
          <w:tab w:val="clear" w:pos="567"/>
        </w:tabs>
        <w:spacing w:line="240" w:lineRule="auto"/>
        <w:rPr>
          <w:color w:val="000000"/>
          <w:szCs w:val="22"/>
          <w:lang w:val="pl-PL"/>
        </w:rPr>
      </w:pPr>
    </w:p>
    <w:p w14:paraId="5297A4EB" w14:textId="77777777" w:rsidR="00841424" w:rsidRPr="004A59B1" w:rsidRDefault="00841424" w:rsidP="009C1193">
      <w:pPr>
        <w:widowControl w:val="0"/>
        <w:tabs>
          <w:tab w:val="clear" w:pos="567"/>
        </w:tabs>
        <w:spacing w:line="240" w:lineRule="auto"/>
        <w:rPr>
          <w:color w:val="000000"/>
          <w:szCs w:val="22"/>
          <w:lang w:val="pl-PL"/>
        </w:rPr>
      </w:pPr>
    </w:p>
    <w:p w14:paraId="5297A4EC" w14:textId="77777777" w:rsidR="00841424" w:rsidRPr="004A59B1" w:rsidRDefault="00841424" w:rsidP="009C1193">
      <w:pPr>
        <w:keepNext/>
        <w:keepLines/>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lastRenderedPageBreak/>
        <w:t>10.</w:t>
      </w:r>
      <w:r w:rsidRPr="004A59B1">
        <w:rPr>
          <w:b/>
          <w:color w:val="000000"/>
          <w:szCs w:val="22"/>
          <w:lang w:val="pl-PL"/>
        </w:rPr>
        <w:tab/>
        <w:t>POSEBNI VARNOSTNI UKREPI ZA ODSTRANJEVANJE NEUPORABLJENIH ZDRAVIL ALI IZ NJIH NASTALIH ODPADNIH SNOVI, KADAR SO POTREBNI</w:t>
      </w:r>
    </w:p>
    <w:p w14:paraId="5297A4ED" w14:textId="77777777" w:rsidR="00841424" w:rsidRPr="004A59B1" w:rsidRDefault="00841424" w:rsidP="009C1193">
      <w:pPr>
        <w:keepNext/>
        <w:keepLines/>
        <w:widowControl w:val="0"/>
        <w:tabs>
          <w:tab w:val="clear" w:pos="567"/>
        </w:tabs>
        <w:spacing w:line="240" w:lineRule="auto"/>
        <w:rPr>
          <w:color w:val="000000"/>
          <w:szCs w:val="22"/>
          <w:lang w:val="pl-PL"/>
        </w:rPr>
      </w:pPr>
    </w:p>
    <w:p w14:paraId="5297A4EE" w14:textId="77777777" w:rsidR="00841424" w:rsidRPr="004A59B1" w:rsidRDefault="00841424" w:rsidP="009C1193">
      <w:pPr>
        <w:widowControl w:val="0"/>
        <w:tabs>
          <w:tab w:val="clear" w:pos="567"/>
        </w:tabs>
        <w:spacing w:line="240" w:lineRule="auto"/>
        <w:rPr>
          <w:color w:val="000000"/>
          <w:szCs w:val="22"/>
          <w:lang w:val="pl-PL"/>
        </w:rPr>
      </w:pPr>
    </w:p>
    <w:p w14:paraId="5297A4EF" w14:textId="77777777" w:rsidR="00841424" w:rsidRPr="004A59B1" w:rsidRDefault="00841424" w:rsidP="000A6242">
      <w:pPr>
        <w:keepNext/>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11.</w:t>
      </w:r>
      <w:r w:rsidRPr="004A59B1">
        <w:rPr>
          <w:b/>
          <w:color w:val="000000"/>
          <w:szCs w:val="22"/>
          <w:lang w:val="pl-PL"/>
        </w:rPr>
        <w:tab/>
        <w:t>IME IN NASLOV IMETNIKA DOVOLJENJA ZA PROMET Z ZDRAVILOM</w:t>
      </w:r>
    </w:p>
    <w:p w14:paraId="5297A4F0" w14:textId="77777777" w:rsidR="00841424" w:rsidRPr="004A59B1" w:rsidRDefault="00841424" w:rsidP="000A6242">
      <w:pPr>
        <w:keepNext/>
        <w:widowControl w:val="0"/>
        <w:tabs>
          <w:tab w:val="clear" w:pos="567"/>
        </w:tabs>
        <w:spacing w:line="240" w:lineRule="auto"/>
        <w:rPr>
          <w:color w:val="000000"/>
          <w:szCs w:val="22"/>
          <w:lang w:val="pl-PL"/>
        </w:rPr>
      </w:pPr>
    </w:p>
    <w:p w14:paraId="5297A4F1" w14:textId="77777777" w:rsidR="00841424" w:rsidRPr="004A59B1" w:rsidRDefault="00841424" w:rsidP="000A6242">
      <w:pPr>
        <w:pStyle w:val="EndnoteText"/>
        <w:keepNext/>
        <w:widowControl w:val="0"/>
        <w:tabs>
          <w:tab w:val="clear" w:pos="567"/>
        </w:tabs>
        <w:rPr>
          <w:color w:val="000000"/>
          <w:szCs w:val="22"/>
        </w:rPr>
      </w:pPr>
      <w:r w:rsidRPr="004A59B1">
        <w:rPr>
          <w:color w:val="000000"/>
          <w:szCs w:val="22"/>
        </w:rPr>
        <w:t>Novartis Europharm Limited</w:t>
      </w:r>
    </w:p>
    <w:p w14:paraId="5297A4F2" w14:textId="77777777" w:rsidR="001A1DF7" w:rsidRPr="00EB33FE" w:rsidRDefault="001A1DF7" w:rsidP="009C1193">
      <w:pPr>
        <w:keepNext/>
        <w:widowControl w:val="0"/>
        <w:spacing w:line="240" w:lineRule="auto"/>
        <w:rPr>
          <w:color w:val="000000"/>
        </w:rPr>
      </w:pPr>
      <w:r w:rsidRPr="00EB33FE">
        <w:rPr>
          <w:color w:val="000000"/>
        </w:rPr>
        <w:t>Vista Building</w:t>
      </w:r>
    </w:p>
    <w:p w14:paraId="5297A4F3" w14:textId="77777777" w:rsidR="001A1DF7" w:rsidRPr="00EB33FE" w:rsidRDefault="001A1DF7" w:rsidP="009C1193">
      <w:pPr>
        <w:keepNext/>
        <w:widowControl w:val="0"/>
        <w:spacing w:line="240" w:lineRule="auto"/>
        <w:rPr>
          <w:color w:val="000000"/>
        </w:rPr>
      </w:pPr>
      <w:r w:rsidRPr="00EB33FE">
        <w:rPr>
          <w:color w:val="000000"/>
        </w:rPr>
        <w:t>Elm Park, Merrion Road</w:t>
      </w:r>
    </w:p>
    <w:p w14:paraId="5297A4F4" w14:textId="77777777" w:rsidR="001A1DF7" w:rsidRPr="00EB33FE" w:rsidRDefault="001A1DF7" w:rsidP="009C1193">
      <w:pPr>
        <w:keepNext/>
        <w:widowControl w:val="0"/>
        <w:spacing w:line="240" w:lineRule="auto"/>
        <w:rPr>
          <w:color w:val="000000"/>
        </w:rPr>
      </w:pPr>
      <w:r w:rsidRPr="00EB33FE">
        <w:rPr>
          <w:color w:val="000000"/>
        </w:rPr>
        <w:t>Dublin 4</w:t>
      </w:r>
    </w:p>
    <w:p w14:paraId="5297A4F5" w14:textId="77777777" w:rsidR="001A1DF7" w:rsidRDefault="001A1DF7" w:rsidP="009C1193">
      <w:pPr>
        <w:widowControl w:val="0"/>
        <w:spacing w:line="240" w:lineRule="auto"/>
        <w:rPr>
          <w:color w:val="000000"/>
        </w:rPr>
      </w:pPr>
      <w:r w:rsidRPr="00EB33FE">
        <w:rPr>
          <w:color w:val="000000"/>
        </w:rPr>
        <w:t>Irska</w:t>
      </w:r>
    </w:p>
    <w:p w14:paraId="5297A4F6" w14:textId="77777777" w:rsidR="00841424" w:rsidRPr="004A59B1" w:rsidRDefault="00841424" w:rsidP="009C1193">
      <w:pPr>
        <w:widowControl w:val="0"/>
        <w:tabs>
          <w:tab w:val="clear" w:pos="567"/>
        </w:tabs>
        <w:spacing w:line="240" w:lineRule="auto"/>
        <w:rPr>
          <w:color w:val="000000"/>
          <w:szCs w:val="22"/>
        </w:rPr>
      </w:pPr>
    </w:p>
    <w:p w14:paraId="5297A4F7" w14:textId="77777777" w:rsidR="00841424" w:rsidRPr="004A59B1" w:rsidRDefault="00841424" w:rsidP="009C1193">
      <w:pPr>
        <w:widowControl w:val="0"/>
        <w:tabs>
          <w:tab w:val="clear" w:pos="567"/>
        </w:tabs>
        <w:spacing w:line="240" w:lineRule="auto"/>
        <w:rPr>
          <w:color w:val="000000"/>
          <w:szCs w:val="22"/>
        </w:rPr>
      </w:pPr>
    </w:p>
    <w:p w14:paraId="5297A4F8"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4A59B1">
        <w:rPr>
          <w:b/>
          <w:color w:val="000000"/>
          <w:szCs w:val="22"/>
          <w:lang w:val="sv-SE"/>
        </w:rPr>
        <w:t>12.</w:t>
      </w:r>
      <w:r w:rsidRPr="004A59B1">
        <w:rPr>
          <w:b/>
          <w:color w:val="000000"/>
          <w:szCs w:val="22"/>
          <w:lang w:val="sv-SE"/>
        </w:rPr>
        <w:tab/>
        <w:t>ŠTEVILKA(E) DOVOLJENJA (DOVOLJENJ) ZA PROMET</w:t>
      </w:r>
    </w:p>
    <w:p w14:paraId="5297A4F9" w14:textId="77777777" w:rsidR="00841424" w:rsidRPr="004A59B1" w:rsidRDefault="00841424" w:rsidP="009C1193">
      <w:pPr>
        <w:widowControl w:val="0"/>
        <w:tabs>
          <w:tab w:val="clear" w:pos="567"/>
        </w:tabs>
        <w:spacing w:line="240" w:lineRule="auto"/>
        <w:rPr>
          <w:color w:val="000000"/>
          <w:szCs w:val="22"/>
          <w:lang w:val="sv-SE"/>
        </w:rPr>
      </w:pPr>
    </w:p>
    <w:p w14:paraId="5297A4FA" w14:textId="77777777" w:rsidR="00841424" w:rsidRPr="004A59B1" w:rsidRDefault="00841424" w:rsidP="009C1193">
      <w:pPr>
        <w:widowControl w:val="0"/>
        <w:tabs>
          <w:tab w:val="clear" w:pos="567"/>
          <w:tab w:val="left" w:pos="2268"/>
        </w:tabs>
        <w:spacing w:line="240" w:lineRule="auto"/>
        <w:rPr>
          <w:color w:val="000000"/>
          <w:szCs w:val="22"/>
          <w:shd w:val="clear" w:color="auto" w:fill="D9D9D9"/>
          <w:lang w:val="sv-SE"/>
        </w:rPr>
      </w:pPr>
      <w:r w:rsidRPr="004A59B1">
        <w:rPr>
          <w:color w:val="000000"/>
          <w:szCs w:val="22"/>
          <w:lang w:val="sv-SE"/>
        </w:rPr>
        <w:t>EU/1/01/198/007</w:t>
      </w:r>
      <w:r w:rsidRPr="004A59B1">
        <w:rPr>
          <w:color w:val="000000"/>
          <w:szCs w:val="22"/>
          <w:lang w:val="sv-SE"/>
        </w:rPr>
        <w:tab/>
      </w:r>
      <w:r w:rsidRPr="004A59B1">
        <w:rPr>
          <w:color w:val="000000"/>
          <w:szCs w:val="22"/>
          <w:shd w:val="clear" w:color="auto" w:fill="D9D9D9"/>
          <w:lang w:val="sv-SE"/>
        </w:rPr>
        <w:t>20 tablet</w:t>
      </w:r>
      <w:r w:rsidR="00B32509" w:rsidRPr="00FD4092">
        <w:rPr>
          <w:color w:val="000000"/>
          <w:szCs w:val="22"/>
          <w:shd w:val="pct15" w:color="auto" w:fill="auto"/>
          <w:lang w:val="sv-SE"/>
        </w:rPr>
        <w:t xml:space="preserve"> (</w:t>
      </w:r>
      <w:r w:rsidR="00B32509" w:rsidRPr="00FD4092">
        <w:rPr>
          <w:color w:val="000000"/>
          <w:szCs w:val="22"/>
          <w:shd w:val="pct15" w:color="auto" w:fill="auto"/>
          <w:lang w:val="sl-SI"/>
        </w:rPr>
        <w:t>Pretisni omoti iz PVC/aluminija)</w:t>
      </w:r>
    </w:p>
    <w:p w14:paraId="5297A4FB" w14:textId="77777777" w:rsidR="00841424" w:rsidRPr="004A59B1" w:rsidRDefault="00841424" w:rsidP="009C1193">
      <w:pPr>
        <w:widowControl w:val="0"/>
        <w:tabs>
          <w:tab w:val="clear" w:pos="567"/>
          <w:tab w:val="left" w:pos="2268"/>
        </w:tabs>
        <w:spacing w:line="240" w:lineRule="auto"/>
        <w:rPr>
          <w:color w:val="000000"/>
          <w:szCs w:val="22"/>
          <w:shd w:val="clear" w:color="auto" w:fill="D9D9D9"/>
          <w:lang w:val="sv-SE"/>
        </w:rPr>
      </w:pPr>
      <w:r w:rsidRPr="004A59B1">
        <w:rPr>
          <w:color w:val="000000"/>
          <w:szCs w:val="22"/>
          <w:shd w:val="clear" w:color="auto" w:fill="D9D9D9"/>
          <w:lang w:val="sv-SE"/>
        </w:rPr>
        <w:t>EU/1/01/198/008</w:t>
      </w:r>
      <w:r w:rsidRPr="004A59B1">
        <w:rPr>
          <w:color w:val="000000"/>
          <w:szCs w:val="22"/>
          <w:shd w:val="clear" w:color="auto" w:fill="D9D9D9"/>
          <w:lang w:val="sv-SE"/>
        </w:rPr>
        <w:tab/>
        <w:t>60 tablet</w:t>
      </w:r>
      <w:r w:rsidR="00B32509" w:rsidRPr="00FD4092">
        <w:rPr>
          <w:color w:val="000000"/>
          <w:szCs w:val="22"/>
          <w:shd w:val="pct15" w:color="auto" w:fill="auto"/>
          <w:lang w:val="sv-SE"/>
        </w:rPr>
        <w:t xml:space="preserve"> (</w:t>
      </w:r>
      <w:r w:rsidR="00B32509" w:rsidRPr="00FD4092">
        <w:rPr>
          <w:color w:val="000000"/>
          <w:szCs w:val="22"/>
          <w:shd w:val="pct15" w:color="auto" w:fill="auto"/>
          <w:lang w:val="sl-SI"/>
        </w:rPr>
        <w:t>Pretisni omoti iz PVC/aluminija)</w:t>
      </w:r>
    </w:p>
    <w:p w14:paraId="5297A4FC" w14:textId="77777777" w:rsidR="00841424" w:rsidRPr="004A59B1" w:rsidRDefault="00841424" w:rsidP="009C1193">
      <w:pPr>
        <w:widowControl w:val="0"/>
        <w:tabs>
          <w:tab w:val="clear" w:pos="567"/>
          <w:tab w:val="left" w:pos="2268"/>
        </w:tabs>
        <w:spacing w:line="240" w:lineRule="auto"/>
        <w:rPr>
          <w:color w:val="000000"/>
          <w:szCs w:val="22"/>
          <w:shd w:val="clear" w:color="auto" w:fill="D9D9D9"/>
          <w:lang w:val="sv-SE"/>
        </w:rPr>
      </w:pPr>
      <w:r w:rsidRPr="004A59B1">
        <w:rPr>
          <w:color w:val="000000"/>
          <w:szCs w:val="22"/>
          <w:shd w:val="clear" w:color="auto" w:fill="D9D9D9"/>
          <w:lang w:val="sv-SE"/>
        </w:rPr>
        <w:t>EU/1/01/198/011</w:t>
      </w:r>
      <w:r w:rsidRPr="004A59B1">
        <w:rPr>
          <w:color w:val="000000"/>
          <w:szCs w:val="22"/>
          <w:shd w:val="clear" w:color="auto" w:fill="D9D9D9"/>
          <w:lang w:val="sv-SE"/>
        </w:rPr>
        <w:tab/>
        <w:t>120 tablet</w:t>
      </w:r>
      <w:r w:rsidR="00B32509" w:rsidRPr="00FD4092">
        <w:rPr>
          <w:color w:val="000000"/>
          <w:szCs w:val="22"/>
          <w:shd w:val="pct15" w:color="auto" w:fill="auto"/>
          <w:lang w:val="sv-SE"/>
        </w:rPr>
        <w:t xml:space="preserve"> (</w:t>
      </w:r>
      <w:r w:rsidR="00B32509" w:rsidRPr="00FD4092">
        <w:rPr>
          <w:color w:val="000000"/>
          <w:szCs w:val="22"/>
          <w:shd w:val="pct15" w:color="auto" w:fill="auto"/>
          <w:lang w:val="sl-SI"/>
        </w:rPr>
        <w:t>Pretisni omoti iz PVC/aluminija)</w:t>
      </w:r>
    </w:p>
    <w:p w14:paraId="5297A4FD" w14:textId="77777777" w:rsidR="00841424" w:rsidRPr="004A59B1" w:rsidRDefault="00841424" w:rsidP="009C1193">
      <w:pPr>
        <w:widowControl w:val="0"/>
        <w:tabs>
          <w:tab w:val="clear" w:pos="567"/>
          <w:tab w:val="left" w:pos="2268"/>
        </w:tabs>
        <w:spacing w:line="240" w:lineRule="auto"/>
        <w:rPr>
          <w:color w:val="000000"/>
          <w:szCs w:val="22"/>
          <w:shd w:val="clear" w:color="auto" w:fill="D9D9D9"/>
          <w:lang w:val="sv-SE"/>
        </w:rPr>
      </w:pPr>
      <w:r w:rsidRPr="004A59B1">
        <w:rPr>
          <w:color w:val="000000"/>
          <w:szCs w:val="22"/>
          <w:shd w:val="clear" w:color="auto" w:fill="D9D9D9"/>
          <w:lang w:val="sv-SE"/>
        </w:rPr>
        <w:t>EU/1/01/198/012</w:t>
      </w:r>
      <w:r w:rsidRPr="004A59B1">
        <w:rPr>
          <w:color w:val="000000"/>
          <w:szCs w:val="22"/>
          <w:shd w:val="clear" w:color="auto" w:fill="D9D9D9"/>
          <w:lang w:val="sv-SE"/>
        </w:rPr>
        <w:tab/>
        <w:t>180 tablet</w:t>
      </w:r>
      <w:r w:rsidR="00B32509" w:rsidRPr="00FD4092">
        <w:rPr>
          <w:color w:val="000000"/>
          <w:szCs w:val="22"/>
          <w:shd w:val="pct15" w:color="auto" w:fill="auto"/>
          <w:lang w:val="sv-SE"/>
        </w:rPr>
        <w:t xml:space="preserve"> (</w:t>
      </w:r>
      <w:r w:rsidR="00B32509" w:rsidRPr="00FD4092">
        <w:rPr>
          <w:color w:val="000000"/>
          <w:szCs w:val="22"/>
          <w:shd w:val="pct15" w:color="auto" w:fill="auto"/>
          <w:lang w:val="sl-SI"/>
        </w:rPr>
        <w:t>Pretisni omoti iz PVC/aluminija)</w:t>
      </w:r>
    </w:p>
    <w:p w14:paraId="5297A4FE" w14:textId="77777777" w:rsidR="00B32509" w:rsidRPr="00FD4092" w:rsidRDefault="00B32509" w:rsidP="009C1193">
      <w:pPr>
        <w:widowControl w:val="0"/>
        <w:tabs>
          <w:tab w:val="clear" w:pos="567"/>
        </w:tabs>
        <w:spacing w:line="240" w:lineRule="auto"/>
        <w:ind w:left="2268" w:hanging="2268"/>
        <w:rPr>
          <w:color w:val="000000"/>
          <w:szCs w:val="22"/>
          <w:shd w:val="pct15" w:color="auto" w:fill="auto"/>
          <w:lang w:val="sv-SE"/>
        </w:rPr>
      </w:pPr>
      <w:r w:rsidRPr="00FD4092">
        <w:rPr>
          <w:color w:val="000000"/>
          <w:szCs w:val="22"/>
          <w:shd w:val="pct15" w:color="auto" w:fill="auto"/>
          <w:lang w:val="sv-SE"/>
        </w:rPr>
        <w:t>EU/1/01/198/01</w:t>
      </w:r>
      <w:r w:rsidR="008045F0">
        <w:rPr>
          <w:color w:val="000000"/>
          <w:szCs w:val="22"/>
          <w:shd w:val="pct15" w:color="auto" w:fill="auto"/>
          <w:lang w:val="sv-SE"/>
        </w:rPr>
        <w:t>4</w:t>
      </w:r>
      <w:r w:rsidRPr="00FD4092">
        <w:rPr>
          <w:color w:val="000000"/>
          <w:szCs w:val="22"/>
          <w:shd w:val="pct15" w:color="auto" w:fill="auto"/>
          <w:lang w:val="sv-SE"/>
        </w:rPr>
        <w:tab/>
      </w:r>
      <w:r w:rsidR="008045F0">
        <w:rPr>
          <w:color w:val="000000"/>
          <w:szCs w:val="22"/>
          <w:shd w:val="pct15" w:color="auto" w:fill="auto"/>
          <w:lang w:val="sv-SE"/>
        </w:rPr>
        <w:t>6</w:t>
      </w:r>
      <w:r w:rsidRPr="00FD4092">
        <w:rPr>
          <w:color w:val="000000"/>
          <w:szCs w:val="22"/>
          <w:shd w:val="pct15" w:color="auto" w:fill="auto"/>
          <w:lang w:val="sv-SE"/>
        </w:rPr>
        <w:t>0 tablet (</w:t>
      </w:r>
      <w:r w:rsidRPr="00FD4092">
        <w:rPr>
          <w:color w:val="000000"/>
          <w:szCs w:val="22"/>
          <w:shd w:val="pct15" w:color="auto" w:fill="auto"/>
          <w:lang w:val="sl-SI"/>
        </w:rPr>
        <w:t>Pretisni omoti iz PVDC/aluminija)</w:t>
      </w:r>
    </w:p>
    <w:p w14:paraId="5297A4FF" w14:textId="77777777" w:rsidR="00B32509" w:rsidRPr="00FD4092" w:rsidRDefault="00B32509" w:rsidP="009C1193">
      <w:pPr>
        <w:widowControl w:val="0"/>
        <w:tabs>
          <w:tab w:val="clear" w:pos="567"/>
        </w:tabs>
        <w:spacing w:line="240" w:lineRule="auto"/>
        <w:ind w:left="2268" w:hanging="2268"/>
        <w:rPr>
          <w:color w:val="000000"/>
          <w:szCs w:val="22"/>
          <w:shd w:val="pct15" w:color="auto" w:fill="auto"/>
          <w:lang w:val="sv-SE"/>
        </w:rPr>
      </w:pPr>
      <w:r w:rsidRPr="00FD4092">
        <w:rPr>
          <w:color w:val="000000"/>
          <w:szCs w:val="22"/>
          <w:shd w:val="pct15" w:color="auto" w:fill="auto"/>
          <w:lang w:val="sv-SE"/>
        </w:rPr>
        <w:t>EU/1/01/198/01</w:t>
      </w:r>
      <w:r w:rsidR="008045F0">
        <w:rPr>
          <w:color w:val="000000"/>
          <w:szCs w:val="22"/>
          <w:shd w:val="pct15" w:color="auto" w:fill="auto"/>
          <w:lang w:val="sv-SE"/>
        </w:rPr>
        <w:t>5</w:t>
      </w:r>
      <w:r w:rsidRPr="00FD4092">
        <w:rPr>
          <w:color w:val="000000"/>
          <w:szCs w:val="22"/>
          <w:shd w:val="pct15" w:color="auto" w:fill="auto"/>
          <w:lang w:val="sv-SE"/>
        </w:rPr>
        <w:tab/>
        <w:t>1</w:t>
      </w:r>
      <w:r w:rsidR="008045F0">
        <w:rPr>
          <w:color w:val="000000"/>
          <w:szCs w:val="22"/>
          <w:shd w:val="pct15" w:color="auto" w:fill="auto"/>
          <w:lang w:val="sv-SE"/>
        </w:rPr>
        <w:t>2</w:t>
      </w:r>
      <w:r w:rsidRPr="00FD4092">
        <w:rPr>
          <w:color w:val="000000"/>
          <w:szCs w:val="22"/>
          <w:shd w:val="pct15" w:color="auto" w:fill="auto"/>
          <w:lang w:val="sv-SE"/>
        </w:rPr>
        <w:t>0 tablet (</w:t>
      </w:r>
      <w:r w:rsidRPr="00FD4092">
        <w:rPr>
          <w:color w:val="000000"/>
          <w:szCs w:val="22"/>
          <w:shd w:val="pct15" w:color="auto" w:fill="auto"/>
          <w:lang w:val="sl-SI"/>
        </w:rPr>
        <w:t>Pretisni omoti iz PVDC/aluminija)</w:t>
      </w:r>
    </w:p>
    <w:p w14:paraId="5297A500" w14:textId="77777777" w:rsidR="001055C6" w:rsidRPr="004A59B1" w:rsidRDefault="001055C6" w:rsidP="009C1193">
      <w:pPr>
        <w:widowControl w:val="0"/>
        <w:tabs>
          <w:tab w:val="clear" w:pos="567"/>
          <w:tab w:val="left" w:pos="2268"/>
        </w:tabs>
        <w:spacing w:line="240" w:lineRule="auto"/>
        <w:rPr>
          <w:color w:val="000000"/>
          <w:szCs w:val="22"/>
          <w:shd w:val="clear" w:color="auto" w:fill="D9D9D9"/>
          <w:lang w:val="sv-SE"/>
        </w:rPr>
      </w:pPr>
      <w:r w:rsidRPr="004A59B1">
        <w:rPr>
          <w:color w:val="000000"/>
          <w:szCs w:val="22"/>
          <w:shd w:val="clear" w:color="auto" w:fill="D9D9D9"/>
          <w:lang w:val="sv-SE"/>
        </w:rPr>
        <w:t>EU/1/01/198/0</w:t>
      </w:r>
      <w:r>
        <w:rPr>
          <w:color w:val="000000"/>
          <w:szCs w:val="22"/>
          <w:shd w:val="clear" w:color="auto" w:fill="D9D9D9"/>
          <w:lang w:val="sv-SE"/>
        </w:rPr>
        <w:t>1</w:t>
      </w:r>
      <w:r w:rsidR="008045F0">
        <w:rPr>
          <w:color w:val="000000"/>
          <w:szCs w:val="22"/>
          <w:shd w:val="clear" w:color="auto" w:fill="D9D9D9"/>
          <w:lang w:val="sv-SE"/>
        </w:rPr>
        <w:t>6</w:t>
      </w:r>
      <w:r w:rsidRPr="004A59B1">
        <w:rPr>
          <w:color w:val="000000"/>
          <w:szCs w:val="22"/>
          <w:shd w:val="clear" w:color="auto" w:fill="D9D9D9"/>
          <w:lang w:val="sv-SE"/>
        </w:rPr>
        <w:tab/>
      </w:r>
      <w:r w:rsidR="008045F0">
        <w:rPr>
          <w:color w:val="000000"/>
          <w:szCs w:val="22"/>
          <w:shd w:val="clear" w:color="auto" w:fill="D9D9D9"/>
          <w:lang w:val="sv-SE"/>
        </w:rPr>
        <w:t>18</w:t>
      </w:r>
      <w:r w:rsidRPr="004A59B1">
        <w:rPr>
          <w:color w:val="000000"/>
          <w:szCs w:val="22"/>
          <w:shd w:val="clear" w:color="auto" w:fill="D9D9D9"/>
          <w:lang w:val="sv-SE"/>
        </w:rPr>
        <w:t>0 tablet</w:t>
      </w:r>
      <w:r w:rsidRPr="00FD4092">
        <w:rPr>
          <w:color w:val="000000"/>
          <w:szCs w:val="22"/>
          <w:shd w:val="pct15" w:color="auto" w:fill="auto"/>
          <w:lang w:val="sv-SE"/>
        </w:rPr>
        <w:t xml:space="preserve"> (</w:t>
      </w:r>
      <w:r w:rsidRPr="00FD4092">
        <w:rPr>
          <w:color w:val="000000"/>
          <w:szCs w:val="22"/>
          <w:shd w:val="pct15" w:color="auto" w:fill="auto"/>
          <w:lang w:val="sl-SI"/>
        </w:rPr>
        <w:t>Pretisni omoti iz PV</w:t>
      </w:r>
      <w:r>
        <w:rPr>
          <w:color w:val="000000"/>
          <w:szCs w:val="22"/>
          <w:shd w:val="pct15" w:color="auto" w:fill="auto"/>
          <w:lang w:val="sl-SI"/>
        </w:rPr>
        <w:t>D</w:t>
      </w:r>
      <w:r w:rsidRPr="00FD4092">
        <w:rPr>
          <w:color w:val="000000"/>
          <w:szCs w:val="22"/>
          <w:shd w:val="pct15" w:color="auto" w:fill="auto"/>
          <w:lang w:val="sl-SI"/>
        </w:rPr>
        <w:t>C/aluminija)</w:t>
      </w:r>
    </w:p>
    <w:p w14:paraId="5297A501" w14:textId="77777777" w:rsidR="00841424" w:rsidRPr="004A59B1" w:rsidRDefault="00841424" w:rsidP="009C1193">
      <w:pPr>
        <w:widowControl w:val="0"/>
        <w:tabs>
          <w:tab w:val="clear" w:pos="567"/>
        </w:tabs>
        <w:spacing w:line="240" w:lineRule="auto"/>
        <w:rPr>
          <w:color w:val="000000"/>
          <w:szCs w:val="22"/>
          <w:lang w:val="sv-SE"/>
        </w:rPr>
      </w:pPr>
    </w:p>
    <w:p w14:paraId="5297A502" w14:textId="77777777" w:rsidR="00841424" w:rsidRPr="004A59B1" w:rsidRDefault="00841424" w:rsidP="009C1193">
      <w:pPr>
        <w:widowControl w:val="0"/>
        <w:tabs>
          <w:tab w:val="clear" w:pos="567"/>
        </w:tabs>
        <w:spacing w:line="240" w:lineRule="auto"/>
        <w:rPr>
          <w:color w:val="000000"/>
          <w:szCs w:val="22"/>
          <w:lang w:val="sv-SE"/>
        </w:rPr>
      </w:pPr>
    </w:p>
    <w:p w14:paraId="5297A503"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4A59B1">
        <w:rPr>
          <w:b/>
          <w:color w:val="000000"/>
          <w:szCs w:val="22"/>
          <w:lang w:val="sv-SE"/>
        </w:rPr>
        <w:t>13.</w:t>
      </w:r>
      <w:r w:rsidRPr="004A59B1">
        <w:rPr>
          <w:b/>
          <w:color w:val="000000"/>
          <w:szCs w:val="22"/>
          <w:lang w:val="sv-SE"/>
        </w:rPr>
        <w:tab/>
        <w:t>ŠTEVILKA SERIJE</w:t>
      </w:r>
    </w:p>
    <w:p w14:paraId="5297A504" w14:textId="77777777" w:rsidR="00841424" w:rsidRPr="004A59B1" w:rsidRDefault="00841424" w:rsidP="009C1193">
      <w:pPr>
        <w:widowControl w:val="0"/>
        <w:tabs>
          <w:tab w:val="clear" w:pos="567"/>
        </w:tabs>
        <w:spacing w:line="240" w:lineRule="auto"/>
        <w:rPr>
          <w:color w:val="000000"/>
          <w:szCs w:val="22"/>
          <w:lang w:val="sv-SE"/>
        </w:rPr>
      </w:pPr>
    </w:p>
    <w:p w14:paraId="5297A505" w14:textId="77777777" w:rsidR="00841424" w:rsidRPr="004A59B1" w:rsidRDefault="00601051" w:rsidP="009C1193">
      <w:pPr>
        <w:widowControl w:val="0"/>
        <w:tabs>
          <w:tab w:val="clear" w:pos="567"/>
        </w:tabs>
        <w:spacing w:line="240" w:lineRule="auto"/>
        <w:rPr>
          <w:color w:val="000000"/>
          <w:szCs w:val="22"/>
          <w:lang w:val="sv-SE"/>
        </w:rPr>
      </w:pPr>
      <w:r>
        <w:rPr>
          <w:color w:val="000000"/>
          <w:szCs w:val="22"/>
          <w:lang w:val="sv-SE"/>
        </w:rPr>
        <w:t>Lot</w:t>
      </w:r>
    </w:p>
    <w:p w14:paraId="5297A506" w14:textId="77777777" w:rsidR="00841424" w:rsidRPr="004A59B1" w:rsidRDefault="00841424" w:rsidP="009C1193">
      <w:pPr>
        <w:widowControl w:val="0"/>
        <w:tabs>
          <w:tab w:val="clear" w:pos="567"/>
        </w:tabs>
        <w:spacing w:line="240" w:lineRule="auto"/>
        <w:rPr>
          <w:color w:val="000000"/>
          <w:szCs w:val="22"/>
          <w:lang w:val="sv-SE"/>
        </w:rPr>
      </w:pPr>
    </w:p>
    <w:p w14:paraId="5297A507" w14:textId="77777777" w:rsidR="00841424" w:rsidRPr="004A59B1" w:rsidRDefault="00841424" w:rsidP="009C1193">
      <w:pPr>
        <w:widowControl w:val="0"/>
        <w:tabs>
          <w:tab w:val="clear" w:pos="567"/>
        </w:tabs>
        <w:spacing w:line="240" w:lineRule="auto"/>
        <w:rPr>
          <w:color w:val="000000"/>
          <w:szCs w:val="22"/>
          <w:lang w:val="sv-SE"/>
        </w:rPr>
      </w:pPr>
    </w:p>
    <w:p w14:paraId="5297A508"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4A59B1">
        <w:rPr>
          <w:b/>
          <w:color w:val="000000"/>
          <w:szCs w:val="22"/>
          <w:lang w:val="sv-SE"/>
        </w:rPr>
        <w:t>14.</w:t>
      </w:r>
      <w:r w:rsidRPr="004A59B1">
        <w:rPr>
          <w:b/>
          <w:color w:val="000000"/>
          <w:szCs w:val="22"/>
          <w:lang w:val="sv-SE"/>
        </w:rPr>
        <w:tab/>
        <w:t>NAČIN IZDAJANJA ZDRAVILA</w:t>
      </w:r>
    </w:p>
    <w:p w14:paraId="5297A509" w14:textId="77777777" w:rsidR="00841424" w:rsidRPr="004A59B1" w:rsidRDefault="00841424" w:rsidP="009C1193">
      <w:pPr>
        <w:widowControl w:val="0"/>
        <w:tabs>
          <w:tab w:val="clear" w:pos="567"/>
        </w:tabs>
        <w:spacing w:line="240" w:lineRule="auto"/>
        <w:rPr>
          <w:color w:val="000000"/>
          <w:szCs w:val="22"/>
          <w:lang w:val="sv-SE"/>
        </w:rPr>
      </w:pPr>
    </w:p>
    <w:p w14:paraId="5297A50A" w14:textId="77777777" w:rsidR="00841424" w:rsidRPr="004A59B1" w:rsidRDefault="00841424" w:rsidP="009C1193">
      <w:pPr>
        <w:widowControl w:val="0"/>
        <w:tabs>
          <w:tab w:val="clear" w:pos="567"/>
        </w:tabs>
        <w:spacing w:line="240" w:lineRule="auto"/>
        <w:rPr>
          <w:color w:val="000000"/>
          <w:szCs w:val="22"/>
          <w:lang w:val="sv-SE"/>
        </w:rPr>
      </w:pPr>
    </w:p>
    <w:p w14:paraId="5297A50B"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15.</w:t>
      </w:r>
      <w:r w:rsidRPr="004A59B1">
        <w:rPr>
          <w:b/>
          <w:color w:val="000000"/>
          <w:szCs w:val="22"/>
          <w:lang w:val="pl-PL"/>
        </w:rPr>
        <w:tab/>
        <w:t>NAVODILA ZA UPORABO</w:t>
      </w:r>
    </w:p>
    <w:p w14:paraId="5297A50C" w14:textId="77777777" w:rsidR="00841424" w:rsidRPr="004A59B1" w:rsidRDefault="00841424" w:rsidP="009C1193">
      <w:pPr>
        <w:widowControl w:val="0"/>
        <w:tabs>
          <w:tab w:val="clear" w:pos="567"/>
        </w:tabs>
        <w:spacing w:line="240" w:lineRule="auto"/>
        <w:rPr>
          <w:color w:val="000000"/>
          <w:szCs w:val="22"/>
          <w:lang w:val="pl-PL"/>
        </w:rPr>
      </w:pPr>
    </w:p>
    <w:p w14:paraId="5297A50D" w14:textId="77777777" w:rsidR="00841424" w:rsidRPr="004A59B1" w:rsidRDefault="00841424" w:rsidP="009C1193">
      <w:pPr>
        <w:widowControl w:val="0"/>
        <w:tabs>
          <w:tab w:val="clear" w:pos="567"/>
        </w:tabs>
        <w:spacing w:line="240" w:lineRule="auto"/>
        <w:rPr>
          <w:color w:val="000000"/>
          <w:szCs w:val="22"/>
          <w:lang w:val="pl-PL"/>
        </w:rPr>
      </w:pPr>
    </w:p>
    <w:p w14:paraId="5297A50E"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b/>
          <w:color w:val="000000"/>
          <w:szCs w:val="22"/>
          <w:lang w:val="pl-PL"/>
        </w:rPr>
      </w:pPr>
      <w:r w:rsidRPr="004A59B1">
        <w:rPr>
          <w:b/>
          <w:color w:val="000000"/>
          <w:szCs w:val="22"/>
          <w:lang w:val="pl-PL"/>
        </w:rPr>
        <w:t>16.</w:t>
      </w:r>
      <w:r w:rsidRPr="004A59B1">
        <w:rPr>
          <w:b/>
          <w:color w:val="000000"/>
          <w:szCs w:val="22"/>
          <w:lang w:val="pl-PL"/>
        </w:rPr>
        <w:tab/>
        <w:t>PODATKI V BRAILLOVI PISAVI</w:t>
      </w:r>
    </w:p>
    <w:p w14:paraId="5297A50F" w14:textId="77777777" w:rsidR="00841424" w:rsidRPr="004A59B1" w:rsidRDefault="00841424" w:rsidP="009C1193">
      <w:pPr>
        <w:widowControl w:val="0"/>
        <w:tabs>
          <w:tab w:val="clear" w:pos="567"/>
        </w:tabs>
        <w:spacing w:line="240" w:lineRule="auto"/>
        <w:rPr>
          <w:color w:val="000000"/>
          <w:szCs w:val="22"/>
          <w:lang w:val="pl-PL"/>
        </w:rPr>
      </w:pPr>
    </w:p>
    <w:p w14:paraId="5297A510" w14:textId="77777777" w:rsidR="00841424" w:rsidRPr="004A59B1" w:rsidRDefault="00841424" w:rsidP="009C1193">
      <w:pPr>
        <w:widowControl w:val="0"/>
        <w:tabs>
          <w:tab w:val="clear" w:pos="567"/>
        </w:tabs>
        <w:spacing w:line="240" w:lineRule="auto"/>
        <w:rPr>
          <w:color w:val="000000"/>
          <w:szCs w:val="22"/>
          <w:lang w:val="pl-PL"/>
        </w:rPr>
      </w:pPr>
      <w:r w:rsidRPr="004A59B1">
        <w:rPr>
          <w:color w:val="000000"/>
          <w:szCs w:val="22"/>
          <w:lang w:val="pl-PL"/>
        </w:rPr>
        <w:t>Glivec 100 mg</w:t>
      </w:r>
    </w:p>
    <w:p w14:paraId="5297A511" w14:textId="77777777" w:rsidR="00D93A87" w:rsidRDefault="00D93A87" w:rsidP="009C1193">
      <w:pPr>
        <w:widowControl w:val="0"/>
        <w:tabs>
          <w:tab w:val="clear" w:pos="567"/>
        </w:tabs>
        <w:spacing w:line="240" w:lineRule="auto"/>
        <w:rPr>
          <w:b/>
          <w:color w:val="000000"/>
          <w:szCs w:val="22"/>
          <w:u w:val="single"/>
          <w:lang w:val="pl-PL"/>
        </w:rPr>
      </w:pPr>
    </w:p>
    <w:p w14:paraId="5297A512" w14:textId="77777777" w:rsidR="00D93A87" w:rsidRDefault="00D93A87" w:rsidP="009C1193">
      <w:pPr>
        <w:widowControl w:val="0"/>
        <w:tabs>
          <w:tab w:val="clear" w:pos="567"/>
        </w:tabs>
        <w:spacing w:line="240" w:lineRule="auto"/>
        <w:rPr>
          <w:b/>
          <w:color w:val="000000"/>
          <w:szCs w:val="22"/>
          <w:u w:val="single"/>
          <w:lang w:val="pl-PL"/>
        </w:rPr>
      </w:pPr>
    </w:p>
    <w:p w14:paraId="5297A513" w14:textId="77777777" w:rsidR="00D93A87" w:rsidRDefault="00D93A87" w:rsidP="009C1193">
      <w:pPr>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lang w:val="sl-SI"/>
        </w:rPr>
      </w:pPr>
      <w:r>
        <w:rPr>
          <w:b/>
          <w:bCs/>
          <w:lang w:val="sl-SI"/>
        </w:rPr>
        <w:t>17.</w:t>
      </w:r>
      <w:r>
        <w:rPr>
          <w:b/>
          <w:bCs/>
          <w:lang w:val="sl-SI"/>
        </w:rPr>
        <w:tab/>
      </w:r>
      <w:r w:rsidRPr="0058717D">
        <w:rPr>
          <w:b/>
          <w:bCs/>
          <w:lang w:val="sl-SI"/>
        </w:rPr>
        <w:t>EDINSTVENA OZNAKA – DVODIMENZIONALNA ČRTNA KODA</w:t>
      </w:r>
    </w:p>
    <w:p w14:paraId="5297A514" w14:textId="77777777" w:rsidR="00D93A87" w:rsidRDefault="00D93A87" w:rsidP="009C1193">
      <w:pPr>
        <w:widowControl w:val="0"/>
        <w:tabs>
          <w:tab w:val="clear" w:pos="567"/>
        </w:tabs>
        <w:spacing w:line="240" w:lineRule="auto"/>
        <w:rPr>
          <w:lang w:val="sl-SI"/>
        </w:rPr>
      </w:pPr>
    </w:p>
    <w:p w14:paraId="5297A515" w14:textId="77777777" w:rsidR="00D93A87" w:rsidRPr="001D3FD4" w:rsidRDefault="00D93A87" w:rsidP="009C1193">
      <w:pPr>
        <w:widowControl w:val="0"/>
        <w:tabs>
          <w:tab w:val="clear" w:pos="567"/>
        </w:tabs>
        <w:spacing w:line="240" w:lineRule="auto"/>
        <w:rPr>
          <w:noProof/>
          <w:shd w:val="pct15" w:color="auto" w:fill="auto"/>
          <w:lang w:val="pt-BR"/>
        </w:rPr>
      </w:pPr>
      <w:r w:rsidRPr="001D3FD4">
        <w:rPr>
          <w:noProof/>
          <w:shd w:val="pct15" w:color="auto" w:fill="auto"/>
          <w:lang w:val="pt-BR"/>
        </w:rPr>
        <w:t>Vsebuje dvodimenzionalno črtno kodo z edinstveno oznako.</w:t>
      </w:r>
    </w:p>
    <w:p w14:paraId="5297A516" w14:textId="77777777" w:rsidR="00D93A87" w:rsidRDefault="00D93A87" w:rsidP="009C1193">
      <w:pPr>
        <w:widowControl w:val="0"/>
        <w:tabs>
          <w:tab w:val="clear" w:pos="567"/>
        </w:tabs>
        <w:spacing w:line="240" w:lineRule="auto"/>
        <w:rPr>
          <w:lang w:val="sl-SI"/>
        </w:rPr>
      </w:pPr>
    </w:p>
    <w:p w14:paraId="5297A517" w14:textId="77777777" w:rsidR="00D93A87" w:rsidRDefault="00D93A87" w:rsidP="009C1193">
      <w:pPr>
        <w:widowControl w:val="0"/>
        <w:tabs>
          <w:tab w:val="clear" w:pos="567"/>
        </w:tabs>
        <w:spacing w:line="240" w:lineRule="auto"/>
        <w:rPr>
          <w:lang w:val="sl-SI"/>
        </w:rPr>
      </w:pPr>
    </w:p>
    <w:p w14:paraId="5297A518" w14:textId="77777777" w:rsidR="00D93A87" w:rsidRDefault="00D93A87" w:rsidP="000A6242">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lang w:val="sl-SI"/>
        </w:rPr>
      </w:pPr>
      <w:r>
        <w:rPr>
          <w:b/>
          <w:bCs/>
          <w:lang w:val="sl-SI"/>
        </w:rPr>
        <w:t>18.</w:t>
      </w:r>
      <w:r>
        <w:rPr>
          <w:b/>
          <w:bCs/>
          <w:lang w:val="sl-SI"/>
        </w:rPr>
        <w:tab/>
      </w:r>
      <w:r w:rsidRPr="0058717D">
        <w:rPr>
          <w:b/>
          <w:bCs/>
          <w:lang w:val="sl-SI"/>
        </w:rPr>
        <w:t>EDINSTVENA OZNAKA – V BERLJIVI OBLIKI</w:t>
      </w:r>
    </w:p>
    <w:p w14:paraId="5297A519" w14:textId="77777777" w:rsidR="00D93A87" w:rsidRDefault="00D93A87" w:rsidP="000A6242">
      <w:pPr>
        <w:keepNext/>
        <w:widowControl w:val="0"/>
        <w:tabs>
          <w:tab w:val="clear" w:pos="567"/>
        </w:tabs>
        <w:spacing w:line="240" w:lineRule="auto"/>
        <w:rPr>
          <w:lang w:val="sl-SI"/>
        </w:rPr>
      </w:pPr>
    </w:p>
    <w:p w14:paraId="5297A51A" w14:textId="77777777" w:rsidR="00D93A87" w:rsidRDefault="00D93A87" w:rsidP="000A6242">
      <w:pPr>
        <w:keepNext/>
        <w:widowControl w:val="0"/>
        <w:tabs>
          <w:tab w:val="clear" w:pos="567"/>
        </w:tabs>
        <w:spacing w:line="240" w:lineRule="auto"/>
        <w:rPr>
          <w:lang w:val="sl-SI"/>
        </w:rPr>
      </w:pPr>
      <w:r>
        <w:rPr>
          <w:lang w:val="sl-SI"/>
        </w:rPr>
        <w:t>PC:</w:t>
      </w:r>
    </w:p>
    <w:p w14:paraId="5297A51B" w14:textId="77777777" w:rsidR="00D93A87" w:rsidRDefault="00D93A87" w:rsidP="000A6242">
      <w:pPr>
        <w:keepNext/>
        <w:widowControl w:val="0"/>
        <w:tabs>
          <w:tab w:val="clear" w:pos="567"/>
        </w:tabs>
        <w:spacing w:line="240" w:lineRule="auto"/>
        <w:rPr>
          <w:lang w:val="sl-SI"/>
        </w:rPr>
      </w:pPr>
      <w:r>
        <w:rPr>
          <w:lang w:val="sl-SI"/>
        </w:rPr>
        <w:t>SN:</w:t>
      </w:r>
    </w:p>
    <w:p w14:paraId="5297A51C" w14:textId="77777777" w:rsidR="008F282C" w:rsidRDefault="00D93A87" w:rsidP="009C1193">
      <w:pPr>
        <w:widowControl w:val="0"/>
        <w:tabs>
          <w:tab w:val="clear" w:pos="567"/>
        </w:tabs>
        <w:spacing w:line="240" w:lineRule="auto"/>
        <w:rPr>
          <w:lang w:val="sl-SI"/>
        </w:rPr>
      </w:pPr>
      <w:r>
        <w:rPr>
          <w:lang w:val="sl-SI"/>
        </w:rPr>
        <w:t>NN:</w:t>
      </w:r>
    </w:p>
    <w:p w14:paraId="5297A51D" w14:textId="77777777" w:rsidR="00841424" w:rsidRPr="008F282C" w:rsidRDefault="00841424" w:rsidP="009C1193">
      <w:pPr>
        <w:widowControl w:val="0"/>
        <w:tabs>
          <w:tab w:val="clear" w:pos="567"/>
        </w:tabs>
        <w:spacing w:line="240" w:lineRule="auto"/>
        <w:rPr>
          <w:lang w:val="sl-SI"/>
        </w:rPr>
      </w:pPr>
      <w:r w:rsidRPr="004A59B1">
        <w:rPr>
          <w:b/>
          <w:color w:val="000000"/>
          <w:szCs w:val="22"/>
          <w:u w:val="single"/>
          <w:lang w:val="pl-PL"/>
        </w:rPr>
        <w:br w:type="page"/>
      </w:r>
    </w:p>
    <w:p w14:paraId="5297A51E" w14:textId="77777777" w:rsidR="000A6242" w:rsidRPr="000A6242" w:rsidRDefault="000A6242" w:rsidP="000A6242">
      <w:pPr>
        <w:widowControl w:val="0"/>
        <w:tabs>
          <w:tab w:val="clear" w:pos="567"/>
          <w:tab w:val="left" w:pos="5748"/>
        </w:tabs>
        <w:spacing w:line="240" w:lineRule="auto"/>
        <w:rPr>
          <w:color w:val="000000"/>
          <w:szCs w:val="22"/>
          <w:lang w:val="pl-PL"/>
        </w:rPr>
      </w:pPr>
    </w:p>
    <w:p w14:paraId="5297A51F"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pl-PL"/>
        </w:rPr>
      </w:pPr>
      <w:r w:rsidRPr="004A59B1">
        <w:rPr>
          <w:b/>
          <w:color w:val="000000"/>
          <w:szCs w:val="22"/>
          <w:lang w:val="pl-PL"/>
        </w:rPr>
        <w:t>PODATKI, KI MORAJO BITI NAJMANJ NAVEDENI NA PRETISNEM OMOTU ALI DVOJNEM TRAKU</w:t>
      </w:r>
    </w:p>
    <w:p w14:paraId="5297A520"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pl-PL"/>
        </w:rPr>
      </w:pPr>
    </w:p>
    <w:p w14:paraId="5297A521"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pl-PL"/>
        </w:rPr>
      </w:pPr>
      <w:r w:rsidRPr="004A59B1">
        <w:rPr>
          <w:b/>
          <w:color w:val="000000"/>
          <w:szCs w:val="22"/>
          <w:lang w:val="pl-PL"/>
        </w:rPr>
        <w:t>PRETISNI OMOTI</w:t>
      </w:r>
    </w:p>
    <w:p w14:paraId="5297A522" w14:textId="77777777" w:rsidR="00841424" w:rsidRPr="004A59B1" w:rsidRDefault="00841424" w:rsidP="009C1193">
      <w:pPr>
        <w:widowControl w:val="0"/>
        <w:tabs>
          <w:tab w:val="clear" w:pos="567"/>
          <w:tab w:val="left" w:pos="5748"/>
        </w:tabs>
        <w:spacing w:line="240" w:lineRule="auto"/>
        <w:rPr>
          <w:color w:val="000000"/>
          <w:szCs w:val="22"/>
          <w:lang w:val="pl-PL"/>
        </w:rPr>
      </w:pPr>
    </w:p>
    <w:p w14:paraId="5297A523" w14:textId="77777777" w:rsidR="00841424" w:rsidRPr="004A59B1" w:rsidRDefault="00841424" w:rsidP="009C1193">
      <w:pPr>
        <w:widowControl w:val="0"/>
        <w:tabs>
          <w:tab w:val="clear" w:pos="567"/>
        </w:tabs>
        <w:spacing w:line="240" w:lineRule="auto"/>
        <w:rPr>
          <w:color w:val="000000"/>
          <w:szCs w:val="22"/>
          <w:lang w:val="pl-PL"/>
        </w:rPr>
      </w:pPr>
    </w:p>
    <w:p w14:paraId="5297A524"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1.</w:t>
      </w:r>
      <w:r w:rsidRPr="004A59B1">
        <w:rPr>
          <w:b/>
          <w:color w:val="000000"/>
          <w:szCs w:val="22"/>
          <w:lang w:val="pl-PL"/>
        </w:rPr>
        <w:tab/>
        <w:t>IME ZDRAVILA</w:t>
      </w:r>
    </w:p>
    <w:p w14:paraId="5297A525" w14:textId="77777777" w:rsidR="00841424" w:rsidRPr="004A59B1" w:rsidRDefault="00841424" w:rsidP="009C1193">
      <w:pPr>
        <w:widowControl w:val="0"/>
        <w:tabs>
          <w:tab w:val="clear" w:pos="567"/>
        </w:tabs>
        <w:spacing w:line="240" w:lineRule="auto"/>
        <w:ind w:left="567" w:hanging="567"/>
        <w:rPr>
          <w:color w:val="000000"/>
          <w:szCs w:val="22"/>
          <w:lang w:val="pl-PL"/>
        </w:rPr>
      </w:pPr>
    </w:p>
    <w:p w14:paraId="5297A526" w14:textId="77777777" w:rsidR="00841424" w:rsidRPr="004A59B1" w:rsidRDefault="00841424" w:rsidP="009C1193">
      <w:pPr>
        <w:widowControl w:val="0"/>
        <w:tabs>
          <w:tab w:val="clear" w:pos="567"/>
        </w:tabs>
        <w:spacing w:line="240" w:lineRule="auto"/>
        <w:rPr>
          <w:color w:val="000000"/>
          <w:szCs w:val="22"/>
          <w:lang w:val="pl-PL"/>
        </w:rPr>
      </w:pPr>
      <w:r w:rsidRPr="004A59B1">
        <w:rPr>
          <w:color w:val="000000"/>
          <w:szCs w:val="22"/>
          <w:lang w:val="pl-PL"/>
        </w:rPr>
        <w:t>Glivec 100 mg tablete</w:t>
      </w:r>
    </w:p>
    <w:p w14:paraId="5297A527" w14:textId="77777777" w:rsidR="00841424" w:rsidRPr="004A59B1" w:rsidRDefault="00841424" w:rsidP="009C1193">
      <w:pPr>
        <w:widowControl w:val="0"/>
        <w:tabs>
          <w:tab w:val="clear" w:pos="567"/>
        </w:tabs>
        <w:spacing w:line="240" w:lineRule="auto"/>
        <w:rPr>
          <w:color w:val="000000"/>
          <w:szCs w:val="22"/>
          <w:lang w:val="pl-PL"/>
        </w:rPr>
      </w:pPr>
      <w:r w:rsidRPr="004A59B1">
        <w:rPr>
          <w:color w:val="000000"/>
          <w:szCs w:val="22"/>
          <w:lang w:val="pl-PL"/>
        </w:rPr>
        <w:t>imatinib</w:t>
      </w:r>
    </w:p>
    <w:p w14:paraId="5297A528" w14:textId="77777777" w:rsidR="00841424" w:rsidRPr="004A59B1" w:rsidRDefault="00841424" w:rsidP="009C1193">
      <w:pPr>
        <w:widowControl w:val="0"/>
        <w:tabs>
          <w:tab w:val="clear" w:pos="567"/>
        </w:tabs>
        <w:spacing w:line="240" w:lineRule="auto"/>
        <w:rPr>
          <w:color w:val="000000"/>
          <w:szCs w:val="22"/>
          <w:lang w:val="pl-PL"/>
        </w:rPr>
      </w:pPr>
    </w:p>
    <w:p w14:paraId="5297A529" w14:textId="77777777" w:rsidR="00841424" w:rsidRPr="004A59B1" w:rsidRDefault="00841424" w:rsidP="009C1193">
      <w:pPr>
        <w:widowControl w:val="0"/>
        <w:tabs>
          <w:tab w:val="clear" w:pos="567"/>
        </w:tabs>
        <w:spacing w:line="240" w:lineRule="auto"/>
        <w:rPr>
          <w:color w:val="000000"/>
          <w:szCs w:val="22"/>
          <w:lang w:val="pl-PL"/>
        </w:rPr>
      </w:pPr>
    </w:p>
    <w:p w14:paraId="5297A52A"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2.</w:t>
      </w:r>
      <w:r w:rsidRPr="004A59B1">
        <w:rPr>
          <w:b/>
          <w:color w:val="000000"/>
          <w:szCs w:val="22"/>
          <w:lang w:val="pl-PL"/>
        </w:rPr>
        <w:tab/>
        <w:t>IME IMETNIKA DOVOLJENJA ZA PROMET Z ZDRAVILOM</w:t>
      </w:r>
    </w:p>
    <w:p w14:paraId="5297A52B" w14:textId="77777777" w:rsidR="00841424" w:rsidRPr="004A59B1" w:rsidRDefault="00841424" w:rsidP="009C1193">
      <w:pPr>
        <w:widowControl w:val="0"/>
        <w:tabs>
          <w:tab w:val="clear" w:pos="567"/>
        </w:tabs>
        <w:spacing w:line="240" w:lineRule="auto"/>
        <w:rPr>
          <w:color w:val="000000"/>
          <w:szCs w:val="22"/>
          <w:lang w:val="pl-PL"/>
        </w:rPr>
      </w:pPr>
    </w:p>
    <w:p w14:paraId="5297A52C" w14:textId="77777777" w:rsidR="00841424" w:rsidRPr="004A59B1" w:rsidRDefault="00841424" w:rsidP="009C1193">
      <w:pPr>
        <w:widowControl w:val="0"/>
        <w:tabs>
          <w:tab w:val="clear" w:pos="567"/>
        </w:tabs>
        <w:spacing w:line="240" w:lineRule="auto"/>
        <w:rPr>
          <w:color w:val="000000"/>
          <w:szCs w:val="22"/>
          <w:lang w:val="pl-PL"/>
        </w:rPr>
      </w:pPr>
      <w:r w:rsidRPr="004A59B1">
        <w:rPr>
          <w:color w:val="000000"/>
          <w:szCs w:val="22"/>
          <w:lang w:val="pl-PL"/>
        </w:rPr>
        <w:t>Novartis Europharm Limited</w:t>
      </w:r>
    </w:p>
    <w:p w14:paraId="5297A52D" w14:textId="77777777" w:rsidR="00841424" w:rsidRPr="004A59B1" w:rsidRDefault="00841424" w:rsidP="009C1193">
      <w:pPr>
        <w:widowControl w:val="0"/>
        <w:tabs>
          <w:tab w:val="clear" w:pos="567"/>
        </w:tabs>
        <w:spacing w:line="240" w:lineRule="auto"/>
        <w:rPr>
          <w:color w:val="000000"/>
          <w:szCs w:val="22"/>
          <w:lang w:val="pl-PL"/>
        </w:rPr>
      </w:pPr>
    </w:p>
    <w:p w14:paraId="5297A52E" w14:textId="77777777" w:rsidR="00841424" w:rsidRPr="004A59B1" w:rsidRDefault="00841424" w:rsidP="009C1193">
      <w:pPr>
        <w:widowControl w:val="0"/>
        <w:tabs>
          <w:tab w:val="clear" w:pos="567"/>
        </w:tabs>
        <w:spacing w:line="240" w:lineRule="auto"/>
        <w:rPr>
          <w:color w:val="000000"/>
          <w:szCs w:val="22"/>
          <w:lang w:val="pl-PL"/>
        </w:rPr>
      </w:pPr>
    </w:p>
    <w:p w14:paraId="5297A52F"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3.</w:t>
      </w:r>
      <w:r w:rsidRPr="004A59B1">
        <w:rPr>
          <w:b/>
          <w:color w:val="000000"/>
          <w:szCs w:val="22"/>
          <w:lang w:val="pl-PL"/>
        </w:rPr>
        <w:tab/>
        <w:t>DATUM IZTEKA ROKA UPORABNOSTI ZDRAVILA</w:t>
      </w:r>
    </w:p>
    <w:p w14:paraId="5297A530" w14:textId="77777777" w:rsidR="00841424" w:rsidRPr="004A59B1" w:rsidRDefault="00841424" w:rsidP="009C1193">
      <w:pPr>
        <w:widowControl w:val="0"/>
        <w:tabs>
          <w:tab w:val="clear" w:pos="567"/>
        </w:tabs>
        <w:spacing w:line="240" w:lineRule="auto"/>
        <w:rPr>
          <w:color w:val="000000"/>
          <w:szCs w:val="22"/>
          <w:lang w:val="pl-PL"/>
        </w:rPr>
      </w:pPr>
    </w:p>
    <w:p w14:paraId="5297A531" w14:textId="77777777" w:rsidR="00841424" w:rsidRPr="004A59B1" w:rsidRDefault="00841424" w:rsidP="009C1193">
      <w:pPr>
        <w:pStyle w:val="EndnoteText"/>
        <w:widowControl w:val="0"/>
        <w:tabs>
          <w:tab w:val="clear" w:pos="567"/>
        </w:tabs>
        <w:rPr>
          <w:color w:val="000000"/>
          <w:szCs w:val="22"/>
          <w:lang w:val="pl-PL"/>
        </w:rPr>
      </w:pPr>
      <w:r w:rsidRPr="004A59B1">
        <w:rPr>
          <w:color w:val="000000"/>
          <w:szCs w:val="22"/>
          <w:lang w:val="pl-PL"/>
        </w:rPr>
        <w:t>EXP</w:t>
      </w:r>
    </w:p>
    <w:p w14:paraId="5297A532" w14:textId="77777777" w:rsidR="00841424" w:rsidRPr="004A59B1" w:rsidRDefault="00841424" w:rsidP="009C1193">
      <w:pPr>
        <w:widowControl w:val="0"/>
        <w:tabs>
          <w:tab w:val="clear" w:pos="567"/>
        </w:tabs>
        <w:spacing w:line="240" w:lineRule="auto"/>
        <w:rPr>
          <w:color w:val="000000"/>
          <w:szCs w:val="22"/>
          <w:lang w:val="pl-PL"/>
        </w:rPr>
      </w:pPr>
    </w:p>
    <w:p w14:paraId="5297A533" w14:textId="77777777" w:rsidR="00841424" w:rsidRPr="004A59B1" w:rsidRDefault="00841424" w:rsidP="009C1193">
      <w:pPr>
        <w:widowControl w:val="0"/>
        <w:tabs>
          <w:tab w:val="clear" w:pos="567"/>
        </w:tabs>
        <w:spacing w:line="240" w:lineRule="auto"/>
        <w:rPr>
          <w:color w:val="000000"/>
          <w:szCs w:val="22"/>
          <w:lang w:val="pl-PL"/>
        </w:rPr>
      </w:pPr>
    </w:p>
    <w:p w14:paraId="5297A534"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4.</w:t>
      </w:r>
      <w:r w:rsidRPr="004A59B1">
        <w:rPr>
          <w:b/>
          <w:color w:val="000000"/>
          <w:szCs w:val="22"/>
          <w:lang w:val="pl-PL"/>
        </w:rPr>
        <w:tab/>
        <w:t>ŠTEVILKA SERIJE</w:t>
      </w:r>
    </w:p>
    <w:p w14:paraId="5297A535" w14:textId="77777777" w:rsidR="00841424" w:rsidRPr="004A59B1" w:rsidRDefault="00841424" w:rsidP="009C1193">
      <w:pPr>
        <w:widowControl w:val="0"/>
        <w:tabs>
          <w:tab w:val="clear" w:pos="567"/>
        </w:tabs>
        <w:spacing w:line="240" w:lineRule="auto"/>
        <w:rPr>
          <w:color w:val="000000"/>
          <w:szCs w:val="22"/>
          <w:lang w:val="pl-PL"/>
        </w:rPr>
      </w:pPr>
    </w:p>
    <w:p w14:paraId="5297A536" w14:textId="77777777" w:rsidR="00841424" w:rsidRPr="004A59B1" w:rsidRDefault="00841424" w:rsidP="009C1193">
      <w:pPr>
        <w:widowControl w:val="0"/>
        <w:tabs>
          <w:tab w:val="clear" w:pos="567"/>
        </w:tabs>
        <w:spacing w:line="240" w:lineRule="auto"/>
        <w:rPr>
          <w:color w:val="000000"/>
          <w:szCs w:val="22"/>
          <w:lang w:val="pl-PL"/>
        </w:rPr>
      </w:pPr>
      <w:r w:rsidRPr="004A59B1">
        <w:rPr>
          <w:color w:val="000000"/>
          <w:szCs w:val="22"/>
          <w:lang w:val="pl-PL"/>
        </w:rPr>
        <w:t>Lot</w:t>
      </w:r>
    </w:p>
    <w:p w14:paraId="5297A537" w14:textId="77777777" w:rsidR="00841424" w:rsidRPr="004A59B1" w:rsidRDefault="00841424" w:rsidP="009C1193">
      <w:pPr>
        <w:widowControl w:val="0"/>
        <w:tabs>
          <w:tab w:val="clear" w:pos="567"/>
        </w:tabs>
        <w:spacing w:line="240" w:lineRule="auto"/>
        <w:rPr>
          <w:color w:val="000000"/>
          <w:szCs w:val="22"/>
          <w:lang w:val="pl-PL"/>
        </w:rPr>
      </w:pPr>
    </w:p>
    <w:p w14:paraId="5297A538" w14:textId="77777777" w:rsidR="00841424" w:rsidRPr="004A59B1" w:rsidRDefault="00841424" w:rsidP="009C1193">
      <w:pPr>
        <w:widowControl w:val="0"/>
        <w:tabs>
          <w:tab w:val="clear" w:pos="567"/>
        </w:tabs>
        <w:spacing w:line="240" w:lineRule="auto"/>
        <w:rPr>
          <w:color w:val="000000"/>
          <w:szCs w:val="22"/>
          <w:lang w:val="pl-PL"/>
        </w:rPr>
      </w:pPr>
    </w:p>
    <w:p w14:paraId="5297A539"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noProof/>
          <w:color w:val="000000"/>
          <w:lang w:val="pl-PL"/>
        </w:rPr>
      </w:pPr>
      <w:r w:rsidRPr="004A59B1">
        <w:rPr>
          <w:b/>
          <w:noProof/>
          <w:color w:val="000000"/>
          <w:lang w:val="pl-PL"/>
        </w:rPr>
        <w:t>5.</w:t>
      </w:r>
      <w:r w:rsidRPr="004A59B1">
        <w:rPr>
          <w:b/>
          <w:noProof/>
          <w:color w:val="000000"/>
          <w:lang w:val="pl-PL"/>
        </w:rPr>
        <w:tab/>
        <w:t>DRUGI PODATKI</w:t>
      </w:r>
    </w:p>
    <w:p w14:paraId="5297A53A" w14:textId="77777777" w:rsidR="00841424" w:rsidRPr="004A59B1" w:rsidRDefault="00841424" w:rsidP="009C1193">
      <w:pPr>
        <w:widowControl w:val="0"/>
        <w:tabs>
          <w:tab w:val="clear" w:pos="567"/>
        </w:tabs>
        <w:spacing w:line="240" w:lineRule="auto"/>
        <w:rPr>
          <w:color w:val="000000"/>
          <w:szCs w:val="22"/>
          <w:lang w:val="pl-PL"/>
        </w:rPr>
      </w:pPr>
    </w:p>
    <w:p w14:paraId="5297A53B" w14:textId="77777777" w:rsidR="00841424" w:rsidRPr="004A59B1" w:rsidRDefault="00841424" w:rsidP="009C1193">
      <w:pPr>
        <w:widowControl w:val="0"/>
        <w:tabs>
          <w:tab w:val="clear" w:pos="567"/>
        </w:tabs>
        <w:spacing w:line="240" w:lineRule="auto"/>
        <w:rPr>
          <w:color w:val="000000"/>
          <w:szCs w:val="22"/>
          <w:lang w:val="pl-PL"/>
        </w:rPr>
      </w:pPr>
    </w:p>
    <w:p w14:paraId="5297A53C" w14:textId="77777777" w:rsidR="00841424" w:rsidRPr="004A59B1" w:rsidRDefault="00841424" w:rsidP="009C1193">
      <w:pPr>
        <w:widowControl w:val="0"/>
        <w:tabs>
          <w:tab w:val="clear" w:pos="567"/>
        </w:tabs>
        <w:spacing w:line="240" w:lineRule="auto"/>
        <w:rPr>
          <w:color w:val="000000"/>
          <w:szCs w:val="22"/>
          <w:lang w:val="pl-PL"/>
        </w:rPr>
      </w:pPr>
      <w:r w:rsidRPr="004A59B1">
        <w:rPr>
          <w:b/>
          <w:color w:val="000000"/>
          <w:szCs w:val="22"/>
          <w:lang w:val="pl-PL"/>
        </w:rPr>
        <w:br w:type="page"/>
      </w:r>
    </w:p>
    <w:p w14:paraId="5297A53D" w14:textId="77777777" w:rsidR="000A6242" w:rsidRPr="000A6242" w:rsidRDefault="000A6242" w:rsidP="000A6242">
      <w:pPr>
        <w:widowControl w:val="0"/>
        <w:tabs>
          <w:tab w:val="clear" w:pos="567"/>
        </w:tabs>
        <w:spacing w:line="240" w:lineRule="auto"/>
        <w:rPr>
          <w:color w:val="000000"/>
          <w:szCs w:val="22"/>
          <w:lang w:val="pl-PL"/>
        </w:rPr>
      </w:pPr>
    </w:p>
    <w:p w14:paraId="5297A53E"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pl-PL"/>
        </w:rPr>
      </w:pPr>
      <w:r w:rsidRPr="004A59B1">
        <w:rPr>
          <w:b/>
          <w:color w:val="000000"/>
          <w:szCs w:val="22"/>
          <w:lang w:val="pl-PL"/>
        </w:rPr>
        <w:t>PODATKI NA ZUNANJI OVOJNINI</w:t>
      </w:r>
    </w:p>
    <w:p w14:paraId="5297A53F"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pl-PL"/>
        </w:rPr>
      </w:pPr>
    </w:p>
    <w:p w14:paraId="5297A540"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spacing w:line="240" w:lineRule="auto"/>
        <w:rPr>
          <w:b/>
          <w:color w:val="000000"/>
          <w:szCs w:val="22"/>
          <w:lang w:val="pl-PL"/>
        </w:rPr>
      </w:pPr>
      <w:r w:rsidRPr="004A59B1">
        <w:rPr>
          <w:b/>
          <w:color w:val="000000"/>
          <w:szCs w:val="22"/>
          <w:lang w:val="pl-PL"/>
        </w:rPr>
        <w:t>KARTONSKA ŠKATLA</w:t>
      </w:r>
    </w:p>
    <w:p w14:paraId="5297A541" w14:textId="77777777" w:rsidR="00841424" w:rsidRPr="004A59B1" w:rsidRDefault="00841424" w:rsidP="009C1193">
      <w:pPr>
        <w:widowControl w:val="0"/>
        <w:tabs>
          <w:tab w:val="clear" w:pos="567"/>
        </w:tabs>
        <w:spacing w:line="240" w:lineRule="auto"/>
        <w:rPr>
          <w:color w:val="000000"/>
          <w:szCs w:val="22"/>
          <w:lang w:val="pl-PL"/>
        </w:rPr>
      </w:pPr>
    </w:p>
    <w:p w14:paraId="5297A542" w14:textId="77777777" w:rsidR="00841424" w:rsidRPr="004A59B1" w:rsidRDefault="00841424" w:rsidP="009C1193">
      <w:pPr>
        <w:widowControl w:val="0"/>
        <w:tabs>
          <w:tab w:val="clear" w:pos="567"/>
        </w:tabs>
        <w:spacing w:line="240" w:lineRule="auto"/>
        <w:rPr>
          <w:color w:val="000000"/>
          <w:szCs w:val="22"/>
          <w:lang w:val="pl-PL"/>
        </w:rPr>
      </w:pPr>
    </w:p>
    <w:p w14:paraId="5297A543"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1.</w:t>
      </w:r>
      <w:r w:rsidRPr="004A59B1">
        <w:rPr>
          <w:b/>
          <w:color w:val="000000"/>
          <w:szCs w:val="22"/>
          <w:lang w:val="pl-PL"/>
        </w:rPr>
        <w:tab/>
        <w:t>IME ZDRAVILA</w:t>
      </w:r>
    </w:p>
    <w:p w14:paraId="5297A544" w14:textId="77777777" w:rsidR="00841424" w:rsidRPr="004A59B1" w:rsidRDefault="00841424" w:rsidP="009C1193">
      <w:pPr>
        <w:widowControl w:val="0"/>
        <w:tabs>
          <w:tab w:val="clear" w:pos="567"/>
        </w:tabs>
        <w:spacing w:line="240" w:lineRule="auto"/>
        <w:rPr>
          <w:color w:val="000000"/>
          <w:szCs w:val="22"/>
          <w:lang w:val="pl-PL"/>
        </w:rPr>
      </w:pPr>
    </w:p>
    <w:p w14:paraId="5297A545" w14:textId="77777777" w:rsidR="00841424" w:rsidRPr="004A59B1" w:rsidRDefault="00841424" w:rsidP="009C1193">
      <w:pPr>
        <w:widowControl w:val="0"/>
        <w:tabs>
          <w:tab w:val="clear" w:pos="567"/>
        </w:tabs>
        <w:spacing w:line="240" w:lineRule="auto"/>
        <w:rPr>
          <w:color w:val="000000"/>
          <w:szCs w:val="22"/>
          <w:lang w:val="pl-PL"/>
        </w:rPr>
      </w:pPr>
      <w:r w:rsidRPr="004A59B1">
        <w:rPr>
          <w:color w:val="000000"/>
          <w:szCs w:val="22"/>
          <w:lang w:val="pl-PL"/>
        </w:rPr>
        <w:t>Glivec 400 mg filmsko obložene tablete</w:t>
      </w:r>
    </w:p>
    <w:p w14:paraId="5297A546" w14:textId="77777777" w:rsidR="00841424" w:rsidRPr="004A59B1" w:rsidRDefault="00841424" w:rsidP="009C1193">
      <w:pPr>
        <w:widowControl w:val="0"/>
        <w:tabs>
          <w:tab w:val="clear" w:pos="567"/>
        </w:tabs>
        <w:spacing w:line="240" w:lineRule="auto"/>
        <w:rPr>
          <w:color w:val="000000"/>
          <w:szCs w:val="22"/>
          <w:lang w:val="pl-PL"/>
        </w:rPr>
      </w:pPr>
      <w:r w:rsidRPr="004A59B1">
        <w:rPr>
          <w:color w:val="000000"/>
          <w:szCs w:val="22"/>
          <w:lang w:val="pl-PL"/>
        </w:rPr>
        <w:t>imatinib</w:t>
      </w:r>
    </w:p>
    <w:p w14:paraId="5297A547" w14:textId="77777777" w:rsidR="00841424" w:rsidRPr="004A59B1" w:rsidRDefault="00841424" w:rsidP="009C1193">
      <w:pPr>
        <w:widowControl w:val="0"/>
        <w:tabs>
          <w:tab w:val="clear" w:pos="567"/>
        </w:tabs>
        <w:spacing w:line="240" w:lineRule="auto"/>
        <w:rPr>
          <w:color w:val="000000"/>
          <w:szCs w:val="22"/>
          <w:lang w:val="pl-PL"/>
        </w:rPr>
      </w:pPr>
    </w:p>
    <w:p w14:paraId="5297A548" w14:textId="77777777" w:rsidR="00841424" w:rsidRPr="004A59B1" w:rsidRDefault="00841424" w:rsidP="009C1193">
      <w:pPr>
        <w:widowControl w:val="0"/>
        <w:tabs>
          <w:tab w:val="clear" w:pos="567"/>
        </w:tabs>
        <w:spacing w:line="240" w:lineRule="auto"/>
        <w:rPr>
          <w:color w:val="000000"/>
          <w:szCs w:val="22"/>
          <w:lang w:val="pl-PL"/>
        </w:rPr>
      </w:pPr>
    </w:p>
    <w:p w14:paraId="5297A549"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2.</w:t>
      </w:r>
      <w:r w:rsidRPr="004A59B1">
        <w:rPr>
          <w:b/>
          <w:color w:val="000000"/>
          <w:szCs w:val="22"/>
          <w:lang w:val="pl-PL"/>
        </w:rPr>
        <w:tab/>
        <w:t>NAVEDBA ENE ALI VEČ UČINKOVIN</w:t>
      </w:r>
    </w:p>
    <w:p w14:paraId="5297A54A" w14:textId="77777777" w:rsidR="00841424" w:rsidRPr="004A59B1" w:rsidRDefault="00841424" w:rsidP="009C1193">
      <w:pPr>
        <w:widowControl w:val="0"/>
        <w:tabs>
          <w:tab w:val="clear" w:pos="567"/>
        </w:tabs>
        <w:spacing w:line="240" w:lineRule="auto"/>
        <w:rPr>
          <w:color w:val="000000"/>
          <w:szCs w:val="22"/>
          <w:lang w:val="pl-PL"/>
        </w:rPr>
      </w:pPr>
    </w:p>
    <w:p w14:paraId="5297A54B" w14:textId="77777777" w:rsidR="00841424" w:rsidRPr="004A59B1" w:rsidRDefault="0093096C" w:rsidP="009C1193">
      <w:pPr>
        <w:pStyle w:val="TextChar"/>
        <w:widowControl w:val="0"/>
        <w:spacing w:before="0"/>
        <w:jc w:val="left"/>
        <w:rPr>
          <w:color w:val="000000"/>
          <w:sz w:val="22"/>
          <w:szCs w:val="22"/>
          <w:lang w:val="pl-PL"/>
        </w:rPr>
      </w:pPr>
      <w:r>
        <w:rPr>
          <w:color w:val="000000"/>
          <w:sz w:val="22"/>
          <w:szCs w:val="22"/>
          <w:lang w:val="pl-PL"/>
        </w:rPr>
        <w:t>Ena</w:t>
      </w:r>
      <w:r w:rsidR="00841424" w:rsidRPr="004A59B1">
        <w:rPr>
          <w:color w:val="000000"/>
          <w:sz w:val="22"/>
          <w:szCs w:val="22"/>
          <w:lang w:val="pl-PL"/>
        </w:rPr>
        <w:t xml:space="preserve"> filmsko obložena tableta vsebuje 400 mg imatiniba (v obliki mesilata).</w:t>
      </w:r>
    </w:p>
    <w:p w14:paraId="5297A54C" w14:textId="77777777" w:rsidR="00841424" w:rsidRPr="004A59B1" w:rsidRDefault="00841424" w:rsidP="009C1193">
      <w:pPr>
        <w:widowControl w:val="0"/>
        <w:tabs>
          <w:tab w:val="clear" w:pos="567"/>
        </w:tabs>
        <w:spacing w:line="240" w:lineRule="auto"/>
        <w:rPr>
          <w:color w:val="000000"/>
          <w:szCs w:val="22"/>
          <w:lang w:val="pl-PL"/>
        </w:rPr>
      </w:pPr>
    </w:p>
    <w:p w14:paraId="5297A54D" w14:textId="77777777" w:rsidR="00841424" w:rsidRPr="004A59B1" w:rsidRDefault="00841424" w:rsidP="009C1193">
      <w:pPr>
        <w:widowControl w:val="0"/>
        <w:tabs>
          <w:tab w:val="clear" w:pos="567"/>
        </w:tabs>
        <w:spacing w:line="240" w:lineRule="auto"/>
        <w:rPr>
          <w:color w:val="000000"/>
          <w:szCs w:val="22"/>
          <w:lang w:val="pl-PL"/>
        </w:rPr>
      </w:pPr>
    </w:p>
    <w:p w14:paraId="5297A54E"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3.</w:t>
      </w:r>
      <w:r w:rsidRPr="004A59B1">
        <w:rPr>
          <w:b/>
          <w:color w:val="000000"/>
          <w:szCs w:val="22"/>
          <w:lang w:val="pl-PL"/>
        </w:rPr>
        <w:tab/>
        <w:t>SEZNAM POMOŽNIH SNOVI</w:t>
      </w:r>
    </w:p>
    <w:p w14:paraId="5297A54F" w14:textId="77777777" w:rsidR="00841424" w:rsidRPr="004A59B1" w:rsidRDefault="00841424" w:rsidP="009C1193">
      <w:pPr>
        <w:widowControl w:val="0"/>
        <w:tabs>
          <w:tab w:val="clear" w:pos="567"/>
        </w:tabs>
        <w:spacing w:line="240" w:lineRule="auto"/>
        <w:rPr>
          <w:color w:val="000000"/>
          <w:szCs w:val="22"/>
          <w:lang w:val="pl-PL"/>
        </w:rPr>
      </w:pPr>
    </w:p>
    <w:p w14:paraId="5297A550" w14:textId="77777777" w:rsidR="00841424" w:rsidRPr="004A59B1" w:rsidRDefault="00841424" w:rsidP="009C1193">
      <w:pPr>
        <w:widowControl w:val="0"/>
        <w:tabs>
          <w:tab w:val="clear" w:pos="567"/>
        </w:tabs>
        <w:spacing w:line="240" w:lineRule="auto"/>
        <w:rPr>
          <w:color w:val="000000"/>
          <w:szCs w:val="22"/>
          <w:lang w:val="pl-PL"/>
        </w:rPr>
      </w:pPr>
    </w:p>
    <w:p w14:paraId="5297A551"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4.</w:t>
      </w:r>
      <w:r w:rsidRPr="004A59B1">
        <w:rPr>
          <w:b/>
          <w:color w:val="000000"/>
          <w:szCs w:val="22"/>
          <w:lang w:val="pl-PL"/>
        </w:rPr>
        <w:tab/>
        <w:t>FARMACEVTSKA OBLIKA IN VSEBINA</w:t>
      </w:r>
    </w:p>
    <w:p w14:paraId="5297A552" w14:textId="77777777" w:rsidR="00841424" w:rsidRPr="004A59B1" w:rsidRDefault="00841424" w:rsidP="009C1193">
      <w:pPr>
        <w:widowControl w:val="0"/>
        <w:tabs>
          <w:tab w:val="clear" w:pos="567"/>
        </w:tabs>
        <w:spacing w:line="240" w:lineRule="auto"/>
        <w:rPr>
          <w:color w:val="000000"/>
          <w:szCs w:val="22"/>
          <w:lang w:val="pl-PL"/>
        </w:rPr>
      </w:pPr>
    </w:p>
    <w:p w14:paraId="5297A553" w14:textId="77777777" w:rsidR="00841424" w:rsidRPr="004A59B1" w:rsidRDefault="00841424" w:rsidP="009C1193">
      <w:pPr>
        <w:pStyle w:val="EndnoteText"/>
        <w:widowControl w:val="0"/>
        <w:rPr>
          <w:color w:val="000000"/>
          <w:szCs w:val="22"/>
          <w:lang w:val="pl-PL"/>
        </w:rPr>
      </w:pPr>
      <w:r w:rsidRPr="004A59B1">
        <w:rPr>
          <w:color w:val="000000"/>
          <w:szCs w:val="22"/>
          <w:lang w:val="pl-PL"/>
        </w:rPr>
        <w:t>10 filmsko obloženih tablet</w:t>
      </w:r>
    </w:p>
    <w:p w14:paraId="5297A554" w14:textId="77777777" w:rsidR="00841424" w:rsidRPr="004A59B1" w:rsidRDefault="00841424" w:rsidP="009C1193">
      <w:pPr>
        <w:widowControl w:val="0"/>
        <w:tabs>
          <w:tab w:val="clear" w:pos="567"/>
        </w:tabs>
        <w:spacing w:line="240" w:lineRule="auto"/>
        <w:rPr>
          <w:color w:val="000000"/>
          <w:szCs w:val="22"/>
          <w:shd w:val="clear" w:color="auto" w:fill="D9D9D9"/>
          <w:lang w:val="pl-PL"/>
        </w:rPr>
      </w:pPr>
      <w:r w:rsidRPr="004A59B1">
        <w:rPr>
          <w:color w:val="000000"/>
          <w:szCs w:val="22"/>
          <w:shd w:val="clear" w:color="auto" w:fill="D9D9D9"/>
          <w:lang w:val="pl-PL"/>
        </w:rPr>
        <w:t>30 filmsko obloženih tablet</w:t>
      </w:r>
    </w:p>
    <w:p w14:paraId="5297A555" w14:textId="77777777" w:rsidR="00841424" w:rsidRPr="004A59B1" w:rsidRDefault="00841424" w:rsidP="009C1193">
      <w:pPr>
        <w:widowControl w:val="0"/>
        <w:tabs>
          <w:tab w:val="clear" w:pos="567"/>
        </w:tabs>
        <w:spacing w:line="240" w:lineRule="auto"/>
        <w:rPr>
          <w:color w:val="000000"/>
          <w:szCs w:val="22"/>
          <w:shd w:val="clear" w:color="auto" w:fill="D9D9D9"/>
          <w:lang w:val="pl-PL"/>
        </w:rPr>
      </w:pPr>
      <w:r w:rsidRPr="004A59B1">
        <w:rPr>
          <w:color w:val="000000"/>
          <w:szCs w:val="22"/>
          <w:shd w:val="clear" w:color="auto" w:fill="D9D9D9"/>
          <w:lang w:val="pl-PL"/>
        </w:rPr>
        <w:t>90 filmsko obloženih tablet</w:t>
      </w:r>
    </w:p>
    <w:p w14:paraId="5297A556" w14:textId="77777777" w:rsidR="00841424" w:rsidRPr="004A59B1" w:rsidRDefault="00841424" w:rsidP="009C1193">
      <w:pPr>
        <w:widowControl w:val="0"/>
        <w:tabs>
          <w:tab w:val="clear" w:pos="567"/>
        </w:tabs>
        <w:spacing w:line="240" w:lineRule="auto"/>
        <w:rPr>
          <w:color w:val="000000"/>
          <w:szCs w:val="22"/>
          <w:lang w:val="pl-PL"/>
        </w:rPr>
      </w:pPr>
    </w:p>
    <w:p w14:paraId="5297A557" w14:textId="77777777" w:rsidR="00841424" w:rsidRPr="004A59B1" w:rsidRDefault="00841424" w:rsidP="009C1193">
      <w:pPr>
        <w:widowControl w:val="0"/>
        <w:tabs>
          <w:tab w:val="clear" w:pos="567"/>
        </w:tabs>
        <w:spacing w:line="240" w:lineRule="auto"/>
        <w:rPr>
          <w:color w:val="000000"/>
          <w:szCs w:val="22"/>
          <w:lang w:val="pl-PL"/>
        </w:rPr>
      </w:pPr>
    </w:p>
    <w:p w14:paraId="5297A558"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5.</w:t>
      </w:r>
      <w:r w:rsidRPr="004A59B1">
        <w:rPr>
          <w:b/>
          <w:color w:val="000000"/>
          <w:szCs w:val="22"/>
          <w:lang w:val="pl-PL"/>
        </w:rPr>
        <w:tab/>
        <w:t>POSTOPEK IN POT(I) UPORABE ZDRAVILA</w:t>
      </w:r>
    </w:p>
    <w:p w14:paraId="5297A559" w14:textId="77777777" w:rsidR="00841424" w:rsidRPr="004A59B1" w:rsidRDefault="00841424" w:rsidP="009C1193">
      <w:pPr>
        <w:widowControl w:val="0"/>
        <w:tabs>
          <w:tab w:val="clear" w:pos="567"/>
        </w:tabs>
        <w:spacing w:line="240" w:lineRule="auto"/>
        <w:rPr>
          <w:color w:val="000000"/>
          <w:szCs w:val="22"/>
          <w:lang w:val="pl-PL"/>
        </w:rPr>
      </w:pPr>
    </w:p>
    <w:p w14:paraId="5297A55A" w14:textId="77777777" w:rsidR="00841424" w:rsidRPr="004A59B1" w:rsidRDefault="00841424" w:rsidP="009C1193">
      <w:pPr>
        <w:pStyle w:val="EndnoteText"/>
        <w:widowControl w:val="0"/>
        <w:tabs>
          <w:tab w:val="clear" w:pos="567"/>
        </w:tabs>
        <w:rPr>
          <w:color w:val="000000"/>
          <w:szCs w:val="22"/>
          <w:lang w:val="pl-PL"/>
        </w:rPr>
      </w:pPr>
      <w:r w:rsidRPr="004A59B1">
        <w:rPr>
          <w:color w:val="000000"/>
          <w:szCs w:val="22"/>
          <w:lang w:val="pl-PL"/>
        </w:rPr>
        <w:t>Peroralna uporaba. Pred uporabo preberite priloženo navodilo</w:t>
      </w:r>
      <w:r w:rsidR="003B627C" w:rsidRPr="004A59B1">
        <w:rPr>
          <w:color w:val="000000"/>
          <w:szCs w:val="22"/>
          <w:lang w:val="pl-PL"/>
        </w:rPr>
        <w:t>!</w:t>
      </w:r>
    </w:p>
    <w:p w14:paraId="5297A55B" w14:textId="77777777" w:rsidR="00841424" w:rsidRPr="004A59B1" w:rsidRDefault="00841424" w:rsidP="009C1193">
      <w:pPr>
        <w:widowControl w:val="0"/>
        <w:tabs>
          <w:tab w:val="clear" w:pos="567"/>
        </w:tabs>
        <w:spacing w:line="240" w:lineRule="auto"/>
        <w:rPr>
          <w:color w:val="000000"/>
          <w:szCs w:val="22"/>
          <w:lang w:val="pl-PL"/>
        </w:rPr>
      </w:pPr>
    </w:p>
    <w:p w14:paraId="5297A55C" w14:textId="77777777" w:rsidR="00841424" w:rsidRPr="004A59B1" w:rsidRDefault="00841424" w:rsidP="009C1193">
      <w:pPr>
        <w:widowControl w:val="0"/>
        <w:tabs>
          <w:tab w:val="clear" w:pos="567"/>
        </w:tabs>
        <w:spacing w:line="240" w:lineRule="auto"/>
        <w:rPr>
          <w:color w:val="000000"/>
          <w:szCs w:val="22"/>
          <w:lang w:val="pl-PL"/>
        </w:rPr>
      </w:pPr>
    </w:p>
    <w:p w14:paraId="5297A55D"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6.</w:t>
      </w:r>
      <w:r w:rsidRPr="004A59B1">
        <w:rPr>
          <w:b/>
          <w:color w:val="000000"/>
          <w:szCs w:val="22"/>
          <w:lang w:val="pl-PL"/>
        </w:rPr>
        <w:tab/>
        <w:t>POSEBNO OPOZORILO O SHRANJEVANJU ZDRAVILA ZUNAJ DOSEGA IN POGLEDA OTROK</w:t>
      </w:r>
    </w:p>
    <w:p w14:paraId="5297A55E" w14:textId="77777777" w:rsidR="00841424" w:rsidRPr="004A59B1" w:rsidRDefault="00841424" w:rsidP="009C1193">
      <w:pPr>
        <w:widowControl w:val="0"/>
        <w:tabs>
          <w:tab w:val="clear" w:pos="567"/>
        </w:tabs>
        <w:spacing w:line="240" w:lineRule="auto"/>
        <w:rPr>
          <w:color w:val="000000"/>
          <w:szCs w:val="22"/>
          <w:lang w:val="pl-PL"/>
        </w:rPr>
      </w:pPr>
    </w:p>
    <w:p w14:paraId="5297A55F" w14:textId="77777777" w:rsidR="00841424" w:rsidRPr="004A59B1" w:rsidRDefault="00841424" w:rsidP="009C1193">
      <w:pPr>
        <w:widowControl w:val="0"/>
        <w:tabs>
          <w:tab w:val="clear" w:pos="567"/>
        </w:tabs>
        <w:spacing w:line="240" w:lineRule="auto"/>
        <w:rPr>
          <w:color w:val="000000"/>
          <w:szCs w:val="22"/>
          <w:lang w:val="pl-PL"/>
        </w:rPr>
      </w:pPr>
      <w:r w:rsidRPr="004A59B1">
        <w:rPr>
          <w:color w:val="000000"/>
          <w:szCs w:val="22"/>
          <w:lang w:val="pl-PL"/>
        </w:rPr>
        <w:t>Zdravilo shranjujte nedosegljivo otrokom!</w:t>
      </w:r>
    </w:p>
    <w:p w14:paraId="5297A560" w14:textId="77777777" w:rsidR="00841424" w:rsidRPr="004A59B1" w:rsidRDefault="00841424" w:rsidP="009C1193">
      <w:pPr>
        <w:widowControl w:val="0"/>
        <w:tabs>
          <w:tab w:val="clear" w:pos="567"/>
        </w:tabs>
        <w:spacing w:line="240" w:lineRule="auto"/>
        <w:rPr>
          <w:color w:val="000000"/>
          <w:szCs w:val="22"/>
          <w:lang w:val="pl-PL"/>
        </w:rPr>
      </w:pPr>
    </w:p>
    <w:p w14:paraId="5297A561" w14:textId="77777777" w:rsidR="00841424" w:rsidRPr="004A59B1" w:rsidRDefault="00841424" w:rsidP="009C1193">
      <w:pPr>
        <w:widowControl w:val="0"/>
        <w:tabs>
          <w:tab w:val="clear" w:pos="567"/>
        </w:tabs>
        <w:spacing w:line="240" w:lineRule="auto"/>
        <w:rPr>
          <w:color w:val="000000"/>
          <w:szCs w:val="22"/>
          <w:lang w:val="pl-PL"/>
        </w:rPr>
      </w:pPr>
    </w:p>
    <w:p w14:paraId="5297A562"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7.</w:t>
      </w:r>
      <w:r w:rsidRPr="004A59B1">
        <w:rPr>
          <w:b/>
          <w:color w:val="000000"/>
          <w:szCs w:val="22"/>
          <w:lang w:val="pl-PL"/>
        </w:rPr>
        <w:tab/>
        <w:t>DRUGA POSEBNA OPOZORILA, ČE SO POTREBNA</w:t>
      </w:r>
    </w:p>
    <w:p w14:paraId="5297A563" w14:textId="77777777" w:rsidR="00841424" w:rsidRPr="004A59B1" w:rsidRDefault="00841424" w:rsidP="009C1193">
      <w:pPr>
        <w:widowControl w:val="0"/>
        <w:tabs>
          <w:tab w:val="clear" w:pos="567"/>
        </w:tabs>
        <w:spacing w:line="240" w:lineRule="auto"/>
        <w:rPr>
          <w:color w:val="000000"/>
          <w:szCs w:val="22"/>
          <w:lang w:val="pl-PL"/>
        </w:rPr>
      </w:pPr>
    </w:p>
    <w:p w14:paraId="5297A564" w14:textId="77777777" w:rsidR="00841424" w:rsidRPr="004A59B1" w:rsidRDefault="00841424" w:rsidP="009C1193">
      <w:pPr>
        <w:widowControl w:val="0"/>
        <w:tabs>
          <w:tab w:val="clear" w:pos="567"/>
        </w:tabs>
        <w:spacing w:line="240" w:lineRule="auto"/>
        <w:rPr>
          <w:color w:val="000000"/>
          <w:szCs w:val="22"/>
          <w:lang w:val="pl-PL"/>
        </w:rPr>
      </w:pPr>
      <w:r w:rsidRPr="004A59B1">
        <w:rPr>
          <w:color w:val="000000"/>
          <w:szCs w:val="22"/>
          <w:lang w:val="pl-PL"/>
        </w:rPr>
        <w:t>Uporabljajte samo po zdravnikovih navodilih.</w:t>
      </w:r>
    </w:p>
    <w:p w14:paraId="5297A565" w14:textId="77777777" w:rsidR="00841424" w:rsidRPr="004A59B1" w:rsidRDefault="00841424" w:rsidP="009C1193">
      <w:pPr>
        <w:widowControl w:val="0"/>
        <w:tabs>
          <w:tab w:val="clear" w:pos="567"/>
        </w:tabs>
        <w:spacing w:line="240" w:lineRule="auto"/>
        <w:rPr>
          <w:color w:val="000000"/>
          <w:szCs w:val="22"/>
          <w:lang w:val="pl-PL"/>
        </w:rPr>
      </w:pPr>
    </w:p>
    <w:p w14:paraId="5297A566" w14:textId="77777777" w:rsidR="00841424" w:rsidRPr="004A59B1" w:rsidRDefault="00841424" w:rsidP="009C1193">
      <w:pPr>
        <w:widowControl w:val="0"/>
        <w:tabs>
          <w:tab w:val="clear" w:pos="567"/>
        </w:tabs>
        <w:spacing w:line="240" w:lineRule="auto"/>
        <w:rPr>
          <w:color w:val="000000"/>
          <w:szCs w:val="22"/>
          <w:lang w:val="pl-PL"/>
        </w:rPr>
      </w:pPr>
    </w:p>
    <w:p w14:paraId="5297A567"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8.</w:t>
      </w:r>
      <w:r w:rsidRPr="004A59B1">
        <w:rPr>
          <w:b/>
          <w:color w:val="000000"/>
          <w:szCs w:val="22"/>
          <w:lang w:val="pl-PL"/>
        </w:rPr>
        <w:tab/>
        <w:t>DATUM IZTEKA ROKA UPORABNOSTI ZDRAVILA</w:t>
      </w:r>
    </w:p>
    <w:p w14:paraId="5297A568" w14:textId="77777777" w:rsidR="00841424" w:rsidRPr="004A59B1" w:rsidRDefault="00841424" w:rsidP="009C1193">
      <w:pPr>
        <w:widowControl w:val="0"/>
        <w:tabs>
          <w:tab w:val="clear" w:pos="567"/>
        </w:tabs>
        <w:spacing w:line="240" w:lineRule="auto"/>
        <w:rPr>
          <w:color w:val="000000"/>
          <w:szCs w:val="22"/>
          <w:lang w:val="pl-PL"/>
        </w:rPr>
      </w:pPr>
    </w:p>
    <w:p w14:paraId="5297A569" w14:textId="77777777" w:rsidR="00841424" w:rsidRPr="004A59B1" w:rsidRDefault="00841424" w:rsidP="009C1193">
      <w:pPr>
        <w:pStyle w:val="EndnoteText"/>
        <w:widowControl w:val="0"/>
        <w:tabs>
          <w:tab w:val="clear" w:pos="567"/>
        </w:tabs>
        <w:rPr>
          <w:color w:val="000000"/>
          <w:szCs w:val="22"/>
          <w:lang w:val="pl-PL"/>
        </w:rPr>
      </w:pPr>
      <w:r w:rsidRPr="004A59B1">
        <w:rPr>
          <w:color w:val="000000"/>
          <w:szCs w:val="22"/>
          <w:lang w:val="pl-PL"/>
        </w:rPr>
        <w:t>EXP</w:t>
      </w:r>
    </w:p>
    <w:p w14:paraId="5297A56A" w14:textId="77777777" w:rsidR="00841424" w:rsidRPr="004A59B1" w:rsidRDefault="00841424" w:rsidP="009C1193">
      <w:pPr>
        <w:widowControl w:val="0"/>
        <w:tabs>
          <w:tab w:val="clear" w:pos="567"/>
        </w:tabs>
        <w:spacing w:line="240" w:lineRule="auto"/>
        <w:rPr>
          <w:color w:val="000000"/>
          <w:szCs w:val="22"/>
          <w:lang w:val="pl-PL"/>
        </w:rPr>
      </w:pPr>
    </w:p>
    <w:p w14:paraId="5297A56B" w14:textId="77777777" w:rsidR="00841424" w:rsidRPr="004A59B1" w:rsidRDefault="00841424" w:rsidP="009C1193">
      <w:pPr>
        <w:widowControl w:val="0"/>
        <w:tabs>
          <w:tab w:val="clear" w:pos="567"/>
        </w:tabs>
        <w:spacing w:line="240" w:lineRule="auto"/>
        <w:rPr>
          <w:color w:val="000000"/>
          <w:szCs w:val="22"/>
          <w:lang w:val="pl-PL"/>
        </w:rPr>
      </w:pPr>
    </w:p>
    <w:p w14:paraId="5297A56C" w14:textId="77777777" w:rsidR="00841424" w:rsidRPr="004A59B1" w:rsidRDefault="00841424" w:rsidP="009C1193">
      <w:pPr>
        <w:keepNext/>
        <w:keepLines/>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szCs w:val="22"/>
          <w:lang w:val="pl-PL"/>
        </w:rPr>
      </w:pPr>
      <w:r w:rsidRPr="004A59B1">
        <w:rPr>
          <w:b/>
          <w:color w:val="000000"/>
          <w:szCs w:val="22"/>
          <w:lang w:val="pl-PL"/>
        </w:rPr>
        <w:t>9.</w:t>
      </w:r>
      <w:r w:rsidRPr="004A59B1">
        <w:rPr>
          <w:b/>
          <w:color w:val="000000"/>
          <w:szCs w:val="22"/>
          <w:lang w:val="pl-PL"/>
        </w:rPr>
        <w:tab/>
        <w:t>POSEBNA NAVODILA ZA SHRANJEVANJE</w:t>
      </w:r>
    </w:p>
    <w:p w14:paraId="5297A56D" w14:textId="77777777" w:rsidR="00841424" w:rsidRPr="004A59B1" w:rsidRDefault="00841424" w:rsidP="009C1193">
      <w:pPr>
        <w:keepNext/>
        <w:keepLines/>
        <w:widowControl w:val="0"/>
        <w:tabs>
          <w:tab w:val="clear" w:pos="567"/>
        </w:tabs>
        <w:spacing w:line="240" w:lineRule="auto"/>
        <w:rPr>
          <w:color w:val="000000"/>
          <w:szCs w:val="22"/>
          <w:lang w:val="pl-PL"/>
        </w:rPr>
      </w:pPr>
    </w:p>
    <w:p w14:paraId="5297A56E" w14:textId="77777777" w:rsidR="00841424" w:rsidRPr="004A59B1" w:rsidRDefault="00841424" w:rsidP="000A6242">
      <w:pPr>
        <w:pStyle w:val="TextChar"/>
        <w:keepLines/>
        <w:widowControl w:val="0"/>
        <w:spacing w:before="0"/>
        <w:jc w:val="left"/>
        <w:rPr>
          <w:color w:val="000000"/>
          <w:sz w:val="22"/>
          <w:szCs w:val="22"/>
          <w:lang w:val="pl-PL"/>
        </w:rPr>
      </w:pPr>
      <w:r w:rsidRPr="004A59B1">
        <w:rPr>
          <w:color w:val="000000"/>
          <w:sz w:val="22"/>
          <w:szCs w:val="22"/>
          <w:lang w:val="pl-PL"/>
        </w:rPr>
        <w:t>Shranjujte pri temperaturi do 30 </w:t>
      </w:r>
      <w:r w:rsidRPr="004A59B1">
        <w:rPr>
          <w:color w:val="000000"/>
          <w:sz w:val="22"/>
          <w:szCs w:val="22"/>
        </w:rPr>
        <w:sym w:font="Symbol" w:char="F0B0"/>
      </w:r>
      <w:r w:rsidRPr="004A59B1">
        <w:rPr>
          <w:color w:val="000000"/>
          <w:sz w:val="22"/>
          <w:szCs w:val="22"/>
          <w:lang w:val="pl-PL"/>
        </w:rPr>
        <w:t>C. Shranjujte v originalni ovojnini za zagotovitev zaščite pred vlago.</w:t>
      </w:r>
    </w:p>
    <w:p w14:paraId="5297A56F" w14:textId="77777777" w:rsidR="00841424" w:rsidRPr="004A59B1" w:rsidRDefault="00841424" w:rsidP="009C1193">
      <w:pPr>
        <w:widowControl w:val="0"/>
        <w:tabs>
          <w:tab w:val="clear" w:pos="567"/>
        </w:tabs>
        <w:spacing w:line="240" w:lineRule="auto"/>
        <w:rPr>
          <w:color w:val="000000"/>
          <w:szCs w:val="22"/>
          <w:lang w:val="pl-PL"/>
        </w:rPr>
      </w:pPr>
    </w:p>
    <w:p w14:paraId="5297A570" w14:textId="77777777" w:rsidR="00841424" w:rsidRPr="004A59B1" w:rsidRDefault="00841424" w:rsidP="009C1193">
      <w:pPr>
        <w:widowControl w:val="0"/>
        <w:tabs>
          <w:tab w:val="clear" w:pos="567"/>
        </w:tabs>
        <w:spacing w:line="240" w:lineRule="auto"/>
        <w:rPr>
          <w:color w:val="000000"/>
          <w:szCs w:val="22"/>
          <w:lang w:val="pl-PL"/>
        </w:rPr>
      </w:pPr>
    </w:p>
    <w:p w14:paraId="5297A571" w14:textId="77777777" w:rsidR="00841424" w:rsidRPr="004A59B1" w:rsidRDefault="00841424" w:rsidP="009C1193">
      <w:pPr>
        <w:keepNext/>
        <w:keepLines/>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lastRenderedPageBreak/>
        <w:t>10.</w:t>
      </w:r>
      <w:r w:rsidRPr="004A59B1">
        <w:rPr>
          <w:b/>
          <w:color w:val="000000"/>
          <w:szCs w:val="22"/>
          <w:lang w:val="pl-PL"/>
        </w:rPr>
        <w:tab/>
        <w:t>POSEBNI VARNOSTNI UKREPI ZA ODSTRANJEVANJE NEUPORABLJENIH ZDRAVIL ALI IZ NJIH NASTALIH ODPADNIH SNOVI, KADAR SO POTREBNI</w:t>
      </w:r>
    </w:p>
    <w:p w14:paraId="5297A572" w14:textId="77777777" w:rsidR="00841424" w:rsidRPr="004A59B1" w:rsidRDefault="00841424" w:rsidP="009C1193">
      <w:pPr>
        <w:keepNext/>
        <w:keepLines/>
        <w:widowControl w:val="0"/>
        <w:tabs>
          <w:tab w:val="clear" w:pos="567"/>
        </w:tabs>
        <w:spacing w:line="240" w:lineRule="auto"/>
        <w:rPr>
          <w:color w:val="000000"/>
          <w:szCs w:val="22"/>
          <w:lang w:val="pl-PL"/>
        </w:rPr>
      </w:pPr>
    </w:p>
    <w:p w14:paraId="5297A573" w14:textId="77777777" w:rsidR="00841424" w:rsidRPr="004A59B1" w:rsidRDefault="00841424" w:rsidP="009C1193">
      <w:pPr>
        <w:widowControl w:val="0"/>
        <w:tabs>
          <w:tab w:val="clear" w:pos="567"/>
        </w:tabs>
        <w:spacing w:line="240" w:lineRule="auto"/>
        <w:rPr>
          <w:color w:val="000000"/>
          <w:szCs w:val="22"/>
          <w:lang w:val="pl-PL"/>
        </w:rPr>
      </w:pPr>
    </w:p>
    <w:p w14:paraId="5297A574" w14:textId="77777777" w:rsidR="00841424" w:rsidRPr="004A59B1" w:rsidRDefault="00841424" w:rsidP="000A6242">
      <w:pPr>
        <w:keepNext/>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11.</w:t>
      </w:r>
      <w:r w:rsidRPr="004A59B1">
        <w:rPr>
          <w:b/>
          <w:color w:val="000000"/>
          <w:szCs w:val="22"/>
          <w:lang w:val="pl-PL"/>
        </w:rPr>
        <w:tab/>
        <w:t>IME IN NASLOV IMETNIKA DOVOLJENJA ZA PROMET Z ZDRAVILOM</w:t>
      </w:r>
    </w:p>
    <w:p w14:paraId="5297A575" w14:textId="77777777" w:rsidR="00841424" w:rsidRPr="004A59B1" w:rsidRDefault="00841424" w:rsidP="000A6242">
      <w:pPr>
        <w:keepNext/>
        <w:widowControl w:val="0"/>
        <w:tabs>
          <w:tab w:val="clear" w:pos="567"/>
        </w:tabs>
        <w:spacing w:line="240" w:lineRule="auto"/>
        <w:rPr>
          <w:color w:val="000000"/>
          <w:szCs w:val="22"/>
          <w:lang w:val="pl-PL"/>
        </w:rPr>
      </w:pPr>
    </w:p>
    <w:p w14:paraId="5297A576" w14:textId="77777777" w:rsidR="00841424" w:rsidRPr="004A59B1" w:rsidRDefault="00841424" w:rsidP="000A6242">
      <w:pPr>
        <w:pStyle w:val="EndnoteText"/>
        <w:keepNext/>
        <w:widowControl w:val="0"/>
        <w:tabs>
          <w:tab w:val="clear" w:pos="567"/>
        </w:tabs>
        <w:rPr>
          <w:color w:val="000000"/>
          <w:szCs w:val="22"/>
        </w:rPr>
      </w:pPr>
      <w:r w:rsidRPr="004A59B1">
        <w:rPr>
          <w:color w:val="000000"/>
          <w:szCs w:val="22"/>
        </w:rPr>
        <w:t>Novartis Europharm Limited</w:t>
      </w:r>
    </w:p>
    <w:p w14:paraId="5297A577" w14:textId="77777777" w:rsidR="001A1DF7" w:rsidRPr="00EB33FE" w:rsidRDefault="001A1DF7" w:rsidP="009C1193">
      <w:pPr>
        <w:keepNext/>
        <w:widowControl w:val="0"/>
        <w:spacing w:line="240" w:lineRule="auto"/>
        <w:rPr>
          <w:color w:val="000000"/>
        </w:rPr>
      </w:pPr>
      <w:r w:rsidRPr="00EB33FE">
        <w:rPr>
          <w:color w:val="000000"/>
        </w:rPr>
        <w:t>Vista Building</w:t>
      </w:r>
    </w:p>
    <w:p w14:paraId="5297A578" w14:textId="77777777" w:rsidR="001A1DF7" w:rsidRPr="00EB33FE" w:rsidRDefault="001A1DF7" w:rsidP="009C1193">
      <w:pPr>
        <w:keepNext/>
        <w:widowControl w:val="0"/>
        <w:spacing w:line="240" w:lineRule="auto"/>
        <w:rPr>
          <w:color w:val="000000"/>
        </w:rPr>
      </w:pPr>
      <w:r w:rsidRPr="00EB33FE">
        <w:rPr>
          <w:color w:val="000000"/>
        </w:rPr>
        <w:t>Elm Park, Merrion Road</w:t>
      </w:r>
    </w:p>
    <w:p w14:paraId="5297A579" w14:textId="77777777" w:rsidR="001A1DF7" w:rsidRPr="00EB33FE" w:rsidRDefault="001A1DF7" w:rsidP="009C1193">
      <w:pPr>
        <w:keepNext/>
        <w:widowControl w:val="0"/>
        <w:spacing w:line="240" w:lineRule="auto"/>
        <w:rPr>
          <w:color w:val="000000"/>
        </w:rPr>
      </w:pPr>
      <w:r w:rsidRPr="00EB33FE">
        <w:rPr>
          <w:color w:val="000000"/>
        </w:rPr>
        <w:t>Dublin 4</w:t>
      </w:r>
    </w:p>
    <w:p w14:paraId="5297A57A" w14:textId="77777777" w:rsidR="001A1DF7" w:rsidRDefault="001A1DF7" w:rsidP="009C1193">
      <w:pPr>
        <w:widowControl w:val="0"/>
        <w:spacing w:line="240" w:lineRule="auto"/>
        <w:rPr>
          <w:color w:val="000000"/>
        </w:rPr>
      </w:pPr>
      <w:r w:rsidRPr="00EB33FE">
        <w:rPr>
          <w:color w:val="000000"/>
        </w:rPr>
        <w:t>Irska</w:t>
      </w:r>
    </w:p>
    <w:p w14:paraId="5297A57B" w14:textId="77777777" w:rsidR="00841424" w:rsidRPr="004A59B1" w:rsidRDefault="00841424" w:rsidP="009C1193">
      <w:pPr>
        <w:widowControl w:val="0"/>
        <w:tabs>
          <w:tab w:val="clear" w:pos="567"/>
        </w:tabs>
        <w:spacing w:line="240" w:lineRule="auto"/>
        <w:rPr>
          <w:color w:val="000000"/>
          <w:szCs w:val="22"/>
        </w:rPr>
      </w:pPr>
    </w:p>
    <w:p w14:paraId="5297A57C" w14:textId="77777777" w:rsidR="00841424" w:rsidRPr="004A59B1" w:rsidRDefault="00841424" w:rsidP="009C1193">
      <w:pPr>
        <w:widowControl w:val="0"/>
        <w:tabs>
          <w:tab w:val="clear" w:pos="567"/>
        </w:tabs>
        <w:spacing w:line="240" w:lineRule="auto"/>
        <w:rPr>
          <w:color w:val="000000"/>
          <w:szCs w:val="22"/>
        </w:rPr>
      </w:pPr>
    </w:p>
    <w:p w14:paraId="5297A57D"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4A59B1">
        <w:rPr>
          <w:b/>
          <w:color w:val="000000"/>
          <w:szCs w:val="22"/>
          <w:lang w:val="sv-SE"/>
        </w:rPr>
        <w:t>12.</w:t>
      </w:r>
      <w:r w:rsidRPr="004A59B1">
        <w:rPr>
          <w:b/>
          <w:color w:val="000000"/>
          <w:szCs w:val="22"/>
          <w:lang w:val="sv-SE"/>
        </w:rPr>
        <w:tab/>
        <w:t>ŠTEVILKA(E) DOVOLJENJA (DOVOLJENJ) ZA PROMET</w:t>
      </w:r>
    </w:p>
    <w:p w14:paraId="5297A57E" w14:textId="77777777" w:rsidR="00841424" w:rsidRPr="004A59B1" w:rsidRDefault="00841424" w:rsidP="009C1193">
      <w:pPr>
        <w:widowControl w:val="0"/>
        <w:tabs>
          <w:tab w:val="clear" w:pos="567"/>
        </w:tabs>
        <w:spacing w:line="240" w:lineRule="auto"/>
        <w:rPr>
          <w:color w:val="000000"/>
          <w:szCs w:val="22"/>
          <w:lang w:val="sv-SE"/>
        </w:rPr>
      </w:pPr>
    </w:p>
    <w:p w14:paraId="5297A57F" w14:textId="77777777" w:rsidR="00841424" w:rsidRPr="004A59B1" w:rsidRDefault="00841424" w:rsidP="009C1193">
      <w:pPr>
        <w:widowControl w:val="0"/>
        <w:tabs>
          <w:tab w:val="clear" w:pos="567"/>
          <w:tab w:val="left" w:pos="2268"/>
        </w:tabs>
        <w:spacing w:line="240" w:lineRule="auto"/>
        <w:rPr>
          <w:color w:val="000000"/>
          <w:szCs w:val="22"/>
          <w:shd w:val="clear" w:color="auto" w:fill="D9D9D9"/>
          <w:lang w:val="sv-SE"/>
        </w:rPr>
      </w:pPr>
      <w:r w:rsidRPr="004A59B1">
        <w:rPr>
          <w:color w:val="000000"/>
          <w:szCs w:val="22"/>
          <w:lang w:val="sv-SE"/>
        </w:rPr>
        <w:t>EU/1/01/198/009</w:t>
      </w:r>
      <w:r w:rsidRPr="004A59B1">
        <w:rPr>
          <w:color w:val="000000"/>
          <w:szCs w:val="22"/>
          <w:lang w:val="sv-SE"/>
        </w:rPr>
        <w:tab/>
      </w:r>
      <w:r w:rsidRPr="004A59B1">
        <w:rPr>
          <w:color w:val="000000"/>
          <w:szCs w:val="22"/>
          <w:shd w:val="clear" w:color="auto" w:fill="D9D9D9"/>
          <w:lang w:val="sv-SE"/>
        </w:rPr>
        <w:t>10 tablet</w:t>
      </w:r>
    </w:p>
    <w:p w14:paraId="5297A580" w14:textId="77777777" w:rsidR="00841424" w:rsidRPr="004A59B1" w:rsidRDefault="00841424" w:rsidP="009C1193">
      <w:pPr>
        <w:widowControl w:val="0"/>
        <w:tabs>
          <w:tab w:val="clear" w:pos="567"/>
          <w:tab w:val="left" w:pos="2268"/>
        </w:tabs>
        <w:spacing w:line="240" w:lineRule="auto"/>
        <w:rPr>
          <w:color w:val="000000"/>
          <w:szCs w:val="22"/>
          <w:shd w:val="clear" w:color="auto" w:fill="D9D9D9"/>
          <w:lang w:val="sv-SE"/>
        </w:rPr>
      </w:pPr>
      <w:r w:rsidRPr="004A59B1">
        <w:rPr>
          <w:color w:val="000000"/>
          <w:szCs w:val="22"/>
          <w:shd w:val="clear" w:color="auto" w:fill="D9D9D9"/>
          <w:lang w:val="sv-SE"/>
        </w:rPr>
        <w:t>EU/1/01/198/010</w:t>
      </w:r>
      <w:r w:rsidRPr="004A59B1">
        <w:rPr>
          <w:color w:val="000000"/>
          <w:szCs w:val="22"/>
          <w:shd w:val="clear" w:color="auto" w:fill="D9D9D9"/>
          <w:lang w:val="sv-SE"/>
        </w:rPr>
        <w:tab/>
        <w:t>30 tablet</w:t>
      </w:r>
    </w:p>
    <w:p w14:paraId="5297A581" w14:textId="77777777" w:rsidR="00841424" w:rsidRPr="004A59B1" w:rsidRDefault="00841424" w:rsidP="009C1193">
      <w:pPr>
        <w:widowControl w:val="0"/>
        <w:tabs>
          <w:tab w:val="clear" w:pos="567"/>
          <w:tab w:val="left" w:pos="2268"/>
        </w:tabs>
        <w:spacing w:line="240" w:lineRule="auto"/>
        <w:rPr>
          <w:color w:val="000000"/>
          <w:szCs w:val="22"/>
          <w:shd w:val="clear" w:color="auto" w:fill="D9D9D9"/>
          <w:lang w:val="sv-SE"/>
        </w:rPr>
      </w:pPr>
      <w:r w:rsidRPr="004A59B1">
        <w:rPr>
          <w:color w:val="000000"/>
          <w:szCs w:val="22"/>
          <w:shd w:val="clear" w:color="auto" w:fill="D9D9D9"/>
          <w:lang w:val="sv-SE"/>
        </w:rPr>
        <w:t>EU/1/01/198/013</w:t>
      </w:r>
      <w:r w:rsidRPr="004A59B1">
        <w:rPr>
          <w:color w:val="000000"/>
          <w:szCs w:val="22"/>
          <w:shd w:val="clear" w:color="auto" w:fill="D9D9D9"/>
          <w:lang w:val="sv-SE"/>
        </w:rPr>
        <w:tab/>
        <w:t>90 tablet</w:t>
      </w:r>
    </w:p>
    <w:p w14:paraId="5297A582" w14:textId="77777777" w:rsidR="00841424" w:rsidRPr="004A59B1" w:rsidRDefault="00841424" w:rsidP="009C1193">
      <w:pPr>
        <w:widowControl w:val="0"/>
        <w:tabs>
          <w:tab w:val="clear" w:pos="567"/>
        </w:tabs>
        <w:spacing w:line="240" w:lineRule="auto"/>
        <w:rPr>
          <w:color w:val="000000"/>
          <w:szCs w:val="22"/>
          <w:lang w:val="sv-SE"/>
        </w:rPr>
      </w:pPr>
    </w:p>
    <w:p w14:paraId="5297A583" w14:textId="77777777" w:rsidR="00841424" w:rsidRPr="004A59B1" w:rsidRDefault="00841424" w:rsidP="009C1193">
      <w:pPr>
        <w:widowControl w:val="0"/>
        <w:tabs>
          <w:tab w:val="clear" w:pos="567"/>
        </w:tabs>
        <w:spacing w:line="240" w:lineRule="auto"/>
        <w:rPr>
          <w:color w:val="000000"/>
          <w:szCs w:val="22"/>
          <w:lang w:val="sv-SE"/>
        </w:rPr>
      </w:pPr>
    </w:p>
    <w:p w14:paraId="5297A584"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4A59B1">
        <w:rPr>
          <w:b/>
          <w:color w:val="000000"/>
          <w:szCs w:val="22"/>
          <w:lang w:val="sv-SE"/>
        </w:rPr>
        <w:t>13.</w:t>
      </w:r>
      <w:r w:rsidRPr="004A59B1">
        <w:rPr>
          <w:b/>
          <w:color w:val="000000"/>
          <w:szCs w:val="22"/>
          <w:lang w:val="sv-SE"/>
        </w:rPr>
        <w:tab/>
        <w:t>ŠTEVILKA SERIJE</w:t>
      </w:r>
    </w:p>
    <w:p w14:paraId="5297A585" w14:textId="77777777" w:rsidR="00841424" w:rsidRPr="004A59B1" w:rsidRDefault="00841424" w:rsidP="009C1193">
      <w:pPr>
        <w:widowControl w:val="0"/>
        <w:tabs>
          <w:tab w:val="clear" w:pos="567"/>
        </w:tabs>
        <w:spacing w:line="240" w:lineRule="auto"/>
        <w:rPr>
          <w:color w:val="000000"/>
          <w:szCs w:val="22"/>
          <w:lang w:val="sv-SE"/>
        </w:rPr>
      </w:pPr>
    </w:p>
    <w:p w14:paraId="5297A586" w14:textId="77777777" w:rsidR="00841424" w:rsidRPr="004A59B1" w:rsidRDefault="00193BB2" w:rsidP="009C1193">
      <w:pPr>
        <w:widowControl w:val="0"/>
        <w:tabs>
          <w:tab w:val="clear" w:pos="567"/>
        </w:tabs>
        <w:spacing w:line="240" w:lineRule="auto"/>
        <w:rPr>
          <w:color w:val="000000"/>
          <w:szCs w:val="22"/>
          <w:lang w:val="sv-SE"/>
        </w:rPr>
      </w:pPr>
      <w:r>
        <w:rPr>
          <w:color w:val="000000"/>
          <w:szCs w:val="22"/>
          <w:lang w:val="sv-SE"/>
        </w:rPr>
        <w:t>Lot</w:t>
      </w:r>
    </w:p>
    <w:p w14:paraId="5297A587" w14:textId="77777777" w:rsidR="00841424" w:rsidRPr="004A59B1" w:rsidRDefault="00841424" w:rsidP="009C1193">
      <w:pPr>
        <w:widowControl w:val="0"/>
        <w:tabs>
          <w:tab w:val="clear" w:pos="567"/>
        </w:tabs>
        <w:spacing w:line="240" w:lineRule="auto"/>
        <w:rPr>
          <w:color w:val="000000"/>
          <w:szCs w:val="22"/>
          <w:lang w:val="sv-SE"/>
        </w:rPr>
      </w:pPr>
    </w:p>
    <w:p w14:paraId="5297A588" w14:textId="77777777" w:rsidR="00841424" w:rsidRPr="004A59B1" w:rsidRDefault="00841424" w:rsidP="009C1193">
      <w:pPr>
        <w:widowControl w:val="0"/>
        <w:tabs>
          <w:tab w:val="clear" w:pos="567"/>
        </w:tabs>
        <w:spacing w:line="240" w:lineRule="auto"/>
        <w:rPr>
          <w:color w:val="000000"/>
          <w:szCs w:val="22"/>
          <w:lang w:val="sv-SE"/>
        </w:rPr>
      </w:pPr>
    </w:p>
    <w:p w14:paraId="5297A589"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4A59B1">
        <w:rPr>
          <w:b/>
          <w:color w:val="000000"/>
          <w:szCs w:val="22"/>
          <w:lang w:val="sv-SE"/>
        </w:rPr>
        <w:t>14.</w:t>
      </w:r>
      <w:r w:rsidRPr="004A59B1">
        <w:rPr>
          <w:b/>
          <w:color w:val="000000"/>
          <w:szCs w:val="22"/>
          <w:lang w:val="sv-SE"/>
        </w:rPr>
        <w:tab/>
        <w:t>NAČIN IZDAJANJA ZDRAVILA</w:t>
      </w:r>
    </w:p>
    <w:p w14:paraId="5297A58A" w14:textId="77777777" w:rsidR="00841424" w:rsidRPr="004A59B1" w:rsidRDefault="00841424" w:rsidP="009C1193">
      <w:pPr>
        <w:widowControl w:val="0"/>
        <w:tabs>
          <w:tab w:val="clear" w:pos="567"/>
        </w:tabs>
        <w:spacing w:line="240" w:lineRule="auto"/>
        <w:rPr>
          <w:color w:val="000000"/>
          <w:szCs w:val="22"/>
          <w:lang w:val="sv-SE"/>
        </w:rPr>
      </w:pPr>
    </w:p>
    <w:p w14:paraId="5297A58B" w14:textId="77777777" w:rsidR="00841424" w:rsidRPr="004A59B1" w:rsidRDefault="00841424" w:rsidP="009C1193">
      <w:pPr>
        <w:widowControl w:val="0"/>
        <w:tabs>
          <w:tab w:val="clear" w:pos="567"/>
        </w:tabs>
        <w:spacing w:line="240" w:lineRule="auto"/>
        <w:rPr>
          <w:color w:val="000000"/>
          <w:szCs w:val="22"/>
          <w:lang w:val="sv-SE"/>
        </w:rPr>
      </w:pPr>
    </w:p>
    <w:p w14:paraId="5297A58C"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15.</w:t>
      </w:r>
      <w:r w:rsidRPr="004A59B1">
        <w:rPr>
          <w:b/>
          <w:color w:val="000000"/>
          <w:szCs w:val="22"/>
          <w:lang w:val="pl-PL"/>
        </w:rPr>
        <w:tab/>
        <w:t>NAVODILA ZA UPORABO</w:t>
      </w:r>
    </w:p>
    <w:p w14:paraId="5297A58D" w14:textId="77777777" w:rsidR="00841424" w:rsidRPr="004A59B1" w:rsidRDefault="00841424" w:rsidP="009C1193">
      <w:pPr>
        <w:widowControl w:val="0"/>
        <w:tabs>
          <w:tab w:val="clear" w:pos="567"/>
        </w:tabs>
        <w:spacing w:line="240" w:lineRule="auto"/>
        <w:rPr>
          <w:color w:val="000000"/>
          <w:szCs w:val="22"/>
          <w:lang w:val="pl-PL"/>
        </w:rPr>
      </w:pPr>
    </w:p>
    <w:p w14:paraId="5297A58E" w14:textId="77777777" w:rsidR="00841424" w:rsidRPr="004A59B1" w:rsidRDefault="00841424" w:rsidP="009C1193">
      <w:pPr>
        <w:widowControl w:val="0"/>
        <w:tabs>
          <w:tab w:val="clear" w:pos="567"/>
        </w:tabs>
        <w:spacing w:line="240" w:lineRule="auto"/>
        <w:rPr>
          <w:color w:val="000000"/>
          <w:szCs w:val="22"/>
          <w:lang w:val="pl-PL"/>
        </w:rPr>
      </w:pPr>
    </w:p>
    <w:p w14:paraId="5297A58F"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b/>
          <w:color w:val="000000"/>
          <w:szCs w:val="22"/>
          <w:lang w:val="pl-PL"/>
        </w:rPr>
      </w:pPr>
      <w:r w:rsidRPr="004A59B1">
        <w:rPr>
          <w:b/>
          <w:color w:val="000000"/>
          <w:szCs w:val="22"/>
          <w:lang w:val="pl-PL"/>
        </w:rPr>
        <w:t>16.</w:t>
      </w:r>
      <w:r w:rsidRPr="004A59B1">
        <w:rPr>
          <w:b/>
          <w:color w:val="000000"/>
          <w:szCs w:val="22"/>
          <w:lang w:val="pl-PL"/>
        </w:rPr>
        <w:tab/>
        <w:t>PODATKI V BRAILLOVI PISAVI</w:t>
      </w:r>
    </w:p>
    <w:p w14:paraId="5297A590" w14:textId="77777777" w:rsidR="00841424" w:rsidRPr="004A59B1" w:rsidRDefault="00841424" w:rsidP="009C1193">
      <w:pPr>
        <w:widowControl w:val="0"/>
        <w:tabs>
          <w:tab w:val="clear" w:pos="567"/>
        </w:tabs>
        <w:spacing w:line="240" w:lineRule="auto"/>
        <w:rPr>
          <w:color w:val="000000"/>
          <w:szCs w:val="22"/>
          <w:lang w:val="pl-PL"/>
        </w:rPr>
      </w:pPr>
    </w:p>
    <w:p w14:paraId="5297A591" w14:textId="77777777" w:rsidR="00841424" w:rsidRPr="004A59B1" w:rsidRDefault="00841424" w:rsidP="009C1193">
      <w:pPr>
        <w:widowControl w:val="0"/>
        <w:tabs>
          <w:tab w:val="clear" w:pos="567"/>
        </w:tabs>
        <w:spacing w:line="240" w:lineRule="auto"/>
        <w:rPr>
          <w:color w:val="000000"/>
          <w:szCs w:val="22"/>
          <w:lang w:val="pl-PL"/>
        </w:rPr>
      </w:pPr>
      <w:r w:rsidRPr="004A59B1">
        <w:rPr>
          <w:color w:val="000000"/>
          <w:szCs w:val="22"/>
          <w:lang w:val="pl-PL"/>
        </w:rPr>
        <w:t>Glivec 400 mg</w:t>
      </w:r>
    </w:p>
    <w:p w14:paraId="5297A592" w14:textId="77777777" w:rsidR="00385777" w:rsidRDefault="00385777" w:rsidP="009C1193">
      <w:pPr>
        <w:widowControl w:val="0"/>
        <w:tabs>
          <w:tab w:val="clear" w:pos="567"/>
        </w:tabs>
        <w:spacing w:line="240" w:lineRule="auto"/>
        <w:rPr>
          <w:b/>
          <w:color w:val="000000"/>
          <w:szCs w:val="22"/>
          <w:u w:val="single"/>
          <w:lang w:val="pl-PL"/>
        </w:rPr>
      </w:pPr>
    </w:p>
    <w:p w14:paraId="5297A593" w14:textId="77777777" w:rsidR="00385777" w:rsidRDefault="00385777" w:rsidP="009C1193">
      <w:pPr>
        <w:widowControl w:val="0"/>
        <w:tabs>
          <w:tab w:val="clear" w:pos="567"/>
        </w:tabs>
        <w:spacing w:line="240" w:lineRule="auto"/>
        <w:rPr>
          <w:b/>
          <w:color w:val="000000"/>
          <w:szCs w:val="22"/>
          <w:u w:val="single"/>
          <w:lang w:val="pl-PL"/>
        </w:rPr>
      </w:pPr>
    </w:p>
    <w:p w14:paraId="5297A594" w14:textId="77777777" w:rsidR="00385777" w:rsidRDefault="00385777" w:rsidP="009C1193">
      <w:pPr>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lang w:val="sl-SI"/>
        </w:rPr>
      </w:pPr>
      <w:r>
        <w:rPr>
          <w:b/>
          <w:bCs/>
          <w:lang w:val="sl-SI"/>
        </w:rPr>
        <w:t>17.</w:t>
      </w:r>
      <w:r>
        <w:rPr>
          <w:b/>
          <w:bCs/>
          <w:lang w:val="sl-SI"/>
        </w:rPr>
        <w:tab/>
      </w:r>
      <w:r w:rsidRPr="0058717D">
        <w:rPr>
          <w:b/>
          <w:bCs/>
          <w:lang w:val="sl-SI"/>
        </w:rPr>
        <w:t>EDINSTVENA OZNAKA – DVODIMENZIONALNA ČRTNA KODA</w:t>
      </w:r>
    </w:p>
    <w:p w14:paraId="5297A595" w14:textId="77777777" w:rsidR="00385777" w:rsidRDefault="00385777" w:rsidP="009C1193">
      <w:pPr>
        <w:widowControl w:val="0"/>
        <w:tabs>
          <w:tab w:val="clear" w:pos="567"/>
        </w:tabs>
        <w:spacing w:line="240" w:lineRule="auto"/>
        <w:rPr>
          <w:lang w:val="sl-SI"/>
        </w:rPr>
      </w:pPr>
    </w:p>
    <w:p w14:paraId="5297A596" w14:textId="77777777" w:rsidR="00385777" w:rsidRPr="001D3FD4" w:rsidRDefault="00385777" w:rsidP="009C1193">
      <w:pPr>
        <w:widowControl w:val="0"/>
        <w:tabs>
          <w:tab w:val="clear" w:pos="567"/>
        </w:tabs>
        <w:spacing w:line="240" w:lineRule="auto"/>
        <w:rPr>
          <w:noProof/>
          <w:shd w:val="pct15" w:color="auto" w:fill="auto"/>
          <w:lang w:val="pt-BR"/>
        </w:rPr>
      </w:pPr>
      <w:r w:rsidRPr="001D3FD4">
        <w:rPr>
          <w:noProof/>
          <w:shd w:val="pct15" w:color="auto" w:fill="auto"/>
          <w:lang w:val="pt-BR"/>
        </w:rPr>
        <w:t>Vsebuje dvodimenzionalno črtno kodo z edinstveno oznako.</w:t>
      </w:r>
    </w:p>
    <w:p w14:paraId="5297A597" w14:textId="77777777" w:rsidR="00385777" w:rsidRDefault="00385777" w:rsidP="009C1193">
      <w:pPr>
        <w:widowControl w:val="0"/>
        <w:tabs>
          <w:tab w:val="clear" w:pos="567"/>
        </w:tabs>
        <w:spacing w:line="240" w:lineRule="auto"/>
        <w:rPr>
          <w:lang w:val="sl-SI"/>
        </w:rPr>
      </w:pPr>
    </w:p>
    <w:p w14:paraId="5297A598" w14:textId="77777777" w:rsidR="00385777" w:rsidRDefault="00385777" w:rsidP="009C1193">
      <w:pPr>
        <w:widowControl w:val="0"/>
        <w:tabs>
          <w:tab w:val="clear" w:pos="567"/>
        </w:tabs>
        <w:spacing w:line="240" w:lineRule="auto"/>
        <w:rPr>
          <w:lang w:val="sl-SI"/>
        </w:rPr>
      </w:pPr>
    </w:p>
    <w:p w14:paraId="5297A599" w14:textId="77777777" w:rsidR="00385777" w:rsidRDefault="00385777" w:rsidP="000A6242">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lang w:val="sl-SI"/>
        </w:rPr>
      </w:pPr>
      <w:r>
        <w:rPr>
          <w:b/>
          <w:bCs/>
          <w:lang w:val="sl-SI"/>
        </w:rPr>
        <w:t>18.</w:t>
      </w:r>
      <w:r>
        <w:rPr>
          <w:b/>
          <w:bCs/>
          <w:lang w:val="sl-SI"/>
        </w:rPr>
        <w:tab/>
      </w:r>
      <w:r w:rsidRPr="0058717D">
        <w:rPr>
          <w:b/>
          <w:bCs/>
          <w:lang w:val="sl-SI"/>
        </w:rPr>
        <w:t>EDINSTVENA OZNAKA – V BERLJIVI OBLIKI</w:t>
      </w:r>
    </w:p>
    <w:p w14:paraId="5297A59A" w14:textId="77777777" w:rsidR="00385777" w:rsidRDefault="00385777" w:rsidP="000A6242">
      <w:pPr>
        <w:keepNext/>
        <w:widowControl w:val="0"/>
        <w:tabs>
          <w:tab w:val="clear" w:pos="567"/>
        </w:tabs>
        <w:spacing w:line="240" w:lineRule="auto"/>
        <w:rPr>
          <w:lang w:val="sl-SI"/>
        </w:rPr>
      </w:pPr>
    </w:p>
    <w:p w14:paraId="5297A59B" w14:textId="77777777" w:rsidR="00385777" w:rsidRDefault="00385777" w:rsidP="000A6242">
      <w:pPr>
        <w:keepNext/>
        <w:widowControl w:val="0"/>
        <w:tabs>
          <w:tab w:val="clear" w:pos="567"/>
        </w:tabs>
        <w:spacing w:line="240" w:lineRule="auto"/>
        <w:rPr>
          <w:lang w:val="sl-SI"/>
        </w:rPr>
      </w:pPr>
      <w:r>
        <w:rPr>
          <w:lang w:val="sl-SI"/>
        </w:rPr>
        <w:t>PC:</w:t>
      </w:r>
    </w:p>
    <w:p w14:paraId="5297A59C" w14:textId="77777777" w:rsidR="00385777" w:rsidRDefault="00385777" w:rsidP="000A6242">
      <w:pPr>
        <w:keepNext/>
        <w:widowControl w:val="0"/>
        <w:tabs>
          <w:tab w:val="clear" w:pos="567"/>
        </w:tabs>
        <w:spacing w:line="240" w:lineRule="auto"/>
        <w:rPr>
          <w:lang w:val="sl-SI"/>
        </w:rPr>
      </w:pPr>
      <w:r>
        <w:rPr>
          <w:lang w:val="sl-SI"/>
        </w:rPr>
        <w:t>SN:</w:t>
      </w:r>
    </w:p>
    <w:p w14:paraId="5297A59D" w14:textId="77777777" w:rsidR="008F282C" w:rsidRDefault="00385777" w:rsidP="009C1193">
      <w:pPr>
        <w:widowControl w:val="0"/>
        <w:tabs>
          <w:tab w:val="clear" w:pos="567"/>
        </w:tabs>
        <w:spacing w:line="240" w:lineRule="auto"/>
        <w:rPr>
          <w:lang w:val="sl-SI"/>
        </w:rPr>
      </w:pPr>
      <w:r>
        <w:rPr>
          <w:lang w:val="sl-SI"/>
        </w:rPr>
        <w:t>NN:</w:t>
      </w:r>
    </w:p>
    <w:p w14:paraId="5297A59E" w14:textId="77777777" w:rsidR="00841424" w:rsidRPr="004A59B1" w:rsidRDefault="00841424" w:rsidP="009C1193">
      <w:pPr>
        <w:widowControl w:val="0"/>
        <w:tabs>
          <w:tab w:val="clear" w:pos="567"/>
        </w:tabs>
        <w:spacing w:line="240" w:lineRule="auto"/>
        <w:rPr>
          <w:color w:val="000000"/>
          <w:szCs w:val="22"/>
          <w:lang w:val="pl-PL"/>
        </w:rPr>
      </w:pPr>
      <w:r w:rsidRPr="004A59B1">
        <w:rPr>
          <w:b/>
          <w:color w:val="000000"/>
          <w:szCs w:val="22"/>
          <w:u w:val="single"/>
          <w:lang w:val="pl-PL"/>
        </w:rPr>
        <w:br w:type="page"/>
      </w:r>
    </w:p>
    <w:p w14:paraId="5297A59F" w14:textId="77777777" w:rsidR="000A6242" w:rsidRPr="000A6242" w:rsidRDefault="000A6242" w:rsidP="000A6242">
      <w:pPr>
        <w:widowControl w:val="0"/>
        <w:tabs>
          <w:tab w:val="clear" w:pos="567"/>
        </w:tabs>
        <w:spacing w:line="240" w:lineRule="auto"/>
        <w:rPr>
          <w:color w:val="000000"/>
          <w:szCs w:val="22"/>
          <w:lang w:val="pl-PL"/>
        </w:rPr>
      </w:pPr>
    </w:p>
    <w:p w14:paraId="5297A5A0"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pl-PL"/>
        </w:rPr>
      </w:pPr>
      <w:r w:rsidRPr="004A59B1">
        <w:rPr>
          <w:b/>
          <w:color w:val="000000"/>
          <w:szCs w:val="22"/>
          <w:lang w:val="pl-PL"/>
        </w:rPr>
        <w:t>PODATKI, KI MORAJO BITI NAJMANJ NAVEDENI NA PRETISNEM OMOTU ALI DVOJNEM TRAKU</w:t>
      </w:r>
    </w:p>
    <w:p w14:paraId="5297A5A1"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pl-PL"/>
        </w:rPr>
      </w:pPr>
    </w:p>
    <w:p w14:paraId="5297A5A2"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pl-PL"/>
        </w:rPr>
      </w:pPr>
      <w:r w:rsidRPr="004A59B1">
        <w:rPr>
          <w:b/>
          <w:color w:val="000000"/>
          <w:szCs w:val="22"/>
          <w:lang w:val="pl-PL"/>
        </w:rPr>
        <w:t>PRETISNI OMOTI</w:t>
      </w:r>
    </w:p>
    <w:p w14:paraId="5297A5A3" w14:textId="77777777" w:rsidR="00841424" w:rsidRPr="004A59B1" w:rsidRDefault="00841424" w:rsidP="009C1193">
      <w:pPr>
        <w:widowControl w:val="0"/>
        <w:tabs>
          <w:tab w:val="clear" w:pos="567"/>
          <w:tab w:val="left" w:pos="5748"/>
        </w:tabs>
        <w:spacing w:line="240" w:lineRule="auto"/>
        <w:rPr>
          <w:color w:val="000000"/>
          <w:szCs w:val="22"/>
          <w:lang w:val="pl-PL"/>
        </w:rPr>
      </w:pPr>
    </w:p>
    <w:p w14:paraId="5297A5A4" w14:textId="77777777" w:rsidR="00841424" w:rsidRPr="004A59B1" w:rsidRDefault="00841424" w:rsidP="009C1193">
      <w:pPr>
        <w:widowControl w:val="0"/>
        <w:tabs>
          <w:tab w:val="clear" w:pos="567"/>
        </w:tabs>
        <w:spacing w:line="240" w:lineRule="auto"/>
        <w:rPr>
          <w:color w:val="000000"/>
          <w:szCs w:val="22"/>
          <w:lang w:val="pl-PL"/>
        </w:rPr>
      </w:pPr>
    </w:p>
    <w:p w14:paraId="5297A5A5"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1.</w:t>
      </w:r>
      <w:r w:rsidRPr="004A59B1">
        <w:rPr>
          <w:b/>
          <w:color w:val="000000"/>
          <w:szCs w:val="22"/>
          <w:lang w:val="pl-PL"/>
        </w:rPr>
        <w:tab/>
        <w:t>IME ZDRAVILA</w:t>
      </w:r>
    </w:p>
    <w:p w14:paraId="5297A5A6" w14:textId="77777777" w:rsidR="00841424" w:rsidRPr="004A59B1" w:rsidRDefault="00841424" w:rsidP="009C1193">
      <w:pPr>
        <w:widowControl w:val="0"/>
        <w:tabs>
          <w:tab w:val="clear" w:pos="567"/>
        </w:tabs>
        <w:spacing w:line="240" w:lineRule="auto"/>
        <w:ind w:left="567" w:hanging="567"/>
        <w:rPr>
          <w:color w:val="000000"/>
          <w:szCs w:val="22"/>
          <w:lang w:val="pl-PL"/>
        </w:rPr>
      </w:pPr>
    </w:p>
    <w:p w14:paraId="5297A5A7" w14:textId="77777777" w:rsidR="00841424" w:rsidRPr="004A59B1" w:rsidRDefault="00841424" w:rsidP="009C1193">
      <w:pPr>
        <w:widowControl w:val="0"/>
        <w:tabs>
          <w:tab w:val="clear" w:pos="567"/>
        </w:tabs>
        <w:spacing w:line="240" w:lineRule="auto"/>
        <w:rPr>
          <w:color w:val="000000"/>
          <w:szCs w:val="22"/>
          <w:lang w:val="pl-PL"/>
        </w:rPr>
      </w:pPr>
      <w:r w:rsidRPr="004A59B1">
        <w:rPr>
          <w:color w:val="000000"/>
          <w:szCs w:val="22"/>
          <w:lang w:val="pl-PL"/>
        </w:rPr>
        <w:t>Glivec 400 mg tablete</w:t>
      </w:r>
    </w:p>
    <w:p w14:paraId="5297A5A8" w14:textId="77777777" w:rsidR="00841424" w:rsidRPr="004A59B1" w:rsidRDefault="00841424" w:rsidP="009C1193">
      <w:pPr>
        <w:widowControl w:val="0"/>
        <w:tabs>
          <w:tab w:val="clear" w:pos="567"/>
        </w:tabs>
        <w:spacing w:line="240" w:lineRule="auto"/>
        <w:rPr>
          <w:color w:val="000000"/>
          <w:szCs w:val="22"/>
          <w:lang w:val="pl-PL"/>
        </w:rPr>
      </w:pPr>
      <w:r w:rsidRPr="004A59B1">
        <w:rPr>
          <w:color w:val="000000"/>
          <w:szCs w:val="22"/>
          <w:lang w:val="pl-PL"/>
        </w:rPr>
        <w:t>imatinib</w:t>
      </w:r>
    </w:p>
    <w:p w14:paraId="5297A5A9" w14:textId="77777777" w:rsidR="00841424" w:rsidRPr="004A59B1" w:rsidRDefault="00841424" w:rsidP="009C1193">
      <w:pPr>
        <w:widowControl w:val="0"/>
        <w:tabs>
          <w:tab w:val="clear" w:pos="567"/>
        </w:tabs>
        <w:spacing w:line="240" w:lineRule="auto"/>
        <w:rPr>
          <w:color w:val="000000"/>
          <w:szCs w:val="22"/>
          <w:lang w:val="pl-PL"/>
        </w:rPr>
      </w:pPr>
    </w:p>
    <w:p w14:paraId="5297A5AA" w14:textId="77777777" w:rsidR="00841424" w:rsidRPr="004A59B1" w:rsidRDefault="00841424" w:rsidP="009C1193">
      <w:pPr>
        <w:widowControl w:val="0"/>
        <w:tabs>
          <w:tab w:val="clear" w:pos="567"/>
        </w:tabs>
        <w:spacing w:line="240" w:lineRule="auto"/>
        <w:rPr>
          <w:color w:val="000000"/>
          <w:szCs w:val="22"/>
          <w:lang w:val="pl-PL"/>
        </w:rPr>
      </w:pPr>
    </w:p>
    <w:p w14:paraId="5297A5AB"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2.</w:t>
      </w:r>
      <w:r w:rsidRPr="004A59B1">
        <w:rPr>
          <w:b/>
          <w:color w:val="000000"/>
          <w:szCs w:val="22"/>
          <w:lang w:val="pl-PL"/>
        </w:rPr>
        <w:tab/>
        <w:t>IME IMETNIKA DOVOLJENJA ZA PROMET Z ZDRAVILOM</w:t>
      </w:r>
    </w:p>
    <w:p w14:paraId="5297A5AC" w14:textId="77777777" w:rsidR="00841424" w:rsidRPr="004A59B1" w:rsidRDefault="00841424" w:rsidP="009C1193">
      <w:pPr>
        <w:widowControl w:val="0"/>
        <w:tabs>
          <w:tab w:val="clear" w:pos="567"/>
        </w:tabs>
        <w:spacing w:line="240" w:lineRule="auto"/>
        <w:rPr>
          <w:color w:val="000000"/>
          <w:szCs w:val="22"/>
          <w:lang w:val="pl-PL"/>
        </w:rPr>
      </w:pPr>
    </w:p>
    <w:p w14:paraId="5297A5AD" w14:textId="77777777" w:rsidR="00841424" w:rsidRPr="004A59B1" w:rsidRDefault="00841424" w:rsidP="009C1193">
      <w:pPr>
        <w:widowControl w:val="0"/>
        <w:tabs>
          <w:tab w:val="clear" w:pos="567"/>
        </w:tabs>
        <w:spacing w:line="240" w:lineRule="auto"/>
        <w:rPr>
          <w:color w:val="000000"/>
          <w:szCs w:val="22"/>
          <w:lang w:val="pl-PL"/>
        </w:rPr>
      </w:pPr>
      <w:r w:rsidRPr="004A59B1">
        <w:rPr>
          <w:color w:val="000000"/>
          <w:szCs w:val="22"/>
          <w:lang w:val="pl-PL"/>
        </w:rPr>
        <w:t>Novartis Europharm Limited</w:t>
      </w:r>
    </w:p>
    <w:p w14:paraId="5297A5AE" w14:textId="77777777" w:rsidR="00841424" w:rsidRPr="004A59B1" w:rsidRDefault="00841424" w:rsidP="009C1193">
      <w:pPr>
        <w:widowControl w:val="0"/>
        <w:tabs>
          <w:tab w:val="clear" w:pos="567"/>
        </w:tabs>
        <w:spacing w:line="240" w:lineRule="auto"/>
        <w:rPr>
          <w:color w:val="000000"/>
          <w:szCs w:val="22"/>
          <w:lang w:val="pl-PL"/>
        </w:rPr>
      </w:pPr>
    </w:p>
    <w:p w14:paraId="5297A5AF" w14:textId="77777777" w:rsidR="00841424" w:rsidRPr="004A59B1" w:rsidRDefault="00841424" w:rsidP="009C1193">
      <w:pPr>
        <w:widowControl w:val="0"/>
        <w:tabs>
          <w:tab w:val="clear" w:pos="567"/>
        </w:tabs>
        <w:spacing w:line="240" w:lineRule="auto"/>
        <w:rPr>
          <w:color w:val="000000"/>
          <w:szCs w:val="22"/>
          <w:lang w:val="pl-PL"/>
        </w:rPr>
      </w:pPr>
    </w:p>
    <w:p w14:paraId="5297A5B0"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3.</w:t>
      </w:r>
      <w:r w:rsidRPr="004A59B1">
        <w:rPr>
          <w:b/>
          <w:color w:val="000000"/>
          <w:szCs w:val="22"/>
          <w:lang w:val="pl-PL"/>
        </w:rPr>
        <w:tab/>
        <w:t>DATUM IZTEKA ROKA UPORABNOSTI ZDRAVILA</w:t>
      </w:r>
    </w:p>
    <w:p w14:paraId="5297A5B1" w14:textId="77777777" w:rsidR="00841424" w:rsidRPr="004A59B1" w:rsidRDefault="00841424" w:rsidP="009C1193">
      <w:pPr>
        <w:widowControl w:val="0"/>
        <w:tabs>
          <w:tab w:val="clear" w:pos="567"/>
        </w:tabs>
        <w:spacing w:line="240" w:lineRule="auto"/>
        <w:rPr>
          <w:color w:val="000000"/>
          <w:szCs w:val="22"/>
          <w:lang w:val="pl-PL"/>
        </w:rPr>
      </w:pPr>
    </w:p>
    <w:p w14:paraId="5297A5B2" w14:textId="77777777" w:rsidR="00841424" w:rsidRPr="004A59B1" w:rsidRDefault="00841424" w:rsidP="009C1193">
      <w:pPr>
        <w:pStyle w:val="EndnoteText"/>
        <w:widowControl w:val="0"/>
        <w:tabs>
          <w:tab w:val="clear" w:pos="567"/>
        </w:tabs>
        <w:rPr>
          <w:color w:val="000000"/>
          <w:szCs w:val="22"/>
          <w:lang w:val="pl-PL"/>
        </w:rPr>
      </w:pPr>
      <w:r w:rsidRPr="004A59B1">
        <w:rPr>
          <w:color w:val="000000"/>
          <w:szCs w:val="22"/>
          <w:lang w:val="pl-PL"/>
        </w:rPr>
        <w:t>EXP</w:t>
      </w:r>
    </w:p>
    <w:p w14:paraId="5297A5B3" w14:textId="77777777" w:rsidR="00841424" w:rsidRPr="004A59B1" w:rsidRDefault="00841424" w:rsidP="009C1193">
      <w:pPr>
        <w:widowControl w:val="0"/>
        <w:tabs>
          <w:tab w:val="clear" w:pos="567"/>
        </w:tabs>
        <w:spacing w:line="240" w:lineRule="auto"/>
        <w:rPr>
          <w:color w:val="000000"/>
          <w:szCs w:val="22"/>
          <w:lang w:val="pl-PL"/>
        </w:rPr>
      </w:pPr>
    </w:p>
    <w:p w14:paraId="5297A5B4" w14:textId="77777777" w:rsidR="00841424" w:rsidRPr="004A59B1" w:rsidRDefault="00841424" w:rsidP="009C1193">
      <w:pPr>
        <w:widowControl w:val="0"/>
        <w:tabs>
          <w:tab w:val="clear" w:pos="567"/>
        </w:tabs>
        <w:spacing w:line="240" w:lineRule="auto"/>
        <w:rPr>
          <w:color w:val="000000"/>
          <w:szCs w:val="22"/>
          <w:lang w:val="pl-PL"/>
        </w:rPr>
      </w:pPr>
    </w:p>
    <w:p w14:paraId="5297A5B5"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4A59B1">
        <w:rPr>
          <w:b/>
          <w:color w:val="000000"/>
          <w:szCs w:val="22"/>
          <w:lang w:val="pl-PL"/>
        </w:rPr>
        <w:t>4.</w:t>
      </w:r>
      <w:r w:rsidRPr="004A59B1">
        <w:rPr>
          <w:b/>
          <w:color w:val="000000"/>
          <w:szCs w:val="22"/>
          <w:lang w:val="pl-PL"/>
        </w:rPr>
        <w:tab/>
        <w:t>ŠTEVILKA SERIJE</w:t>
      </w:r>
    </w:p>
    <w:p w14:paraId="5297A5B6" w14:textId="77777777" w:rsidR="00841424" w:rsidRPr="004A59B1" w:rsidRDefault="00841424" w:rsidP="009C1193">
      <w:pPr>
        <w:widowControl w:val="0"/>
        <w:tabs>
          <w:tab w:val="clear" w:pos="567"/>
        </w:tabs>
        <w:spacing w:line="240" w:lineRule="auto"/>
        <w:rPr>
          <w:color w:val="000000"/>
          <w:szCs w:val="22"/>
          <w:lang w:val="pl-PL"/>
        </w:rPr>
      </w:pPr>
    </w:p>
    <w:p w14:paraId="5297A5B7" w14:textId="77777777" w:rsidR="00841424" w:rsidRPr="004A59B1" w:rsidRDefault="00841424" w:rsidP="009C1193">
      <w:pPr>
        <w:widowControl w:val="0"/>
        <w:tabs>
          <w:tab w:val="clear" w:pos="567"/>
        </w:tabs>
        <w:spacing w:line="240" w:lineRule="auto"/>
        <w:rPr>
          <w:color w:val="000000"/>
          <w:szCs w:val="22"/>
          <w:lang w:val="pl-PL"/>
        </w:rPr>
      </w:pPr>
      <w:r w:rsidRPr="004A59B1">
        <w:rPr>
          <w:color w:val="000000"/>
          <w:szCs w:val="22"/>
          <w:lang w:val="pl-PL"/>
        </w:rPr>
        <w:t>Lot</w:t>
      </w:r>
    </w:p>
    <w:p w14:paraId="5297A5B8" w14:textId="77777777" w:rsidR="00841424" w:rsidRPr="004A59B1" w:rsidRDefault="00841424" w:rsidP="009C1193">
      <w:pPr>
        <w:widowControl w:val="0"/>
        <w:tabs>
          <w:tab w:val="clear" w:pos="567"/>
        </w:tabs>
        <w:spacing w:line="240" w:lineRule="auto"/>
        <w:rPr>
          <w:color w:val="000000"/>
          <w:szCs w:val="22"/>
          <w:lang w:val="pl-PL"/>
        </w:rPr>
      </w:pPr>
    </w:p>
    <w:p w14:paraId="5297A5B9" w14:textId="77777777" w:rsidR="00841424" w:rsidRPr="004A59B1" w:rsidRDefault="00841424" w:rsidP="009C1193">
      <w:pPr>
        <w:widowControl w:val="0"/>
        <w:tabs>
          <w:tab w:val="clear" w:pos="567"/>
        </w:tabs>
        <w:spacing w:line="240" w:lineRule="auto"/>
        <w:rPr>
          <w:color w:val="000000"/>
          <w:szCs w:val="22"/>
          <w:lang w:val="pl-PL"/>
        </w:rPr>
      </w:pPr>
    </w:p>
    <w:p w14:paraId="5297A5BA" w14:textId="77777777" w:rsidR="00841424" w:rsidRPr="004A59B1" w:rsidRDefault="00841424" w:rsidP="009C1193">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noProof/>
          <w:color w:val="000000"/>
          <w:lang w:val="pl-PL"/>
        </w:rPr>
      </w:pPr>
      <w:r w:rsidRPr="004A59B1">
        <w:rPr>
          <w:b/>
          <w:noProof/>
          <w:color w:val="000000"/>
          <w:lang w:val="pl-PL"/>
        </w:rPr>
        <w:t>5.</w:t>
      </w:r>
      <w:r w:rsidRPr="004A59B1">
        <w:rPr>
          <w:b/>
          <w:noProof/>
          <w:color w:val="000000"/>
          <w:lang w:val="pl-PL"/>
        </w:rPr>
        <w:tab/>
        <w:t>DRUGI PODATKI</w:t>
      </w:r>
    </w:p>
    <w:p w14:paraId="5297A5BB" w14:textId="77777777" w:rsidR="00841424" w:rsidRPr="004A59B1" w:rsidRDefault="00841424" w:rsidP="009C1193">
      <w:pPr>
        <w:widowControl w:val="0"/>
        <w:tabs>
          <w:tab w:val="clear" w:pos="567"/>
        </w:tabs>
        <w:spacing w:line="240" w:lineRule="auto"/>
        <w:rPr>
          <w:color w:val="000000"/>
          <w:szCs w:val="22"/>
          <w:lang w:val="pl-PL"/>
        </w:rPr>
      </w:pPr>
    </w:p>
    <w:p w14:paraId="5297A5BC" w14:textId="77777777" w:rsidR="00841424" w:rsidRPr="004A59B1" w:rsidRDefault="00841424" w:rsidP="009C1193">
      <w:pPr>
        <w:widowControl w:val="0"/>
        <w:tabs>
          <w:tab w:val="clear" w:pos="567"/>
        </w:tabs>
        <w:spacing w:line="240" w:lineRule="auto"/>
        <w:rPr>
          <w:color w:val="000000"/>
          <w:szCs w:val="22"/>
          <w:lang w:val="pl-PL"/>
        </w:rPr>
      </w:pPr>
    </w:p>
    <w:p w14:paraId="5297A5BD" w14:textId="77777777" w:rsidR="00841424" w:rsidRPr="004A59B1" w:rsidRDefault="00841424" w:rsidP="009C1193">
      <w:pPr>
        <w:widowControl w:val="0"/>
        <w:tabs>
          <w:tab w:val="clear" w:pos="567"/>
        </w:tabs>
        <w:spacing w:line="240" w:lineRule="auto"/>
        <w:rPr>
          <w:color w:val="000000"/>
          <w:szCs w:val="22"/>
          <w:lang w:val="pl-PL"/>
        </w:rPr>
      </w:pPr>
      <w:r w:rsidRPr="004A59B1">
        <w:rPr>
          <w:b/>
          <w:color w:val="000000"/>
          <w:szCs w:val="22"/>
          <w:lang w:val="pl-PL"/>
        </w:rPr>
        <w:br w:type="page"/>
      </w:r>
    </w:p>
    <w:p w14:paraId="5297A5BE" w14:textId="77777777" w:rsidR="00841424" w:rsidRPr="004A59B1" w:rsidRDefault="00841424" w:rsidP="009C1193">
      <w:pPr>
        <w:widowControl w:val="0"/>
        <w:tabs>
          <w:tab w:val="clear" w:pos="567"/>
        </w:tabs>
        <w:spacing w:line="240" w:lineRule="auto"/>
        <w:rPr>
          <w:color w:val="000000"/>
          <w:szCs w:val="22"/>
          <w:lang w:val="pl-PL"/>
        </w:rPr>
      </w:pPr>
    </w:p>
    <w:p w14:paraId="5297A5BF" w14:textId="77777777" w:rsidR="00841424" w:rsidRPr="004A59B1" w:rsidRDefault="00841424" w:rsidP="009C1193">
      <w:pPr>
        <w:widowControl w:val="0"/>
        <w:tabs>
          <w:tab w:val="clear" w:pos="567"/>
        </w:tabs>
        <w:spacing w:line="240" w:lineRule="auto"/>
        <w:rPr>
          <w:color w:val="000000"/>
          <w:szCs w:val="22"/>
          <w:lang w:val="pl-PL"/>
        </w:rPr>
      </w:pPr>
    </w:p>
    <w:p w14:paraId="5297A5C0" w14:textId="77777777" w:rsidR="00841424" w:rsidRPr="004A59B1" w:rsidRDefault="00841424" w:rsidP="009C1193">
      <w:pPr>
        <w:widowControl w:val="0"/>
        <w:tabs>
          <w:tab w:val="clear" w:pos="567"/>
        </w:tabs>
        <w:spacing w:line="240" w:lineRule="auto"/>
        <w:rPr>
          <w:color w:val="000000"/>
          <w:szCs w:val="22"/>
          <w:lang w:val="pl-PL"/>
        </w:rPr>
      </w:pPr>
    </w:p>
    <w:p w14:paraId="5297A5C1" w14:textId="77777777" w:rsidR="00841424" w:rsidRPr="004A59B1" w:rsidRDefault="00841424" w:rsidP="009C1193">
      <w:pPr>
        <w:widowControl w:val="0"/>
        <w:tabs>
          <w:tab w:val="clear" w:pos="567"/>
        </w:tabs>
        <w:spacing w:line="240" w:lineRule="auto"/>
        <w:rPr>
          <w:color w:val="000000"/>
          <w:szCs w:val="22"/>
          <w:lang w:val="pl-PL"/>
        </w:rPr>
      </w:pPr>
    </w:p>
    <w:p w14:paraId="5297A5C2" w14:textId="77777777" w:rsidR="00841424" w:rsidRPr="004A59B1" w:rsidRDefault="00841424" w:rsidP="009C1193">
      <w:pPr>
        <w:widowControl w:val="0"/>
        <w:tabs>
          <w:tab w:val="clear" w:pos="567"/>
        </w:tabs>
        <w:spacing w:line="240" w:lineRule="auto"/>
        <w:rPr>
          <w:color w:val="000000"/>
          <w:szCs w:val="22"/>
          <w:lang w:val="pl-PL"/>
        </w:rPr>
      </w:pPr>
    </w:p>
    <w:p w14:paraId="5297A5C3" w14:textId="77777777" w:rsidR="00841424" w:rsidRPr="004A59B1" w:rsidRDefault="00841424" w:rsidP="009C1193">
      <w:pPr>
        <w:widowControl w:val="0"/>
        <w:tabs>
          <w:tab w:val="clear" w:pos="567"/>
        </w:tabs>
        <w:spacing w:line="240" w:lineRule="auto"/>
        <w:rPr>
          <w:color w:val="000000"/>
          <w:szCs w:val="22"/>
          <w:lang w:val="pl-PL"/>
        </w:rPr>
      </w:pPr>
    </w:p>
    <w:p w14:paraId="5297A5C4" w14:textId="77777777" w:rsidR="00841424" w:rsidRPr="004A59B1" w:rsidRDefault="00841424" w:rsidP="009C1193">
      <w:pPr>
        <w:widowControl w:val="0"/>
        <w:tabs>
          <w:tab w:val="clear" w:pos="567"/>
        </w:tabs>
        <w:spacing w:line="240" w:lineRule="auto"/>
        <w:rPr>
          <w:color w:val="000000"/>
          <w:szCs w:val="22"/>
          <w:lang w:val="pl-PL"/>
        </w:rPr>
      </w:pPr>
    </w:p>
    <w:p w14:paraId="5297A5C5" w14:textId="77777777" w:rsidR="00841424" w:rsidRPr="004A59B1" w:rsidRDefault="00841424" w:rsidP="009C1193">
      <w:pPr>
        <w:widowControl w:val="0"/>
        <w:tabs>
          <w:tab w:val="clear" w:pos="567"/>
        </w:tabs>
        <w:spacing w:line="240" w:lineRule="auto"/>
        <w:rPr>
          <w:color w:val="000000"/>
          <w:szCs w:val="22"/>
          <w:lang w:val="pl-PL"/>
        </w:rPr>
      </w:pPr>
    </w:p>
    <w:p w14:paraId="5297A5C6" w14:textId="77777777" w:rsidR="00841424" w:rsidRPr="004A59B1" w:rsidRDefault="00841424" w:rsidP="009C1193">
      <w:pPr>
        <w:pStyle w:val="EndnoteText"/>
        <w:widowControl w:val="0"/>
        <w:tabs>
          <w:tab w:val="clear" w:pos="567"/>
        </w:tabs>
        <w:rPr>
          <w:color w:val="000000"/>
          <w:szCs w:val="22"/>
          <w:lang w:val="pl-PL"/>
        </w:rPr>
      </w:pPr>
    </w:p>
    <w:p w14:paraId="5297A5C7" w14:textId="77777777" w:rsidR="00841424" w:rsidRPr="004A59B1" w:rsidRDefault="00841424" w:rsidP="009C1193">
      <w:pPr>
        <w:widowControl w:val="0"/>
        <w:tabs>
          <w:tab w:val="clear" w:pos="567"/>
        </w:tabs>
        <w:spacing w:line="240" w:lineRule="auto"/>
        <w:rPr>
          <w:color w:val="000000"/>
          <w:szCs w:val="22"/>
          <w:lang w:val="pl-PL"/>
        </w:rPr>
      </w:pPr>
    </w:p>
    <w:p w14:paraId="5297A5C8" w14:textId="77777777" w:rsidR="00841424" w:rsidRPr="004A59B1" w:rsidRDefault="00841424" w:rsidP="009C1193">
      <w:pPr>
        <w:widowControl w:val="0"/>
        <w:tabs>
          <w:tab w:val="clear" w:pos="567"/>
        </w:tabs>
        <w:spacing w:line="240" w:lineRule="auto"/>
        <w:rPr>
          <w:color w:val="000000"/>
          <w:szCs w:val="22"/>
          <w:lang w:val="pl-PL"/>
        </w:rPr>
      </w:pPr>
    </w:p>
    <w:p w14:paraId="5297A5C9" w14:textId="77777777" w:rsidR="00841424" w:rsidRPr="004A59B1" w:rsidRDefault="00841424" w:rsidP="009C1193">
      <w:pPr>
        <w:widowControl w:val="0"/>
        <w:tabs>
          <w:tab w:val="clear" w:pos="567"/>
        </w:tabs>
        <w:spacing w:line="240" w:lineRule="auto"/>
        <w:rPr>
          <w:color w:val="000000"/>
          <w:szCs w:val="22"/>
          <w:lang w:val="pl-PL"/>
        </w:rPr>
      </w:pPr>
    </w:p>
    <w:p w14:paraId="5297A5CA" w14:textId="77777777" w:rsidR="00841424" w:rsidRPr="004A59B1" w:rsidRDefault="00841424" w:rsidP="009C1193">
      <w:pPr>
        <w:widowControl w:val="0"/>
        <w:tabs>
          <w:tab w:val="clear" w:pos="567"/>
        </w:tabs>
        <w:spacing w:line="240" w:lineRule="auto"/>
        <w:rPr>
          <w:color w:val="000000"/>
          <w:szCs w:val="22"/>
          <w:lang w:val="pl-PL"/>
        </w:rPr>
      </w:pPr>
    </w:p>
    <w:p w14:paraId="5297A5CB" w14:textId="77777777" w:rsidR="00841424" w:rsidRPr="004A59B1" w:rsidRDefault="00841424" w:rsidP="009C1193">
      <w:pPr>
        <w:widowControl w:val="0"/>
        <w:tabs>
          <w:tab w:val="clear" w:pos="567"/>
        </w:tabs>
        <w:spacing w:line="240" w:lineRule="auto"/>
        <w:rPr>
          <w:color w:val="000000"/>
          <w:szCs w:val="22"/>
          <w:lang w:val="pl-PL"/>
        </w:rPr>
      </w:pPr>
    </w:p>
    <w:p w14:paraId="5297A5CC" w14:textId="77777777" w:rsidR="00841424" w:rsidRPr="004A59B1" w:rsidRDefault="00841424" w:rsidP="009C1193">
      <w:pPr>
        <w:widowControl w:val="0"/>
        <w:tabs>
          <w:tab w:val="clear" w:pos="567"/>
        </w:tabs>
        <w:spacing w:line="240" w:lineRule="auto"/>
        <w:rPr>
          <w:color w:val="000000"/>
          <w:szCs w:val="22"/>
          <w:lang w:val="pl-PL"/>
        </w:rPr>
      </w:pPr>
    </w:p>
    <w:p w14:paraId="5297A5CD" w14:textId="77777777" w:rsidR="00841424" w:rsidRPr="004A59B1" w:rsidRDefault="00841424" w:rsidP="009C1193">
      <w:pPr>
        <w:widowControl w:val="0"/>
        <w:tabs>
          <w:tab w:val="clear" w:pos="567"/>
        </w:tabs>
        <w:spacing w:line="240" w:lineRule="auto"/>
        <w:rPr>
          <w:color w:val="000000"/>
          <w:szCs w:val="22"/>
          <w:lang w:val="pl-PL"/>
        </w:rPr>
      </w:pPr>
    </w:p>
    <w:p w14:paraId="5297A5CE" w14:textId="77777777" w:rsidR="00841424" w:rsidRPr="004A59B1" w:rsidRDefault="00841424" w:rsidP="009C1193">
      <w:pPr>
        <w:widowControl w:val="0"/>
        <w:tabs>
          <w:tab w:val="clear" w:pos="567"/>
        </w:tabs>
        <w:spacing w:line="240" w:lineRule="auto"/>
        <w:rPr>
          <w:color w:val="000000"/>
          <w:szCs w:val="22"/>
          <w:lang w:val="pl-PL"/>
        </w:rPr>
      </w:pPr>
    </w:p>
    <w:p w14:paraId="5297A5CF" w14:textId="77777777" w:rsidR="00841424" w:rsidRPr="004A59B1" w:rsidRDefault="00841424" w:rsidP="009C1193">
      <w:pPr>
        <w:widowControl w:val="0"/>
        <w:tabs>
          <w:tab w:val="clear" w:pos="567"/>
        </w:tabs>
        <w:spacing w:line="240" w:lineRule="auto"/>
        <w:rPr>
          <w:color w:val="000000"/>
          <w:szCs w:val="22"/>
          <w:lang w:val="pl-PL"/>
        </w:rPr>
      </w:pPr>
    </w:p>
    <w:p w14:paraId="5297A5D0" w14:textId="77777777" w:rsidR="00841424" w:rsidRDefault="00841424" w:rsidP="009C1193">
      <w:pPr>
        <w:widowControl w:val="0"/>
        <w:tabs>
          <w:tab w:val="clear" w:pos="567"/>
        </w:tabs>
        <w:spacing w:line="240" w:lineRule="auto"/>
        <w:rPr>
          <w:color w:val="000000"/>
          <w:szCs w:val="22"/>
          <w:lang w:val="pl-PL"/>
        </w:rPr>
      </w:pPr>
    </w:p>
    <w:p w14:paraId="5297A5D1" w14:textId="77777777" w:rsidR="000A6242" w:rsidRPr="004A59B1" w:rsidRDefault="000A6242" w:rsidP="009C1193">
      <w:pPr>
        <w:widowControl w:val="0"/>
        <w:tabs>
          <w:tab w:val="clear" w:pos="567"/>
        </w:tabs>
        <w:spacing w:line="240" w:lineRule="auto"/>
        <w:rPr>
          <w:color w:val="000000"/>
          <w:szCs w:val="22"/>
          <w:lang w:val="pl-PL"/>
        </w:rPr>
      </w:pPr>
    </w:p>
    <w:p w14:paraId="5297A5D2" w14:textId="77777777" w:rsidR="00841424" w:rsidRPr="004A59B1" w:rsidRDefault="00841424" w:rsidP="009C1193">
      <w:pPr>
        <w:widowControl w:val="0"/>
        <w:tabs>
          <w:tab w:val="clear" w:pos="567"/>
        </w:tabs>
        <w:spacing w:line="240" w:lineRule="auto"/>
        <w:rPr>
          <w:color w:val="000000"/>
          <w:szCs w:val="22"/>
          <w:lang w:val="pl-PL"/>
        </w:rPr>
      </w:pPr>
    </w:p>
    <w:p w14:paraId="5297A5D3" w14:textId="77777777" w:rsidR="00841424" w:rsidRPr="004A59B1" w:rsidRDefault="00841424" w:rsidP="009C1193">
      <w:pPr>
        <w:widowControl w:val="0"/>
        <w:tabs>
          <w:tab w:val="clear" w:pos="567"/>
        </w:tabs>
        <w:spacing w:line="240" w:lineRule="auto"/>
        <w:rPr>
          <w:color w:val="000000"/>
          <w:szCs w:val="22"/>
          <w:lang w:val="pl-PL"/>
        </w:rPr>
      </w:pPr>
    </w:p>
    <w:p w14:paraId="5297A5D4" w14:textId="77777777" w:rsidR="00841424" w:rsidRPr="004A59B1" w:rsidRDefault="00841424" w:rsidP="009C1193">
      <w:pPr>
        <w:widowControl w:val="0"/>
        <w:tabs>
          <w:tab w:val="clear" w:pos="567"/>
        </w:tabs>
        <w:spacing w:line="240" w:lineRule="auto"/>
        <w:rPr>
          <w:color w:val="000000"/>
          <w:szCs w:val="22"/>
          <w:lang w:val="pl-PL"/>
        </w:rPr>
      </w:pPr>
    </w:p>
    <w:p w14:paraId="5297A5D5" w14:textId="77777777" w:rsidR="00841424" w:rsidRPr="004A59B1" w:rsidRDefault="00841424" w:rsidP="009C1193">
      <w:pPr>
        <w:widowControl w:val="0"/>
        <w:tabs>
          <w:tab w:val="clear" w:pos="567"/>
        </w:tabs>
        <w:spacing w:line="240" w:lineRule="auto"/>
        <w:jc w:val="center"/>
        <w:rPr>
          <w:color w:val="000000"/>
          <w:szCs w:val="22"/>
          <w:lang w:val="pl-PL"/>
        </w:rPr>
      </w:pPr>
      <w:r w:rsidRPr="004A59B1">
        <w:rPr>
          <w:b/>
          <w:color w:val="000000"/>
          <w:szCs w:val="22"/>
          <w:lang w:val="pl-PL"/>
        </w:rPr>
        <w:t>B. NAVODILO ZA UPORABO</w:t>
      </w:r>
    </w:p>
    <w:p w14:paraId="5297A761" w14:textId="77777777" w:rsidR="00841424" w:rsidRPr="004A59B1" w:rsidRDefault="00841424" w:rsidP="009C1193">
      <w:pPr>
        <w:widowControl w:val="0"/>
        <w:tabs>
          <w:tab w:val="clear" w:pos="567"/>
        </w:tabs>
        <w:spacing w:line="240" w:lineRule="auto"/>
        <w:jc w:val="center"/>
        <w:rPr>
          <w:color w:val="000000"/>
          <w:szCs w:val="22"/>
          <w:lang w:val="pl-PL"/>
        </w:rPr>
      </w:pPr>
      <w:r w:rsidRPr="004A59B1">
        <w:rPr>
          <w:b/>
          <w:color w:val="000000"/>
          <w:szCs w:val="22"/>
          <w:lang w:val="pl-PL"/>
        </w:rPr>
        <w:br w:type="page"/>
      </w:r>
      <w:r w:rsidR="002E508D" w:rsidRPr="004A59B1">
        <w:rPr>
          <w:b/>
          <w:color w:val="000000"/>
          <w:szCs w:val="22"/>
          <w:lang w:val="pl-PL"/>
        </w:rPr>
        <w:lastRenderedPageBreak/>
        <w:t>Navodilo za uporabo</w:t>
      </w:r>
    </w:p>
    <w:p w14:paraId="5297A762" w14:textId="77777777" w:rsidR="00841424" w:rsidRPr="004A59B1" w:rsidRDefault="00841424" w:rsidP="009C1193">
      <w:pPr>
        <w:widowControl w:val="0"/>
        <w:tabs>
          <w:tab w:val="clear" w:pos="567"/>
        </w:tabs>
        <w:spacing w:line="240" w:lineRule="auto"/>
        <w:jc w:val="center"/>
        <w:rPr>
          <w:bCs/>
          <w:color w:val="000000"/>
          <w:szCs w:val="22"/>
          <w:lang w:val="pl-PL"/>
        </w:rPr>
      </w:pPr>
    </w:p>
    <w:p w14:paraId="5297A763" w14:textId="77777777" w:rsidR="00841424" w:rsidRPr="004A59B1" w:rsidRDefault="00841424" w:rsidP="009C1193">
      <w:pPr>
        <w:widowControl w:val="0"/>
        <w:tabs>
          <w:tab w:val="clear" w:pos="567"/>
        </w:tabs>
        <w:spacing w:line="240" w:lineRule="auto"/>
        <w:jc w:val="center"/>
        <w:rPr>
          <w:b/>
          <w:bCs/>
          <w:color w:val="000000"/>
          <w:szCs w:val="22"/>
          <w:lang w:val="pl-PL"/>
        </w:rPr>
      </w:pPr>
      <w:r w:rsidRPr="004A59B1">
        <w:rPr>
          <w:b/>
          <w:bCs/>
          <w:color w:val="000000"/>
          <w:szCs w:val="22"/>
          <w:lang w:val="pl-PL"/>
        </w:rPr>
        <w:t>Glivec 100 mg trde kapsule</w:t>
      </w:r>
    </w:p>
    <w:p w14:paraId="5297A764" w14:textId="77777777" w:rsidR="00841424" w:rsidRPr="004A59B1" w:rsidRDefault="00841424" w:rsidP="009C1193">
      <w:pPr>
        <w:widowControl w:val="0"/>
        <w:tabs>
          <w:tab w:val="clear" w:pos="567"/>
        </w:tabs>
        <w:spacing w:line="240" w:lineRule="auto"/>
        <w:jc w:val="center"/>
        <w:rPr>
          <w:color w:val="000000"/>
          <w:szCs w:val="22"/>
          <w:lang w:val="pt-BR"/>
        </w:rPr>
      </w:pPr>
      <w:r w:rsidRPr="004A59B1">
        <w:rPr>
          <w:color w:val="000000"/>
          <w:szCs w:val="22"/>
          <w:lang w:val="pt-BR"/>
        </w:rPr>
        <w:t>imatinib</w:t>
      </w:r>
    </w:p>
    <w:p w14:paraId="5297A765" w14:textId="77777777" w:rsidR="00841424" w:rsidRPr="004A59B1" w:rsidRDefault="00841424" w:rsidP="009C1193">
      <w:pPr>
        <w:widowControl w:val="0"/>
        <w:tabs>
          <w:tab w:val="clear" w:pos="567"/>
        </w:tabs>
        <w:spacing w:line="240" w:lineRule="auto"/>
        <w:rPr>
          <w:color w:val="000000"/>
          <w:szCs w:val="22"/>
          <w:lang w:val="pt-BR"/>
        </w:rPr>
      </w:pPr>
    </w:p>
    <w:p w14:paraId="5297A766" w14:textId="77777777" w:rsidR="00D17DD1" w:rsidRPr="004A59B1" w:rsidRDefault="003B1E8C" w:rsidP="009C1193">
      <w:pPr>
        <w:widowControl w:val="0"/>
        <w:tabs>
          <w:tab w:val="clear" w:pos="567"/>
        </w:tabs>
        <w:spacing w:line="240" w:lineRule="auto"/>
        <w:rPr>
          <w:snapToGrid w:val="0"/>
          <w:lang w:val="sl-SI" w:eastAsia="zh-CN"/>
        </w:rPr>
      </w:pPr>
      <w:r w:rsidRPr="004A59B1">
        <w:rPr>
          <w:noProof/>
          <w:lang w:val="en-US"/>
        </w:rPr>
        <w:drawing>
          <wp:inline distT="0" distB="0" distL="0" distR="0" wp14:anchorId="5297AC3A" wp14:editId="5297AC3B">
            <wp:extent cx="201295" cy="173990"/>
            <wp:effectExtent l="0" t="0" r="0" b="0"/>
            <wp:docPr id="8" name="Picture 2"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remansk\AppData\Local\Microsoft\Windows\Temporary Internet Files\Content.Word\BT_1000x858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295" cy="173990"/>
                    </a:xfrm>
                    <a:prstGeom prst="rect">
                      <a:avLst/>
                    </a:prstGeom>
                    <a:noFill/>
                    <a:ln>
                      <a:noFill/>
                    </a:ln>
                  </pic:spPr>
                </pic:pic>
              </a:graphicData>
            </a:graphic>
          </wp:inline>
        </w:drawing>
      </w:r>
      <w:r w:rsidR="00D17DD1" w:rsidRPr="004A59B1">
        <w:rPr>
          <w:snapToGrid w:val="0"/>
          <w:szCs w:val="22"/>
          <w:lang w:val="sl-SI" w:eastAsia="zh-CN"/>
        </w:rPr>
        <w:t>Za to zdravilo se izvaja dodatno spremljanje varnosti. Tako bodo hitreje na voljo nove informacije o njegovi varnosti. Tudi sami lahko k temu prispevate tako, da poročate o katerem koli neželenem učinku zdravila, ki bi se utegnil pojaviti pri vas. Glejte na koncu poglavja 4, kako poročati o neželenih učinkih.</w:t>
      </w:r>
    </w:p>
    <w:p w14:paraId="5297A767" w14:textId="77777777" w:rsidR="00841424" w:rsidRPr="004A59B1" w:rsidRDefault="00841424" w:rsidP="009C1193">
      <w:pPr>
        <w:widowControl w:val="0"/>
        <w:tabs>
          <w:tab w:val="clear" w:pos="567"/>
        </w:tabs>
        <w:spacing w:line="240" w:lineRule="auto"/>
        <w:rPr>
          <w:color w:val="000000"/>
          <w:szCs w:val="22"/>
          <w:lang w:val="pt-BR"/>
        </w:rPr>
      </w:pPr>
    </w:p>
    <w:p w14:paraId="5297A768" w14:textId="77777777" w:rsidR="007B1033" w:rsidRPr="004A59B1" w:rsidRDefault="007B1033" w:rsidP="009C1193">
      <w:pPr>
        <w:widowControl w:val="0"/>
        <w:tabs>
          <w:tab w:val="clear" w:pos="567"/>
        </w:tabs>
        <w:spacing w:line="240" w:lineRule="auto"/>
        <w:ind w:right="-2"/>
        <w:rPr>
          <w:color w:val="000000"/>
          <w:szCs w:val="22"/>
          <w:lang w:val="pl-PL"/>
        </w:rPr>
      </w:pPr>
      <w:r w:rsidRPr="004A59B1">
        <w:rPr>
          <w:b/>
          <w:color w:val="000000"/>
          <w:szCs w:val="22"/>
          <w:lang w:val="pl-PL"/>
        </w:rPr>
        <w:t xml:space="preserve">Pred začetkom </w:t>
      </w:r>
      <w:r w:rsidR="00346403" w:rsidRPr="004A59B1">
        <w:rPr>
          <w:b/>
          <w:color w:val="000000"/>
          <w:szCs w:val="22"/>
          <w:lang w:val="pl-PL"/>
        </w:rPr>
        <w:t>jemanja</w:t>
      </w:r>
      <w:r w:rsidRPr="004A59B1">
        <w:rPr>
          <w:b/>
          <w:color w:val="000000"/>
          <w:szCs w:val="22"/>
          <w:lang w:val="pl-PL"/>
        </w:rPr>
        <w:t xml:space="preserve"> zdravila natančno preberite navodilo</w:t>
      </w:r>
      <w:r w:rsidRPr="004A59B1">
        <w:rPr>
          <w:b/>
          <w:color w:val="000000"/>
          <w:szCs w:val="22"/>
          <w:lang w:val="sl-SI"/>
        </w:rPr>
        <w:t>, ker vsebuje za vas pomembne podatke</w:t>
      </w:r>
      <w:r w:rsidRPr="004A59B1">
        <w:rPr>
          <w:b/>
          <w:color w:val="000000"/>
          <w:szCs w:val="22"/>
          <w:lang w:val="pl-PL"/>
        </w:rPr>
        <w:t>!</w:t>
      </w:r>
    </w:p>
    <w:p w14:paraId="5297A769" w14:textId="77777777" w:rsidR="007B1033" w:rsidRPr="004A59B1" w:rsidRDefault="007B1033" w:rsidP="009C1193">
      <w:pPr>
        <w:widowControl w:val="0"/>
        <w:numPr>
          <w:ilvl w:val="0"/>
          <w:numId w:val="1"/>
        </w:numPr>
        <w:tabs>
          <w:tab w:val="clear" w:pos="567"/>
        </w:tabs>
        <w:spacing w:line="240" w:lineRule="auto"/>
        <w:ind w:left="567" w:right="-2" w:hanging="567"/>
        <w:rPr>
          <w:color w:val="000000"/>
          <w:szCs w:val="22"/>
          <w:lang w:val="it-IT"/>
        </w:rPr>
      </w:pPr>
      <w:r w:rsidRPr="004A59B1">
        <w:rPr>
          <w:color w:val="000000"/>
          <w:szCs w:val="22"/>
          <w:lang w:val="it-IT"/>
        </w:rPr>
        <w:t>Navodilo shranite. Morda ga boste želeli ponovno prebrati.</w:t>
      </w:r>
    </w:p>
    <w:p w14:paraId="5297A76A" w14:textId="77777777" w:rsidR="007B1033" w:rsidRPr="004A59B1" w:rsidRDefault="007B1033" w:rsidP="009C1193">
      <w:pPr>
        <w:widowControl w:val="0"/>
        <w:numPr>
          <w:ilvl w:val="0"/>
          <w:numId w:val="1"/>
        </w:numPr>
        <w:tabs>
          <w:tab w:val="clear" w:pos="567"/>
        </w:tabs>
        <w:spacing w:line="240" w:lineRule="auto"/>
        <w:ind w:left="567" w:right="-2" w:hanging="567"/>
        <w:rPr>
          <w:color w:val="000000"/>
          <w:szCs w:val="22"/>
          <w:lang w:val="it-IT"/>
        </w:rPr>
      </w:pPr>
      <w:r w:rsidRPr="004A59B1">
        <w:rPr>
          <w:color w:val="000000"/>
          <w:szCs w:val="22"/>
          <w:lang w:val="it-IT"/>
        </w:rPr>
        <w:t xml:space="preserve">Če imate dodatna vprašanja, se posvetujte </w:t>
      </w:r>
      <w:r w:rsidR="00346403" w:rsidRPr="004A59B1">
        <w:rPr>
          <w:color w:val="000000"/>
          <w:szCs w:val="22"/>
          <w:lang w:val="it-IT"/>
        </w:rPr>
        <w:t>z</w:t>
      </w:r>
      <w:r w:rsidRPr="004A59B1">
        <w:rPr>
          <w:noProof/>
          <w:color w:val="000000"/>
          <w:lang w:val="sl-SI"/>
        </w:rPr>
        <w:t xml:space="preserve"> </w:t>
      </w:r>
      <w:r w:rsidRPr="004A59B1">
        <w:rPr>
          <w:color w:val="000000"/>
          <w:szCs w:val="22"/>
          <w:lang w:val="it-IT"/>
        </w:rPr>
        <w:t>zdravnikom, farmacevtom ali medicinsko sestro.</w:t>
      </w:r>
    </w:p>
    <w:p w14:paraId="5297A76B" w14:textId="77777777" w:rsidR="007B1033" w:rsidRPr="004A59B1" w:rsidRDefault="007B1033" w:rsidP="009C1193">
      <w:pPr>
        <w:widowControl w:val="0"/>
        <w:numPr>
          <w:ilvl w:val="0"/>
          <w:numId w:val="1"/>
        </w:numPr>
        <w:tabs>
          <w:tab w:val="clear" w:pos="567"/>
        </w:tabs>
        <w:spacing w:line="240" w:lineRule="auto"/>
        <w:ind w:left="567" w:right="-2" w:hanging="567"/>
        <w:rPr>
          <w:color w:val="000000"/>
          <w:szCs w:val="22"/>
          <w:lang w:val="it-IT"/>
        </w:rPr>
      </w:pPr>
      <w:r w:rsidRPr="004A59B1">
        <w:rPr>
          <w:color w:val="000000"/>
          <w:szCs w:val="22"/>
          <w:lang w:val="it-IT"/>
        </w:rPr>
        <w:t xml:space="preserve">Zdravilo je bilo predpisano vam osebno in </w:t>
      </w:r>
      <w:r w:rsidRPr="004A59B1">
        <w:rPr>
          <w:snapToGrid w:val="0"/>
          <w:color w:val="000000"/>
          <w:szCs w:val="22"/>
          <w:lang w:val="it-IT"/>
        </w:rPr>
        <w:t>ga ne smete dajati drugim. Njim bi lahko celo škodovalo, čeprav imajo znake bolezni, podobne vašim</w:t>
      </w:r>
      <w:r w:rsidRPr="004A59B1">
        <w:rPr>
          <w:color w:val="000000"/>
          <w:szCs w:val="22"/>
          <w:lang w:val="it-IT"/>
        </w:rPr>
        <w:t>.</w:t>
      </w:r>
    </w:p>
    <w:p w14:paraId="5297A76C" w14:textId="77777777" w:rsidR="007B1033" w:rsidRPr="004A59B1" w:rsidRDefault="007B1033" w:rsidP="009C1193">
      <w:pPr>
        <w:widowControl w:val="0"/>
        <w:numPr>
          <w:ilvl w:val="0"/>
          <w:numId w:val="1"/>
        </w:numPr>
        <w:tabs>
          <w:tab w:val="clear" w:pos="567"/>
        </w:tabs>
        <w:spacing w:line="240" w:lineRule="auto"/>
        <w:ind w:left="567" w:right="-2" w:hanging="567"/>
        <w:rPr>
          <w:color w:val="000000"/>
          <w:szCs w:val="22"/>
          <w:lang w:val="it-IT"/>
        </w:rPr>
      </w:pPr>
      <w:r w:rsidRPr="004A59B1">
        <w:rPr>
          <w:color w:val="000000"/>
          <w:szCs w:val="22"/>
          <w:lang w:val="it-IT"/>
        </w:rPr>
        <w:t xml:space="preserve">Če opazite kateri koli neželeni učinek, se posvetujte </w:t>
      </w:r>
      <w:r w:rsidR="00346403" w:rsidRPr="004A59B1">
        <w:rPr>
          <w:color w:val="000000"/>
          <w:szCs w:val="22"/>
          <w:lang w:val="it-IT"/>
        </w:rPr>
        <w:t>z</w:t>
      </w:r>
      <w:r w:rsidRPr="004A59B1">
        <w:rPr>
          <w:color w:val="000000"/>
          <w:szCs w:val="22"/>
          <w:lang w:val="it-IT"/>
        </w:rPr>
        <w:t xml:space="preserve"> zdravnikom, farmacevtom ali medicinsko sestro. Posvetujte se tudi, če opazite katere koli neželene učinke, ki niso navedeni v tem navodilu.</w:t>
      </w:r>
      <w:r w:rsidR="00346403" w:rsidRPr="004A59B1">
        <w:rPr>
          <w:color w:val="000000"/>
          <w:szCs w:val="22"/>
          <w:lang w:val="it-IT"/>
        </w:rPr>
        <w:t xml:space="preserve"> Glejte poglavje 4.</w:t>
      </w:r>
    </w:p>
    <w:p w14:paraId="5297A76D" w14:textId="77777777" w:rsidR="007B1033" w:rsidRPr="004A59B1" w:rsidRDefault="007B1033" w:rsidP="009C1193">
      <w:pPr>
        <w:widowControl w:val="0"/>
        <w:tabs>
          <w:tab w:val="clear" w:pos="567"/>
        </w:tabs>
        <w:spacing w:line="240" w:lineRule="auto"/>
        <w:rPr>
          <w:color w:val="000000"/>
          <w:szCs w:val="22"/>
          <w:lang w:val="it-IT"/>
        </w:rPr>
      </w:pPr>
    </w:p>
    <w:p w14:paraId="5297A76E" w14:textId="77777777" w:rsidR="007B1033" w:rsidRPr="004A59B1" w:rsidRDefault="007B1033" w:rsidP="009C1193">
      <w:pPr>
        <w:widowControl w:val="0"/>
        <w:numPr>
          <w:ilvl w:val="12"/>
          <w:numId w:val="0"/>
        </w:numPr>
        <w:tabs>
          <w:tab w:val="clear" w:pos="567"/>
        </w:tabs>
        <w:spacing w:line="240" w:lineRule="auto"/>
        <w:ind w:right="-2"/>
        <w:rPr>
          <w:color w:val="000000"/>
          <w:szCs w:val="22"/>
          <w:lang w:val="it-IT"/>
        </w:rPr>
      </w:pPr>
    </w:p>
    <w:p w14:paraId="5297A76F" w14:textId="77777777" w:rsidR="007B1033" w:rsidRPr="004A59B1" w:rsidRDefault="007B1033" w:rsidP="005B2939">
      <w:pPr>
        <w:keepNext/>
        <w:widowControl w:val="0"/>
        <w:numPr>
          <w:ilvl w:val="12"/>
          <w:numId w:val="0"/>
        </w:numPr>
        <w:tabs>
          <w:tab w:val="clear" w:pos="567"/>
        </w:tabs>
        <w:spacing w:line="240" w:lineRule="auto"/>
        <w:ind w:right="-2"/>
        <w:rPr>
          <w:color w:val="000000"/>
          <w:szCs w:val="22"/>
          <w:lang w:val="it-IT"/>
        </w:rPr>
      </w:pPr>
      <w:r w:rsidRPr="004A59B1">
        <w:rPr>
          <w:b/>
          <w:color w:val="000000"/>
          <w:szCs w:val="22"/>
          <w:lang w:val="it-IT"/>
        </w:rPr>
        <w:t>Kaj vsebuje navodilo</w:t>
      </w:r>
    </w:p>
    <w:p w14:paraId="5297A770" w14:textId="77777777" w:rsidR="007B1033" w:rsidRPr="004A59B1" w:rsidRDefault="007B1033" w:rsidP="005B2939">
      <w:pPr>
        <w:keepNext/>
        <w:widowControl w:val="0"/>
        <w:numPr>
          <w:ilvl w:val="12"/>
          <w:numId w:val="0"/>
        </w:numPr>
        <w:tabs>
          <w:tab w:val="clear" w:pos="567"/>
        </w:tabs>
        <w:spacing w:line="240" w:lineRule="auto"/>
        <w:ind w:right="-29"/>
        <w:rPr>
          <w:color w:val="000000"/>
          <w:szCs w:val="22"/>
          <w:lang w:val="it-IT"/>
        </w:rPr>
      </w:pPr>
      <w:r w:rsidRPr="004A59B1">
        <w:rPr>
          <w:color w:val="000000"/>
          <w:szCs w:val="22"/>
          <w:lang w:val="it-IT"/>
        </w:rPr>
        <w:t>1.</w:t>
      </w:r>
      <w:r w:rsidRPr="004A59B1">
        <w:rPr>
          <w:color w:val="000000"/>
          <w:szCs w:val="22"/>
          <w:lang w:val="it-IT"/>
        </w:rPr>
        <w:tab/>
        <w:t>Kaj je zdravilo Glivec in za kaj ga uporabljamo</w:t>
      </w:r>
    </w:p>
    <w:p w14:paraId="5297A771" w14:textId="77777777" w:rsidR="007B1033" w:rsidRPr="004A59B1" w:rsidRDefault="007B1033" w:rsidP="005B2939">
      <w:pPr>
        <w:keepNext/>
        <w:widowControl w:val="0"/>
        <w:numPr>
          <w:ilvl w:val="12"/>
          <w:numId w:val="0"/>
        </w:numPr>
        <w:tabs>
          <w:tab w:val="clear" w:pos="567"/>
        </w:tabs>
        <w:spacing w:line="240" w:lineRule="auto"/>
        <w:ind w:right="-29"/>
        <w:rPr>
          <w:color w:val="000000"/>
          <w:szCs w:val="22"/>
          <w:lang w:val="it-IT"/>
        </w:rPr>
      </w:pPr>
      <w:r w:rsidRPr="004A59B1">
        <w:rPr>
          <w:color w:val="000000"/>
          <w:szCs w:val="22"/>
          <w:lang w:val="it-IT"/>
        </w:rPr>
        <w:t>2.</w:t>
      </w:r>
      <w:r w:rsidRPr="004A59B1">
        <w:rPr>
          <w:color w:val="000000"/>
          <w:szCs w:val="22"/>
          <w:lang w:val="it-IT"/>
        </w:rPr>
        <w:tab/>
        <w:t>Kaj morate vedeti, preden boste vzeli zdravilo Glivec</w:t>
      </w:r>
    </w:p>
    <w:p w14:paraId="5297A772" w14:textId="77777777" w:rsidR="007B1033" w:rsidRPr="004A59B1" w:rsidRDefault="007B1033" w:rsidP="005B2939">
      <w:pPr>
        <w:keepNext/>
        <w:widowControl w:val="0"/>
        <w:numPr>
          <w:ilvl w:val="12"/>
          <w:numId w:val="0"/>
        </w:numPr>
        <w:tabs>
          <w:tab w:val="clear" w:pos="567"/>
        </w:tabs>
        <w:spacing w:line="240" w:lineRule="auto"/>
        <w:ind w:right="-29"/>
        <w:rPr>
          <w:color w:val="000000"/>
          <w:szCs w:val="22"/>
          <w:lang w:val="it-IT"/>
        </w:rPr>
      </w:pPr>
      <w:r w:rsidRPr="004A59B1">
        <w:rPr>
          <w:color w:val="000000"/>
          <w:szCs w:val="22"/>
          <w:lang w:val="it-IT"/>
        </w:rPr>
        <w:t>3.</w:t>
      </w:r>
      <w:r w:rsidRPr="004A59B1">
        <w:rPr>
          <w:color w:val="000000"/>
          <w:szCs w:val="22"/>
          <w:lang w:val="it-IT"/>
        </w:rPr>
        <w:tab/>
        <w:t>Kako jemati zdravilo Glivec</w:t>
      </w:r>
    </w:p>
    <w:p w14:paraId="5297A773" w14:textId="77777777" w:rsidR="007B1033" w:rsidRPr="004A59B1" w:rsidRDefault="007B1033" w:rsidP="005B2939">
      <w:pPr>
        <w:keepNext/>
        <w:widowControl w:val="0"/>
        <w:numPr>
          <w:ilvl w:val="12"/>
          <w:numId w:val="0"/>
        </w:numPr>
        <w:tabs>
          <w:tab w:val="clear" w:pos="567"/>
        </w:tabs>
        <w:spacing w:line="240" w:lineRule="auto"/>
        <w:ind w:right="-29"/>
        <w:rPr>
          <w:color w:val="000000"/>
          <w:szCs w:val="22"/>
          <w:lang w:val="it-IT"/>
        </w:rPr>
      </w:pPr>
      <w:r w:rsidRPr="004A59B1">
        <w:rPr>
          <w:color w:val="000000"/>
          <w:szCs w:val="22"/>
          <w:lang w:val="it-IT"/>
        </w:rPr>
        <w:t>4.</w:t>
      </w:r>
      <w:r w:rsidRPr="004A59B1">
        <w:rPr>
          <w:color w:val="000000"/>
          <w:szCs w:val="22"/>
          <w:lang w:val="it-IT"/>
        </w:rPr>
        <w:tab/>
        <w:t>Možni neželeni učinki</w:t>
      </w:r>
    </w:p>
    <w:p w14:paraId="5297A774" w14:textId="77777777" w:rsidR="007B1033" w:rsidRPr="004A59B1" w:rsidRDefault="007B1033" w:rsidP="005B2939">
      <w:pPr>
        <w:keepNext/>
        <w:widowControl w:val="0"/>
        <w:tabs>
          <w:tab w:val="clear" w:pos="567"/>
        </w:tabs>
        <w:spacing w:line="240" w:lineRule="auto"/>
        <w:ind w:right="-29"/>
        <w:rPr>
          <w:color w:val="000000"/>
          <w:szCs w:val="22"/>
          <w:lang w:val="it-IT"/>
        </w:rPr>
      </w:pPr>
      <w:r w:rsidRPr="004A59B1">
        <w:rPr>
          <w:color w:val="000000"/>
          <w:szCs w:val="22"/>
          <w:lang w:val="it-IT"/>
        </w:rPr>
        <w:t>5.</w:t>
      </w:r>
      <w:r w:rsidRPr="004A59B1">
        <w:rPr>
          <w:color w:val="000000"/>
          <w:szCs w:val="22"/>
          <w:lang w:val="it-IT"/>
        </w:rPr>
        <w:tab/>
        <w:t>Shranjevanje zdravila Glivec</w:t>
      </w:r>
    </w:p>
    <w:p w14:paraId="5297A775" w14:textId="77777777" w:rsidR="007B1033" w:rsidRPr="004A59B1" w:rsidRDefault="007B1033" w:rsidP="009C1193">
      <w:pPr>
        <w:widowControl w:val="0"/>
        <w:tabs>
          <w:tab w:val="clear" w:pos="567"/>
        </w:tabs>
        <w:spacing w:line="240" w:lineRule="auto"/>
        <w:ind w:right="-29"/>
        <w:rPr>
          <w:color w:val="000000"/>
          <w:szCs w:val="22"/>
          <w:lang w:val="it-IT"/>
        </w:rPr>
      </w:pPr>
      <w:r w:rsidRPr="004A59B1">
        <w:rPr>
          <w:color w:val="000000"/>
          <w:szCs w:val="22"/>
          <w:lang w:val="it-IT"/>
        </w:rPr>
        <w:t>6.</w:t>
      </w:r>
      <w:r w:rsidRPr="004A59B1">
        <w:rPr>
          <w:color w:val="000000"/>
          <w:szCs w:val="22"/>
          <w:lang w:val="it-IT"/>
        </w:rPr>
        <w:tab/>
        <w:t>Vsebina pakiranja in dodatne informacije</w:t>
      </w:r>
    </w:p>
    <w:p w14:paraId="5297A776" w14:textId="77777777" w:rsidR="007B1033" w:rsidRPr="004A59B1" w:rsidRDefault="007B1033" w:rsidP="009C1193">
      <w:pPr>
        <w:pStyle w:val="EndnoteText"/>
        <w:widowControl w:val="0"/>
        <w:numPr>
          <w:ilvl w:val="12"/>
          <w:numId w:val="0"/>
        </w:numPr>
        <w:tabs>
          <w:tab w:val="clear" w:pos="567"/>
        </w:tabs>
        <w:rPr>
          <w:color w:val="000000"/>
          <w:szCs w:val="22"/>
          <w:lang w:val="it-IT"/>
        </w:rPr>
      </w:pPr>
    </w:p>
    <w:p w14:paraId="5297A777" w14:textId="77777777" w:rsidR="007B1033" w:rsidRPr="004A59B1" w:rsidRDefault="007B1033" w:rsidP="009C1193">
      <w:pPr>
        <w:pStyle w:val="EndnoteText"/>
        <w:widowControl w:val="0"/>
        <w:numPr>
          <w:ilvl w:val="12"/>
          <w:numId w:val="0"/>
        </w:numPr>
        <w:tabs>
          <w:tab w:val="clear" w:pos="567"/>
        </w:tabs>
        <w:rPr>
          <w:color w:val="000000"/>
          <w:szCs w:val="22"/>
          <w:lang w:val="it-IT"/>
        </w:rPr>
      </w:pPr>
    </w:p>
    <w:p w14:paraId="5297A778" w14:textId="77777777" w:rsidR="007B1033" w:rsidRPr="004A59B1" w:rsidRDefault="007B1033" w:rsidP="009C1193">
      <w:pPr>
        <w:keepNext/>
        <w:widowControl w:val="0"/>
        <w:numPr>
          <w:ilvl w:val="12"/>
          <w:numId w:val="0"/>
        </w:numPr>
        <w:tabs>
          <w:tab w:val="clear" w:pos="567"/>
        </w:tabs>
        <w:spacing w:line="240" w:lineRule="auto"/>
        <w:ind w:left="567" w:right="-2" w:hanging="567"/>
        <w:rPr>
          <w:color w:val="000000"/>
          <w:szCs w:val="22"/>
          <w:lang w:val="it-IT"/>
        </w:rPr>
      </w:pPr>
      <w:r w:rsidRPr="004A59B1">
        <w:rPr>
          <w:b/>
          <w:color w:val="000000"/>
          <w:szCs w:val="22"/>
          <w:lang w:val="it-IT"/>
        </w:rPr>
        <w:t>1.</w:t>
      </w:r>
      <w:r w:rsidRPr="004A59B1">
        <w:rPr>
          <w:b/>
          <w:color w:val="000000"/>
          <w:szCs w:val="22"/>
          <w:lang w:val="it-IT"/>
        </w:rPr>
        <w:tab/>
        <w:t>Kaj je zdravilo Glivec in za kaj ga uporabljamo</w:t>
      </w:r>
    </w:p>
    <w:p w14:paraId="5297A779" w14:textId="77777777" w:rsidR="007B1033" w:rsidRPr="004A59B1" w:rsidRDefault="007B1033" w:rsidP="009C1193">
      <w:pPr>
        <w:pStyle w:val="TextChar"/>
        <w:keepNext/>
        <w:widowControl w:val="0"/>
        <w:spacing w:before="0"/>
        <w:jc w:val="left"/>
        <w:rPr>
          <w:color w:val="000000"/>
          <w:sz w:val="22"/>
          <w:szCs w:val="22"/>
          <w:lang w:val="it-IT"/>
        </w:rPr>
      </w:pPr>
    </w:p>
    <w:p w14:paraId="5297A77A" w14:textId="77777777" w:rsidR="007B1033" w:rsidRPr="004A59B1" w:rsidRDefault="007B1033" w:rsidP="009C1193">
      <w:pPr>
        <w:pStyle w:val="Text"/>
        <w:widowControl w:val="0"/>
        <w:spacing w:before="0"/>
        <w:jc w:val="left"/>
        <w:rPr>
          <w:color w:val="000000"/>
          <w:sz w:val="22"/>
          <w:szCs w:val="22"/>
          <w:lang w:val="it-IT"/>
        </w:rPr>
      </w:pPr>
      <w:r w:rsidRPr="004A59B1">
        <w:rPr>
          <w:color w:val="000000"/>
          <w:sz w:val="22"/>
          <w:szCs w:val="22"/>
          <w:lang w:val="it-IT"/>
        </w:rPr>
        <w:t>Glivec je zdravilo, ki vsebuje zdravilno učinkovino z imenom imatinib. Zdravilo deluje tako, da zavira rast nenormalnih celic pri spodaj navedenih boleznih, med katerimi so tudi nekatere vrste raka.</w:t>
      </w:r>
    </w:p>
    <w:p w14:paraId="5297A77B" w14:textId="77777777" w:rsidR="007B1033" w:rsidRPr="004A59B1" w:rsidRDefault="007B1033" w:rsidP="009C1193">
      <w:pPr>
        <w:pStyle w:val="TextChar"/>
        <w:widowControl w:val="0"/>
        <w:spacing w:before="0"/>
        <w:jc w:val="left"/>
        <w:rPr>
          <w:color w:val="000000"/>
          <w:sz w:val="22"/>
          <w:szCs w:val="22"/>
          <w:lang w:val="it-IT"/>
        </w:rPr>
      </w:pPr>
    </w:p>
    <w:p w14:paraId="5297A77C" w14:textId="77777777" w:rsidR="007B1033" w:rsidRPr="004A59B1" w:rsidRDefault="007B1033" w:rsidP="009C1193">
      <w:pPr>
        <w:pStyle w:val="TextChar"/>
        <w:keepNext/>
        <w:widowControl w:val="0"/>
        <w:spacing w:before="0"/>
        <w:jc w:val="left"/>
        <w:rPr>
          <w:b/>
          <w:color w:val="000000"/>
          <w:sz w:val="22"/>
          <w:szCs w:val="22"/>
          <w:lang w:val="it-IT"/>
        </w:rPr>
      </w:pPr>
      <w:r w:rsidRPr="004A59B1">
        <w:rPr>
          <w:b/>
          <w:color w:val="000000"/>
          <w:sz w:val="22"/>
          <w:szCs w:val="22"/>
          <w:lang w:val="it-IT"/>
        </w:rPr>
        <w:t>Zdravilo Glivec je zdravilo za odrasle in otroke:</w:t>
      </w:r>
    </w:p>
    <w:p w14:paraId="5297A77D" w14:textId="77777777" w:rsidR="007B1033" w:rsidRPr="004A59B1" w:rsidRDefault="007B1033" w:rsidP="009C1193">
      <w:pPr>
        <w:pStyle w:val="TextChar"/>
        <w:keepNext/>
        <w:widowControl w:val="0"/>
        <w:spacing w:before="0"/>
        <w:jc w:val="left"/>
        <w:rPr>
          <w:color w:val="000000"/>
          <w:sz w:val="22"/>
          <w:szCs w:val="22"/>
          <w:lang w:val="it-IT"/>
        </w:rPr>
      </w:pPr>
    </w:p>
    <w:p w14:paraId="5297A77E" w14:textId="77777777" w:rsidR="007B1033" w:rsidRPr="004A59B1" w:rsidRDefault="007B1033" w:rsidP="009C1193">
      <w:pPr>
        <w:pStyle w:val="TextChar"/>
        <w:widowControl w:val="0"/>
        <w:spacing w:before="0"/>
        <w:ind w:left="567" w:hanging="567"/>
        <w:jc w:val="left"/>
        <w:rPr>
          <w:color w:val="000000"/>
          <w:sz w:val="22"/>
          <w:szCs w:val="22"/>
          <w:lang w:val="it-IT"/>
        </w:rPr>
      </w:pPr>
      <w:r w:rsidRPr="004A59B1">
        <w:rPr>
          <w:color w:val="000000"/>
          <w:sz w:val="22"/>
          <w:szCs w:val="22"/>
          <w:lang w:val="it-IT"/>
        </w:rPr>
        <w:t>-</w:t>
      </w:r>
      <w:r w:rsidRPr="004A59B1">
        <w:rPr>
          <w:color w:val="000000"/>
          <w:sz w:val="22"/>
          <w:szCs w:val="22"/>
          <w:lang w:val="it-IT"/>
        </w:rPr>
        <w:tab/>
      </w:r>
      <w:r w:rsidR="00041287" w:rsidRPr="004A59B1">
        <w:rPr>
          <w:b/>
          <w:color w:val="000000"/>
          <w:sz w:val="22"/>
          <w:szCs w:val="22"/>
          <w:lang w:val="it-IT"/>
        </w:rPr>
        <w:t>s</w:t>
      </w:r>
      <w:r w:rsidR="00041287" w:rsidRPr="004A59B1">
        <w:rPr>
          <w:color w:val="000000"/>
          <w:sz w:val="22"/>
          <w:szCs w:val="22"/>
          <w:lang w:val="it-IT"/>
        </w:rPr>
        <w:t xml:space="preserve"> </w:t>
      </w:r>
      <w:r w:rsidRPr="004A59B1">
        <w:rPr>
          <w:b/>
          <w:bCs/>
          <w:color w:val="000000"/>
          <w:sz w:val="22"/>
          <w:szCs w:val="22"/>
          <w:lang w:val="it-IT"/>
        </w:rPr>
        <w:t>kronično mieloično levkemijo (KML).</w:t>
      </w:r>
      <w:r w:rsidRPr="004A59B1">
        <w:rPr>
          <w:color w:val="000000"/>
          <w:sz w:val="22"/>
          <w:szCs w:val="22"/>
          <w:lang w:val="it-IT"/>
        </w:rPr>
        <w:t xml:space="preserve"> Levkemija je rak belih krvničk. Te bele krvničke telesu navadno pomagajo v borbi proti okužbi. Kronična mieloična levkemija je oblika levkemije, pri kateri se začnejo nenadzorovano razraščati določene nenormalne bele krvničke, ki se imenujejo mieloidne celice.</w:t>
      </w:r>
    </w:p>
    <w:p w14:paraId="5297A77F" w14:textId="77777777" w:rsidR="00041287" w:rsidRPr="004A59B1" w:rsidRDefault="00041287" w:rsidP="009C1193">
      <w:pPr>
        <w:pStyle w:val="TextChar"/>
        <w:widowControl w:val="0"/>
        <w:spacing w:before="0"/>
        <w:ind w:left="567" w:hanging="567"/>
        <w:jc w:val="left"/>
        <w:rPr>
          <w:color w:val="000000"/>
          <w:sz w:val="22"/>
          <w:szCs w:val="22"/>
          <w:lang w:val="it-IT"/>
        </w:rPr>
      </w:pPr>
      <w:r w:rsidRPr="004A59B1">
        <w:rPr>
          <w:color w:val="000000"/>
          <w:sz w:val="22"/>
          <w:szCs w:val="22"/>
          <w:lang w:val="it-IT"/>
        </w:rPr>
        <w:t>-</w:t>
      </w:r>
      <w:r w:rsidRPr="004A59B1">
        <w:rPr>
          <w:color w:val="000000"/>
          <w:sz w:val="22"/>
          <w:szCs w:val="22"/>
          <w:lang w:val="it-IT"/>
        </w:rPr>
        <w:tab/>
      </w:r>
      <w:r w:rsidRPr="004A59B1">
        <w:rPr>
          <w:b/>
          <w:bCs/>
          <w:color w:val="000000"/>
          <w:sz w:val="22"/>
          <w:szCs w:val="22"/>
          <w:lang w:val="it-IT"/>
        </w:rPr>
        <w:t>z akutno limfoblastno levkemijo s prisotnim kromosomom Philadelphia (Ph pozitivna ALL).</w:t>
      </w:r>
      <w:r w:rsidRPr="004A59B1">
        <w:rPr>
          <w:bCs/>
          <w:color w:val="000000"/>
          <w:sz w:val="22"/>
          <w:szCs w:val="22"/>
          <w:lang w:val="it-IT"/>
        </w:rPr>
        <w:t xml:space="preserve"> </w:t>
      </w:r>
      <w:r w:rsidRPr="004A59B1">
        <w:rPr>
          <w:color w:val="000000"/>
          <w:sz w:val="22"/>
          <w:szCs w:val="22"/>
          <w:lang w:val="it-IT"/>
        </w:rPr>
        <w:t>Levkemija je rak belih krvničk. Te bele krvničke telesu navadno pomagajo v borbi proti okužbi. Akutna limfoblastna levkemija je oblika levkemije, pri kateri se začnejo nenadzorovano razraščati določene nenormalne bele krvničke, ki se imenujejo limfoblasti. Zdravilo Glivec zavira rast teh celic.</w:t>
      </w:r>
    </w:p>
    <w:p w14:paraId="5297A780" w14:textId="77777777" w:rsidR="007B1033" w:rsidRPr="004A59B1" w:rsidRDefault="007B1033" w:rsidP="009C1193">
      <w:pPr>
        <w:pStyle w:val="TextChar"/>
        <w:widowControl w:val="0"/>
        <w:spacing w:before="0"/>
        <w:jc w:val="left"/>
        <w:rPr>
          <w:color w:val="000000"/>
          <w:sz w:val="22"/>
          <w:szCs w:val="22"/>
          <w:lang w:val="it-IT"/>
        </w:rPr>
      </w:pPr>
    </w:p>
    <w:p w14:paraId="5297A781" w14:textId="77777777" w:rsidR="007B1033" w:rsidRPr="004A59B1" w:rsidRDefault="007B1033" w:rsidP="009C1193">
      <w:pPr>
        <w:pStyle w:val="TextChar"/>
        <w:keepNext/>
        <w:widowControl w:val="0"/>
        <w:spacing w:before="0"/>
        <w:jc w:val="left"/>
        <w:rPr>
          <w:color w:val="000000"/>
          <w:sz w:val="22"/>
          <w:szCs w:val="22"/>
          <w:lang w:val="it-IT"/>
        </w:rPr>
      </w:pPr>
      <w:r w:rsidRPr="004A59B1">
        <w:rPr>
          <w:b/>
          <w:bCs/>
          <w:color w:val="000000"/>
          <w:sz w:val="22"/>
          <w:szCs w:val="22"/>
          <w:lang w:val="it-IT"/>
        </w:rPr>
        <w:t>Zdravilo Glivec je tudi zdravilo za odrasle:</w:t>
      </w:r>
    </w:p>
    <w:p w14:paraId="5297A782" w14:textId="77777777" w:rsidR="007B1033" w:rsidRPr="004A59B1" w:rsidRDefault="007B1033" w:rsidP="009C1193">
      <w:pPr>
        <w:pStyle w:val="TextChar"/>
        <w:keepNext/>
        <w:widowControl w:val="0"/>
        <w:spacing w:before="0"/>
        <w:ind w:left="567" w:hanging="567"/>
        <w:jc w:val="left"/>
        <w:rPr>
          <w:color w:val="000000"/>
          <w:sz w:val="22"/>
          <w:szCs w:val="22"/>
          <w:lang w:val="it-IT"/>
        </w:rPr>
      </w:pPr>
    </w:p>
    <w:p w14:paraId="5297A783" w14:textId="77777777" w:rsidR="007B1033" w:rsidRPr="004A59B1" w:rsidRDefault="007B1033" w:rsidP="009C1193">
      <w:pPr>
        <w:pStyle w:val="Listlevel1"/>
        <w:widowControl w:val="0"/>
        <w:spacing w:before="0" w:after="0"/>
        <w:ind w:left="567" w:hanging="567"/>
        <w:rPr>
          <w:color w:val="000000"/>
          <w:sz w:val="22"/>
          <w:szCs w:val="22"/>
          <w:lang w:val="it-IT"/>
        </w:rPr>
      </w:pPr>
      <w:r w:rsidRPr="004A59B1">
        <w:rPr>
          <w:color w:val="000000"/>
          <w:sz w:val="22"/>
          <w:szCs w:val="22"/>
          <w:lang w:val="it-IT"/>
        </w:rPr>
        <w:t>-</w:t>
      </w:r>
      <w:r w:rsidRPr="004A59B1">
        <w:rPr>
          <w:color w:val="000000"/>
          <w:sz w:val="22"/>
          <w:szCs w:val="22"/>
          <w:lang w:val="it-IT"/>
        </w:rPr>
        <w:tab/>
      </w:r>
      <w:r w:rsidRPr="004A59B1">
        <w:rPr>
          <w:b/>
          <w:bCs/>
          <w:color w:val="000000"/>
          <w:sz w:val="22"/>
          <w:szCs w:val="22"/>
          <w:lang w:val="it-IT"/>
        </w:rPr>
        <w:t>z mielodisplastičnimi/mieloproliferativnimi boleznimi (MDS/MPD).</w:t>
      </w:r>
      <w:r w:rsidRPr="004A59B1">
        <w:rPr>
          <w:color w:val="000000"/>
          <w:sz w:val="22"/>
          <w:szCs w:val="22"/>
          <w:lang w:val="it-IT"/>
        </w:rPr>
        <w:t xml:space="preserve"> Te bolezni sodijo v skupino krvnih bolezni, pri katerih se začnejo nenadzorovano razraščati nekatere krvne celice. Zdravilo Glivec zavira rast teh celic pri določenih podskupinah teh bolezni.</w:t>
      </w:r>
    </w:p>
    <w:p w14:paraId="5297A784" w14:textId="77777777" w:rsidR="007B1033" w:rsidRPr="004A59B1" w:rsidRDefault="007B1033" w:rsidP="009C1193">
      <w:pPr>
        <w:pStyle w:val="Listlevel1"/>
        <w:widowControl w:val="0"/>
        <w:ind w:left="567" w:hanging="567"/>
        <w:rPr>
          <w:color w:val="000000"/>
          <w:sz w:val="22"/>
          <w:szCs w:val="22"/>
          <w:lang w:val="it-IT"/>
        </w:rPr>
      </w:pPr>
      <w:r w:rsidRPr="004A59B1">
        <w:rPr>
          <w:bCs/>
          <w:color w:val="000000"/>
          <w:sz w:val="22"/>
          <w:szCs w:val="22"/>
          <w:lang w:val="it-IT"/>
        </w:rPr>
        <w:t>-</w:t>
      </w:r>
      <w:r w:rsidRPr="004A59B1">
        <w:rPr>
          <w:bCs/>
          <w:color w:val="000000"/>
          <w:sz w:val="22"/>
          <w:szCs w:val="22"/>
          <w:lang w:val="it-IT"/>
        </w:rPr>
        <w:tab/>
      </w:r>
      <w:r w:rsidRPr="004A59B1">
        <w:rPr>
          <w:b/>
          <w:color w:val="000000"/>
          <w:sz w:val="22"/>
          <w:szCs w:val="22"/>
          <w:lang w:val="it-IT"/>
        </w:rPr>
        <w:t xml:space="preserve">s hipereozinofilnim sindromom (HES) ali kronično eozinofilno levkemijo (CEL) ali z obojim. </w:t>
      </w:r>
      <w:r w:rsidRPr="004A59B1">
        <w:rPr>
          <w:color w:val="000000"/>
          <w:sz w:val="22"/>
          <w:szCs w:val="22"/>
          <w:lang w:val="it-IT"/>
        </w:rPr>
        <w:t>To so bolezni krvi, pri katerih se začnejo nenadzorovano razraščati nekatere krvne celice, ki se imenujejo eozinofilci. Zdravilo Glivec zavira rast teh celic pri določenih podskupinah teh bolezni.</w:t>
      </w:r>
    </w:p>
    <w:p w14:paraId="5297A785" w14:textId="77777777" w:rsidR="007B1033" w:rsidRPr="004A59B1" w:rsidRDefault="007B1033" w:rsidP="009C1193">
      <w:pPr>
        <w:pStyle w:val="TextChar"/>
        <w:widowControl w:val="0"/>
        <w:spacing w:before="0"/>
        <w:ind w:left="567" w:hanging="567"/>
        <w:jc w:val="left"/>
        <w:rPr>
          <w:color w:val="000000"/>
          <w:sz w:val="22"/>
          <w:szCs w:val="22"/>
          <w:lang w:val="nl-NL"/>
        </w:rPr>
      </w:pPr>
      <w:r w:rsidRPr="004A59B1">
        <w:rPr>
          <w:color w:val="000000"/>
          <w:sz w:val="22"/>
          <w:szCs w:val="22"/>
          <w:lang w:val="pl-PL"/>
        </w:rPr>
        <w:t>-</w:t>
      </w:r>
      <w:r w:rsidRPr="004A59B1">
        <w:rPr>
          <w:color w:val="000000"/>
          <w:sz w:val="22"/>
          <w:szCs w:val="22"/>
          <w:lang w:val="pl-PL"/>
        </w:rPr>
        <w:tab/>
      </w:r>
      <w:r w:rsidRPr="004A59B1">
        <w:rPr>
          <w:b/>
          <w:bCs/>
          <w:color w:val="000000"/>
          <w:sz w:val="22"/>
          <w:szCs w:val="22"/>
          <w:lang w:val="pl-PL"/>
        </w:rPr>
        <w:t>z gastrointestinalnimi stromalnimi tumorji (GIST).</w:t>
      </w:r>
      <w:r w:rsidRPr="004A59B1">
        <w:rPr>
          <w:color w:val="000000"/>
          <w:sz w:val="22"/>
          <w:szCs w:val="22"/>
          <w:lang w:val="pl-PL"/>
        </w:rPr>
        <w:t xml:space="preserve"> </w:t>
      </w:r>
      <w:r w:rsidRPr="004A59B1">
        <w:rPr>
          <w:color w:val="000000"/>
          <w:sz w:val="22"/>
          <w:szCs w:val="22"/>
          <w:lang w:val="nl-NL"/>
        </w:rPr>
        <w:t xml:space="preserve">GIST je rak želodca in črevesa. Nastane </w:t>
      </w:r>
      <w:r w:rsidRPr="004A59B1">
        <w:rPr>
          <w:color w:val="000000"/>
          <w:sz w:val="22"/>
          <w:szCs w:val="22"/>
          <w:lang w:val="nl-NL"/>
        </w:rPr>
        <w:lastRenderedPageBreak/>
        <w:t>z nekontrolirano rastjo celic vezivnih tkiv teh organov.</w:t>
      </w:r>
    </w:p>
    <w:p w14:paraId="5297A786" w14:textId="77777777" w:rsidR="007B1033" w:rsidRPr="004A59B1" w:rsidRDefault="007B1033" w:rsidP="009C1193">
      <w:pPr>
        <w:pStyle w:val="Text"/>
        <w:widowControl w:val="0"/>
        <w:spacing w:before="0"/>
        <w:ind w:left="567" w:hanging="567"/>
        <w:jc w:val="left"/>
        <w:rPr>
          <w:color w:val="000000"/>
          <w:sz w:val="22"/>
          <w:szCs w:val="22"/>
          <w:lang w:val="nl-NL"/>
        </w:rPr>
      </w:pPr>
      <w:r w:rsidRPr="004A59B1">
        <w:rPr>
          <w:color w:val="000000"/>
          <w:sz w:val="22"/>
          <w:szCs w:val="22"/>
          <w:lang w:val="nl-NL"/>
        </w:rPr>
        <w:t>-</w:t>
      </w:r>
      <w:r w:rsidRPr="004A59B1">
        <w:rPr>
          <w:color w:val="000000"/>
          <w:sz w:val="22"/>
          <w:szCs w:val="22"/>
          <w:lang w:val="nl-NL"/>
        </w:rPr>
        <w:tab/>
      </w:r>
      <w:r w:rsidRPr="004A59B1">
        <w:rPr>
          <w:b/>
          <w:bCs/>
          <w:color w:val="000000"/>
          <w:sz w:val="22"/>
          <w:szCs w:val="22"/>
          <w:lang w:val="nl-NL"/>
        </w:rPr>
        <w:t>s protuberantnim dermatofibrosarkomom (DFSP).</w:t>
      </w:r>
      <w:r w:rsidRPr="004A59B1">
        <w:rPr>
          <w:color w:val="000000"/>
          <w:sz w:val="22"/>
          <w:szCs w:val="22"/>
          <w:lang w:val="nl-NL"/>
        </w:rPr>
        <w:t xml:space="preserve"> DFSP je rak podkožnega tkiva, pri katerem se začnejo nenadzorovano razraščati nekatere celice. Zdravilo Glivec zavira rast teh celic.</w:t>
      </w:r>
    </w:p>
    <w:p w14:paraId="5297A787" w14:textId="77777777" w:rsidR="007B1033" w:rsidRPr="004A59B1" w:rsidRDefault="007B1033" w:rsidP="009C1193">
      <w:pPr>
        <w:pStyle w:val="Text"/>
        <w:widowControl w:val="0"/>
        <w:spacing w:before="0"/>
        <w:jc w:val="left"/>
        <w:rPr>
          <w:color w:val="000000"/>
          <w:sz w:val="22"/>
          <w:szCs w:val="22"/>
          <w:lang w:val="nl-NL"/>
        </w:rPr>
      </w:pPr>
      <w:r w:rsidRPr="004A59B1">
        <w:rPr>
          <w:color w:val="000000"/>
          <w:sz w:val="22"/>
          <w:szCs w:val="22"/>
          <w:lang w:val="nl-NL"/>
        </w:rPr>
        <w:t>V nadaljnjem besedilu tega navodila za uporabo so bolezni navedene s kraticami.</w:t>
      </w:r>
    </w:p>
    <w:p w14:paraId="5297A788" w14:textId="77777777" w:rsidR="007B1033" w:rsidRPr="004A59B1" w:rsidRDefault="007B1033" w:rsidP="009C1193">
      <w:pPr>
        <w:pStyle w:val="TextChar"/>
        <w:widowControl w:val="0"/>
        <w:spacing w:before="0"/>
        <w:jc w:val="left"/>
        <w:rPr>
          <w:color w:val="000000"/>
          <w:sz w:val="22"/>
          <w:szCs w:val="22"/>
          <w:lang w:val="nl-NL"/>
        </w:rPr>
      </w:pPr>
    </w:p>
    <w:p w14:paraId="5297A789" w14:textId="77777777" w:rsidR="007B1033" w:rsidRPr="004A59B1" w:rsidRDefault="007B1033" w:rsidP="009C1193">
      <w:pPr>
        <w:pStyle w:val="TextChar"/>
        <w:widowControl w:val="0"/>
        <w:spacing w:before="0"/>
        <w:jc w:val="left"/>
        <w:rPr>
          <w:color w:val="000000"/>
          <w:sz w:val="22"/>
          <w:szCs w:val="22"/>
          <w:lang w:val="nl-NL"/>
        </w:rPr>
      </w:pPr>
      <w:r w:rsidRPr="004A59B1">
        <w:rPr>
          <w:color w:val="000000"/>
          <w:sz w:val="22"/>
          <w:szCs w:val="22"/>
          <w:lang w:val="nl-NL"/>
        </w:rPr>
        <w:t>Če imate kakšna vprašanja glede tega, kako zdravilo Glivec deluje ali zakaj vam je bilo predpisano to zdravilo, vprašajte svojega zdravnika.</w:t>
      </w:r>
    </w:p>
    <w:p w14:paraId="5297A78A" w14:textId="77777777" w:rsidR="007B1033" w:rsidRPr="004A59B1" w:rsidRDefault="007B1033" w:rsidP="009C1193">
      <w:pPr>
        <w:pStyle w:val="EndnoteText"/>
        <w:widowControl w:val="0"/>
        <w:numPr>
          <w:ilvl w:val="12"/>
          <w:numId w:val="0"/>
        </w:numPr>
        <w:tabs>
          <w:tab w:val="clear" w:pos="567"/>
        </w:tabs>
        <w:rPr>
          <w:color w:val="000000"/>
          <w:szCs w:val="22"/>
          <w:lang w:val="nl-NL"/>
        </w:rPr>
      </w:pPr>
    </w:p>
    <w:p w14:paraId="5297A78B" w14:textId="77777777" w:rsidR="007B1033" w:rsidRPr="004A59B1" w:rsidRDefault="007B1033" w:rsidP="009C1193">
      <w:pPr>
        <w:pStyle w:val="EndnoteText"/>
        <w:widowControl w:val="0"/>
        <w:numPr>
          <w:ilvl w:val="12"/>
          <w:numId w:val="0"/>
        </w:numPr>
        <w:tabs>
          <w:tab w:val="clear" w:pos="567"/>
        </w:tabs>
        <w:rPr>
          <w:color w:val="000000"/>
          <w:szCs w:val="22"/>
          <w:lang w:val="nl-NL"/>
        </w:rPr>
      </w:pPr>
    </w:p>
    <w:p w14:paraId="5297A78C" w14:textId="77777777" w:rsidR="007B1033" w:rsidRPr="004A59B1" w:rsidRDefault="007B1033" w:rsidP="009C1193">
      <w:pPr>
        <w:keepNext/>
        <w:widowControl w:val="0"/>
        <w:numPr>
          <w:ilvl w:val="12"/>
          <w:numId w:val="0"/>
        </w:numPr>
        <w:tabs>
          <w:tab w:val="clear" w:pos="567"/>
        </w:tabs>
        <w:spacing w:line="240" w:lineRule="auto"/>
        <w:ind w:left="567" w:right="-2" w:hanging="567"/>
        <w:rPr>
          <w:b/>
          <w:color w:val="000000"/>
          <w:szCs w:val="22"/>
          <w:lang w:val="nl-NL"/>
        </w:rPr>
      </w:pPr>
      <w:r w:rsidRPr="004A59B1">
        <w:rPr>
          <w:b/>
          <w:color w:val="000000"/>
          <w:szCs w:val="22"/>
          <w:lang w:val="nl-NL"/>
        </w:rPr>
        <w:t>2.</w:t>
      </w:r>
      <w:r w:rsidRPr="004A59B1">
        <w:rPr>
          <w:b/>
          <w:color w:val="000000"/>
          <w:szCs w:val="22"/>
          <w:lang w:val="nl-NL"/>
        </w:rPr>
        <w:tab/>
        <w:t>Kaj morate vedeti, preden boste vzeli zdravilo Glivec</w:t>
      </w:r>
    </w:p>
    <w:p w14:paraId="5297A78D" w14:textId="77777777" w:rsidR="007B1033" w:rsidRPr="004A59B1" w:rsidRDefault="007B1033" w:rsidP="009C1193">
      <w:pPr>
        <w:keepNext/>
        <w:widowControl w:val="0"/>
        <w:numPr>
          <w:ilvl w:val="12"/>
          <w:numId w:val="0"/>
        </w:numPr>
        <w:tabs>
          <w:tab w:val="clear" w:pos="567"/>
        </w:tabs>
        <w:spacing w:line="240" w:lineRule="auto"/>
        <w:ind w:left="567" w:right="-2" w:hanging="567"/>
        <w:rPr>
          <w:color w:val="000000"/>
          <w:szCs w:val="22"/>
          <w:lang w:val="nl-NL"/>
        </w:rPr>
      </w:pPr>
    </w:p>
    <w:p w14:paraId="5297A78E" w14:textId="77777777" w:rsidR="007B1033" w:rsidRPr="004A59B1" w:rsidRDefault="007B1033" w:rsidP="009C1193">
      <w:pPr>
        <w:pStyle w:val="TextChar"/>
        <w:widowControl w:val="0"/>
        <w:spacing w:before="0"/>
        <w:jc w:val="left"/>
        <w:rPr>
          <w:color w:val="000000"/>
          <w:sz w:val="22"/>
          <w:szCs w:val="22"/>
          <w:lang w:val="nl-NL"/>
        </w:rPr>
      </w:pPr>
      <w:r w:rsidRPr="004A59B1">
        <w:rPr>
          <w:color w:val="000000"/>
          <w:sz w:val="22"/>
          <w:szCs w:val="22"/>
          <w:lang w:val="nl-NL"/>
        </w:rPr>
        <w:t>Zdravilo Glivec vam lahko predpiše samo zdravnik, ki ima izkušnje z zdravili za zdravljenje krvnih rakov in solidnih tumorjev.</w:t>
      </w:r>
    </w:p>
    <w:p w14:paraId="5297A78F" w14:textId="77777777" w:rsidR="007B1033" w:rsidRPr="004A59B1" w:rsidRDefault="007B1033" w:rsidP="009C1193">
      <w:pPr>
        <w:widowControl w:val="0"/>
        <w:numPr>
          <w:ilvl w:val="12"/>
          <w:numId w:val="0"/>
        </w:numPr>
        <w:tabs>
          <w:tab w:val="clear" w:pos="567"/>
        </w:tabs>
        <w:spacing w:line="240" w:lineRule="auto"/>
        <w:ind w:right="-2"/>
        <w:rPr>
          <w:color w:val="000000"/>
          <w:szCs w:val="22"/>
          <w:lang w:val="nl-NL"/>
        </w:rPr>
      </w:pPr>
    </w:p>
    <w:p w14:paraId="5297A790" w14:textId="77777777" w:rsidR="007B1033" w:rsidRPr="004A59B1" w:rsidRDefault="007B1033" w:rsidP="009C1193">
      <w:pPr>
        <w:widowControl w:val="0"/>
        <w:numPr>
          <w:ilvl w:val="12"/>
          <w:numId w:val="0"/>
        </w:numPr>
        <w:tabs>
          <w:tab w:val="clear" w:pos="567"/>
        </w:tabs>
        <w:spacing w:line="240" w:lineRule="auto"/>
        <w:ind w:right="-2"/>
        <w:rPr>
          <w:color w:val="000000"/>
          <w:szCs w:val="22"/>
          <w:lang w:val="nl-NL"/>
        </w:rPr>
      </w:pPr>
      <w:r w:rsidRPr="004A59B1">
        <w:rPr>
          <w:color w:val="000000"/>
          <w:szCs w:val="22"/>
          <w:lang w:val="nl-NL"/>
        </w:rPr>
        <w:t>Skrbno se ravnajte po vseh navodilih vašega zdravnika, tudi če se razlikujejo od splošnih informacij v tem navodilu za uporabo.</w:t>
      </w:r>
    </w:p>
    <w:p w14:paraId="5297A791" w14:textId="77777777" w:rsidR="007B1033" w:rsidRPr="004A59B1" w:rsidRDefault="007B1033" w:rsidP="009C1193">
      <w:pPr>
        <w:widowControl w:val="0"/>
        <w:numPr>
          <w:ilvl w:val="12"/>
          <w:numId w:val="0"/>
        </w:numPr>
        <w:tabs>
          <w:tab w:val="clear" w:pos="567"/>
        </w:tabs>
        <w:spacing w:line="240" w:lineRule="auto"/>
        <w:ind w:right="-2"/>
        <w:rPr>
          <w:color w:val="000000"/>
          <w:szCs w:val="22"/>
          <w:lang w:val="nl-NL"/>
        </w:rPr>
      </w:pPr>
    </w:p>
    <w:p w14:paraId="5297A792" w14:textId="77777777" w:rsidR="007B1033" w:rsidRPr="004A59B1" w:rsidRDefault="007B1033" w:rsidP="009C1193">
      <w:pPr>
        <w:keepNext/>
        <w:widowControl w:val="0"/>
        <w:numPr>
          <w:ilvl w:val="12"/>
          <w:numId w:val="0"/>
        </w:numPr>
        <w:tabs>
          <w:tab w:val="clear" w:pos="567"/>
        </w:tabs>
        <w:spacing w:line="240" w:lineRule="auto"/>
        <w:rPr>
          <w:color w:val="000000"/>
          <w:szCs w:val="22"/>
          <w:lang w:val="nl-NL"/>
        </w:rPr>
      </w:pPr>
      <w:r w:rsidRPr="004A59B1">
        <w:rPr>
          <w:b/>
          <w:color w:val="000000"/>
          <w:szCs w:val="22"/>
          <w:lang w:val="nl-NL"/>
        </w:rPr>
        <w:t>Ne jemljite zdravila Glivec</w:t>
      </w:r>
    </w:p>
    <w:p w14:paraId="5297A793" w14:textId="77777777" w:rsidR="007B1033" w:rsidRPr="004A59B1" w:rsidRDefault="007B1033" w:rsidP="009C1193">
      <w:pPr>
        <w:widowControl w:val="0"/>
        <w:tabs>
          <w:tab w:val="clear" w:pos="567"/>
        </w:tabs>
        <w:spacing w:line="240" w:lineRule="auto"/>
        <w:ind w:left="567" w:hanging="567"/>
        <w:rPr>
          <w:color w:val="000000"/>
          <w:szCs w:val="22"/>
          <w:lang w:val="nl-NL"/>
        </w:rPr>
      </w:pPr>
      <w:r w:rsidRPr="004A59B1">
        <w:rPr>
          <w:color w:val="000000"/>
          <w:szCs w:val="22"/>
          <w:lang w:val="nl-NL"/>
        </w:rPr>
        <w:t>-</w:t>
      </w:r>
      <w:r w:rsidRPr="004A59B1">
        <w:rPr>
          <w:color w:val="000000"/>
          <w:szCs w:val="22"/>
          <w:lang w:val="nl-NL"/>
        </w:rPr>
        <w:tab/>
        <w:t>če ste alergični na imatinib ali katero koli sestavino tega zdravila (navedeno v poglavju 6).</w:t>
      </w:r>
    </w:p>
    <w:p w14:paraId="5297A794" w14:textId="77777777" w:rsidR="007B1033" w:rsidRPr="004A59B1" w:rsidRDefault="007B1033" w:rsidP="009C1193">
      <w:pPr>
        <w:widowControl w:val="0"/>
        <w:tabs>
          <w:tab w:val="clear" w:pos="567"/>
        </w:tabs>
        <w:spacing w:line="240" w:lineRule="auto"/>
        <w:rPr>
          <w:b/>
          <w:bCs/>
          <w:color w:val="000000"/>
          <w:szCs w:val="22"/>
          <w:lang w:val="nl-NL"/>
        </w:rPr>
      </w:pPr>
      <w:r w:rsidRPr="004A59B1">
        <w:rPr>
          <w:color w:val="000000"/>
          <w:szCs w:val="22"/>
          <w:lang w:val="nl-NL"/>
        </w:rPr>
        <w:t xml:space="preserve">Če to velja za vas, </w:t>
      </w:r>
      <w:r w:rsidRPr="004A59B1">
        <w:rPr>
          <w:b/>
          <w:bCs/>
          <w:color w:val="000000"/>
          <w:szCs w:val="22"/>
          <w:lang w:val="nl-NL"/>
        </w:rPr>
        <w:t>povejte zdravniku in ne jemljite zdravila Glivec.</w:t>
      </w:r>
    </w:p>
    <w:p w14:paraId="5297A795" w14:textId="77777777" w:rsidR="007B1033" w:rsidRPr="004A59B1" w:rsidRDefault="007B1033" w:rsidP="009C1193">
      <w:pPr>
        <w:widowControl w:val="0"/>
        <w:tabs>
          <w:tab w:val="clear" w:pos="567"/>
        </w:tabs>
        <w:spacing w:line="240" w:lineRule="auto"/>
        <w:rPr>
          <w:color w:val="000000"/>
          <w:szCs w:val="22"/>
          <w:lang w:val="nl-NL"/>
        </w:rPr>
      </w:pPr>
    </w:p>
    <w:p w14:paraId="5297A796" w14:textId="77777777" w:rsidR="007B1033" w:rsidRPr="004A59B1" w:rsidRDefault="007B1033" w:rsidP="009C1193">
      <w:pPr>
        <w:widowControl w:val="0"/>
        <w:tabs>
          <w:tab w:val="clear" w:pos="567"/>
        </w:tabs>
        <w:spacing w:line="240" w:lineRule="auto"/>
        <w:rPr>
          <w:color w:val="000000"/>
          <w:szCs w:val="22"/>
          <w:lang w:val="nl-NL"/>
        </w:rPr>
      </w:pPr>
      <w:r w:rsidRPr="004A59B1">
        <w:rPr>
          <w:color w:val="000000"/>
          <w:szCs w:val="22"/>
          <w:lang w:val="nl-NL"/>
        </w:rPr>
        <w:t>Če mislite, da bi bili lahko alergični, a niste prepričani, se posvetujte s svojim zdravnikom.</w:t>
      </w:r>
    </w:p>
    <w:p w14:paraId="5297A797" w14:textId="77777777" w:rsidR="007B1033" w:rsidRPr="004A59B1" w:rsidRDefault="007B1033" w:rsidP="009C1193">
      <w:pPr>
        <w:widowControl w:val="0"/>
        <w:numPr>
          <w:ilvl w:val="12"/>
          <w:numId w:val="0"/>
        </w:numPr>
        <w:tabs>
          <w:tab w:val="clear" w:pos="567"/>
        </w:tabs>
        <w:spacing w:line="240" w:lineRule="auto"/>
        <w:ind w:right="-2"/>
        <w:rPr>
          <w:color w:val="000000"/>
          <w:szCs w:val="22"/>
          <w:lang w:val="nl-NL"/>
        </w:rPr>
      </w:pPr>
    </w:p>
    <w:p w14:paraId="5297A798" w14:textId="77777777" w:rsidR="007B1033" w:rsidRPr="004A59B1" w:rsidRDefault="007B1033" w:rsidP="009C1193">
      <w:pPr>
        <w:keepNext/>
        <w:widowControl w:val="0"/>
        <w:numPr>
          <w:ilvl w:val="12"/>
          <w:numId w:val="0"/>
        </w:numPr>
        <w:tabs>
          <w:tab w:val="clear" w:pos="567"/>
        </w:tabs>
        <w:spacing w:line="240" w:lineRule="auto"/>
        <w:ind w:right="-2"/>
        <w:rPr>
          <w:b/>
          <w:color w:val="000000"/>
          <w:szCs w:val="22"/>
          <w:lang w:val="nl-NL"/>
        </w:rPr>
      </w:pPr>
      <w:r w:rsidRPr="004A59B1">
        <w:rPr>
          <w:b/>
          <w:color w:val="000000"/>
          <w:szCs w:val="22"/>
          <w:lang w:val="nl-NL"/>
        </w:rPr>
        <w:t>Opozorila in previdnostni ukrepi</w:t>
      </w:r>
    </w:p>
    <w:p w14:paraId="5297A799" w14:textId="77777777" w:rsidR="007B1033" w:rsidRPr="004A59B1" w:rsidRDefault="007B1033" w:rsidP="009C1193">
      <w:pPr>
        <w:keepNext/>
        <w:widowControl w:val="0"/>
        <w:numPr>
          <w:ilvl w:val="12"/>
          <w:numId w:val="0"/>
        </w:numPr>
        <w:tabs>
          <w:tab w:val="clear" w:pos="567"/>
        </w:tabs>
        <w:spacing w:line="240" w:lineRule="auto"/>
        <w:ind w:right="-2"/>
        <w:rPr>
          <w:bCs/>
          <w:color w:val="000000"/>
          <w:szCs w:val="22"/>
          <w:lang w:val="nl-NL"/>
        </w:rPr>
      </w:pPr>
      <w:r w:rsidRPr="004A59B1">
        <w:rPr>
          <w:bCs/>
          <w:color w:val="000000"/>
          <w:szCs w:val="22"/>
          <w:lang w:val="nl-NL"/>
        </w:rPr>
        <w:t xml:space="preserve">Pred začetkom jemanja zdravila Glivec se posvetujte </w:t>
      </w:r>
      <w:r w:rsidR="00346403" w:rsidRPr="004A59B1">
        <w:rPr>
          <w:bCs/>
          <w:color w:val="000000"/>
          <w:szCs w:val="22"/>
          <w:lang w:val="nl-NL"/>
        </w:rPr>
        <w:t>z</w:t>
      </w:r>
      <w:r w:rsidRPr="004A59B1">
        <w:rPr>
          <w:bCs/>
          <w:color w:val="000000"/>
          <w:szCs w:val="22"/>
          <w:lang w:val="nl-NL"/>
        </w:rPr>
        <w:t xml:space="preserve"> zdravnikom:</w:t>
      </w:r>
    </w:p>
    <w:p w14:paraId="5297A79A" w14:textId="77777777" w:rsidR="007B1033" w:rsidRPr="004A59B1" w:rsidRDefault="007B1033" w:rsidP="009C1193">
      <w:pPr>
        <w:widowControl w:val="0"/>
        <w:numPr>
          <w:ilvl w:val="0"/>
          <w:numId w:val="1"/>
        </w:numPr>
        <w:tabs>
          <w:tab w:val="clear" w:pos="567"/>
        </w:tabs>
        <w:spacing w:line="240" w:lineRule="auto"/>
        <w:ind w:left="567" w:hanging="567"/>
        <w:rPr>
          <w:color w:val="000000"/>
          <w:szCs w:val="22"/>
          <w:lang w:val="it-IT"/>
        </w:rPr>
      </w:pPr>
      <w:r w:rsidRPr="004A59B1">
        <w:rPr>
          <w:color w:val="000000"/>
          <w:szCs w:val="22"/>
          <w:lang w:val="it-IT"/>
        </w:rPr>
        <w:t>če imate ali ste kdaj imeli težave z jetri, ledvicami ali srcem;</w:t>
      </w:r>
    </w:p>
    <w:p w14:paraId="5297A79B" w14:textId="77777777" w:rsidR="00B519FE" w:rsidRDefault="007B1033" w:rsidP="009C1193">
      <w:pPr>
        <w:widowControl w:val="0"/>
        <w:numPr>
          <w:ilvl w:val="0"/>
          <w:numId w:val="1"/>
        </w:numPr>
        <w:tabs>
          <w:tab w:val="clear" w:pos="567"/>
        </w:tabs>
        <w:spacing w:line="240" w:lineRule="auto"/>
        <w:ind w:left="567" w:hanging="567"/>
        <w:rPr>
          <w:color w:val="000000"/>
          <w:szCs w:val="22"/>
          <w:lang w:val="it-IT"/>
        </w:rPr>
      </w:pPr>
      <w:r w:rsidRPr="004A59B1">
        <w:rPr>
          <w:color w:val="000000"/>
          <w:spacing w:val="-2"/>
          <w:lang w:val="it-IT"/>
        </w:rPr>
        <w:t>če jemljete zdravilo levotiroksin, ker so vam odstranili ščitnico</w:t>
      </w:r>
      <w:r w:rsidR="00B519FE">
        <w:rPr>
          <w:color w:val="000000"/>
          <w:szCs w:val="22"/>
          <w:lang w:val="it-IT"/>
        </w:rPr>
        <w:t>;</w:t>
      </w:r>
    </w:p>
    <w:p w14:paraId="5297A79C" w14:textId="77777777" w:rsidR="007B1033" w:rsidRPr="00E77884" w:rsidRDefault="00B519FE" w:rsidP="009C1193">
      <w:pPr>
        <w:widowControl w:val="0"/>
        <w:numPr>
          <w:ilvl w:val="0"/>
          <w:numId w:val="1"/>
        </w:numPr>
        <w:tabs>
          <w:tab w:val="clear" w:pos="567"/>
        </w:tabs>
        <w:spacing w:line="240" w:lineRule="auto"/>
        <w:ind w:left="567" w:hanging="567"/>
        <w:rPr>
          <w:color w:val="000000"/>
          <w:szCs w:val="22"/>
          <w:lang w:val="it-IT"/>
        </w:rPr>
      </w:pPr>
      <w:r w:rsidRPr="00AC42B3">
        <w:rPr>
          <w:color w:val="000000"/>
          <w:spacing w:val="-2"/>
          <w:lang w:val="it-IT"/>
        </w:rPr>
        <w:t xml:space="preserve">če ste kdaj bili ali ste sedaj okuženi z virusom hepatitisa B. Zdravilo </w:t>
      </w:r>
      <w:r>
        <w:rPr>
          <w:color w:val="000000"/>
          <w:spacing w:val="-2"/>
          <w:lang w:val="it-IT"/>
        </w:rPr>
        <w:t>Glivec</w:t>
      </w:r>
      <w:r w:rsidRPr="00AC42B3">
        <w:rPr>
          <w:color w:val="000000"/>
          <w:spacing w:val="-2"/>
          <w:lang w:val="it-IT"/>
        </w:rPr>
        <w:t xml:space="preserve"> namreč lahko povzroči ponovno aktivacijo hepatitisa B, kar utegne biti v nekaterih primerih smrtno nevarno. Pred začetkom zdravljenja bo zdravnik skrbno pregledal bolnike glede znakov te okužbe.</w:t>
      </w:r>
    </w:p>
    <w:p w14:paraId="5297A79D" w14:textId="77777777" w:rsidR="00236FDE" w:rsidRPr="004A59B1" w:rsidRDefault="00236FDE" w:rsidP="009C1193">
      <w:pPr>
        <w:widowControl w:val="0"/>
        <w:numPr>
          <w:ilvl w:val="0"/>
          <w:numId w:val="1"/>
        </w:numPr>
        <w:tabs>
          <w:tab w:val="clear" w:pos="567"/>
        </w:tabs>
        <w:spacing w:line="240" w:lineRule="auto"/>
        <w:ind w:left="567" w:hanging="567"/>
        <w:rPr>
          <w:color w:val="000000"/>
          <w:szCs w:val="22"/>
          <w:lang w:val="it-IT"/>
        </w:rPr>
      </w:pPr>
      <w:r>
        <w:rPr>
          <w:color w:val="000000"/>
          <w:szCs w:val="22"/>
          <w:lang w:val="it-IT"/>
        </w:rPr>
        <w:t>Če se v obdobju</w:t>
      </w:r>
      <w:r w:rsidR="00171B81">
        <w:rPr>
          <w:color w:val="000000"/>
          <w:szCs w:val="22"/>
          <w:lang w:val="it-IT"/>
        </w:rPr>
        <w:t>,</w:t>
      </w:r>
      <w:r>
        <w:rPr>
          <w:color w:val="000000"/>
          <w:szCs w:val="22"/>
          <w:lang w:val="it-IT"/>
        </w:rPr>
        <w:t xml:space="preserve"> ko jemljete zdravilo Glivec, pri vas pojavijo modrice, krvavitev, povišana telesna temperatura, utrujenost in zmedenost, se posvetujte z zdravnikom. To so lahko znaki poškodbe krvnih žil</w:t>
      </w:r>
      <w:r w:rsidR="00D02E89">
        <w:rPr>
          <w:color w:val="000000"/>
          <w:szCs w:val="22"/>
          <w:lang w:val="it-IT"/>
        </w:rPr>
        <w:t>, znani</w:t>
      </w:r>
      <w:r>
        <w:rPr>
          <w:color w:val="000000"/>
          <w:szCs w:val="22"/>
          <w:lang w:val="it-IT"/>
        </w:rPr>
        <w:t xml:space="preserve"> kot trombotična mikroangiopatija.</w:t>
      </w:r>
    </w:p>
    <w:p w14:paraId="5297A79E" w14:textId="77777777" w:rsidR="007B1033" w:rsidRPr="004A59B1" w:rsidRDefault="007B1033" w:rsidP="009C1193">
      <w:pPr>
        <w:pStyle w:val="TextChar"/>
        <w:widowControl w:val="0"/>
        <w:spacing w:before="0"/>
        <w:jc w:val="left"/>
        <w:rPr>
          <w:b/>
          <w:color w:val="000000"/>
          <w:sz w:val="22"/>
          <w:szCs w:val="22"/>
          <w:lang w:val="it-IT"/>
        </w:rPr>
      </w:pPr>
      <w:r w:rsidRPr="004A59B1">
        <w:rPr>
          <w:color w:val="000000"/>
          <w:sz w:val="22"/>
          <w:szCs w:val="22"/>
          <w:lang w:val="it-IT"/>
        </w:rPr>
        <w:t xml:space="preserve">Če kaj od zgoraj navedenega velja za vas, </w:t>
      </w:r>
      <w:r w:rsidRPr="004A59B1">
        <w:rPr>
          <w:b/>
          <w:color w:val="000000"/>
          <w:sz w:val="22"/>
          <w:szCs w:val="22"/>
          <w:lang w:val="it-IT"/>
        </w:rPr>
        <w:t>se še pred jemanjem zdravila posvetujte s svojim zdravnikom.</w:t>
      </w:r>
    </w:p>
    <w:p w14:paraId="5297A79F" w14:textId="77777777" w:rsidR="007B1033" w:rsidRDefault="007B1033" w:rsidP="009C1193">
      <w:pPr>
        <w:pStyle w:val="TextChar"/>
        <w:widowControl w:val="0"/>
        <w:spacing w:before="0"/>
        <w:jc w:val="left"/>
        <w:rPr>
          <w:color w:val="000000"/>
          <w:sz w:val="22"/>
          <w:szCs w:val="22"/>
          <w:lang w:val="it-IT"/>
        </w:rPr>
      </w:pPr>
    </w:p>
    <w:p w14:paraId="5297A7A0" w14:textId="77777777" w:rsidR="005E41E9" w:rsidRPr="004A59B1" w:rsidRDefault="005E41E9" w:rsidP="009C1193">
      <w:pPr>
        <w:pStyle w:val="TextChar"/>
        <w:widowControl w:val="0"/>
        <w:spacing w:before="0"/>
        <w:jc w:val="left"/>
        <w:rPr>
          <w:color w:val="000000"/>
          <w:sz w:val="22"/>
          <w:szCs w:val="22"/>
          <w:lang w:val="it-IT"/>
        </w:rPr>
      </w:pPr>
      <w:r>
        <w:rPr>
          <w:color w:val="000000"/>
          <w:sz w:val="22"/>
          <w:szCs w:val="22"/>
          <w:lang w:val="it-IT"/>
        </w:rPr>
        <w:t>Med jemanjem zdravila Glivec lahko postanete občutljivejši na sonce. Pomembno je, da pokrijete predele kože, ki so izpostavljeni soncu, in uporabljate zaščitno kremo z visokim zaščitnim faktorjem. Te zaščitne ukrepe je treba upoštevati tudi pri otrocih.</w:t>
      </w:r>
    </w:p>
    <w:p w14:paraId="5297A7A1" w14:textId="77777777" w:rsidR="005E41E9" w:rsidRPr="0017492F" w:rsidRDefault="005E41E9" w:rsidP="009C1193">
      <w:pPr>
        <w:pStyle w:val="TextChar"/>
        <w:widowControl w:val="0"/>
        <w:spacing w:before="0"/>
        <w:jc w:val="left"/>
        <w:rPr>
          <w:bCs/>
          <w:color w:val="000000"/>
          <w:sz w:val="22"/>
          <w:szCs w:val="22"/>
          <w:lang w:val="it-IT"/>
        </w:rPr>
      </w:pPr>
    </w:p>
    <w:p w14:paraId="5297A7A2" w14:textId="77777777" w:rsidR="007B1033" w:rsidRPr="004A59B1" w:rsidRDefault="007B1033" w:rsidP="009C1193">
      <w:pPr>
        <w:pStyle w:val="TextChar"/>
        <w:widowControl w:val="0"/>
        <w:spacing w:before="0"/>
        <w:jc w:val="left"/>
        <w:rPr>
          <w:color w:val="000000"/>
          <w:sz w:val="22"/>
          <w:szCs w:val="22"/>
          <w:lang w:val="it-IT"/>
        </w:rPr>
      </w:pPr>
      <w:r w:rsidRPr="004A59B1">
        <w:rPr>
          <w:b/>
          <w:bCs/>
          <w:color w:val="000000"/>
          <w:sz w:val="22"/>
          <w:szCs w:val="22"/>
          <w:lang w:val="it-IT"/>
        </w:rPr>
        <w:t xml:space="preserve">Če med jemanjem zdravila Glivec </w:t>
      </w:r>
      <w:r w:rsidRPr="004A59B1">
        <w:rPr>
          <w:color w:val="000000"/>
          <w:sz w:val="22"/>
          <w:szCs w:val="22"/>
          <w:lang w:val="it-IT"/>
        </w:rPr>
        <w:t xml:space="preserve">začnete hitro pridobivati telesno maso, </w:t>
      </w:r>
      <w:r w:rsidRPr="004A59B1">
        <w:rPr>
          <w:b/>
          <w:color w:val="000000"/>
          <w:sz w:val="22"/>
          <w:szCs w:val="22"/>
          <w:lang w:val="it-IT"/>
        </w:rPr>
        <w:t>takoj obvestite zdravnika</w:t>
      </w:r>
      <w:r w:rsidRPr="004A59B1">
        <w:rPr>
          <w:color w:val="000000"/>
          <w:sz w:val="22"/>
          <w:szCs w:val="22"/>
          <w:lang w:val="it-IT"/>
        </w:rPr>
        <w:t xml:space="preserve">. Zaradi zdravila Glivec lahko telo zadržuje vodo (lahko pride do </w:t>
      </w:r>
      <w:r w:rsidR="00D17DD1" w:rsidRPr="004A59B1">
        <w:rPr>
          <w:color w:val="000000"/>
          <w:sz w:val="22"/>
          <w:szCs w:val="22"/>
          <w:lang w:val="it-IT"/>
        </w:rPr>
        <w:t xml:space="preserve">hudega </w:t>
      </w:r>
      <w:r w:rsidRPr="004A59B1">
        <w:rPr>
          <w:color w:val="000000"/>
          <w:sz w:val="22"/>
          <w:szCs w:val="22"/>
          <w:lang w:val="it-IT"/>
        </w:rPr>
        <w:t>zastajanja tekočine).</w:t>
      </w:r>
    </w:p>
    <w:p w14:paraId="5297A7A3" w14:textId="77777777" w:rsidR="007B1033" w:rsidRPr="004A59B1" w:rsidRDefault="007B1033" w:rsidP="009C1193">
      <w:pPr>
        <w:pStyle w:val="TextChar"/>
        <w:widowControl w:val="0"/>
        <w:spacing w:before="0"/>
        <w:jc w:val="left"/>
        <w:rPr>
          <w:color w:val="000000"/>
          <w:sz w:val="22"/>
          <w:szCs w:val="22"/>
          <w:lang w:val="it-IT"/>
        </w:rPr>
      </w:pPr>
    </w:p>
    <w:p w14:paraId="5297A7A4" w14:textId="77777777" w:rsidR="00D17DD1" w:rsidRPr="004A59B1" w:rsidRDefault="007B1033" w:rsidP="009C1193">
      <w:pPr>
        <w:pStyle w:val="TextChar"/>
        <w:widowControl w:val="0"/>
        <w:spacing w:before="0"/>
        <w:jc w:val="left"/>
        <w:rPr>
          <w:color w:val="000000"/>
          <w:sz w:val="22"/>
          <w:szCs w:val="22"/>
          <w:lang w:val="it-IT"/>
        </w:rPr>
      </w:pPr>
      <w:r w:rsidRPr="004A59B1">
        <w:rPr>
          <w:color w:val="000000"/>
          <w:sz w:val="22"/>
          <w:szCs w:val="22"/>
          <w:lang w:val="it-IT"/>
        </w:rPr>
        <w:t xml:space="preserve">Med jemanjem zdravila Glivec bo zdravnik redno spremljal, ali zdravilo deluje. </w:t>
      </w:r>
      <w:r w:rsidR="00D17DD1" w:rsidRPr="004A59B1">
        <w:rPr>
          <w:color w:val="000000"/>
          <w:sz w:val="22"/>
          <w:szCs w:val="22"/>
          <w:lang w:val="it-IT"/>
        </w:rPr>
        <w:t>Pri vas bodo tudi opravljali preiskave krvi in vas redno tehtali.</w:t>
      </w:r>
    </w:p>
    <w:p w14:paraId="5297A7A5" w14:textId="77777777" w:rsidR="007B1033" w:rsidRPr="004A59B1" w:rsidRDefault="007B1033" w:rsidP="009C1193">
      <w:pPr>
        <w:pStyle w:val="TextChar"/>
        <w:widowControl w:val="0"/>
        <w:spacing w:before="0"/>
        <w:jc w:val="left"/>
        <w:rPr>
          <w:color w:val="000000"/>
          <w:szCs w:val="22"/>
          <w:lang w:val="it-IT"/>
        </w:rPr>
      </w:pPr>
    </w:p>
    <w:p w14:paraId="5297A7A6" w14:textId="77777777" w:rsidR="007B1033" w:rsidRPr="004A59B1" w:rsidRDefault="007B1033" w:rsidP="009C1193">
      <w:pPr>
        <w:pStyle w:val="EndnoteText"/>
        <w:keepNext/>
        <w:widowControl w:val="0"/>
        <w:numPr>
          <w:ilvl w:val="12"/>
          <w:numId w:val="0"/>
        </w:numPr>
        <w:tabs>
          <w:tab w:val="clear" w:pos="567"/>
        </w:tabs>
        <w:rPr>
          <w:b/>
          <w:color w:val="000000"/>
          <w:szCs w:val="22"/>
          <w:lang w:val="it-IT"/>
        </w:rPr>
      </w:pPr>
      <w:r w:rsidRPr="004A59B1">
        <w:rPr>
          <w:b/>
          <w:color w:val="000000"/>
          <w:szCs w:val="22"/>
          <w:lang w:val="it-IT"/>
        </w:rPr>
        <w:t>Otroci in mladostniki</w:t>
      </w:r>
    </w:p>
    <w:p w14:paraId="5297A7A7" w14:textId="77777777" w:rsidR="007B1033" w:rsidRPr="004A59B1" w:rsidRDefault="007B1033" w:rsidP="009C1193">
      <w:pPr>
        <w:pStyle w:val="EndnoteText"/>
        <w:widowControl w:val="0"/>
        <w:numPr>
          <w:ilvl w:val="12"/>
          <w:numId w:val="0"/>
        </w:numPr>
        <w:tabs>
          <w:tab w:val="clear" w:pos="567"/>
        </w:tabs>
        <w:rPr>
          <w:color w:val="000000"/>
          <w:szCs w:val="22"/>
          <w:lang w:val="it-IT"/>
        </w:rPr>
      </w:pPr>
      <w:r w:rsidRPr="004A59B1">
        <w:rPr>
          <w:color w:val="000000"/>
          <w:szCs w:val="22"/>
          <w:lang w:val="it-IT"/>
        </w:rPr>
        <w:t>Zdravilo Glivec je namenjeno tudi zdravljenju otrok s KML. Izkušenj pri otrocih s KML, mlajših od 2 let, ni. Izkušenj pri otrocih s Ph pozitivno ALL je malo</w:t>
      </w:r>
      <w:r w:rsidR="004C0629" w:rsidRPr="004A59B1">
        <w:rPr>
          <w:color w:val="000000"/>
          <w:szCs w:val="22"/>
          <w:lang w:val="it-IT"/>
        </w:rPr>
        <w:t>, pri otrocih z MDS/MPD, DFSP, GIST ali s HES/CEL pa zelo malo</w:t>
      </w:r>
      <w:r w:rsidRPr="004A59B1">
        <w:rPr>
          <w:color w:val="000000"/>
          <w:szCs w:val="22"/>
          <w:lang w:val="it-IT"/>
        </w:rPr>
        <w:t>.</w:t>
      </w:r>
    </w:p>
    <w:p w14:paraId="5297A7A8" w14:textId="77777777" w:rsidR="007B1033" w:rsidRPr="004A59B1" w:rsidRDefault="007B1033" w:rsidP="009C1193">
      <w:pPr>
        <w:pStyle w:val="EndnoteText"/>
        <w:widowControl w:val="0"/>
        <w:numPr>
          <w:ilvl w:val="12"/>
          <w:numId w:val="0"/>
        </w:numPr>
        <w:tabs>
          <w:tab w:val="clear" w:pos="567"/>
        </w:tabs>
        <w:rPr>
          <w:color w:val="000000"/>
          <w:szCs w:val="22"/>
          <w:lang w:val="it-IT"/>
        </w:rPr>
      </w:pPr>
    </w:p>
    <w:p w14:paraId="5297A7A9" w14:textId="77777777" w:rsidR="007B1033" w:rsidRPr="004A59B1" w:rsidRDefault="007B1033" w:rsidP="009C1193">
      <w:pPr>
        <w:pStyle w:val="EndnoteText"/>
        <w:widowControl w:val="0"/>
        <w:numPr>
          <w:ilvl w:val="12"/>
          <w:numId w:val="0"/>
        </w:numPr>
        <w:tabs>
          <w:tab w:val="clear" w:pos="567"/>
        </w:tabs>
        <w:rPr>
          <w:color w:val="000000"/>
          <w:szCs w:val="22"/>
          <w:lang w:val="it-IT"/>
        </w:rPr>
      </w:pPr>
      <w:r w:rsidRPr="004A59B1">
        <w:rPr>
          <w:color w:val="000000"/>
          <w:szCs w:val="22"/>
          <w:lang w:val="it-IT"/>
        </w:rPr>
        <w:t>Pri nekaterih otrocih in mladostnikih, ki jemljejo zdravilo Glivec, je lahko rast počasnejša od normalne. Zdravnik bo spremljal rast na rednih pregledih.</w:t>
      </w:r>
    </w:p>
    <w:p w14:paraId="5297A7AA" w14:textId="77777777" w:rsidR="007B1033" w:rsidRPr="004A59B1" w:rsidRDefault="007B1033" w:rsidP="009C1193">
      <w:pPr>
        <w:pStyle w:val="EndnoteText"/>
        <w:widowControl w:val="0"/>
        <w:numPr>
          <w:ilvl w:val="12"/>
          <w:numId w:val="0"/>
        </w:numPr>
        <w:tabs>
          <w:tab w:val="clear" w:pos="567"/>
        </w:tabs>
        <w:rPr>
          <w:color w:val="000000"/>
          <w:szCs w:val="22"/>
          <w:lang w:val="it-IT"/>
        </w:rPr>
      </w:pPr>
    </w:p>
    <w:p w14:paraId="5297A7AB" w14:textId="77777777" w:rsidR="007B1033" w:rsidRPr="004A59B1" w:rsidRDefault="007B1033" w:rsidP="009C1193">
      <w:pPr>
        <w:keepNext/>
        <w:widowControl w:val="0"/>
        <w:numPr>
          <w:ilvl w:val="12"/>
          <w:numId w:val="0"/>
        </w:numPr>
        <w:tabs>
          <w:tab w:val="clear" w:pos="567"/>
        </w:tabs>
        <w:spacing w:line="240" w:lineRule="auto"/>
        <w:ind w:right="-2"/>
        <w:rPr>
          <w:color w:val="000000"/>
          <w:szCs w:val="22"/>
          <w:lang w:val="it-IT"/>
        </w:rPr>
      </w:pPr>
      <w:r w:rsidRPr="004A59B1">
        <w:rPr>
          <w:b/>
          <w:color w:val="000000"/>
          <w:szCs w:val="22"/>
          <w:lang w:val="it-IT"/>
        </w:rPr>
        <w:lastRenderedPageBreak/>
        <w:t>Druga zdravila in zdravilo Glivec</w:t>
      </w:r>
    </w:p>
    <w:p w14:paraId="5297A7AC" w14:textId="77777777" w:rsidR="007B1033" w:rsidRPr="004A59B1" w:rsidRDefault="007B1033" w:rsidP="009C1193">
      <w:pPr>
        <w:pStyle w:val="EndnoteText"/>
        <w:widowControl w:val="0"/>
        <w:numPr>
          <w:ilvl w:val="12"/>
          <w:numId w:val="0"/>
        </w:numPr>
        <w:tabs>
          <w:tab w:val="clear" w:pos="567"/>
        </w:tabs>
        <w:rPr>
          <w:color w:val="000000"/>
          <w:szCs w:val="22"/>
          <w:lang w:val="pt-PT"/>
        </w:rPr>
      </w:pPr>
      <w:r w:rsidRPr="004A59B1">
        <w:rPr>
          <w:color w:val="000000"/>
          <w:szCs w:val="22"/>
          <w:lang w:val="it-IT"/>
        </w:rPr>
        <w:t xml:space="preserve">Obvestite zdravnika ali farmacevta, če jemljete, ste pred kratkim jemali ali pa boste morda začeli jemati katero koli drugo zdravilo, tudi če ste ga dobili brez recepta (na primer paracetamol), vključno z zdravili rastlinskega izvora (na primer šentjanževke). </w:t>
      </w:r>
      <w:r w:rsidRPr="004A59B1">
        <w:rPr>
          <w:color w:val="000000"/>
          <w:szCs w:val="22"/>
          <w:lang w:val="pt-PT"/>
        </w:rPr>
        <w:t xml:space="preserve">Nekatera zdravila lahko ob sočasnem jemanju vplivajo na delovanje zdravila Glivec. Lahko povečajo ali zmanjšajo učinek zdravila Glivec in zato bodisi povečajo verjetnost za nastanek neželenih učinkov, bodisi zmanjšajo učinkovitost zdravila Glivec. Zdravilo Glivec lahko enako vpliva na </w:t>
      </w:r>
      <w:r w:rsidR="00D17DD1" w:rsidRPr="004A59B1">
        <w:rPr>
          <w:color w:val="000000"/>
          <w:szCs w:val="22"/>
          <w:lang w:val="pt-PT"/>
        </w:rPr>
        <w:t xml:space="preserve">nekatera </w:t>
      </w:r>
      <w:r w:rsidRPr="004A59B1">
        <w:rPr>
          <w:color w:val="000000"/>
          <w:szCs w:val="22"/>
          <w:lang w:val="pt-PT"/>
        </w:rPr>
        <w:t>druga zdravila.</w:t>
      </w:r>
    </w:p>
    <w:p w14:paraId="5297A7AD" w14:textId="77777777" w:rsidR="00A73C50" w:rsidRPr="004A59B1" w:rsidRDefault="00A73C50" w:rsidP="009C1193">
      <w:pPr>
        <w:pStyle w:val="EndnoteText"/>
        <w:widowControl w:val="0"/>
        <w:numPr>
          <w:ilvl w:val="12"/>
          <w:numId w:val="0"/>
        </w:numPr>
        <w:tabs>
          <w:tab w:val="clear" w:pos="567"/>
        </w:tabs>
        <w:rPr>
          <w:color w:val="000000"/>
          <w:szCs w:val="22"/>
          <w:lang w:val="pt-PT"/>
        </w:rPr>
      </w:pPr>
    </w:p>
    <w:p w14:paraId="5297A7AE" w14:textId="77777777" w:rsidR="00A73C50" w:rsidRPr="004A59B1" w:rsidRDefault="00A73C50" w:rsidP="009C1193">
      <w:pPr>
        <w:pStyle w:val="EndnoteText"/>
        <w:widowControl w:val="0"/>
        <w:numPr>
          <w:ilvl w:val="12"/>
          <w:numId w:val="0"/>
        </w:numPr>
        <w:tabs>
          <w:tab w:val="clear" w:pos="567"/>
        </w:tabs>
        <w:rPr>
          <w:color w:val="000000"/>
          <w:szCs w:val="22"/>
          <w:lang w:val="pt-PT"/>
        </w:rPr>
      </w:pPr>
      <w:r w:rsidRPr="004A59B1">
        <w:rPr>
          <w:color w:val="000000"/>
          <w:szCs w:val="22"/>
          <w:lang w:val="pt-PT"/>
        </w:rPr>
        <w:t>Povejte svojemu zdravniku, če uporabljate zdravila, ki preprečujejo strjevanje krvi.</w:t>
      </w:r>
    </w:p>
    <w:p w14:paraId="5297A7AF" w14:textId="77777777" w:rsidR="007B1033" w:rsidRPr="004A59B1" w:rsidRDefault="007B1033" w:rsidP="009C1193">
      <w:pPr>
        <w:pStyle w:val="EndnoteText"/>
        <w:widowControl w:val="0"/>
        <w:numPr>
          <w:ilvl w:val="12"/>
          <w:numId w:val="0"/>
        </w:numPr>
        <w:tabs>
          <w:tab w:val="clear" w:pos="567"/>
        </w:tabs>
        <w:rPr>
          <w:color w:val="000000"/>
          <w:szCs w:val="22"/>
          <w:lang w:val="pt-PT"/>
        </w:rPr>
      </w:pPr>
    </w:p>
    <w:p w14:paraId="5297A7B0" w14:textId="77777777" w:rsidR="007B1033" w:rsidRPr="004A59B1" w:rsidRDefault="007B1033" w:rsidP="009C1193">
      <w:pPr>
        <w:pStyle w:val="TextChar"/>
        <w:keepNext/>
        <w:widowControl w:val="0"/>
        <w:spacing w:before="0"/>
        <w:jc w:val="left"/>
        <w:rPr>
          <w:color w:val="000000"/>
          <w:sz w:val="22"/>
          <w:szCs w:val="22"/>
          <w:lang w:val="pt-PT"/>
        </w:rPr>
      </w:pPr>
      <w:r w:rsidRPr="004A59B1">
        <w:rPr>
          <w:b/>
          <w:color w:val="000000"/>
          <w:sz w:val="22"/>
          <w:szCs w:val="22"/>
          <w:lang w:val="pt-PT"/>
        </w:rPr>
        <w:t>Nosečnost, dojenje in plodnost</w:t>
      </w:r>
    </w:p>
    <w:p w14:paraId="5297A7B1" w14:textId="77777777" w:rsidR="007B1033" w:rsidRPr="004A59B1" w:rsidRDefault="007B1033" w:rsidP="009C1193">
      <w:pPr>
        <w:keepNext/>
        <w:widowControl w:val="0"/>
        <w:numPr>
          <w:ilvl w:val="0"/>
          <w:numId w:val="42"/>
        </w:numPr>
        <w:tabs>
          <w:tab w:val="clear" w:pos="567"/>
        </w:tabs>
        <w:spacing w:line="240" w:lineRule="auto"/>
        <w:ind w:left="567" w:hanging="567"/>
        <w:rPr>
          <w:color w:val="000000"/>
          <w:szCs w:val="22"/>
          <w:lang w:val="pt-PT"/>
        </w:rPr>
      </w:pPr>
      <w:r w:rsidRPr="004A59B1">
        <w:rPr>
          <w:color w:val="000000"/>
          <w:szCs w:val="22"/>
          <w:lang w:val="pt-PT"/>
        </w:rPr>
        <w:t xml:space="preserve">Če ste noseči ali dojite, menite, da </w:t>
      </w:r>
      <w:r w:rsidR="00346403" w:rsidRPr="004A59B1">
        <w:rPr>
          <w:color w:val="000000"/>
          <w:szCs w:val="22"/>
          <w:lang w:val="pt-PT"/>
        </w:rPr>
        <w:t>bi lahko bili</w:t>
      </w:r>
      <w:r w:rsidRPr="004A59B1">
        <w:rPr>
          <w:color w:val="000000"/>
          <w:szCs w:val="22"/>
          <w:lang w:val="pt-PT"/>
        </w:rPr>
        <w:t xml:space="preserve"> noseči ali načrtujete zanositev, se posvetujte </w:t>
      </w:r>
      <w:r w:rsidR="00346403" w:rsidRPr="004A59B1">
        <w:rPr>
          <w:color w:val="000000"/>
          <w:szCs w:val="22"/>
          <w:lang w:val="pt-PT"/>
        </w:rPr>
        <w:t>z</w:t>
      </w:r>
      <w:r w:rsidRPr="004A59B1">
        <w:rPr>
          <w:color w:val="000000"/>
          <w:szCs w:val="22"/>
          <w:lang w:val="pt-PT"/>
        </w:rPr>
        <w:t xml:space="preserve"> zdravnikom, preden vzamete to zdravilo.</w:t>
      </w:r>
    </w:p>
    <w:p w14:paraId="5297A7B2" w14:textId="77777777" w:rsidR="007B1033" w:rsidRPr="004A59B1" w:rsidRDefault="007B1033" w:rsidP="009C1193">
      <w:pPr>
        <w:widowControl w:val="0"/>
        <w:numPr>
          <w:ilvl w:val="12"/>
          <w:numId w:val="0"/>
        </w:numPr>
        <w:tabs>
          <w:tab w:val="clear" w:pos="567"/>
        </w:tabs>
        <w:spacing w:line="240" w:lineRule="auto"/>
        <w:ind w:left="567" w:hanging="567"/>
        <w:rPr>
          <w:color w:val="000000"/>
          <w:szCs w:val="22"/>
          <w:lang w:val="pt-PT"/>
        </w:rPr>
      </w:pPr>
      <w:r w:rsidRPr="004A59B1">
        <w:rPr>
          <w:b/>
          <w:color w:val="000000"/>
          <w:szCs w:val="22"/>
          <w:lang w:val="pt-PT"/>
        </w:rPr>
        <w:t>-</w:t>
      </w:r>
      <w:r w:rsidRPr="004A59B1">
        <w:rPr>
          <w:b/>
          <w:color w:val="000000"/>
          <w:szCs w:val="22"/>
          <w:lang w:val="pt-PT"/>
        </w:rPr>
        <w:tab/>
      </w:r>
      <w:r w:rsidRPr="004A59B1">
        <w:rPr>
          <w:color w:val="000000"/>
          <w:szCs w:val="22"/>
          <w:lang w:val="pt-PT"/>
        </w:rPr>
        <w:t>Uporaba zdravila Glivec v nosečnosti ni priporočena, če to ni nujno potrebno, saj lahko škoduje vašemu otroku. Zdravnik se bo pogovoril z vami o možnih nevarnostih jemanja zdravila Glivec v nosečnosti.</w:t>
      </w:r>
    </w:p>
    <w:p w14:paraId="5297A7B3" w14:textId="77777777" w:rsidR="007B1033" w:rsidRPr="004A59B1" w:rsidRDefault="007B1033" w:rsidP="009C1193">
      <w:pPr>
        <w:widowControl w:val="0"/>
        <w:numPr>
          <w:ilvl w:val="12"/>
          <w:numId w:val="0"/>
        </w:numPr>
        <w:tabs>
          <w:tab w:val="clear" w:pos="567"/>
        </w:tabs>
        <w:spacing w:line="240" w:lineRule="auto"/>
        <w:ind w:left="567" w:hanging="567"/>
        <w:rPr>
          <w:color w:val="000000"/>
          <w:szCs w:val="22"/>
          <w:lang w:val="pt-PT"/>
        </w:rPr>
      </w:pPr>
      <w:r w:rsidRPr="004A59B1">
        <w:rPr>
          <w:color w:val="000000"/>
          <w:szCs w:val="22"/>
          <w:lang w:val="pt-PT"/>
        </w:rPr>
        <w:t>-</w:t>
      </w:r>
      <w:r w:rsidRPr="004A59B1">
        <w:rPr>
          <w:color w:val="000000"/>
          <w:szCs w:val="22"/>
          <w:lang w:val="pt-PT"/>
        </w:rPr>
        <w:tab/>
        <w:t xml:space="preserve">Ženskam, ki bi lahko zanosile, med zdravljenjem </w:t>
      </w:r>
      <w:r w:rsidR="00471658">
        <w:rPr>
          <w:color w:val="000000"/>
          <w:szCs w:val="22"/>
          <w:lang w:val="pt-PT"/>
        </w:rPr>
        <w:t xml:space="preserve">in še 15 dni po koncu zdravljenja </w:t>
      </w:r>
      <w:r w:rsidRPr="004A59B1">
        <w:rPr>
          <w:color w:val="000000"/>
          <w:szCs w:val="22"/>
          <w:lang w:val="pt-PT"/>
        </w:rPr>
        <w:t>priporočamo uporabo učinkovite kontracepcijske metode.</w:t>
      </w:r>
    </w:p>
    <w:p w14:paraId="5297A7B4" w14:textId="77777777" w:rsidR="007B1033" w:rsidRPr="004A59B1" w:rsidRDefault="007B1033" w:rsidP="009C1193">
      <w:pPr>
        <w:widowControl w:val="0"/>
        <w:numPr>
          <w:ilvl w:val="12"/>
          <w:numId w:val="0"/>
        </w:numPr>
        <w:tabs>
          <w:tab w:val="clear" w:pos="567"/>
        </w:tabs>
        <w:spacing w:line="240" w:lineRule="auto"/>
        <w:ind w:left="567" w:hanging="567"/>
        <w:rPr>
          <w:color w:val="000000"/>
          <w:szCs w:val="22"/>
          <w:lang w:val="pt-PT"/>
        </w:rPr>
      </w:pPr>
      <w:r w:rsidRPr="004A59B1">
        <w:rPr>
          <w:color w:val="000000"/>
          <w:szCs w:val="22"/>
          <w:lang w:val="pt-PT"/>
        </w:rPr>
        <w:t>-</w:t>
      </w:r>
      <w:r w:rsidRPr="004A59B1">
        <w:rPr>
          <w:color w:val="000000"/>
          <w:szCs w:val="22"/>
          <w:lang w:val="pt-PT"/>
        </w:rPr>
        <w:tab/>
        <w:t xml:space="preserve">Med zdravljenjem </w:t>
      </w:r>
      <w:r w:rsidR="00471658">
        <w:rPr>
          <w:color w:val="000000"/>
          <w:szCs w:val="22"/>
          <w:lang w:val="pt-PT"/>
        </w:rPr>
        <w:t xml:space="preserve">in še 15 dni po koncu zdravljenja </w:t>
      </w:r>
      <w:r w:rsidRPr="004A59B1">
        <w:rPr>
          <w:color w:val="000000"/>
          <w:szCs w:val="22"/>
          <w:lang w:val="pt-PT"/>
        </w:rPr>
        <w:t>z zdravilom Glivec ne dojite</w:t>
      </w:r>
      <w:r w:rsidR="00471658">
        <w:rPr>
          <w:color w:val="000000"/>
          <w:szCs w:val="22"/>
          <w:lang w:val="pt-PT"/>
        </w:rPr>
        <w:t>, ker to lahko škodi vašemu otroku</w:t>
      </w:r>
      <w:r w:rsidRPr="004A59B1">
        <w:rPr>
          <w:color w:val="000000"/>
          <w:szCs w:val="22"/>
          <w:lang w:val="pt-PT"/>
        </w:rPr>
        <w:t>.</w:t>
      </w:r>
    </w:p>
    <w:p w14:paraId="5297A7B5" w14:textId="77777777" w:rsidR="007B1033" w:rsidRPr="004A59B1" w:rsidRDefault="007B1033" w:rsidP="009C1193">
      <w:pPr>
        <w:widowControl w:val="0"/>
        <w:numPr>
          <w:ilvl w:val="12"/>
          <w:numId w:val="0"/>
        </w:numPr>
        <w:tabs>
          <w:tab w:val="clear" w:pos="567"/>
        </w:tabs>
        <w:spacing w:line="240" w:lineRule="auto"/>
        <w:ind w:left="567" w:hanging="567"/>
        <w:rPr>
          <w:color w:val="000000"/>
          <w:szCs w:val="22"/>
          <w:lang w:val="pt-PT"/>
        </w:rPr>
      </w:pPr>
      <w:r w:rsidRPr="004A59B1">
        <w:rPr>
          <w:color w:val="000000"/>
          <w:szCs w:val="22"/>
          <w:lang w:val="pt-PT"/>
        </w:rPr>
        <w:t>-</w:t>
      </w:r>
      <w:r w:rsidRPr="004A59B1">
        <w:rPr>
          <w:color w:val="000000"/>
          <w:szCs w:val="22"/>
          <w:lang w:val="pt-PT"/>
        </w:rPr>
        <w:tab/>
        <w:t>Bolniki</w:t>
      </w:r>
      <w:r w:rsidRPr="004A59B1">
        <w:rPr>
          <w:lang w:val="sl-SI"/>
        </w:rPr>
        <w:t>, ki jih skrbi glede njihove plodnosti v času zdravljenja z zdravilom Glivec, naj se posvetujejo s svojim zdravnikom.</w:t>
      </w:r>
    </w:p>
    <w:p w14:paraId="5297A7B6" w14:textId="77777777" w:rsidR="007B1033" w:rsidRPr="004A59B1" w:rsidRDefault="007B1033" w:rsidP="009C1193">
      <w:pPr>
        <w:widowControl w:val="0"/>
        <w:numPr>
          <w:ilvl w:val="12"/>
          <w:numId w:val="0"/>
        </w:numPr>
        <w:tabs>
          <w:tab w:val="clear" w:pos="567"/>
        </w:tabs>
        <w:spacing w:line="240" w:lineRule="auto"/>
        <w:ind w:left="567" w:hanging="567"/>
        <w:rPr>
          <w:color w:val="000000"/>
          <w:szCs w:val="22"/>
          <w:lang w:val="pt-PT"/>
        </w:rPr>
      </w:pPr>
    </w:p>
    <w:p w14:paraId="5297A7B7" w14:textId="77777777" w:rsidR="007B1033" w:rsidRPr="004A59B1" w:rsidRDefault="007B1033" w:rsidP="009C1193">
      <w:pPr>
        <w:keepNext/>
        <w:widowControl w:val="0"/>
        <w:numPr>
          <w:ilvl w:val="12"/>
          <w:numId w:val="0"/>
        </w:numPr>
        <w:tabs>
          <w:tab w:val="clear" w:pos="567"/>
        </w:tabs>
        <w:spacing w:line="240" w:lineRule="auto"/>
        <w:ind w:right="-2"/>
        <w:rPr>
          <w:b/>
          <w:color w:val="000000"/>
          <w:szCs w:val="22"/>
          <w:lang w:val="pt-PT"/>
        </w:rPr>
      </w:pPr>
      <w:r w:rsidRPr="004A59B1">
        <w:rPr>
          <w:b/>
          <w:color w:val="000000"/>
          <w:szCs w:val="22"/>
          <w:lang w:val="pt-PT"/>
        </w:rPr>
        <w:t>Vpliv na sposobnost upravljanja vozil in strojev</w:t>
      </w:r>
    </w:p>
    <w:p w14:paraId="5297A7B8" w14:textId="77777777" w:rsidR="007B1033" w:rsidRPr="004A59B1" w:rsidRDefault="007B1033" w:rsidP="009C1193">
      <w:pPr>
        <w:widowControl w:val="0"/>
        <w:numPr>
          <w:ilvl w:val="12"/>
          <w:numId w:val="0"/>
        </w:numPr>
        <w:tabs>
          <w:tab w:val="clear" w:pos="567"/>
        </w:tabs>
        <w:spacing w:line="240" w:lineRule="auto"/>
        <w:ind w:right="-29"/>
        <w:rPr>
          <w:color w:val="000000"/>
          <w:szCs w:val="22"/>
          <w:lang w:val="sl-SI"/>
        </w:rPr>
      </w:pPr>
      <w:r w:rsidRPr="004A59B1">
        <w:rPr>
          <w:color w:val="000000"/>
          <w:szCs w:val="22"/>
          <w:lang w:val="sl-SI"/>
        </w:rPr>
        <w:t>V času jemanja zdravila Glivec lahko postanete omotični ali zaspani ali se vam zamegli vid. Če pride do tega, ne vozite in ne upravljajte nobenih naprav ali strojev, dokler se ne počutite spet normalno.</w:t>
      </w:r>
    </w:p>
    <w:p w14:paraId="5297A7B9" w14:textId="77777777" w:rsidR="007B1033" w:rsidRPr="004A59B1" w:rsidRDefault="007B1033" w:rsidP="009C1193">
      <w:pPr>
        <w:pStyle w:val="EndnoteText"/>
        <w:widowControl w:val="0"/>
        <w:numPr>
          <w:ilvl w:val="12"/>
          <w:numId w:val="0"/>
        </w:numPr>
        <w:tabs>
          <w:tab w:val="clear" w:pos="567"/>
        </w:tabs>
        <w:rPr>
          <w:color w:val="000000"/>
          <w:szCs w:val="22"/>
          <w:lang w:val="sl-SI"/>
        </w:rPr>
      </w:pPr>
    </w:p>
    <w:p w14:paraId="5297A7BA" w14:textId="77777777" w:rsidR="007B1033" w:rsidRPr="004A59B1" w:rsidRDefault="007B1033" w:rsidP="009C1193">
      <w:pPr>
        <w:pStyle w:val="EndnoteText"/>
        <w:widowControl w:val="0"/>
        <w:numPr>
          <w:ilvl w:val="12"/>
          <w:numId w:val="0"/>
        </w:numPr>
        <w:tabs>
          <w:tab w:val="clear" w:pos="567"/>
        </w:tabs>
        <w:rPr>
          <w:color w:val="000000"/>
          <w:szCs w:val="22"/>
          <w:lang w:val="sl-SI"/>
        </w:rPr>
      </w:pPr>
    </w:p>
    <w:p w14:paraId="5297A7BB" w14:textId="77777777" w:rsidR="00841424" w:rsidRPr="004A59B1" w:rsidRDefault="00841424" w:rsidP="009C1193">
      <w:pPr>
        <w:keepNext/>
        <w:widowControl w:val="0"/>
        <w:numPr>
          <w:ilvl w:val="12"/>
          <w:numId w:val="0"/>
        </w:numPr>
        <w:tabs>
          <w:tab w:val="clear" w:pos="567"/>
        </w:tabs>
        <w:spacing w:line="240" w:lineRule="auto"/>
        <w:ind w:left="567" w:right="-2" w:hanging="567"/>
        <w:rPr>
          <w:color w:val="000000"/>
          <w:szCs w:val="22"/>
          <w:lang w:val="sl-SI"/>
        </w:rPr>
      </w:pPr>
      <w:r w:rsidRPr="004A59B1">
        <w:rPr>
          <w:b/>
          <w:color w:val="000000"/>
          <w:szCs w:val="22"/>
          <w:lang w:val="sl-SI"/>
        </w:rPr>
        <w:t>3.</w:t>
      </w:r>
      <w:r w:rsidRPr="004A59B1">
        <w:rPr>
          <w:b/>
          <w:color w:val="000000"/>
          <w:szCs w:val="22"/>
          <w:lang w:val="sl-SI"/>
        </w:rPr>
        <w:tab/>
        <w:t>K</w:t>
      </w:r>
      <w:r w:rsidR="002E508D" w:rsidRPr="004A59B1">
        <w:rPr>
          <w:b/>
          <w:color w:val="000000"/>
          <w:szCs w:val="22"/>
          <w:lang w:val="sl-SI"/>
        </w:rPr>
        <w:t>ako jemati zdravilo Glivec</w:t>
      </w:r>
    </w:p>
    <w:p w14:paraId="5297A7BC" w14:textId="77777777" w:rsidR="00841424" w:rsidRPr="004A59B1" w:rsidRDefault="00841424" w:rsidP="009C1193">
      <w:pPr>
        <w:pStyle w:val="EndnoteText"/>
        <w:keepNext/>
        <w:widowControl w:val="0"/>
        <w:numPr>
          <w:ilvl w:val="12"/>
          <w:numId w:val="0"/>
        </w:numPr>
        <w:tabs>
          <w:tab w:val="clear" w:pos="567"/>
        </w:tabs>
        <w:rPr>
          <w:color w:val="000000"/>
          <w:szCs w:val="22"/>
          <w:lang w:val="sl-SI"/>
        </w:rPr>
      </w:pPr>
    </w:p>
    <w:p w14:paraId="5297A7BD" w14:textId="77777777" w:rsidR="00841424" w:rsidRPr="004A59B1" w:rsidRDefault="00841424" w:rsidP="009C1193">
      <w:pPr>
        <w:pStyle w:val="Text"/>
        <w:widowControl w:val="0"/>
        <w:spacing w:before="0"/>
        <w:jc w:val="left"/>
        <w:rPr>
          <w:rFonts w:cs="Helv"/>
          <w:color w:val="000000"/>
          <w:sz w:val="22"/>
          <w:szCs w:val="22"/>
          <w:lang w:val="sl-SI" w:bidi="th-TH"/>
        </w:rPr>
      </w:pPr>
      <w:r w:rsidRPr="004A59B1">
        <w:rPr>
          <w:rFonts w:cs="Helv"/>
          <w:color w:val="000000"/>
          <w:sz w:val="22"/>
          <w:szCs w:val="22"/>
          <w:lang w:val="sl-SI" w:bidi="th-TH"/>
        </w:rPr>
        <w:t>Zdravnik vam je predpisal zdravilo Glivec, ker imate resno bolezen. Zdravilo Glivec vam lahko pomaga pri premagovanju te bolezni.</w:t>
      </w:r>
    </w:p>
    <w:p w14:paraId="5297A7BE" w14:textId="77777777" w:rsidR="00841424" w:rsidRPr="004A59B1" w:rsidRDefault="00841424" w:rsidP="009C1193">
      <w:pPr>
        <w:pStyle w:val="EndnoteText"/>
        <w:widowControl w:val="0"/>
        <w:numPr>
          <w:ilvl w:val="12"/>
          <w:numId w:val="0"/>
        </w:numPr>
        <w:tabs>
          <w:tab w:val="clear" w:pos="567"/>
        </w:tabs>
        <w:rPr>
          <w:color w:val="000000"/>
          <w:szCs w:val="22"/>
          <w:lang w:val="sl-SI"/>
        </w:rPr>
      </w:pPr>
    </w:p>
    <w:p w14:paraId="5297A7BF" w14:textId="77777777" w:rsidR="00841424" w:rsidRPr="004A59B1" w:rsidRDefault="00841424" w:rsidP="009C1193">
      <w:pPr>
        <w:pStyle w:val="TextChar"/>
        <w:widowControl w:val="0"/>
        <w:spacing w:before="0"/>
        <w:jc w:val="left"/>
        <w:rPr>
          <w:color w:val="000000"/>
          <w:sz w:val="22"/>
          <w:szCs w:val="22"/>
          <w:lang w:val="sl-SI"/>
        </w:rPr>
      </w:pPr>
      <w:r w:rsidRPr="004A59B1">
        <w:rPr>
          <w:color w:val="000000"/>
          <w:sz w:val="22"/>
          <w:szCs w:val="22"/>
          <w:lang w:val="sl-SI"/>
        </w:rPr>
        <w:t xml:space="preserve">Seveda pri jemanju </w:t>
      </w:r>
      <w:r w:rsidR="002E508D" w:rsidRPr="004A59B1">
        <w:rPr>
          <w:color w:val="000000"/>
          <w:sz w:val="22"/>
          <w:szCs w:val="22"/>
          <w:lang w:val="sl-SI"/>
        </w:rPr>
        <w:t xml:space="preserve">tega </w:t>
      </w:r>
      <w:r w:rsidRPr="004A59B1">
        <w:rPr>
          <w:color w:val="000000"/>
          <w:sz w:val="22"/>
          <w:szCs w:val="22"/>
          <w:lang w:val="sl-SI"/>
        </w:rPr>
        <w:t>zdravila natančno upoštevajte navodila</w:t>
      </w:r>
      <w:r w:rsidR="002E508D" w:rsidRPr="004A59B1">
        <w:rPr>
          <w:color w:val="000000"/>
          <w:sz w:val="22"/>
          <w:szCs w:val="22"/>
          <w:lang w:val="sl-SI"/>
        </w:rPr>
        <w:t xml:space="preserve"> zdravnika ali farmacevta</w:t>
      </w:r>
      <w:r w:rsidRPr="004A59B1">
        <w:rPr>
          <w:color w:val="000000"/>
          <w:sz w:val="22"/>
          <w:szCs w:val="22"/>
          <w:lang w:val="sl-SI"/>
        </w:rPr>
        <w:t>. Pomembno je, da zdravilo jemljete tako dolgo, kot vam naroči zdravnik</w:t>
      </w:r>
      <w:r w:rsidR="002E508D" w:rsidRPr="004A59B1">
        <w:rPr>
          <w:color w:val="000000"/>
          <w:sz w:val="22"/>
          <w:szCs w:val="22"/>
          <w:lang w:val="sl-SI"/>
        </w:rPr>
        <w:t xml:space="preserve"> ali farmacevt</w:t>
      </w:r>
      <w:r w:rsidRPr="004A59B1">
        <w:rPr>
          <w:color w:val="000000"/>
          <w:sz w:val="22"/>
          <w:szCs w:val="22"/>
          <w:lang w:val="sl-SI"/>
        </w:rPr>
        <w:t xml:space="preserve">. Če ste negotovi, se posvetujte </w:t>
      </w:r>
      <w:r w:rsidR="00346403" w:rsidRPr="004A59B1">
        <w:rPr>
          <w:color w:val="000000"/>
          <w:szCs w:val="22"/>
          <w:lang w:val="pt-PT"/>
        </w:rPr>
        <w:t>z</w:t>
      </w:r>
      <w:r w:rsidRPr="004A59B1">
        <w:rPr>
          <w:color w:val="000000"/>
          <w:sz w:val="22"/>
          <w:szCs w:val="22"/>
          <w:lang w:val="sl-SI"/>
        </w:rPr>
        <w:t xml:space="preserve"> zdravnikom ali farmacevtom.</w:t>
      </w:r>
    </w:p>
    <w:p w14:paraId="5297A7C0" w14:textId="77777777" w:rsidR="00841424" w:rsidRPr="004A59B1" w:rsidRDefault="00841424" w:rsidP="009C1193">
      <w:pPr>
        <w:widowControl w:val="0"/>
        <w:tabs>
          <w:tab w:val="clear" w:pos="567"/>
        </w:tabs>
        <w:autoSpaceDE w:val="0"/>
        <w:autoSpaceDN w:val="0"/>
        <w:adjustRightInd w:val="0"/>
        <w:spacing w:line="240" w:lineRule="auto"/>
        <w:rPr>
          <w:rFonts w:cs="Helv"/>
          <w:color w:val="000000"/>
          <w:szCs w:val="22"/>
          <w:lang w:val="sl-SI" w:bidi="th-TH"/>
        </w:rPr>
      </w:pPr>
    </w:p>
    <w:p w14:paraId="5297A7C1" w14:textId="77777777" w:rsidR="00841424" w:rsidRPr="004A59B1" w:rsidRDefault="00841424" w:rsidP="009C1193">
      <w:pPr>
        <w:widowControl w:val="0"/>
        <w:tabs>
          <w:tab w:val="clear" w:pos="567"/>
        </w:tabs>
        <w:autoSpaceDE w:val="0"/>
        <w:autoSpaceDN w:val="0"/>
        <w:adjustRightInd w:val="0"/>
        <w:spacing w:line="240" w:lineRule="auto"/>
        <w:rPr>
          <w:rFonts w:cs="Helv"/>
          <w:color w:val="000000"/>
          <w:szCs w:val="22"/>
          <w:lang w:val="sl-SI" w:bidi="th-TH"/>
        </w:rPr>
      </w:pPr>
      <w:r w:rsidRPr="004A59B1">
        <w:rPr>
          <w:rFonts w:cs="Helv"/>
          <w:color w:val="000000"/>
          <w:szCs w:val="22"/>
          <w:lang w:val="sl-SI" w:bidi="th-TH"/>
        </w:rPr>
        <w:t>Ne prenehajte jemati zdravila Glivec, razen če vam tako naroči zdravnik. Če zdravila ne morete jemati tako, kot vam je predpisal zdravnik, ali se vam zdi, da zdravila ne potrebujete več, takoj pokličite zdravnika.</w:t>
      </w:r>
    </w:p>
    <w:p w14:paraId="5297A7C2" w14:textId="77777777" w:rsidR="00841424" w:rsidRPr="004A59B1" w:rsidRDefault="00841424" w:rsidP="009C1193">
      <w:pPr>
        <w:pStyle w:val="TextChar"/>
        <w:widowControl w:val="0"/>
        <w:spacing w:before="0"/>
        <w:jc w:val="left"/>
        <w:rPr>
          <w:color w:val="000000"/>
          <w:sz w:val="22"/>
          <w:szCs w:val="22"/>
          <w:lang w:val="sl-SI"/>
        </w:rPr>
      </w:pPr>
    </w:p>
    <w:p w14:paraId="5297A7C3" w14:textId="77777777" w:rsidR="00841424" w:rsidRPr="004A59B1" w:rsidRDefault="00841424" w:rsidP="009C1193">
      <w:pPr>
        <w:pStyle w:val="TextChar"/>
        <w:keepNext/>
        <w:widowControl w:val="0"/>
        <w:spacing w:before="0"/>
        <w:jc w:val="left"/>
        <w:rPr>
          <w:b/>
          <w:color w:val="000000"/>
          <w:sz w:val="22"/>
          <w:szCs w:val="22"/>
          <w:lang w:val="sl-SI"/>
        </w:rPr>
      </w:pPr>
      <w:r w:rsidRPr="004A59B1">
        <w:rPr>
          <w:b/>
          <w:color w:val="000000"/>
          <w:sz w:val="22"/>
          <w:szCs w:val="22"/>
          <w:lang w:val="sl-SI"/>
        </w:rPr>
        <w:t xml:space="preserve">Koliko </w:t>
      </w:r>
      <w:r w:rsidR="002E508D" w:rsidRPr="004A59B1">
        <w:rPr>
          <w:b/>
          <w:color w:val="000000"/>
          <w:sz w:val="22"/>
          <w:szCs w:val="22"/>
          <w:lang w:val="sl-SI"/>
        </w:rPr>
        <w:t xml:space="preserve">zdravila Glivec </w:t>
      </w:r>
      <w:r w:rsidRPr="004A59B1">
        <w:rPr>
          <w:b/>
          <w:color w:val="000000"/>
          <w:sz w:val="22"/>
          <w:szCs w:val="22"/>
          <w:lang w:val="sl-SI"/>
        </w:rPr>
        <w:t>jemati</w:t>
      </w:r>
    </w:p>
    <w:p w14:paraId="5297A7C4" w14:textId="77777777" w:rsidR="00841424" w:rsidRPr="004A59B1" w:rsidRDefault="00841424" w:rsidP="009C1193">
      <w:pPr>
        <w:pStyle w:val="TextChar"/>
        <w:keepNext/>
        <w:widowControl w:val="0"/>
        <w:spacing w:before="0"/>
        <w:jc w:val="left"/>
        <w:rPr>
          <w:color w:val="000000"/>
          <w:sz w:val="22"/>
          <w:szCs w:val="22"/>
          <w:lang w:val="sl-SI"/>
        </w:rPr>
      </w:pPr>
    </w:p>
    <w:p w14:paraId="5297A7C5" w14:textId="77777777" w:rsidR="00841424" w:rsidRPr="004A59B1" w:rsidRDefault="00841424" w:rsidP="009C1193">
      <w:pPr>
        <w:pStyle w:val="TextChar"/>
        <w:keepNext/>
        <w:widowControl w:val="0"/>
        <w:spacing w:before="0"/>
        <w:jc w:val="left"/>
        <w:rPr>
          <w:b/>
          <w:bCs/>
          <w:color w:val="000000"/>
          <w:sz w:val="22"/>
          <w:szCs w:val="22"/>
          <w:lang w:val="sl-SI"/>
        </w:rPr>
      </w:pPr>
      <w:r w:rsidRPr="004A59B1">
        <w:rPr>
          <w:b/>
          <w:bCs/>
          <w:color w:val="000000"/>
          <w:sz w:val="22"/>
          <w:szCs w:val="22"/>
          <w:lang w:val="sl-SI"/>
        </w:rPr>
        <w:t>Uporaba pri odraslih</w:t>
      </w:r>
    </w:p>
    <w:p w14:paraId="5297A7C6" w14:textId="77777777" w:rsidR="00841424" w:rsidRPr="004A59B1" w:rsidRDefault="00841424" w:rsidP="009C1193">
      <w:pPr>
        <w:pStyle w:val="TextChar"/>
        <w:widowControl w:val="0"/>
        <w:spacing w:before="0"/>
        <w:jc w:val="left"/>
        <w:rPr>
          <w:color w:val="000000"/>
          <w:sz w:val="22"/>
          <w:szCs w:val="22"/>
          <w:lang w:val="sl-SI"/>
        </w:rPr>
      </w:pPr>
      <w:r w:rsidRPr="004A59B1">
        <w:rPr>
          <w:color w:val="000000"/>
          <w:sz w:val="22"/>
          <w:szCs w:val="22"/>
          <w:lang w:val="sl-SI"/>
        </w:rPr>
        <w:t>Zdravnik vam bo natančno povedal, koliko kapsul zdravila Glivec morate jemati.</w:t>
      </w:r>
    </w:p>
    <w:p w14:paraId="5297A7C7" w14:textId="77777777" w:rsidR="00841424" w:rsidRPr="004A59B1" w:rsidRDefault="00841424" w:rsidP="009C1193">
      <w:pPr>
        <w:pStyle w:val="TextChar"/>
        <w:widowControl w:val="0"/>
        <w:spacing w:before="0"/>
        <w:jc w:val="left"/>
        <w:rPr>
          <w:color w:val="000000"/>
          <w:sz w:val="22"/>
          <w:szCs w:val="22"/>
          <w:lang w:val="sl-SI"/>
        </w:rPr>
      </w:pPr>
    </w:p>
    <w:p w14:paraId="5297A7C8" w14:textId="77777777" w:rsidR="00841424" w:rsidRPr="004A59B1" w:rsidRDefault="00841424" w:rsidP="009C1193">
      <w:pPr>
        <w:pStyle w:val="TextChar"/>
        <w:keepNext/>
        <w:widowControl w:val="0"/>
        <w:spacing w:before="0"/>
        <w:jc w:val="left"/>
        <w:rPr>
          <w:b/>
          <w:bCs/>
          <w:color w:val="000000"/>
          <w:sz w:val="22"/>
          <w:szCs w:val="22"/>
          <w:lang w:val="sl-SI"/>
        </w:rPr>
      </w:pPr>
      <w:r w:rsidRPr="004A59B1">
        <w:rPr>
          <w:color w:val="000000"/>
          <w:sz w:val="22"/>
          <w:szCs w:val="22"/>
          <w:lang w:val="sl-SI"/>
        </w:rPr>
        <w:t>-</w:t>
      </w:r>
      <w:r w:rsidRPr="004A59B1">
        <w:rPr>
          <w:color w:val="000000"/>
          <w:sz w:val="22"/>
          <w:szCs w:val="22"/>
          <w:lang w:val="sl-SI"/>
        </w:rPr>
        <w:tab/>
      </w:r>
      <w:r w:rsidRPr="004A59B1">
        <w:rPr>
          <w:b/>
          <w:bCs/>
          <w:color w:val="000000"/>
          <w:sz w:val="22"/>
          <w:szCs w:val="22"/>
          <w:lang w:val="sl-SI"/>
        </w:rPr>
        <w:t>Če se zdravite zaradi KML:</w:t>
      </w:r>
    </w:p>
    <w:p w14:paraId="5297A7C9" w14:textId="77777777" w:rsidR="00841424" w:rsidRPr="004A59B1" w:rsidRDefault="00841424" w:rsidP="009C1193">
      <w:pPr>
        <w:pStyle w:val="TextChar"/>
        <w:keepNext/>
        <w:widowControl w:val="0"/>
        <w:spacing w:before="0"/>
        <w:ind w:firstLine="567"/>
        <w:jc w:val="left"/>
        <w:rPr>
          <w:color w:val="000000"/>
          <w:sz w:val="22"/>
          <w:szCs w:val="22"/>
          <w:lang w:val="sl-SI"/>
        </w:rPr>
      </w:pPr>
      <w:r w:rsidRPr="004A59B1">
        <w:rPr>
          <w:color w:val="000000"/>
          <w:sz w:val="22"/>
          <w:szCs w:val="22"/>
          <w:lang w:val="sl-SI"/>
        </w:rPr>
        <w:t>Glede na fazo bolezni je običajni začetni odmerek bodisi 400 mg ali 600 mg:</w:t>
      </w:r>
    </w:p>
    <w:p w14:paraId="5297A7CA" w14:textId="77777777" w:rsidR="00841424" w:rsidRPr="004A59B1" w:rsidRDefault="00841424" w:rsidP="005B2939">
      <w:pPr>
        <w:pStyle w:val="Listlevel2"/>
        <w:keepNext/>
        <w:widowControl w:val="0"/>
        <w:spacing w:before="0" w:after="0"/>
        <w:ind w:left="6" w:firstLine="561"/>
        <w:rPr>
          <w:color w:val="000000"/>
          <w:sz w:val="22"/>
          <w:szCs w:val="22"/>
          <w:lang w:val="nb-NO"/>
        </w:rPr>
      </w:pPr>
      <w:r w:rsidRPr="004A59B1">
        <w:rPr>
          <w:color w:val="000000"/>
          <w:sz w:val="22"/>
          <w:szCs w:val="22"/>
          <w:lang w:val="nb-NO"/>
        </w:rPr>
        <w:t>-</w:t>
      </w:r>
      <w:r w:rsidRPr="004A59B1">
        <w:rPr>
          <w:color w:val="000000"/>
          <w:sz w:val="22"/>
          <w:szCs w:val="22"/>
          <w:lang w:val="nb-NO"/>
        </w:rPr>
        <w:tab/>
      </w:r>
      <w:r w:rsidRPr="004A59B1">
        <w:rPr>
          <w:b/>
          <w:bCs/>
          <w:color w:val="000000"/>
          <w:sz w:val="22"/>
          <w:szCs w:val="22"/>
          <w:lang w:val="nb-NO"/>
        </w:rPr>
        <w:t xml:space="preserve">400 mg </w:t>
      </w:r>
      <w:r w:rsidRPr="004A59B1">
        <w:rPr>
          <w:color w:val="000000"/>
          <w:sz w:val="22"/>
          <w:szCs w:val="22"/>
          <w:lang w:val="nb-NO"/>
        </w:rPr>
        <w:t xml:space="preserve">vzamete kot 4 kapsule </w:t>
      </w:r>
      <w:r w:rsidRPr="004A59B1">
        <w:rPr>
          <w:b/>
          <w:bCs/>
          <w:color w:val="000000"/>
          <w:sz w:val="22"/>
          <w:szCs w:val="22"/>
          <w:lang w:val="nb-NO"/>
        </w:rPr>
        <w:t>enkrat</w:t>
      </w:r>
      <w:r w:rsidRPr="004A59B1">
        <w:rPr>
          <w:color w:val="000000"/>
          <w:sz w:val="22"/>
          <w:szCs w:val="22"/>
          <w:lang w:val="nb-NO"/>
        </w:rPr>
        <w:t xml:space="preserve"> na dan,</w:t>
      </w:r>
    </w:p>
    <w:p w14:paraId="5297A7CB" w14:textId="77777777" w:rsidR="00841424" w:rsidRPr="004A59B1" w:rsidRDefault="00841424" w:rsidP="009C1193">
      <w:pPr>
        <w:pStyle w:val="Text"/>
        <w:widowControl w:val="0"/>
        <w:spacing w:before="0"/>
        <w:ind w:firstLine="561"/>
        <w:jc w:val="left"/>
        <w:rPr>
          <w:color w:val="000000"/>
          <w:sz w:val="22"/>
          <w:szCs w:val="22"/>
          <w:lang w:val="nb-NO"/>
        </w:rPr>
      </w:pPr>
      <w:r w:rsidRPr="004A59B1">
        <w:rPr>
          <w:color w:val="000000"/>
          <w:sz w:val="22"/>
          <w:szCs w:val="22"/>
          <w:lang w:val="nb-NO"/>
        </w:rPr>
        <w:t>-</w:t>
      </w:r>
      <w:r w:rsidRPr="004A59B1">
        <w:rPr>
          <w:color w:val="000000"/>
          <w:sz w:val="22"/>
          <w:szCs w:val="22"/>
          <w:lang w:val="nb-NO"/>
        </w:rPr>
        <w:tab/>
      </w:r>
      <w:r w:rsidRPr="004A59B1">
        <w:rPr>
          <w:b/>
          <w:bCs/>
          <w:color w:val="000000"/>
          <w:sz w:val="22"/>
          <w:szCs w:val="22"/>
          <w:lang w:val="nb-NO"/>
        </w:rPr>
        <w:t>600 mg</w:t>
      </w:r>
      <w:r w:rsidRPr="004A59B1">
        <w:rPr>
          <w:color w:val="000000"/>
          <w:sz w:val="22"/>
          <w:szCs w:val="22"/>
          <w:lang w:val="nb-NO"/>
        </w:rPr>
        <w:t xml:space="preserve"> vzamete kot 6 kapsul</w:t>
      </w:r>
      <w:r w:rsidRPr="004A59B1">
        <w:rPr>
          <w:b/>
          <w:bCs/>
          <w:color w:val="000000"/>
          <w:sz w:val="22"/>
          <w:szCs w:val="22"/>
          <w:lang w:val="nb-NO"/>
        </w:rPr>
        <w:t xml:space="preserve"> enkrat</w:t>
      </w:r>
      <w:r w:rsidRPr="004A59B1">
        <w:rPr>
          <w:color w:val="000000"/>
          <w:sz w:val="22"/>
          <w:szCs w:val="22"/>
          <w:lang w:val="nb-NO"/>
        </w:rPr>
        <w:t xml:space="preserve"> na dan.</w:t>
      </w:r>
    </w:p>
    <w:p w14:paraId="5297A7CC" w14:textId="77777777" w:rsidR="00841424" w:rsidRPr="004A59B1" w:rsidRDefault="00841424" w:rsidP="009C1193">
      <w:pPr>
        <w:pStyle w:val="Text"/>
        <w:widowControl w:val="0"/>
        <w:spacing w:before="0"/>
        <w:jc w:val="left"/>
        <w:rPr>
          <w:color w:val="000000"/>
          <w:sz w:val="22"/>
          <w:szCs w:val="22"/>
          <w:lang w:val="nb-NO"/>
        </w:rPr>
      </w:pPr>
    </w:p>
    <w:p w14:paraId="5297A7CD" w14:textId="77777777" w:rsidR="00841424" w:rsidRPr="004A59B1" w:rsidRDefault="00841424" w:rsidP="009C1193">
      <w:pPr>
        <w:pStyle w:val="Text"/>
        <w:keepNext/>
        <w:widowControl w:val="0"/>
        <w:numPr>
          <w:ilvl w:val="0"/>
          <w:numId w:val="42"/>
        </w:numPr>
        <w:spacing w:before="0"/>
        <w:ind w:left="567" w:hanging="567"/>
        <w:jc w:val="left"/>
        <w:rPr>
          <w:b/>
          <w:bCs/>
          <w:color w:val="000000"/>
          <w:sz w:val="22"/>
          <w:szCs w:val="22"/>
          <w:lang w:val="it-IT"/>
        </w:rPr>
      </w:pPr>
      <w:r w:rsidRPr="004A59B1">
        <w:rPr>
          <w:b/>
          <w:bCs/>
          <w:color w:val="000000"/>
          <w:sz w:val="22"/>
          <w:szCs w:val="22"/>
          <w:lang w:val="it-IT"/>
        </w:rPr>
        <w:t>Če se zdravite zaradi GIST:</w:t>
      </w:r>
    </w:p>
    <w:p w14:paraId="5297A7CE" w14:textId="77777777" w:rsidR="00841424" w:rsidRPr="004A59B1" w:rsidRDefault="00841424" w:rsidP="009C1193">
      <w:pPr>
        <w:pStyle w:val="Text"/>
        <w:widowControl w:val="0"/>
        <w:spacing w:before="0"/>
        <w:ind w:left="567"/>
        <w:jc w:val="left"/>
        <w:rPr>
          <w:color w:val="000000"/>
          <w:sz w:val="22"/>
          <w:szCs w:val="22"/>
          <w:lang w:val="it-IT"/>
        </w:rPr>
      </w:pPr>
      <w:r w:rsidRPr="004A59B1">
        <w:rPr>
          <w:color w:val="000000"/>
          <w:sz w:val="22"/>
          <w:szCs w:val="22"/>
          <w:lang w:val="it-IT"/>
        </w:rPr>
        <w:t xml:space="preserve">Začetni odmerek je 400 mg, </w:t>
      </w:r>
      <w:r w:rsidR="00D17DD1" w:rsidRPr="004A59B1">
        <w:rPr>
          <w:color w:val="000000"/>
          <w:sz w:val="22"/>
          <w:szCs w:val="22"/>
          <w:lang w:val="it-IT"/>
        </w:rPr>
        <w:t xml:space="preserve">ki ga </w:t>
      </w:r>
      <w:r w:rsidRPr="004A59B1">
        <w:rPr>
          <w:color w:val="000000"/>
          <w:sz w:val="22"/>
          <w:szCs w:val="22"/>
          <w:lang w:val="it-IT"/>
        </w:rPr>
        <w:t>vzamete kot 4 kapsule</w:t>
      </w:r>
      <w:r w:rsidRPr="004A59B1">
        <w:rPr>
          <w:b/>
          <w:bCs/>
          <w:color w:val="000000"/>
          <w:sz w:val="22"/>
          <w:szCs w:val="22"/>
          <w:lang w:val="it-IT"/>
        </w:rPr>
        <w:t xml:space="preserve"> enkrat</w:t>
      </w:r>
      <w:r w:rsidRPr="004A59B1">
        <w:rPr>
          <w:color w:val="000000"/>
          <w:sz w:val="22"/>
          <w:szCs w:val="22"/>
          <w:lang w:val="it-IT"/>
        </w:rPr>
        <w:t xml:space="preserve"> na dan.</w:t>
      </w:r>
    </w:p>
    <w:p w14:paraId="5297A7CF" w14:textId="77777777" w:rsidR="00841424" w:rsidRPr="004A59B1" w:rsidRDefault="00841424" w:rsidP="009C1193">
      <w:pPr>
        <w:pStyle w:val="Text"/>
        <w:widowControl w:val="0"/>
        <w:spacing w:before="0"/>
        <w:jc w:val="left"/>
        <w:rPr>
          <w:color w:val="000000"/>
          <w:sz w:val="22"/>
          <w:szCs w:val="22"/>
          <w:lang w:val="it-IT"/>
        </w:rPr>
      </w:pPr>
    </w:p>
    <w:p w14:paraId="5297A7D0" w14:textId="77777777" w:rsidR="00841424" w:rsidRPr="004A59B1" w:rsidRDefault="00841424" w:rsidP="009C1193">
      <w:pPr>
        <w:pStyle w:val="Text"/>
        <w:widowControl w:val="0"/>
        <w:spacing w:before="0"/>
        <w:jc w:val="left"/>
        <w:rPr>
          <w:color w:val="000000"/>
          <w:sz w:val="22"/>
          <w:szCs w:val="22"/>
          <w:lang w:val="it-IT"/>
        </w:rPr>
      </w:pPr>
      <w:r w:rsidRPr="004A59B1">
        <w:rPr>
          <w:color w:val="000000"/>
          <w:sz w:val="22"/>
          <w:szCs w:val="22"/>
          <w:lang w:val="it-IT"/>
        </w:rPr>
        <w:t>Pri zdravljenju KML ali GIST vam lahko zdravnik predpiše večji ali manjši odmerek, odvisno od tega, kako se odzivate na zdravljenje. Če je vaš dnevni odmerek 800 mg (8 kapsul), morate vzeti 4 kapsule zjutraj in 4 kapsule zvečer.</w:t>
      </w:r>
    </w:p>
    <w:p w14:paraId="5297A7D1" w14:textId="77777777" w:rsidR="00841424" w:rsidRPr="004A59B1" w:rsidRDefault="00841424" w:rsidP="009C1193">
      <w:pPr>
        <w:pStyle w:val="TextChar"/>
        <w:widowControl w:val="0"/>
        <w:spacing w:before="0"/>
        <w:jc w:val="left"/>
        <w:rPr>
          <w:color w:val="000000"/>
          <w:sz w:val="22"/>
          <w:szCs w:val="22"/>
          <w:lang w:val="it-IT"/>
        </w:rPr>
      </w:pPr>
    </w:p>
    <w:p w14:paraId="5297A7D2" w14:textId="77777777" w:rsidR="00841424" w:rsidRPr="004A59B1" w:rsidRDefault="00841424" w:rsidP="009C1193">
      <w:pPr>
        <w:pStyle w:val="TextChar"/>
        <w:keepNext/>
        <w:widowControl w:val="0"/>
        <w:numPr>
          <w:ilvl w:val="0"/>
          <w:numId w:val="42"/>
        </w:numPr>
        <w:spacing w:before="0"/>
        <w:ind w:left="567" w:hanging="567"/>
        <w:jc w:val="left"/>
        <w:rPr>
          <w:color w:val="000000"/>
          <w:sz w:val="22"/>
          <w:szCs w:val="22"/>
          <w:lang w:val="nb-NO"/>
        </w:rPr>
      </w:pPr>
      <w:r w:rsidRPr="004A59B1">
        <w:rPr>
          <w:b/>
          <w:bCs/>
          <w:color w:val="000000"/>
          <w:sz w:val="22"/>
          <w:szCs w:val="22"/>
          <w:lang w:val="nb-NO"/>
        </w:rPr>
        <w:t>Če se zdravite zaradi Ph pozitivne ALL</w:t>
      </w:r>
      <w:r w:rsidRPr="004A59B1">
        <w:rPr>
          <w:b/>
          <w:color w:val="000000"/>
          <w:sz w:val="22"/>
          <w:szCs w:val="22"/>
          <w:lang w:val="nb-NO"/>
        </w:rPr>
        <w:t>:</w:t>
      </w:r>
    </w:p>
    <w:p w14:paraId="5297A7D3" w14:textId="77777777" w:rsidR="00841424" w:rsidRPr="004A59B1" w:rsidRDefault="00841424" w:rsidP="009C1193">
      <w:pPr>
        <w:pStyle w:val="TextChar"/>
        <w:widowControl w:val="0"/>
        <w:spacing w:before="0"/>
        <w:ind w:left="567"/>
        <w:jc w:val="left"/>
        <w:rPr>
          <w:color w:val="000000"/>
          <w:sz w:val="22"/>
          <w:szCs w:val="22"/>
          <w:lang w:val="nb-NO"/>
        </w:rPr>
      </w:pPr>
      <w:r w:rsidRPr="004A59B1">
        <w:rPr>
          <w:color w:val="000000"/>
          <w:sz w:val="22"/>
          <w:szCs w:val="22"/>
          <w:lang w:val="nb-NO"/>
        </w:rPr>
        <w:t xml:space="preserve">Začetni odmerek je 600 mg, </w:t>
      </w:r>
      <w:r w:rsidR="00D17DD1" w:rsidRPr="004A59B1">
        <w:rPr>
          <w:color w:val="000000"/>
          <w:sz w:val="22"/>
          <w:szCs w:val="22"/>
          <w:lang w:val="nb-NO"/>
        </w:rPr>
        <w:t>ki ga</w:t>
      </w:r>
      <w:r w:rsidRPr="004A59B1">
        <w:rPr>
          <w:color w:val="000000"/>
          <w:sz w:val="22"/>
          <w:szCs w:val="22"/>
          <w:lang w:val="nb-NO"/>
        </w:rPr>
        <w:t xml:space="preserve"> vzamete kot 6 kapsul </w:t>
      </w:r>
      <w:r w:rsidRPr="004A59B1">
        <w:rPr>
          <w:b/>
          <w:bCs/>
          <w:color w:val="000000"/>
          <w:sz w:val="22"/>
          <w:szCs w:val="22"/>
          <w:lang w:val="nb-NO"/>
        </w:rPr>
        <w:t>enkrat</w:t>
      </w:r>
      <w:r w:rsidRPr="004A59B1">
        <w:rPr>
          <w:color w:val="000000"/>
          <w:sz w:val="22"/>
          <w:szCs w:val="22"/>
          <w:lang w:val="nb-NO"/>
        </w:rPr>
        <w:t xml:space="preserve"> na dan.</w:t>
      </w:r>
    </w:p>
    <w:p w14:paraId="5297A7D4" w14:textId="77777777" w:rsidR="00841424" w:rsidRPr="004A59B1" w:rsidRDefault="00841424" w:rsidP="009C1193">
      <w:pPr>
        <w:pStyle w:val="TextChar"/>
        <w:widowControl w:val="0"/>
        <w:spacing w:before="0"/>
        <w:jc w:val="left"/>
        <w:rPr>
          <w:color w:val="000000"/>
          <w:sz w:val="22"/>
          <w:szCs w:val="22"/>
          <w:lang w:val="nb-NO"/>
        </w:rPr>
      </w:pPr>
    </w:p>
    <w:p w14:paraId="5297A7D5" w14:textId="77777777" w:rsidR="00841424" w:rsidRPr="004A59B1" w:rsidRDefault="00841424" w:rsidP="009C1193">
      <w:pPr>
        <w:pStyle w:val="TextChar"/>
        <w:keepNext/>
        <w:widowControl w:val="0"/>
        <w:spacing w:before="0"/>
        <w:ind w:left="567" w:hanging="567"/>
        <w:jc w:val="left"/>
        <w:rPr>
          <w:color w:val="000000"/>
          <w:sz w:val="22"/>
          <w:szCs w:val="22"/>
          <w:lang w:val="nl-NL"/>
        </w:rPr>
      </w:pPr>
      <w:r w:rsidRPr="004A59B1">
        <w:rPr>
          <w:color w:val="000000"/>
          <w:sz w:val="22"/>
          <w:szCs w:val="22"/>
          <w:lang w:val="nl-NL"/>
        </w:rPr>
        <w:t>-</w:t>
      </w:r>
      <w:r w:rsidRPr="004A59B1">
        <w:rPr>
          <w:color w:val="000000"/>
          <w:sz w:val="22"/>
          <w:szCs w:val="22"/>
          <w:lang w:val="nl-NL"/>
        </w:rPr>
        <w:tab/>
      </w:r>
      <w:r w:rsidRPr="004A59B1">
        <w:rPr>
          <w:b/>
          <w:bCs/>
          <w:color w:val="000000"/>
          <w:sz w:val="22"/>
          <w:szCs w:val="22"/>
          <w:lang w:val="nl-NL"/>
        </w:rPr>
        <w:t>Če se zdravite zaradi MDS/MPD:</w:t>
      </w:r>
    </w:p>
    <w:p w14:paraId="5297A7D6" w14:textId="77777777" w:rsidR="00841424" w:rsidRPr="004A59B1" w:rsidRDefault="00841424" w:rsidP="009C1193">
      <w:pPr>
        <w:pStyle w:val="TextChar"/>
        <w:keepNext/>
        <w:widowControl w:val="0"/>
        <w:spacing w:before="0"/>
        <w:ind w:left="567"/>
        <w:jc w:val="left"/>
        <w:rPr>
          <w:color w:val="000000"/>
          <w:sz w:val="22"/>
          <w:szCs w:val="22"/>
          <w:lang w:val="nl-NL"/>
        </w:rPr>
      </w:pPr>
      <w:r w:rsidRPr="004A59B1">
        <w:rPr>
          <w:color w:val="000000"/>
          <w:sz w:val="22"/>
          <w:szCs w:val="22"/>
          <w:lang w:val="nl-NL"/>
        </w:rPr>
        <w:t xml:space="preserve">Začetni odmerek je 400 mg, </w:t>
      </w:r>
      <w:r w:rsidR="00D17DD1" w:rsidRPr="004A59B1">
        <w:rPr>
          <w:color w:val="000000"/>
          <w:sz w:val="22"/>
          <w:szCs w:val="22"/>
          <w:lang w:val="nl-NL"/>
        </w:rPr>
        <w:t>ki ga</w:t>
      </w:r>
      <w:r w:rsidRPr="004A59B1">
        <w:rPr>
          <w:color w:val="000000"/>
          <w:sz w:val="22"/>
          <w:szCs w:val="22"/>
          <w:lang w:val="nl-NL"/>
        </w:rPr>
        <w:t xml:space="preserve"> vzamete kot 4 kapsule </w:t>
      </w:r>
      <w:r w:rsidRPr="004A59B1">
        <w:rPr>
          <w:b/>
          <w:bCs/>
          <w:color w:val="000000"/>
          <w:sz w:val="22"/>
          <w:szCs w:val="22"/>
          <w:lang w:val="nl-NL"/>
        </w:rPr>
        <w:t xml:space="preserve">enkrat </w:t>
      </w:r>
      <w:r w:rsidRPr="004A59B1">
        <w:rPr>
          <w:color w:val="000000"/>
          <w:sz w:val="22"/>
          <w:szCs w:val="22"/>
          <w:lang w:val="nl-NL"/>
        </w:rPr>
        <w:t>na dan.</w:t>
      </w:r>
    </w:p>
    <w:p w14:paraId="5297A7D7" w14:textId="77777777" w:rsidR="00841424" w:rsidRPr="004A59B1" w:rsidRDefault="00841424" w:rsidP="009C1193">
      <w:pPr>
        <w:pStyle w:val="TextChar"/>
        <w:widowControl w:val="0"/>
        <w:spacing w:before="0"/>
        <w:jc w:val="left"/>
        <w:rPr>
          <w:color w:val="000000"/>
          <w:sz w:val="22"/>
          <w:szCs w:val="22"/>
          <w:lang w:val="nl-NL"/>
        </w:rPr>
      </w:pPr>
    </w:p>
    <w:p w14:paraId="5297A7D8" w14:textId="77777777" w:rsidR="00841424" w:rsidRPr="004A59B1" w:rsidRDefault="00841424" w:rsidP="009C1193">
      <w:pPr>
        <w:pStyle w:val="Listlevel2"/>
        <w:keepNext/>
        <w:widowControl w:val="0"/>
        <w:numPr>
          <w:ilvl w:val="0"/>
          <w:numId w:val="42"/>
        </w:numPr>
        <w:spacing w:before="0" w:after="0"/>
        <w:ind w:left="567" w:hanging="567"/>
        <w:rPr>
          <w:b/>
          <w:color w:val="000000"/>
          <w:sz w:val="22"/>
          <w:szCs w:val="22"/>
          <w:lang w:val="it-IT"/>
        </w:rPr>
      </w:pPr>
      <w:r w:rsidRPr="004A59B1">
        <w:rPr>
          <w:b/>
          <w:color w:val="000000"/>
          <w:sz w:val="22"/>
          <w:szCs w:val="22"/>
          <w:lang w:val="it-IT"/>
        </w:rPr>
        <w:t>Če se zdravite zaradi HES/CEL:</w:t>
      </w:r>
    </w:p>
    <w:p w14:paraId="5297A7D9" w14:textId="77777777" w:rsidR="00841424" w:rsidRPr="004A59B1" w:rsidRDefault="00841424" w:rsidP="009C1193">
      <w:pPr>
        <w:pStyle w:val="Listlevel2"/>
        <w:keepNext/>
        <w:widowControl w:val="0"/>
        <w:spacing w:before="0" w:after="0"/>
        <w:ind w:left="567" w:firstLine="0"/>
        <w:rPr>
          <w:b/>
          <w:color w:val="000000"/>
          <w:sz w:val="22"/>
          <w:szCs w:val="22"/>
          <w:lang w:val="it-IT"/>
        </w:rPr>
      </w:pPr>
      <w:r w:rsidRPr="004A59B1">
        <w:rPr>
          <w:color w:val="000000"/>
          <w:sz w:val="22"/>
          <w:szCs w:val="22"/>
          <w:lang w:val="it-IT"/>
        </w:rPr>
        <w:t xml:space="preserve">Začetni odmerek je 100 mg, </w:t>
      </w:r>
      <w:r w:rsidR="00D17DD1" w:rsidRPr="004A59B1">
        <w:rPr>
          <w:color w:val="000000"/>
          <w:sz w:val="22"/>
          <w:szCs w:val="22"/>
          <w:lang w:val="it-IT"/>
        </w:rPr>
        <w:t>ki ga</w:t>
      </w:r>
      <w:r w:rsidRPr="004A59B1">
        <w:rPr>
          <w:color w:val="000000"/>
          <w:sz w:val="22"/>
          <w:szCs w:val="22"/>
          <w:lang w:val="it-IT"/>
        </w:rPr>
        <w:t xml:space="preserve"> vzamete kot eno kapsulo </w:t>
      </w:r>
      <w:r w:rsidRPr="004A59B1">
        <w:rPr>
          <w:b/>
          <w:bCs/>
          <w:color w:val="000000"/>
          <w:sz w:val="22"/>
          <w:szCs w:val="22"/>
          <w:lang w:val="it-IT"/>
        </w:rPr>
        <w:t xml:space="preserve">enkrat </w:t>
      </w:r>
      <w:r w:rsidRPr="004A59B1">
        <w:rPr>
          <w:color w:val="000000"/>
          <w:sz w:val="22"/>
          <w:szCs w:val="22"/>
          <w:lang w:val="it-IT"/>
        </w:rPr>
        <w:t xml:space="preserve">na dan. Vaš zdravnik se lahko odloči za </w:t>
      </w:r>
      <w:r w:rsidR="004D2942" w:rsidRPr="004A59B1">
        <w:rPr>
          <w:color w:val="000000"/>
          <w:sz w:val="22"/>
          <w:szCs w:val="22"/>
          <w:lang w:val="it-IT"/>
        </w:rPr>
        <w:t>zvečanje</w:t>
      </w:r>
      <w:r w:rsidRPr="004A59B1">
        <w:rPr>
          <w:color w:val="000000"/>
          <w:sz w:val="22"/>
          <w:szCs w:val="22"/>
          <w:lang w:val="it-IT"/>
        </w:rPr>
        <w:t xml:space="preserve"> odmerka na 400 mg, </w:t>
      </w:r>
      <w:r w:rsidR="009464A3" w:rsidRPr="004A59B1">
        <w:rPr>
          <w:color w:val="000000"/>
          <w:sz w:val="22"/>
          <w:szCs w:val="22"/>
          <w:lang w:val="it-IT"/>
        </w:rPr>
        <w:t xml:space="preserve">ki ga </w:t>
      </w:r>
      <w:r w:rsidRPr="004A59B1">
        <w:rPr>
          <w:color w:val="000000"/>
          <w:sz w:val="22"/>
          <w:szCs w:val="22"/>
          <w:lang w:val="it-IT"/>
        </w:rPr>
        <w:t xml:space="preserve">vzamete kot 4 kapsule </w:t>
      </w:r>
      <w:r w:rsidRPr="004A59B1">
        <w:rPr>
          <w:b/>
          <w:bCs/>
          <w:color w:val="000000"/>
          <w:sz w:val="22"/>
          <w:szCs w:val="22"/>
          <w:lang w:val="it-IT"/>
        </w:rPr>
        <w:t>enkrat</w:t>
      </w:r>
      <w:r w:rsidRPr="004A59B1">
        <w:rPr>
          <w:color w:val="000000"/>
          <w:sz w:val="22"/>
          <w:szCs w:val="22"/>
          <w:lang w:val="it-IT"/>
        </w:rPr>
        <w:t xml:space="preserve"> na dan, odvisno od vašega odziva na zdravljenje.</w:t>
      </w:r>
    </w:p>
    <w:p w14:paraId="5297A7DA" w14:textId="77777777" w:rsidR="00841424" w:rsidRPr="004A59B1" w:rsidRDefault="00841424" w:rsidP="009C1193">
      <w:pPr>
        <w:pStyle w:val="TextChar"/>
        <w:widowControl w:val="0"/>
        <w:spacing w:before="0"/>
        <w:jc w:val="left"/>
        <w:rPr>
          <w:color w:val="000000"/>
          <w:sz w:val="22"/>
          <w:szCs w:val="22"/>
          <w:lang w:val="it-IT"/>
        </w:rPr>
      </w:pPr>
    </w:p>
    <w:p w14:paraId="5297A7DB" w14:textId="77777777" w:rsidR="00841424" w:rsidRPr="004A59B1" w:rsidRDefault="00841424" w:rsidP="009C1193">
      <w:pPr>
        <w:pStyle w:val="TextChar"/>
        <w:keepNext/>
        <w:widowControl w:val="0"/>
        <w:numPr>
          <w:ilvl w:val="0"/>
          <w:numId w:val="42"/>
        </w:numPr>
        <w:spacing w:before="0"/>
        <w:ind w:left="567" w:hanging="567"/>
        <w:jc w:val="left"/>
        <w:rPr>
          <w:color w:val="000000"/>
          <w:sz w:val="22"/>
          <w:szCs w:val="22"/>
          <w:lang w:val="it-IT"/>
        </w:rPr>
      </w:pPr>
      <w:r w:rsidRPr="004A59B1">
        <w:rPr>
          <w:b/>
          <w:bCs/>
          <w:color w:val="000000"/>
          <w:sz w:val="22"/>
          <w:szCs w:val="22"/>
          <w:lang w:val="it-IT"/>
        </w:rPr>
        <w:t>Če se zdravite zaradi DFSP</w:t>
      </w:r>
      <w:r w:rsidRPr="004A59B1">
        <w:rPr>
          <w:b/>
          <w:color w:val="000000"/>
          <w:sz w:val="22"/>
          <w:szCs w:val="22"/>
          <w:lang w:val="it-IT"/>
        </w:rPr>
        <w:t>:</w:t>
      </w:r>
    </w:p>
    <w:p w14:paraId="5297A7DC" w14:textId="77777777" w:rsidR="00841424" w:rsidRPr="004A59B1" w:rsidRDefault="00841424" w:rsidP="009C1193">
      <w:pPr>
        <w:pStyle w:val="TextChar"/>
        <w:widowControl w:val="0"/>
        <w:spacing w:before="0"/>
        <w:ind w:left="567"/>
        <w:jc w:val="left"/>
        <w:rPr>
          <w:color w:val="000000"/>
          <w:sz w:val="22"/>
          <w:szCs w:val="22"/>
          <w:lang w:val="it-IT"/>
        </w:rPr>
      </w:pPr>
      <w:r w:rsidRPr="004A59B1">
        <w:rPr>
          <w:color w:val="000000"/>
          <w:sz w:val="22"/>
          <w:szCs w:val="22"/>
          <w:lang w:val="it-IT"/>
        </w:rPr>
        <w:t xml:space="preserve">Odmerek je 800 mg na dan (8 kapsul), </w:t>
      </w:r>
      <w:r w:rsidR="00D17DD1" w:rsidRPr="004A59B1">
        <w:rPr>
          <w:color w:val="000000"/>
          <w:sz w:val="22"/>
          <w:szCs w:val="22"/>
          <w:lang w:val="it-IT"/>
        </w:rPr>
        <w:t>ki ga</w:t>
      </w:r>
      <w:r w:rsidRPr="004A59B1">
        <w:rPr>
          <w:color w:val="000000"/>
          <w:sz w:val="22"/>
          <w:szCs w:val="22"/>
          <w:lang w:val="it-IT"/>
        </w:rPr>
        <w:t xml:space="preserve"> vzamete kot 4 kapsule zjutraj in 4 kapsule zvečer.</w:t>
      </w:r>
    </w:p>
    <w:p w14:paraId="5297A7DD" w14:textId="77777777" w:rsidR="00841424" w:rsidRPr="004A59B1" w:rsidRDefault="00841424" w:rsidP="009C1193">
      <w:pPr>
        <w:pStyle w:val="TextChar"/>
        <w:widowControl w:val="0"/>
        <w:spacing w:before="0"/>
        <w:jc w:val="left"/>
        <w:rPr>
          <w:color w:val="000000"/>
          <w:sz w:val="22"/>
          <w:szCs w:val="22"/>
          <w:lang w:val="it-IT"/>
        </w:rPr>
      </w:pPr>
    </w:p>
    <w:p w14:paraId="5297A7DE" w14:textId="77777777" w:rsidR="00841424" w:rsidRPr="004A59B1" w:rsidRDefault="00841424" w:rsidP="009C1193">
      <w:pPr>
        <w:pStyle w:val="TextChar"/>
        <w:keepNext/>
        <w:widowControl w:val="0"/>
        <w:spacing w:before="0"/>
        <w:jc w:val="left"/>
        <w:rPr>
          <w:b/>
          <w:bCs/>
          <w:color w:val="000000"/>
          <w:sz w:val="22"/>
          <w:szCs w:val="22"/>
          <w:lang w:val="it-IT"/>
        </w:rPr>
      </w:pPr>
      <w:r w:rsidRPr="004A59B1">
        <w:rPr>
          <w:b/>
          <w:bCs/>
          <w:color w:val="000000"/>
          <w:sz w:val="22"/>
          <w:szCs w:val="22"/>
          <w:lang w:val="it-IT"/>
        </w:rPr>
        <w:t>Uporaba pri otrocih</w:t>
      </w:r>
      <w:r w:rsidR="002E508D" w:rsidRPr="004A59B1">
        <w:rPr>
          <w:b/>
          <w:bCs/>
          <w:color w:val="000000"/>
          <w:sz w:val="22"/>
          <w:szCs w:val="22"/>
          <w:lang w:val="it-IT"/>
        </w:rPr>
        <w:t xml:space="preserve"> in mladostnikih</w:t>
      </w:r>
    </w:p>
    <w:p w14:paraId="5297A7DF" w14:textId="77777777" w:rsidR="00841424" w:rsidRPr="004A59B1" w:rsidRDefault="00841424" w:rsidP="009C1193">
      <w:pPr>
        <w:pStyle w:val="TextChar"/>
        <w:widowControl w:val="0"/>
        <w:spacing w:before="0"/>
        <w:jc w:val="left"/>
        <w:rPr>
          <w:color w:val="000000"/>
          <w:sz w:val="22"/>
          <w:szCs w:val="22"/>
          <w:lang w:val="it-IT"/>
        </w:rPr>
      </w:pPr>
      <w:r w:rsidRPr="004A59B1">
        <w:rPr>
          <w:color w:val="000000"/>
          <w:sz w:val="22"/>
          <w:szCs w:val="22"/>
          <w:lang w:val="it-IT"/>
        </w:rPr>
        <w:t>Zdravnik vam bo povedal, koliko kapsul zdravila Glivec dajte svojemu otroku. Potrebna količina zdravila Glivec bo odvisna od otrokovega stanja, telesne mase in višine. Celotni dnevni odmerek pri otrocih ne sme preseči 800 mg</w:t>
      </w:r>
      <w:r w:rsidR="00394D56" w:rsidRPr="004A59B1">
        <w:rPr>
          <w:color w:val="000000"/>
          <w:sz w:val="22"/>
          <w:szCs w:val="22"/>
          <w:lang w:val="it-IT"/>
        </w:rPr>
        <w:t xml:space="preserve"> pri zdravljenju KML in 600 mg pri zdravljenju Ph pozitivne ALL</w:t>
      </w:r>
      <w:r w:rsidRPr="004A59B1">
        <w:rPr>
          <w:color w:val="000000"/>
          <w:sz w:val="22"/>
          <w:szCs w:val="22"/>
          <w:lang w:val="it-IT"/>
        </w:rPr>
        <w:t>. Otrok lahko zdravilo vzame v enem samem dnevnem odmerku ali pa lahko dnevni odmerek razdelimo na dva dela (polovico damo otroku zjutraj, polovico pa zvečer).</w:t>
      </w:r>
    </w:p>
    <w:p w14:paraId="5297A7E0" w14:textId="77777777" w:rsidR="00841424" w:rsidRPr="004A59B1" w:rsidRDefault="00841424" w:rsidP="009C1193">
      <w:pPr>
        <w:pStyle w:val="Heading2"/>
        <w:keepNext w:val="0"/>
        <w:widowControl w:val="0"/>
        <w:spacing w:before="0" w:after="0" w:line="240" w:lineRule="auto"/>
        <w:rPr>
          <w:rFonts w:ascii="Times New Roman" w:hAnsi="Times New Roman"/>
          <w:b w:val="0"/>
          <w:i w:val="0"/>
          <w:color w:val="000000"/>
          <w:sz w:val="22"/>
          <w:szCs w:val="22"/>
          <w:lang w:val="it-IT"/>
        </w:rPr>
      </w:pPr>
    </w:p>
    <w:p w14:paraId="5297A7E1" w14:textId="77777777" w:rsidR="00841424" w:rsidRPr="004A59B1" w:rsidRDefault="00841424" w:rsidP="009C1193">
      <w:pPr>
        <w:pStyle w:val="TextChar"/>
        <w:keepNext/>
        <w:widowControl w:val="0"/>
        <w:spacing w:before="0"/>
        <w:jc w:val="left"/>
        <w:rPr>
          <w:b/>
          <w:color w:val="000000"/>
          <w:sz w:val="22"/>
          <w:szCs w:val="22"/>
          <w:lang w:val="it-IT"/>
        </w:rPr>
      </w:pPr>
      <w:r w:rsidRPr="004A59B1">
        <w:rPr>
          <w:b/>
          <w:color w:val="000000"/>
          <w:sz w:val="22"/>
          <w:szCs w:val="22"/>
          <w:lang w:val="it-IT"/>
        </w:rPr>
        <w:t>Kdaj in kako jemati zdravilo Glivec</w:t>
      </w:r>
    </w:p>
    <w:p w14:paraId="5297A7E2" w14:textId="77777777" w:rsidR="00841424" w:rsidRPr="004A59B1" w:rsidRDefault="00841424" w:rsidP="009C1193">
      <w:pPr>
        <w:pStyle w:val="TextChar"/>
        <w:widowControl w:val="0"/>
        <w:numPr>
          <w:ilvl w:val="0"/>
          <w:numId w:val="42"/>
        </w:numPr>
        <w:spacing w:before="0"/>
        <w:ind w:left="567" w:hanging="567"/>
        <w:jc w:val="left"/>
        <w:rPr>
          <w:bCs/>
          <w:color w:val="000000"/>
          <w:sz w:val="22"/>
          <w:szCs w:val="22"/>
          <w:lang w:val="it-IT"/>
        </w:rPr>
      </w:pPr>
      <w:r w:rsidRPr="004A59B1">
        <w:rPr>
          <w:b/>
          <w:color w:val="000000"/>
          <w:sz w:val="22"/>
          <w:szCs w:val="22"/>
          <w:lang w:val="it-IT"/>
        </w:rPr>
        <w:t xml:space="preserve">Zdravilo Glivec vzemite z obrokom hrane. </w:t>
      </w:r>
      <w:r w:rsidRPr="004A59B1">
        <w:rPr>
          <w:bCs/>
          <w:color w:val="000000"/>
          <w:sz w:val="22"/>
          <w:szCs w:val="22"/>
          <w:lang w:val="it-IT"/>
        </w:rPr>
        <w:t>Tako boste laže preprečili težave z želodcem, do katerih pride pri jemanju zdravila Glivec.</w:t>
      </w:r>
    </w:p>
    <w:p w14:paraId="5297A7E3" w14:textId="77777777" w:rsidR="00841424" w:rsidRPr="004A59B1" w:rsidRDefault="00841424" w:rsidP="009C1193">
      <w:pPr>
        <w:pStyle w:val="TextChar"/>
        <w:widowControl w:val="0"/>
        <w:numPr>
          <w:ilvl w:val="0"/>
          <w:numId w:val="42"/>
        </w:numPr>
        <w:spacing w:before="0"/>
        <w:ind w:left="567" w:hanging="567"/>
        <w:jc w:val="left"/>
        <w:rPr>
          <w:color w:val="000000"/>
          <w:sz w:val="22"/>
          <w:szCs w:val="22"/>
          <w:lang w:val="it-IT"/>
        </w:rPr>
      </w:pPr>
      <w:r w:rsidRPr="004A59B1">
        <w:rPr>
          <w:b/>
          <w:color w:val="000000"/>
          <w:sz w:val="22"/>
          <w:szCs w:val="22"/>
          <w:lang w:val="it-IT"/>
        </w:rPr>
        <w:t xml:space="preserve">Kapsule pogoltnite cele z velikim kozarcem vode. </w:t>
      </w:r>
      <w:r w:rsidRPr="004A59B1">
        <w:rPr>
          <w:color w:val="000000"/>
          <w:sz w:val="22"/>
          <w:szCs w:val="22"/>
          <w:lang w:val="it-IT"/>
        </w:rPr>
        <w:t>Kapsul ne odpirajte in ne mečkajte, razen v primeru težav s požiranjem (na primer pri otroku).</w:t>
      </w:r>
    </w:p>
    <w:p w14:paraId="5297A7E4" w14:textId="77777777" w:rsidR="00841424" w:rsidRPr="004A59B1" w:rsidRDefault="00841424" w:rsidP="009C1193">
      <w:pPr>
        <w:pStyle w:val="TextChar"/>
        <w:widowControl w:val="0"/>
        <w:numPr>
          <w:ilvl w:val="0"/>
          <w:numId w:val="42"/>
        </w:numPr>
        <w:spacing w:before="0"/>
        <w:ind w:left="567" w:hanging="567"/>
        <w:jc w:val="left"/>
        <w:rPr>
          <w:color w:val="000000"/>
          <w:sz w:val="22"/>
          <w:szCs w:val="22"/>
          <w:lang w:val="it-IT"/>
        </w:rPr>
      </w:pPr>
      <w:r w:rsidRPr="004A59B1">
        <w:rPr>
          <w:bCs/>
          <w:color w:val="000000"/>
          <w:sz w:val="22"/>
          <w:szCs w:val="22"/>
          <w:lang w:val="it-IT"/>
        </w:rPr>
        <w:t xml:space="preserve">Če kapsul ne morete pogoltniti, jih </w:t>
      </w:r>
      <w:r w:rsidRPr="004A59B1">
        <w:rPr>
          <w:color w:val="000000"/>
          <w:sz w:val="22"/>
          <w:szCs w:val="22"/>
          <w:lang w:val="it-IT"/>
        </w:rPr>
        <w:t>lahko odprete in vsebino zmešate v kozarec navadne vode ali jabolčnega soka.</w:t>
      </w:r>
    </w:p>
    <w:p w14:paraId="5297A7E5" w14:textId="77777777" w:rsidR="00841424" w:rsidRPr="004A59B1" w:rsidRDefault="00841424" w:rsidP="009C1193">
      <w:pPr>
        <w:pStyle w:val="TextChar"/>
        <w:widowControl w:val="0"/>
        <w:numPr>
          <w:ilvl w:val="0"/>
          <w:numId w:val="42"/>
        </w:numPr>
        <w:spacing w:before="0"/>
        <w:ind w:left="567" w:hanging="567"/>
        <w:jc w:val="left"/>
        <w:rPr>
          <w:color w:val="000000"/>
          <w:sz w:val="22"/>
          <w:szCs w:val="22"/>
          <w:lang w:val="de-CH"/>
        </w:rPr>
      </w:pPr>
      <w:r w:rsidRPr="004A59B1">
        <w:rPr>
          <w:color w:val="000000"/>
          <w:sz w:val="22"/>
          <w:szCs w:val="22"/>
          <w:lang w:val="it-IT"/>
        </w:rPr>
        <w:t xml:space="preserve">Če ste noseči ali bi lahko zanosili, ravnajte pri odpiranju kapsule z vsebino pazljivo in se izogibajte stiku zdravila z očmi preko rok ali vdihavanju zdravila. </w:t>
      </w:r>
      <w:r w:rsidRPr="004A59B1">
        <w:rPr>
          <w:color w:val="000000"/>
          <w:sz w:val="22"/>
          <w:szCs w:val="22"/>
          <w:lang w:val="de-CH"/>
        </w:rPr>
        <w:t>Takoj po odpiranju kapsul si umijte roke.</w:t>
      </w:r>
    </w:p>
    <w:p w14:paraId="5297A7E6" w14:textId="77777777" w:rsidR="00841424" w:rsidRPr="004A59B1" w:rsidRDefault="00841424" w:rsidP="009C1193">
      <w:pPr>
        <w:pStyle w:val="TextChar"/>
        <w:widowControl w:val="0"/>
        <w:spacing w:before="0"/>
        <w:jc w:val="left"/>
        <w:rPr>
          <w:i/>
          <w:color w:val="000000"/>
          <w:sz w:val="22"/>
          <w:szCs w:val="22"/>
          <w:lang w:val="de-CH"/>
        </w:rPr>
      </w:pPr>
    </w:p>
    <w:p w14:paraId="5297A7E7" w14:textId="77777777" w:rsidR="00841424" w:rsidRPr="004A59B1" w:rsidRDefault="00841424" w:rsidP="009C1193">
      <w:pPr>
        <w:pStyle w:val="Heading2"/>
        <w:widowControl w:val="0"/>
        <w:spacing w:before="0" w:after="0" w:line="240" w:lineRule="auto"/>
        <w:rPr>
          <w:rFonts w:ascii="Times New Roman" w:hAnsi="Times New Roman"/>
          <w:i w:val="0"/>
          <w:color w:val="000000"/>
          <w:sz w:val="22"/>
          <w:szCs w:val="22"/>
          <w:lang w:val="de-CH"/>
        </w:rPr>
      </w:pPr>
      <w:r w:rsidRPr="004A59B1">
        <w:rPr>
          <w:rFonts w:ascii="Times New Roman" w:hAnsi="Times New Roman"/>
          <w:i w:val="0"/>
          <w:color w:val="000000"/>
          <w:sz w:val="22"/>
          <w:szCs w:val="22"/>
          <w:lang w:val="de-CH"/>
        </w:rPr>
        <w:t>Koliko časa jemati zdravilo</w:t>
      </w:r>
      <w:r w:rsidRPr="004A59B1">
        <w:rPr>
          <w:rFonts w:ascii="Times New Roman" w:hAnsi="Times New Roman"/>
          <w:b w:val="0"/>
          <w:color w:val="000000"/>
          <w:sz w:val="22"/>
          <w:szCs w:val="22"/>
          <w:lang w:val="de-CH"/>
        </w:rPr>
        <w:t xml:space="preserve"> </w:t>
      </w:r>
      <w:r w:rsidRPr="004A59B1">
        <w:rPr>
          <w:rFonts w:ascii="Times New Roman" w:hAnsi="Times New Roman"/>
          <w:i w:val="0"/>
          <w:color w:val="000000"/>
          <w:sz w:val="22"/>
          <w:szCs w:val="22"/>
          <w:lang w:val="de-CH"/>
        </w:rPr>
        <w:t>Glivec</w:t>
      </w:r>
    </w:p>
    <w:p w14:paraId="5297A7E8" w14:textId="77777777" w:rsidR="00841424" w:rsidRPr="004A59B1" w:rsidRDefault="00841424" w:rsidP="009C1193">
      <w:pPr>
        <w:pStyle w:val="TextChar"/>
        <w:widowControl w:val="0"/>
        <w:spacing w:before="0"/>
        <w:jc w:val="left"/>
        <w:rPr>
          <w:color w:val="000000"/>
          <w:sz w:val="22"/>
          <w:szCs w:val="22"/>
          <w:lang w:val="de-CH"/>
        </w:rPr>
      </w:pPr>
      <w:r w:rsidRPr="004A59B1">
        <w:rPr>
          <w:color w:val="000000"/>
          <w:sz w:val="22"/>
          <w:szCs w:val="22"/>
          <w:lang w:val="de-CH"/>
        </w:rPr>
        <w:t>Zdravilo Glivec jemljite vsak dan, dokler vam zdravnik ne naroči, da ga prenehate jemati.</w:t>
      </w:r>
    </w:p>
    <w:p w14:paraId="5297A7E9" w14:textId="77777777" w:rsidR="00841424" w:rsidRPr="004A59B1" w:rsidRDefault="00841424" w:rsidP="009C1193">
      <w:pPr>
        <w:pStyle w:val="TextChar"/>
        <w:widowControl w:val="0"/>
        <w:spacing w:before="0"/>
        <w:jc w:val="left"/>
        <w:rPr>
          <w:color w:val="000000"/>
          <w:sz w:val="22"/>
          <w:szCs w:val="22"/>
          <w:lang w:val="de-CH"/>
        </w:rPr>
      </w:pPr>
    </w:p>
    <w:p w14:paraId="5297A7EA" w14:textId="77777777" w:rsidR="00841424" w:rsidRPr="004A59B1" w:rsidRDefault="00841424" w:rsidP="009C1193">
      <w:pPr>
        <w:pStyle w:val="Heading2"/>
        <w:widowControl w:val="0"/>
        <w:spacing w:before="0" w:after="0" w:line="240" w:lineRule="auto"/>
        <w:rPr>
          <w:rFonts w:ascii="Times New Roman" w:hAnsi="Times New Roman"/>
          <w:i w:val="0"/>
          <w:color w:val="000000"/>
          <w:sz w:val="22"/>
          <w:szCs w:val="22"/>
          <w:lang w:val="de-CH"/>
        </w:rPr>
      </w:pPr>
      <w:r w:rsidRPr="004A59B1">
        <w:rPr>
          <w:rFonts w:ascii="Times New Roman" w:hAnsi="Times New Roman"/>
          <w:i w:val="0"/>
          <w:color w:val="000000"/>
          <w:sz w:val="22"/>
          <w:szCs w:val="22"/>
          <w:lang w:val="de-CH"/>
        </w:rPr>
        <w:t>Če ste vzeli večji odmerek zdravila Glivec, kot bi smeli</w:t>
      </w:r>
    </w:p>
    <w:p w14:paraId="5297A7EB" w14:textId="77777777" w:rsidR="00841424" w:rsidRPr="002227FB" w:rsidRDefault="00841424" w:rsidP="009C1193">
      <w:pPr>
        <w:pStyle w:val="TextChar"/>
        <w:widowControl w:val="0"/>
        <w:spacing w:before="0"/>
        <w:jc w:val="left"/>
        <w:rPr>
          <w:color w:val="000000"/>
          <w:sz w:val="22"/>
          <w:szCs w:val="22"/>
        </w:rPr>
      </w:pPr>
      <w:r w:rsidRPr="004A59B1">
        <w:rPr>
          <w:color w:val="000000"/>
          <w:sz w:val="22"/>
          <w:szCs w:val="22"/>
          <w:lang w:val="de-CH"/>
        </w:rPr>
        <w:t xml:space="preserve">Če ste pomotoma vzeli preveč kapsul, se </w:t>
      </w:r>
      <w:r w:rsidRPr="004A59B1">
        <w:rPr>
          <w:b/>
          <w:color w:val="000000"/>
          <w:sz w:val="22"/>
          <w:szCs w:val="22"/>
          <w:lang w:val="de-CH"/>
        </w:rPr>
        <w:t>nemudoma</w:t>
      </w:r>
      <w:r w:rsidRPr="004A59B1">
        <w:rPr>
          <w:color w:val="000000"/>
          <w:sz w:val="22"/>
          <w:szCs w:val="22"/>
          <w:lang w:val="de-CH"/>
        </w:rPr>
        <w:t xml:space="preserve"> posvetujte s svojim zdravnikom. </w:t>
      </w:r>
      <w:r w:rsidRPr="002227FB">
        <w:rPr>
          <w:color w:val="000000"/>
          <w:sz w:val="22"/>
          <w:szCs w:val="22"/>
        </w:rPr>
        <w:t>Mogoče boste potrebovali medicinsko pomoč. Škatlo zdravil vzemite s seboj.</w:t>
      </w:r>
    </w:p>
    <w:p w14:paraId="5297A7EC" w14:textId="77777777" w:rsidR="00841424" w:rsidRPr="002227FB" w:rsidRDefault="00841424" w:rsidP="009C1193">
      <w:pPr>
        <w:widowControl w:val="0"/>
        <w:numPr>
          <w:ilvl w:val="12"/>
          <w:numId w:val="0"/>
        </w:numPr>
        <w:tabs>
          <w:tab w:val="clear" w:pos="567"/>
        </w:tabs>
        <w:spacing w:line="240" w:lineRule="auto"/>
        <w:ind w:right="-2"/>
        <w:rPr>
          <w:color w:val="000000"/>
          <w:szCs w:val="22"/>
          <w:lang w:val="en-US"/>
        </w:rPr>
      </w:pPr>
    </w:p>
    <w:p w14:paraId="5297A7ED" w14:textId="77777777" w:rsidR="00841424" w:rsidRPr="004A59B1" w:rsidRDefault="00841424" w:rsidP="009C1193">
      <w:pPr>
        <w:keepNext/>
        <w:widowControl w:val="0"/>
        <w:numPr>
          <w:ilvl w:val="12"/>
          <w:numId w:val="0"/>
        </w:numPr>
        <w:tabs>
          <w:tab w:val="clear" w:pos="567"/>
        </w:tabs>
        <w:spacing w:line="240" w:lineRule="auto"/>
        <w:ind w:right="-2"/>
        <w:rPr>
          <w:color w:val="000000"/>
          <w:szCs w:val="22"/>
          <w:lang w:val="it-IT"/>
        </w:rPr>
      </w:pPr>
      <w:r w:rsidRPr="004A59B1">
        <w:rPr>
          <w:b/>
          <w:color w:val="000000"/>
          <w:szCs w:val="22"/>
          <w:lang w:val="it-IT"/>
        </w:rPr>
        <w:t>Če ste pozabili vzeti zdravilo Glivec</w:t>
      </w:r>
    </w:p>
    <w:p w14:paraId="5297A7EE" w14:textId="77777777" w:rsidR="00841424" w:rsidRPr="004A59B1" w:rsidRDefault="00841424" w:rsidP="009C1193">
      <w:pPr>
        <w:widowControl w:val="0"/>
        <w:numPr>
          <w:ilvl w:val="0"/>
          <w:numId w:val="42"/>
        </w:numPr>
        <w:tabs>
          <w:tab w:val="clear" w:pos="567"/>
        </w:tabs>
        <w:spacing w:line="240" w:lineRule="auto"/>
        <w:ind w:left="567" w:right="-2" w:hanging="567"/>
        <w:rPr>
          <w:color w:val="000000"/>
          <w:szCs w:val="22"/>
          <w:lang w:val="it-IT"/>
        </w:rPr>
      </w:pPr>
      <w:r w:rsidRPr="004A59B1">
        <w:rPr>
          <w:color w:val="000000"/>
          <w:szCs w:val="22"/>
          <w:lang w:val="it-IT"/>
        </w:rPr>
        <w:t>Če pozabite vzeti odmerek, ga vzemite takoj, ko se spomnite. Če je že skoraj čas za naslednji odmerek, izpustite pozabljeni odmerek.</w:t>
      </w:r>
    </w:p>
    <w:p w14:paraId="5297A7EF" w14:textId="77777777" w:rsidR="00841424" w:rsidRPr="004A59B1" w:rsidRDefault="00841424" w:rsidP="009C1193">
      <w:pPr>
        <w:widowControl w:val="0"/>
        <w:numPr>
          <w:ilvl w:val="0"/>
          <w:numId w:val="42"/>
        </w:numPr>
        <w:tabs>
          <w:tab w:val="clear" w:pos="567"/>
        </w:tabs>
        <w:spacing w:line="240" w:lineRule="auto"/>
        <w:ind w:left="567" w:right="-2" w:hanging="567"/>
        <w:rPr>
          <w:color w:val="000000"/>
          <w:szCs w:val="22"/>
          <w:lang w:val="pl-PL"/>
        </w:rPr>
      </w:pPr>
      <w:r w:rsidRPr="004A59B1">
        <w:rPr>
          <w:color w:val="000000"/>
          <w:szCs w:val="22"/>
          <w:lang w:val="pl-PL"/>
        </w:rPr>
        <w:t>Nato nadaljujte z jemanjem zdravila po običajnem razporedu.</w:t>
      </w:r>
    </w:p>
    <w:p w14:paraId="5297A7F0" w14:textId="77777777" w:rsidR="00841424" w:rsidRPr="004A59B1" w:rsidRDefault="00841424" w:rsidP="009C1193">
      <w:pPr>
        <w:widowControl w:val="0"/>
        <w:numPr>
          <w:ilvl w:val="0"/>
          <w:numId w:val="42"/>
        </w:numPr>
        <w:tabs>
          <w:tab w:val="clear" w:pos="567"/>
        </w:tabs>
        <w:spacing w:line="240" w:lineRule="auto"/>
        <w:ind w:left="567" w:right="-2" w:hanging="567"/>
        <w:rPr>
          <w:color w:val="000000"/>
          <w:szCs w:val="22"/>
          <w:lang w:val="pl-PL"/>
        </w:rPr>
      </w:pPr>
      <w:r w:rsidRPr="004A59B1">
        <w:rPr>
          <w:color w:val="000000"/>
          <w:szCs w:val="22"/>
          <w:lang w:val="pl-PL"/>
        </w:rPr>
        <w:t>Ne vzemite dvojnega odmerka, če ste pozabili vzeti prejšnji odmerek.</w:t>
      </w:r>
    </w:p>
    <w:p w14:paraId="5297A7F1" w14:textId="77777777" w:rsidR="00841424" w:rsidRPr="004A59B1" w:rsidRDefault="00841424" w:rsidP="009C1193">
      <w:pPr>
        <w:widowControl w:val="0"/>
        <w:numPr>
          <w:ilvl w:val="12"/>
          <w:numId w:val="0"/>
        </w:numPr>
        <w:tabs>
          <w:tab w:val="clear" w:pos="567"/>
        </w:tabs>
        <w:spacing w:line="240" w:lineRule="auto"/>
        <w:ind w:right="-2"/>
        <w:rPr>
          <w:color w:val="000000"/>
          <w:szCs w:val="22"/>
          <w:lang w:val="pl-PL"/>
        </w:rPr>
      </w:pPr>
    </w:p>
    <w:p w14:paraId="5297A7F2" w14:textId="77777777" w:rsidR="00841424" w:rsidRPr="004A59B1" w:rsidRDefault="00841424" w:rsidP="009C1193">
      <w:pPr>
        <w:widowControl w:val="0"/>
        <w:numPr>
          <w:ilvl w:val="12"/>
          <w:numId w:val="0"/>
        </w:numPr>
        <w:tabs>
          <w:tab w:val="clear" w:pos="567"/>
        </w:tabs>
        <w:spacing w:line="240" w:lineRule="auto"/>
        <w:ind w:right="-2"/>
        <w:rPr>
          <w:color w:val="000000"/>
          <w:szCs w:val="22"/>
          <w:lang w:val="pl-PL"/>
        </w:rPr>
      </w:pPr>
      <w:r w:rsidRPr="004A59B1">
        <w:rPr>
          <w:color w:val="000000"/>
          <w:szCs w:val="22"/>
          <w:lang w:val="pl-PL"/>
        </w:rPr>
        <w:t xml:space="preserve">Če imate dodatna vprašanja o uporabi zdravila, se posvetujte </w:t>
      </w:r>
      <w:r w:rsidR="00346403" w:rsidRPr="004A59B1">
        <w:rPr>
          <w:color w:val="000000"/>
          <w:szCs w:val="22"/>
          <w:lang w:val="pt-PT"/>
        </w:rPr>
        <w:t>z</w:t>
      </w:r>
      <w:r w:rsidRPr="004A59B1">
        <w:rPr>
          <w:color w:val="000000"/>
          <w:szCs w:val="22"/>
          <w:lang w:val="pl-PL"/>
        </w:rPr>
        <w:t xml:space="preserve"> zdravnikom</w:t>
      </w:r>
      <w:r w:rsidR="002E508D" w:rsidRPr="004A59B1">
        <w:rPr>
          <w:color w:val="000000"/>
          <w:szCs w:val="22"/>
          <w:lang w:val="pl-PL"/>
        </w:rPr>
        <w:t>,</w:t>
      </w:r>
      <w:r w:rsidRPr="004A59B1">
        <w:rPr>
          <w:color w:val="000000"/>
          <w:szCs w:val="22"/>
          <w:lang w:val="pl-PL"/>
        </w:rPr>
        <w:t xml:space="preserve"> farmacevtom</w:t>
      </w:r>
      <w:r w:rsidR="002E508D" w:rsidRPr="004A59B1">
        <w:rPr>
          <w:color w:val="000000"/>
          <w:szCs w:val="22"/>
          <w:lang w:val="pl-PL"/>
        </w:rPr>
        <w:t xml:space="preserve"> ali medicinsko sestro</w:t>
      </w:r>
      <w:r w:rsidRPr="004A59B1">
        <w:rPr>
          <w:color w:val="000000"/>
          <w:szCs w:val="22"/>
          <w:lang w:val="pl-PL"/>
        </w:rPr>
        <w:t>.</w:t>
      </w:r>
    </w:p>
    <w:p w14:paraId="5297A7F3" w14:textId="77777777" w:rsidR="00841424" w:rsidRPr="004A59B1" w:rsidRDefault="00841424" w:rsidP="009C1193">
      <w:pPr>
        <w:widowControl w:val="0"/>
        <w:numPr>
          <w:ilvl w:val="12"/>
          <w:numId w:val="0"/>
        </w:numPr>
        <w:tabs>
          <w:tab w:val="clear" w:pos="567"/>
        </w:tabs>
        <w:spacing w:line="240" w:lineRule="auto"/>
        <w:ind w:right="-2"/>
        <w:rPr>
          <w:color w:val="000000"/>
          <w:szCs w:val="22"/>
          <w:lang w:val="pl-PL"/>
        </w:rPr>
      </w:pPr>
    </w:p>
    <w:p w14:paraId="5297A7F4" w14:textId="77777777" w:rsidR="00841424" w:rsidRPr="004A59B1" w:rsidRDefault="00841424" w:rsidP="009C1193">
      <w:pPr>
        <w:widowControl w:val="0"/>
        <w:numPr>
          <w:ilvl w:val="12"/>
          <w:numId w:val="0"/>
        </w:numPr>
        <w:tabs>
          <w:tab w:val="clear" w:pos="567"/>
        </w:tabs>
        <w:spacing w:line="240" w:lineRule="auto"/>
        <w:ind w:right="-2"/>
        <w:rPr>
          <w:color w:val="000000"/>
          <w:szCs w:val="22"/>
          <w:lang w:val="pl-PL"/>
        </w:rPr>
      </w:pPr>
    </w:p>
    <w:p w14:paraId="5297A7F5" w14:textId="77777777" w:rsidR="00FF48C2" w:rsidRPr="004A59B1" w:rsidRDefault="00FF48C2" w:rsidP="009C1193">
      <w:pPr>
        <w:keepNext/>
        <w:widowControl w:val="0"/>
        <w:numPr>
          <w:ilvl w:val="12"/>
          <w:numId w:val="0"/>
        </w:numPr>
        <w:tabs>
          <w:tab w:val="clear" w:pos="567"/>
        </w:tabs>
        <w:spacing w:line="240" w:lineRule="auto"/>
        <w:ind w:left="567" w:right="-2" w:hanging="567"/>
        <w:rPr>
          <w:b/>
          <w:color w:val="000000"/>
          <w:szCs w:val="22"/>
          <w:lang w:val="pl-PL"/>
        </w:rPr>
      </w:pPr>
      <w:r w:rsidRPr="004A59B1">
        <w:rPr>
          <w:b/>
          <w:color w:val="000000"/>
          <w:szCs w:val="22"/>
          <w:lang w:val="pl-PL"/>
        </w:rPr>
        <w:t>4.</w:t>
      </w:r>
      <w:r w:rsidRPr="004A59B1">
        <w:rPr>
          <w:b/>
          <w:color w:val="000000"/>
          <w:szCs w:val="22"/>
          <w:lang w:val="pl-PL"/>
        </w:rPr>
        <w:tab/>
        <w:t>Možni neželeni učinki</w:t>
      </w:r>
    </w:p>
    <w:p w14:paraId="5297A7F6" w14:textId="77777777" w:rsidR="00FF48C2" w:rsidRPr="004A59B1" w:rsidRDefault="00FF48C2" w:rsidP="009C1193">
      <w:pPr>
        <w:pStyle w:val="TextChar"/>
        <w:keepNext/>
        <w:widowControl w:val="0"/>
        <w:spacing w:before="0"/>
        <w:jc w:val="left"/>
        <w:rPr>
          <w:color w:val="000000"/>
          <w:sz w:val="22"/>
          <w:szCs w:val="22"/>
          <w:lang w:val="pl-PL"/>
        </w:rPr>
      </w:pPr>
    </w:p>
    <w:p w14:paraId="5297A7F7" w14:textId="77777777" w:rsidR="00FF48C2" w:rsidRPr="004A59B1" w:rsidRDefault="00FF48C2" w:rsidP="009C1193">
      <w:pPr>
        <w:pStyle w:val="TextChar"/>
        <w:widowControl w:val="0"/>
        <w:spacing w:before="0"/>
        <w:jc w:val="left"/>
        <w:rPr>
          <w:color w:val="000000"/>
          <w:sz w:val="22"/>
          <w:szCs w:val="22"/>
          <w:lang w:val="pl-PL"/>
        </w:rPr>
      </w:pPr>
      <w:r w:rsidRPr="004A59B1">
        <w:rPr>
          <w:color w:val="000000"/>
          <w:sz w:val="22"/>
          <w:szCs w:val="22"/>
          <w:lang w:val="pl-PL"/>
        </w:rPr>
        <w:t>Kot vsa zdravila ima lahko tudi to zdravilo neželene učinke, ki pa se ne pojavijo pri vseh bolnikih. Navadno so blagi do zmerni.</w:t>
      </w:r>
    </w:p>
    <w:p w14:paraId="5297A7F8" w14:textId="77777777" w:rsidR="00FF48C2" w:rsidRPr="004A59B1" w:rsidRDefault="00FF48C2" w:rsidP="009C1193">
      <w:pPr>
        <w:pStyle w:val="Text"/>
        <w:widowControl w:val="0"/>
        <w:spacing w:before="0"/>
        <w:jc w:val="left"/>
        <w:rPr>
          <w:color w:val="000000"/>
          <w:sz w:val="22"/>
          <w:szCs w:val="22"/>
          <w:lang w:val="pl-PL"/>
        </w:rPr>
      </w:pPr>
    </w:p>
    <w:p w14:paraId="5297A7F9" w14:textId="77777777" w:rsidR="00FF48C2" w:rsidRPr="004A59B1" w:rsidRDefault="00FF48C2" w:rsidP="009C1193">
      <w:pPr>
        <w:pStyle w:val="Heading4"/>
        <w:widowControl w:val="0"/>
        <w:spacing w:line="240" w:lineRule="auto"/>
        <w:rPr>
          <w:color w:val="000000"/>
          <w:lang w:val="fi-FI"/>
        </w:rPr>
      </w:pPr>
      <w:r w:rsidRPr="004A59B1">
        <w:rPr>
          <w:color w:val="000000"/>
          <w:lang w:val="fi-FI"/>
        </w:rPr>
        <w:t xml:space="preserve">Nekateri neželeni učinki so lahko resni. Če pride do katerega od naslednjih neželenih učinkov, </w:t>
      </w:r>
      <w:r w:rsidRPr="004A59B1">
        <w:rPr>
          <w:color w:val="000000"/>
          <w:lang w:val="fi-FI"/>
        </w:rPr>
        <w:lastRenderedPageBreak/>
        <w:t>takoj obvestite zdravnika:</w:t>
      </w:r>
    </w:p>
    <w:p w14:paraId="5297A7FA" w14:textId="77777777" w:rsidR="00FF48C2" w:rsidRPr="004A59B1" w:rsidRDefault="00FF48C2" w:rsidP="009C1193">
      <w:pPr>
        <w:pStyle w:val="TextChar"/>
        <w:keepNext/>
        <w:widowControl w:val="0"/>
        <w:spacing w:before="0"/>
        <w:jc w:val="left"/>
        <w:rPr>
          <w:color w:val="000000"/>
          <w:sz w:val="22"/>
          <w:szCs w:val="22"/>
          <w:lang w:val="fi-FI"/>
        </w:rPr>
      </w:pPr>
    </w:p>
    <w:p w14:paraId="5297A7FB" w14:textId="77777777" w:rsidR="00FF48C2" w:rsidRPr="004A59B1" w:rsidRDefault="00FF48C2" w:rsidP="009C1193">
      <w:pPr>
        <w:pStyle w:val="Heading4"/>
        <w:widowControl w:val="0"/>
        <w:spacing w:line="240" w:lineRule="auto"/>
        <w:jc w:val="left"/>
        <w:rPr>
          <w:b w:val="0"/>
          <w:noProof w:val="0"/>
          <w:color w:val="000000"/>
          <w:szCs w:val="22"/>
          <w:lang w:val="fi-FI"/>
        </w:rPr>
      </w:pPr>
      <w:r w:rsidRPr="004A59B1">
        <w:rPr>
          <w:noProof w:val="0"/>
          <w:color w:val="000000"/>
          <w:szCs w:val="22"/>
          <w:lang w:val="fi-FI"/>
        </w:rPr>
        <w:t xml:space="preserve">Zelo pogosti </w:t>
      </w:r>
      <w:r w:rsidRPr="004A59B1">
        <w:rPr>
          <w:b w:val="0"/>
          <w:noProof w:val="0"/>
          <w:color w:val="000000"/>
          <w:szCs w:val="22"/>
          <w:lang w:val="fi-FI"/>
        </w:rPr>
        <w:t>(pojavijo se lahko pri več kot 1 od 10 bolnikov)</w:t>
      </w:r>
      <w:r w:rsidRPr="004A59B1">
        <w:rPr>
          <w:noProof w:val="0"/>
          <w:color w:val="000000"/>
          <w:szCs w:val="22"/>
          <w:lang w:val="fi-FI"/>
        </w:rPr>
        <w:t xml:space="preserve"> ali pogosti </w:t>
      </w:r>
      <w:r w:rsidRPr="004A59B1">
        <w:rPr>
          <w:b w:val="0"/>
          <w:noProof w:val="0"/>
          <w:color w:val="000000"/>
          <w:szCs w:val="22"/>
          <w:lang w:val="fi-FI"/>
        </w:rPr>
        <w:t>(pojavijo se lahko pri največ 1 od 10 bolnikov):</w:t>
      </w:r>
    </w:p>
    <w:p w14:paraId="5297A7FC" w14:textId="77777777" w:rsidR="00FF48C2" w:rsidRPr="004A59B1" w:rsidRDefault="00FF48C2" w:rsidP="009C1193">
      <w:pPr>
        <w:pStyle w:val="TextChar"/>
        <w:widowControl w:val="0"/>
        <w:numPr>
          <w:ilvl w:val="0"/>
          <w:numId w:val="7"/>
        </w:numPr>
        <w:tabs>
          <w:tab w:val="clear" w:pos="360"/>
        </w:tabs>
        <w:spacing w:before="0"/>
        <w:ind w:left="567" w:hanging="567"/>
        <w:jc w:val="left"/>
        <w:rPr>
          <w:color w:val="000000"/>
          <w:sz w:val="22"/>
          <w:szCs w:val="22"/>
          <w:lang w:val="sl-SI"/>
        </w:rPr>
      </w:pPr>
      <w:r w:rsidRPr="004A59B1">
        <w:rPr>
          <w:color w:val="000000"/>
          <w:sz w:val="22"/>
          <w:szCs w:val="22"/>
          <w:lang w:val="sl-SI"/>
        </w:rPr>
        <w:t>hitro pridobivanje telesne mase; zaradi zdravila Glivec</w:t>
      </w:r>
      <w:r w:rsidRPr="004A59B1">
        <w:rPr>
          <w:b/>
          <w:color w:val="000000"/>
          <w:sz w:val="22"/>
          <w:szCs w:val="22"/>
          <w:lang w:val="sl-SI"/>
        </w:rPr>
        <w:t xml:space="preserve"> </w:t>
      </w:r>
      <w:r w:rsidRPr="004A59B1">
        <w:rPr>
          <w:color w:val="000000"/>
          <w:sz w:val="22"/>
          <w:szCs w:val="22"/>
          <w:lang w:val="sl-SI"/>
        </w:rPr>
        <w:t>lahko</w:t>
      </w:r>
      <w:r w:rsidRPr="004A59B1">
        <w:rPr>
          <w:b/>
          <w:color w:val="000000"/>
          <w:sz w:val="22"/>
          <w:szCs w:val="22"/>
          <w:lang w:val="sl-SI"/>
        </w:rPr>
        <w:t xml:space="preserve"> </w:t>
      </w:r>
      <w:r w:rsidRPr="004A59B1">
        <w:rPr>
          <w:color w:val="000000"/>
          <w:sz w:val="22"/>
          <w:szCs w:val="22"/>
          <w:lang w:val="sl-SI"/>
        </w:rPr>
        <w:t>začne</w:t>
      </w:r>
      <w:r w:rsidRPr="004A59B1" w:rsidDel="00091FB6">
        <w:rPr>
          <w:color w:val="000000"/>
          <w:sz w:val="22"/>
          <w:szCs w:val="22"/>
          <w:lang w:val="sl-SI"/>
        </w:rPr>
        <w:t xml:space="preserve"> </w:t>
      </w:r>
      <w:r w:rsidRPr="004A59B1">
        <w:rPr>
          <w:color w:val="000000"/>
          <w:sz w:val="22"/>
          <w:szCs w:val="22"/>
          <w:lang w:val="sl-SI"/>
        </w:rPr>
        <w:t xml:space="preserve">vaše telo zadrževati vodo (pride do </w:t>
      </w:r>
      <w:r w:rsidR="00D17DD1" w:rsidRPr="004A59B1">
        <w:rPr>
          <w:color w:val="000000"/>
          <w:sz w:val="22"/>
          <w:szCs w:val="22"/>
          <w:lang w:val="sl-SI"/>
        </w:rPr>
        <w:t xml:space="preserve">hudega </w:t>
      </w:r>
      <w:r w:rsidRPr="004A59B1">
        <w:rPr>
          <w:color w:val="000000"/>
          <w:sz w:val="22"/>
          <w:szCs w:val="22"/>
          <w:lang w:val="sl-SI"/>
        </w:rPr>
        <w:t>zastajanja tekočine),</w:t>
      </w:r>
    </w:p>
    <w:p w14:paraId="5297A7FD" w14:textId="77777777" w:rsidR="00FF48C2" w:rsidRPr="004A59B1" w:rsidRDefault="00FF48C2" w:rsidP="009C1193">
      <w:pPr>
        <w:pStyle w:val="TextChar"/>
        <w:widowControl w:val="0"/>
        <w:numPr>
          <w:ilvl w:val="0"/>
          <w:numId w:val="7"/>
        </w:numPr>
        <w:tabs>
          <w:tab w:val="clear" w:pos="360"/>
        </w:tabs>
        <w:spacing w:before="0"/>
        <w:ind w:left="567" w:hanging="567"/>
        <w:jc w:val="left"/>
        <w:rPr>
          <w:color w:val="000000"/>
          <w:sz w:val="22"/>
          <w:szCs w:val="22"/>
          <w:lang w:val="sl-SI"/>
        </w:rPr>
      </w:pPr>
      <w:r w:rsidRPr="004A59B1">
        <w:rPr>
          <w:color w:val="000000"/>
          <w:sz w:val="22"/>
          <w:szCs w:val="22"/>
          <w:lang w:val="sl-SI"/>
        </w:rPr>
        <w:t>znaki okužbe, na primer povišana telesna temperatura, huda mrzlica, vnetje žrela ali razjede po ustih: zdravilo Glivec vam lahko zmanjša število belih krvnih celic, zato lahko laže pride do okužbe,</w:t>
      </w:r>
    </w:p>
    <w:p w14:paraId="5297A7FE" w14:textId="77777777" w:rsidR="00FF48C2" w:rsidRPr="004A59B1" w:rsidRDefault="00FF48C2" w:rsidP="009C1193">
      <w:pPr>
        <w:pStyle w:val="TextChar"/>
        <w:widowControl w:val="0"/>
        <w:numPr>
          <w:ilvl w:val="0"/>
          <w:numId w:val="8"/>
        </w:numPr>
        <w:tabs>
          <w:tab w:val="clear" w:pos="360"/>
        </w:tabs>
        <w:spacing w:before="0"/>
        <w:ind w:left="567" w:hanging="567"/>
        <w:jc w:val="left"/>
        <w:rPr>
          <w:color w:val="000000"/>
          <w:sz w:val="22"/>
          <w:szCs w:val="22"/>
          <w:lang w:val="sl-SI"/>
        </w:rPr>
      </w:pPr>
      <w:r w:rsidRPr="004A59B1">
        <w:rPr>
          <w:color w:val="000000"/>
          <w:sz w:val="22"/>
          <w:szCs w:val="22"/>
          <w:lang w:val="sl-SI"/>
        </w:rPr>
        <w:t>nepričakovana krvavitev ali modrica (ne da bi se prej poškodovali).</w:t>
      </w:r>
    </w:p>
    <w:p w14:paraId="5297A7FF" w14:textId="77777777" w:rsidR="00FF48C2" w:rsidRPr="004A59B1" w:rsidRDefault="00FF48C2" w:rsidP="009C1193">
      <w:pPr>
        <w:pStyle w:val="TextChar"/>
        <w:widowControl w:val="0"/>
        <w:spacing w:before="0"/>
        <w:jc w:val="left"/>
        <w:rPr>
          <w:color w:val="000000"/>
          <w:sz w:val="22"/>
          <w:szCs w:val="22"/>
          <w:lang w:val="sl-SI"/>
        </w:rPr>
      </w:pPr>
    </w:p>
    <w:p w14:paraId="5297A800" w14:textId="77777777" w:rsidR="00FF48C2" w:rsidRPr="004A59B1" w:rsidRDefault="00FF48C2" w:rsidP="009C1193">
      <w:pPr>
        <w:pStyle w:val="Heading4"/>
        <w:widowControl w:val="0"/>
        <w:spacing w:line="240" w:lineRule="auto"/>
        <w:jc w:val="left"/>
        <w:rPr>
          <w:color w:val="000000"/>
          <w:lang w:val="pt-PT"/>
        </w:rPr>
      </w:pPr>
      <w:r w:rsidRPr="004A59B1">
        <w:rPr>
          <w:color w:val="000000"/>
          <w:lang w:val="pt-PT"/>
        </w:rPr>
        <w:t xml:space="preserve">Občasni </w:t>
      </w:r>
      <w:r w:rsidRPr="004A59B1">
        <w:rPr>
          <w:b w:val="0"/>
          <w:noProof w:val="0"/>
          <w:color w:val="000000"/>
          <w:szCs w:val="22"/>
          <w:lang w:val="sl-SI"/>
        </w:rPr>
        <w:t xml:space="preserve">(pojavijo se lahko pri največ 1 od 100 bolnikov) </w:t>
      </w:r>
      <w:r w:rsidRPr="004A59B1">
        <w:rPr>
          <w:color w:val="000000"/>
          <w:lang w:val="pt-PT"/>
        </w:rPr>
        <w:t xml:space="preserve">ali redki </w:t>
      </w:r>
      <w:r w:rsidRPr="004A59B1">
        <w:rPr>
          <w:b w:val="0"/>
          <w:noProof w:val="0"/>
          <w:color w:val="000000"/>
          <w:szCs w:val="22"/>
          <w:lang w:val="sl-SI"/>
        </w:rPr>
        <w:t>(pojavijo se lahko pri največ 1 od 1.000 bolnikov):</w:t>
      </w:r>
    </w:p>
    <w:p w14:paraId="5297A801" w14:textId="77777777" w:rsidR="00FF48C2" w:rsidRPr="004A59B1" w:rsidRDefault="00FF48C2" w:rsidP="009C1193">
      <w:pPr>
        <w:pStyle w:val="TextChar"/>
        <w:widowControl w:val="0"/>
        <w:numPr>
          <w:ilvl w:val="0"/>
          <w:numId w:val="6"/>
        </w:numPr>
        <w:tabs>
          <w:tab w:val="clear" w:pos="360"/>
        </w:tabs>
        <w:spacing w:before="0"/>
        <w:ind w:left="567" w:hanging="567"/>
        <w:jc w:val="left"/>
        <w:rPr>
          <w:color w:val="000000"/>
          <w:sz w:val="22"/>
          <w:szCs w:val="22"/>
          <w:lang w:val="pt-PT"/>
        </w:rPr>
      </w:pPr>
      <w:r w:rsidRPr="004A59B1">
        <w:rPr>
          <w:color w:val="000000"/>
          <w:sz w:val="22"/>
          <w:szCs w:val="22"/>
          <w:lang w:val="pt-PT"/>
        </w:rPr>
        <w:t xml:space="preserve">bolečine v </w:t>
      </w:r>
      <w:r w:rsidR="00D17DD1" w:rsidRPr="004A59B1">
        <w:rPr>
          <w:color w:val="000000"/>
          <w:sz w:val="22"/>
          <w:szCs w:val="22"/>
          <w:lang w:val="pt-PT"/>
        </w:rPr>
        <w:t>prsnem košu</w:t>
      </w:r>
      <w:r w:rsidRPr="004A59B1">
        <w:rPr>
          <w:color w:val="000000"/>
          <w:sz w:val="22"/>
          <w:szCs w:val="22"/>
          <w:lang w:val="pt-PT"/>
        </w:rPr>
        <w:t>, neredno bitje srca (znaki težav s srcem),</w:t>
      </w:r>
    </w:p>
    <w:p w14:paraId="5297A802" w14:textId="77777777" w:rsidR="00FF48C2" w:rsidRPr="004A59B1" w:rsidRDefault="00FF48C2" w:rsidP="009C1193">
      <w:pPr>
        <w:pStyle w:val="Text"/>
        <w:widowControl w:val="0"/>
        <w:numPr>
          <w:ilvl w:val="0"/>
          <w:numId w:val="17"/>
        </w:numPr>
        <w:tabs>
          <w:tab w:val="clear" w:pos="360"/>
        </w:tabs>
        <w:spacing w:before="0"/>
        <w:ind w:left="567" w:hanging="567"/>
        <w:jc w:val="left"/>
        <w:rPr>
          <w:color w:val="000000"/>
          <w:sz w:val="22"/>
          <w:szCs w:val="22"/>
          <w:lang w:val="pt-PT"/>
        </w:rPr>
      </w:pPr>
      <w:r w:rsidRPr="004A59B1">
        <w:rPr>
          <w:color w:val="000000"/>
          <w:sz w:val="22"/>
          <w:szCs w:val="22"/>
          <w:lang w:val="pt-PT"/>
        </w:rPr>
        <w:t>kašelj, težave z dihanjem ali bolečine pri dihanju (znaki težav s pljuči),</w:t>
      </w:r>
    </w:p>
    <w:p w14:paraId="5297A803" w14:textId="77777777" w:rsidR="00FF48C2" w:rsidRPr="004A59B1" w:rsidRDefault="00FF48C2" w:rsidP="009C1193">
      <w:pPr>
        <w:pStyle w:val="Text"/>
        <w:widowControl w:val="0"/>
        <w:numPr>
          <w:ilvl w:val="0"/>
          <w:numId w:val="17"/>
        </w:numPr>
        <w:tabs>
          <w:tab w:val="clear" w:pos="360"/>
        </w:tabs>
        <w:spacing w:before="0"/>
        <w:ind w:left="567" w:hanging="567"/>
        <w:jc w:val="left"/>
        <w:rPr>
          <w:color w:val="000000"/>
          <w:sz w:val="22"/>
          <w:szCs w:val="22"/>
          <w:lang w:val="pt-PT"/>
        </w:rPr>
      </w:pPr>
      <w:r w:rsidRPr="004A59B1">
        <w:rPr>
          <w:color w:val="000000"/>
          <w:sz w:val="22"/>
          <w:szCs w:val="22"/>
          <w:lang w:val="pt-PT"/>
        </w:rPr>
        <w:t>stemnitev pred očmi, omotičnost ali izguba zavesti (znaki nizkega krvnega tlaka),</w:t>
      </w:r>
    </w:p>
    <w:p w14:paraId="5297A804" w14:textId="77777777" w:rsidR="00FF48C2" w:rsidRPr="004A59B1" w:rsidRDefault="00FF48C2" w:rsidP="009C1193">
      <w:pPr>
        <w:pStyle w:val="TextChar"/>
        <w:widowControl w:val="0"/>
        <w:numPr>
          <w:ilvl w:val="0"/>
          <w:numId w:val="6"/>
        </w:numPr>
        <w:tabs>
          <w:tab w:val="clear" w:pos="360"/>
        </w:tabs>
        <w:spacing w:before="0"/>
        <w:ind w:left="567" w:hanging="567"/>
        <w:jc w:val="left"/>
        <w:rPr>
          <w:color w:val="000000"/>
          <w:sz w:val="22"/>
          <w:szCs w:val="22"/>
          <w:lang w:val="pt-PT"/>
        </w:rPr>
      </w:pPr>
      <w:r w:rsidRPr="004A59B1">
        <w:rPr>
          <w:color w:val="000000"/>
          <w:sz w:val="22"/>
          <w:szCs w:val="22"/>
          <w:lang w:val="pt-PT"/>
        </w:rPr>
        <w:t>občutek slabosti s siljenjem na bruhanje (navzea) z izgubo apetita, temno obarvan urin, rumena koža ali oči (znaki težav z jetri),</w:t>
      </w:r>
    </w:p>
    <w:p w14:paraId="5297A805" w14:textId="77777777" w:rsidR="00FF48C2" w:rsidRPr="004A59B1" w:rsidRDefault="00FF48C2" w:rsidP="009C1193">
      <w:pPr>
        <w:pStyle w:val="TextChar"/>
        <w:widowControl w:val="0"/>
        <w:numPr>
          <w:ilvl w:val="0"/>
          <w:numId w:val="9"/>
        </w:numPr>
        <w:tabs>
          <w:tab w:val="clear" w:pos="360"/>
        </w:tabs>
        <w:spacing w:before="0"/>
        <w:ind w:left="567" w:hanging="567"/>
        <w:jc w:val="left"/>
        <w:rPr>
          <w:color w:val="000000"/>
          <w:sz w:val="22"/>
          <w:szCs w:val="22"/>
          <w:lang w:val="pt-PT"/>
        </w:rPr>
      </w:pPr>
      <w:r w:rsidRPr="004A59B1">
        <w:rPr>
          <w:color w:val="000000"/>
          <w:sz w:val="22"/>
          <w:szCs w:val="22"/>
          <w:lang w:val="pt-PT"/>
        </w:rPr>
        <w:t>izpuščaj, rdeča koža z mehurčki na ustnicah, očeh, koži ali v ustih, luščenje kože, povišana telesna temperatura, rdeče ali vijolične lise nad nivojem kože, srbenje, pekoč občutek, gnojni izpuščaj (znaki težav s kožo),</w:t>
      </w:r>
    </w:p>
    <w:p w14:paraId="5297A806" w14:textId="77777777" w:rsidR="00FF48C2" w:rsidRPr="004A59B1" w:rsidRDefault="00FF48C2" w:rsidP="009C1193">
      <w:pPr>
        <w:pStyle w:val="TextChar"/>
        <w:widowControl w:val="0"/>
        <w:numPr>
          <w:ilvl w:val="0"/>
          <w:numId w:val="9"/>
        </w:numPr>
        <w:tabs>
          <w:tab w:val="clear" w:pos="360"/>
        </w:tabs>
        <w:spacing w:before="0"/>
        <w:ind w:left="567" w:hanging="567"/>
        <w:jc w:val="left"/>
        <w:rPr>
          <w:color w:val="000000"/>
          <w:sz w:val="22"/>
          <w:szCs w:val="22"/>
          <w:lang w:val="pt-PT"/>
        </w:rPr>
      </w:pPr>
      <w:r w:rsidRPr="004A59B1">
        <w:rPr>
          <w:color w:val="000000"/>
          <w:sz w:val="22"/>
          <w:szCs w:val="22"/>
          <w:lang w:val="pt-PT"/>
        </w:rPr>
        <w:t>hude bolečine v trebuhu, kri v izbruhku, blatu ali urinu, črno blato (znaki bolezni prebavil),</w:t>
      </w:r>
    </w:p>
    <w:p w14:paraId="5297A807" w14:textId="77777777" w:rsidR="00FF48C2" w:rsidRPr="004A59B1" w:rsidRDefault="00FF48C2" w:rsidP="009C1193">
      <w:pPr>
        <w:pStyle w:val="TextChar"/>
        <w:widowControl w:val="0"/>
        <w:numPr>
          <w:ilvl w:val="0"/>
          <w:numId w:val="9"/>
        </w:numPr>
        <w:tabs>
          <w:tab w:val="clear" w:pos="360"/>
        </w:tabs>
        <w:spacing w:before="0"/>
        <w:ind w:left="567" w:hanging="567"/>
        <w:jc w:val="left"/>
        <w:rPr>
          <w:color w:val="000000"/>
          <w:sz w:val="22"/>
          <w:szCs w:val="22"/>
          <w:lang w:val="pt-PT"/>
        </w:rPr>
      </w:pPr>
      <w:r w:rsidRPr="004A59B1">
        <w:rPr>
          <w:color w:val="000000"/>
          <w:sz w:val="22"/>
          <w:szCs w:val="22"/>
          <w:lang w:val="pt-PT"/>
        </w:rPr>
        <w:t>zelo zmanjšano odvajanje urina, občutek žeje (znaki težav z ledvicami),</w:t>
      </w:r>
    </w:p>
    <w:p w14:paraId="5297A808" w14:textId="77777777" w:rsidR="00FF48C2" w:rsidRPr="004A59B1" w:rsidRDefault="00FF48C2" w:rsidP="009C1193">
      <w:pPr>
        <w:pStyle w:val="TextChar"/>
        <w:widowControl w:val="0"/>
        <w:numPr>
          <w:ilvl w:val="0"/>
          <w:numId w:val="9"/>
        </w:numPr>
        <w:tabs>
          <w:tab w:val="clear" w:pos="360"/>
        </w:tabs>
        <w:spacing w:before="0"/>
        <w:ind w:left="567" w:hanging="567"/>
        <w:jc w:val="left"/>
        <w:rPr>
          <w:color w:val="000000"/>
          <w:sz w:val="22"/>
          <w:szCs w:val="22"/>
          <w:lang w:val="pt-PT"/>
        </w:rPr>
      </w:pPr>
      <w:r w:rsidRPr="004A59B1">
        <w:rPr>
          <w:color w:val="000000"/>
          <w:sz w:val="22"/>
          <w:szCs w:val="22"/>
          <w:lang w:val="pt-PT"/>
        </w:rPr>
        <w:t>občutek slabosti s siljenjem na bruhanje (navzea) z drisko, in bruhanjem, bolečine v trebuhu ali povišana telesna temperatura (znaki težav s črevesjem),</w:t>
      </w:r>
    </w:p>
    <w:p w14:paraId="5297A809" w14:textId="77777777" w:rsidR="00FF48C2" w:rsidRPr="004A59B1" w:rsidRDefault="00FF48C2" w:rsidP="009C1193">
      <w:pPr>
        <w:pStyle w:val="TextChar"/>
        <w:widowControl w:val="0"/>
        <w:numPr>
          <w:ilvl w:val="0"/>
          <w:numId w:val="9"/>
        </w:numPr>
        <w:tabs>
          <w:tab w:val="clear" w:pos="360"/>
        </w:tabs>
        <w:spacing w:before="0"/>
        <w:ind w:left="567" w:hanging="567"/>
        <w:jc w:val="left"/>
        <w:rPr>
          <w:color w:val="000000"/>
          <w:sz w:val="22"/>
          <w:szCs w:val="22"/>
          <w:lang w:val="pt-PT"/>
        </w:rPr>
      </w:pPr>
      <w:r w:rsidRPr="004A59B1">
        <w:rPr>
          <w:color w:val="000000"/>
          <w:sz w:val="22"/>
          <w:szCs w:val="22"/>
          <w:lang w:val="pt-PT"/>
        </w:rPr>
        <w:t>hud glavobol, oslabelost ali ohromelost okončin ali obraza, težave pri govoru, nenadna izguba zavesti (znaki težav z živčevjem, kot sta krvavitev ali otekanje v lobanjski votlini/možganih),</w:t>
      </w:r>
    </w:p>
    <w:p w14:paraId="5297A80A" w14:textId="77777777" w:rsidR="00FF48C2" w:rsidRPr="004A59B1" w:rsidRDefault="00FF48C2" w:rsidP="009C1193">
      <w:pPr>
        <w:pStyle w:val="TextChar"/>
        <w:widowControl w:val="0"/>
        <w:numPr>
          <w:ilvl w:val="0"/>
          <w:numId w:val="9"/>
        </w:numPr>
        <w:tabs>
          <w:tab w:val="clear" w:pos="360"/>
        </w:tabs>
        <w:spacing w:before="0"/>
        <w:ind w:left="567" w:hanging="567"/>
        <w:jc w:val="left"/>
        <w:rPr>
          <w:color w:val="000000"/>
          <w:sz w:val="22"/>
          <w:szCs w:val="22"/>
          <w:lang w:val="pt-PT"/>
        </w:rPr>
      </w:pPr>
      <w:r w:rsidRPr="004A59B1">
        <w:rPr>
          <w:color w:val="000000"/>
          <w:sz w:val="22"/>
          <w:szCs w:val="22"/>
          <w:lang w:val="pt-PT"/>
        </w:rPr>
        <w:t>bledica, občutek utrujenosti in zasoplost in temen urin (znaki pomanjkanja rdečih krvničk),</w:t>
      </w:r>
    </w:p>
    <w:p w14:paraId="5297A80B" w14:textId="77777777" w:rsidR="00FF48C2" w:rsidRPr="004A59B1" w:rsidRDefault="00FF48C2" w:rsidP="009C1193">
      <w:pPr>
        <w:pStyle w:val="TextChar"/>
        <w:widowControl w:val="0"/>
        <w:numPr>
          <w:ilvl w:val="0"/>
          <w:numId w:val="9"/>
        </w:numPr>
        <w:tabs>
          <w:tab w:val="clear" w:pos="360"/>
        </w:tabs>
        <w:spacing w:before="0"/>
        <w:ind w:left="567" w:hanging="567"/>
        <w:jc w:val="left"/>
        <w:rPr>
          <w:color w:val="000000"/>
          <w:sz w:val="22"/>
          <w:szCs w:val="22"/>
          <w:lang w:val="pt-BR"/>
        </w:rPr>
      </w:pPr>
      <w:r w:rsidRPr="004A59B1">
        <w:rPr>
          <w:color w:val="000000"/>
          <w:sz w:val="22"/>
          <w:szCs w:val="22"/>
          <w:lang w:val="pt-BR"/>
        </w:rPr>
        <w:t>bolečine v očeh ali poslabšanje vida, očesna krvavitev,</w:t>
      </w:r>
    </w:p>
    <w:p w14:paraId="5297A80C" w14:textId="77777777" w:rsidR="00FF48C2" w:rsidRPr="004A59B1" w:rsidRDefault="00FF48C2" w:rsidP="009C1193">
      <w:pPr>
        <w:pStyle w:val="TextChar"/>
        <w:widowControl w:val="0"/>
        <w:numPr>
          <w:ilvl w:val="0"/>
          <w:numId w:val="9"/>
        </w:numPr>
        <w:tabs>
          <w:tab w:val="clear" w:pos="360"/>
        </w:tabs>
        <w:spacing w:before="0"/>
        <w:ind w:left="567" w:hanging="567"/>
        <w:jc w:val="left"/>
        <w:rPr>
          <w:color w:val="000000"/>
          <w:sz w:val="22"/>
          <w:szCs w:val="22"/>
          <w:lang w:val="da-DK"/>
        </w:rPr>
      </w:pPr>
      <w:r w:rsidRPr="004A59B1">
        <w:rPr>
          <w:color w:val="000000"/>
          <w:sz w:val="22"/>
          <w:szCs w:val="22"/>
          <w:lang w:val="it-IT"/>
        </w:rPr>
        <w:t>bolečine v kolkih ali težave pri hoji,</w:t>
      </w:r>
    </w:p>
    <w:p w14:paraId="5297A80D" w14:textId="77777777" w:rsidR="00FF48C2" w:rsidRPr="004A59B1" w:rsidRDefault="00FF48C2" w:rsidP="009C1193">
      <w:pPr>
        <w:pStyle w:val="TextChar"/>
        <w:widowControl w:val="0"/>
        <w:numPr>
          <w:ilvl w:val="0"/>
          <w:numId w:val="9"/>
        </w:numPr>
        <w:tabs>
          <w:tab w:val="clear" w:pos="360"/>
        </w:tabs>
        <w:spacing w:before="0"/>
        <w:ind w:left="567" w:hanging="567"/>
        <w:jc w:val="left"/>
        <w:rPr>
          <w:color w:val="000000"/>
          <w:sz w:val="22"/>
          <w:szCs w:val="22"/>
          <w:lang w:val="da-DK"/>
        </w:rPr>
      </w:pPr>
      <w:r w:rsidRPr="004A59B1">
        <w:rPr>
          <w:color w:val="000000"/>
          <w:sz w:val="22"/>
          <w:szCs w:val="22"/>
          <w:lang w:val="da-DK"/>
        </w:rPr>
        <w:t>otrpli ali hladni prsti (znaki Raynaudovega sindroma),</w:t>
      </w:r>
    </w:p>
    <w:p w14:paraId="5297A80E" w14:textId="77777777" w:rsidR="00FF48C2" w:rsidRPr="004A59B1" w:rsidRDefault="00FF48C2" w:rsidP="009C1193">
      <w:pPr>
        <w:pStyle w:val="TextChar"/>
        <w:widowControl w:val="0"/>
        <w:numPr>
          <w:ilvl w:val="0"/>
          <w:numId w:val="9"/>
        </w:numPr>
        <w:tabs>
          <w:tab w:val="clear" w:pos="360"/>
        </w:tabs>
        <w:spacing w:before="0"/>
        <w:ind w:left="567" w:hanging="567"/>
        <w:jc w:val="left"/>
        <w:rPr>
          <w:color w:val="000000"/>
          <w:sz w:val="22"/>
          <w:szCs w:val="22"/>
          <w:lang w:val="da-DK"/>
        </w:rPr>
      </w:pPr>
      <w:r w:rsidRPr="004A59B1">
        <w:rPr>
          <w:color w:val="000000"/>
          <w:sz w:val="22"/>
          <w:szCs w:val="22"/>
          <w:lang w:val="da-DK"/>
        </w:rPr>
        <w:t>nenadna oteklina in pordelost kože (znaki kožne okužbe z imenom flegmona (celulitis),</w:t>
      </w:r>
    </w:p>
    <w:p w14:paraId="5297A80F" w14:textId="77777777" w:rsidR="00FF48C2" w:rsidRPr="004A59B1" w:rsidRDefault="00FF48C2" w:rsidP="009C1193">
      <w:pPr>
        <w:pStyle w:val="TextChar"/>
        <w:widowControl w:val="0"/>
        <w:numPr>
          <w:ilvl w:val="0"/>
          <w:numId w:val="9"/>
        </w:numPr>
        <w:tabs>
          <w:tab w:val="clear" w:pos="360"/>
        </w:tabs>
        <w:spacing w:before="0"/>
        <w:ind w:left="567" w:hanging="567"/>
        <w:jc w:val="left"/>
        <w:rPr>
          <w:color w:val="000000"/>
          <w:sz w:val="22"/>
          <w:szCs w:val="22"/>
          <w:lang w:val="es-ES"/>
        </w:rPr>
      </w:pPr>
      <w:r w:rsidRPr="004A59B1">
        <w:rPr>
          <w:color w:val="000000"/>
          <w:sz w:val="22"/>
          <w:szCs w:val="22"/>
          <w:lang w:val="es-ES"/>
        </w:rPr>
        <w:t>težave s sluhom,</w:t>
      </w:r>
    </w:p>
    <w:p w14:paraId="5297A810" w14:textId="77777777" w:rsidR="00FF48C2" w:rsidRPr="004A59B1" w:rsidRDefault="00FF48C2" w:rsidP="009C1193">
      <w:pPr>
        <w:pStyle w:val="Listlevel1"/>
        <w:widowControl w:val="0"/>
        <w:numPr>
          <w:ilvl w:val="0"/>
          <w:numId w:val="9"/>
        </w:numPr>
        <w:tabs>
          <w:tab w:val="clear" w:pos="360"/>
          <w:tab w:val="num" w:pos="567"/>
        </w:tabs>
        <w:spacing w:before="0" w:after="0"/>
        <w:ind w:left="567" w:hanging="567"/>
        <w:rPr>
          <w:bCs/>
          <w:color w:val="000000"/>
          <w:sz w:val="22"/>
          <w:szCs w:val="22"/>
          <w:lang w:val="es-ES"/>
        </w:rPr>
      </w:pPr>
      <w:r w:rsidRPr="004A59B1">
        <w:rPr>
          <w:bCs/>
          <w:color w:val="000000"/>
          <w:sz w:val="22"/>
          <w:szCs w:val="22"/>
          <w:lang w:val="es-ES"/>
        </w:rPr>
        <w:t>oslabelost mišic in mišični spazmi z nepravilnim ritmom bitja srca (znaki spremenjenih vrednosti kalija v krvi),</w:t>
      </w:r>
    </w:p>
    <w:p w14:paraId="5297A811" w14:textId="77777777" w:rsidR="00FF48C2" w:rsidRPr="004A59B1" w:rsidRDefault="00FF48C2" w:rsidP="009C1193">
      <w:pPr>
        <w:pStyle w:val="Listlevel1"/>
        <w:widowControl w:val="0"/>
        <w:numPr>
          <w:ilvl w:val="0"/>
          <w:numId w:val="9"/>
        </w:numPr>
        <w:tabs>
          <w:tab w:val="clear" w:pos="360"/>
          <w:tab w:val="num" w:pos="567"/>
        </w:tabs>
        <w:spacing w:before="0" w:after="0"/>
        <w:ind w:left="567" w:hanging="567"/>
        <w:rPr>
          <w:bCs/>
          <w:color w:val="000000"/>
          <w:sz w:val="22"/>
          <w:szCs w:val="22"/>
          <w:lang w:val="en-GB"/>
        </w:rPr>
      </w:pPr>
      <w:r w:rsidRPr="004A59B1">
        <w:rPr>
          <w:bCs/>
          <w:color w:val="000000"/>
          <w:sz w:val="22"/>
          <w:szCs w:val="22"/>
          <w:lang w:val="es-ES"/>
        </w:rPr>
        <w:t>modrice,</w:t>
      </w:r>
    </w:p>
    <w:p w14:paraId="5297A812" w14:textId="77777777" w:rsidR="00FF48C2" w:rsidRPr="004A59B1" w:rsidRDefault="00FF48C2" w:rsidP="009C1193">
      <w:pPr>
        <w:pStyle w:val="Listlevel1"/>
        <w:widowControl w:val="0"/>
        <w:numPr>
          <w:ilvl w:val="0"/>
          <w:numId w:val="9"/>
        </w:numPr>
        <w:tabs>
          <w:tab w:val="clear" w:pos="360"/>
          <w:tab w:val="num" w:pos="567"/>
        </w:tabs>
        <w:spacing w:before="0" w:after="0"/>
        <w:ind w:left="567" w:hanging="567"/>
        <w:rPr>
          <w:bCs/>
          <w:color w:val="000000"/>
          <w:sz w:val="22"/>
          <w:szCs w:val="22"/>
          <w:lang w:val="en-GB"/>
        </w:rPr>
      </w:pPr>
      <w:r w:rsidRPr="004A59B1">
        <w:rPr>
          <w:bCs/>
          <w:color w:val="000000"/>
          <w:sz w:val="22"/>
          <w:szCs w:val="22"/>
          <w:lang w:val="en-GB"/>
        </w:rPr>
        <w:t>bolečine v želodcu z občutkom slabosti s siljenjem na bruhanje (navzea),</w:t>
      </w:r>
    </w:p>
    <w:p w14:paraId="5297A813" w14:textId="77777777" w:rsidR="00FF48C2" w:rsidRPr="004A59B1" w:rsidRDefault="00FF48C2" w:rsidP="009C1193">
      <w:pPr>
        <w:pStyle w:val="Listlevel1"/>
        <w:widowControl w:val="0"/>
        <w:numPr>
          <w:ilvl w:val="0"/>
          <w:numId w:val="9"/>
        </w:numPr>
        <w:tabs>
          <w:tab w:val="clear" w:pos="360"/>
          <w:tab w:val="num" w:pos="567"/>
        </w:tabs>
        <w:spacing w:before="0" w:after="0"/>
        <w:ind w:left="567" w:hanging="567"/>
        <w:rPr>
          <w:bCs/>
          <w:color w:val="000000"/>
          <w:sz w:val="22"/>
          <w:szCs w:val="22"/>
          <w:lang w:val="en-GB"/>
        </w:rPr>
      </w:pPr>
      <w:r w:rsidRPr="004A59B1">
        <w:rPr>
          <w:bCs/>
          <w:color w:val="000000"/>
          <w:sz w:val="22"/>
          <w:szCs w:val="22"/>
          <w:lang w:val="en-GB"/>
        </w:rPr>
        <w:t>mišični spazmi z vročino, rdeče-rjavo obarvan urin, boleče ali oslabele mišice (znaki težav z mišicami),</w:t>
      </w:r>
    </w:p>
    <w:p w14:paraId="5297A814" w14:textId="77777777" w:rsidR="00FF48C2" w:rsidRPr="004A59B1" w:rsidRDefault="00FF48C2" w:rsidP="009C1193">
      <w:pPr>
        <w:pStyle w:val="Listlevel1"/>
        <w:widowControl w:val="0"/>
        <w:numPr>
          <w:ilvl w:val="0"/>
          <w:numId w:val="9"/>
        </w:numPr>
        <w:tabs>
          <w:tab w:val="clear" w:pos="360"/>
          <w:tab w:val="num" w:pos="567"/>
        </w:tabs>
        <w:spacing w:before="0" w:after="0"/>
        <w:ind w:left="567" w:hanging="567"/>
        <w:rPr>
          <w:bCs/>
          <w:color w:val="000000"/>
          <w:sz w:val="22"/>
          <w:szCs w:val="22"/>
          <w:lang w:val="en-GB"/>
        </w:rPr>
      </w:pPr>
      <w:r w:rsidRPr="004A59B1">
        <w:rPr>
          <w:bCs/>
          <w:color w:val="000000"/>
          <w:sz w:val="22"/>
          <w:szCs w:val="22"/>
          <w:lang w:val="en-GB"/>
        </w:rPr>
        <w:t>bolečine v medenici, včasih z občutkom slabosti s siljenjem na bruhanje in bruhanjem, z nepričakovano krvavitvijo iz nožnice, omotičnost ali izguba zavesti zaradi nizkega krvnega tlaka (znaki težav z jajčniki ali maternico),</w:t>
      </w:r>
    </w:p>
    <w:p w14:paraId="5297A815" w14:textId="77777777" w:rsidR="00236FDE" w:rsidRDefault="00FF48C2" w:rsidP="009C1193">
      <w:pPr>
        <w:pStyle w:val="Listlevel1"/>
        <w:widowControl w:val="0"/>
        <w:numPr>
          <w:ilvl w:val="0"/>
          <w:numId w:val="9"/>
        </w:numPr>
        <w:tabs>
          <w:tab w:val="clear" w:pos="360"/>
          <w:tab w:val="num" w:pos="567"/>
        </w:tabs>
        <w:spacing w:before="0" w:after="0"/>
        <w:ind w:left="567" w:hanging="567"/>
        <w:rPr>
          <w:bCs/>
          <w:color w:val="000000"/>
          <w:sz w:val="22"/>
          <w:szCs w:val="22"/>
          <w:lang w:val="en-GB"/>
        </w:rPr>
      </w:pPr>
      <w:r w:rsidRPr="004A59B1">
        <w:rPr>
          <w:bCs/>
          <w:color w:val="000000"/>
          <w:sz w:val="22"/>
          <w:szCs w:val="22"/>
          <w:lang w:val="en-GB"/>
        </w:rPr>
        <w:t xml:space="preserve">občutek slabosti s siljenjem na bruhanje (navzea), zadihanost, neredno bitje srca, moten urin, utrujenost in/ali bolečine v sklepih skupaj z nenormalnimi izvidi laboratorijskih preiskav (na primer z visokimi vrednostmi kalija, sečne kisline in </w:t>
      </w:r>
      <w:r w:rsidR="00314C8A" w:rsidRPr="004A59B1">
        <w:rPr>
          <w:bCs/>
          <w:color w:val="000000"/>
          <w:sz w:val="22"/>
          <w:szCs w:val="22"/>
          <w:lang w:val="en-GB"/>
        </w:rPr>
        <w:t>kalcija</w:t>
      </w:r>
      <w:r w:rsidRPr="004A59B1">
        <w:rPr>
          <w:bCs/>
          <w:color w:val="000000"/>
          <w:sz w:val="22"/>
          <w:szCs w:val="22"/>
          <w:lang w:val="en-GB"/>
        </w:rPr>
        <w:t xml:space="preserve"> ter nizko vrednostjo </w:t>
      </w:r>
      <w:r w:rsidR="00314C8A" w:rsidRPr="004A59B1">
        <w:rPr>
          <w:bCs/>
          <w:color w:val="000000"/>
          <w:sz w:val="22"/>
          <w:szCs w:val="22"/>
          <w:lang w:val="en-GB"/>
        </w:rPr>
        <w:t>fosforja</w:t>
      </w:r>
      <w:r w:rsidRPr="004A59B1">
        <w:rPr>
          <w:bCs/>
          <w:color w:val="000000"/>
          <w:sz w:val="22"/>
          <w:szCs w:val="22"/>
          <w:lang w:val="en-GB"/>
        </w:rPr>
        <w:t xml:space="preserve"> v krvi)</w:t>
      </w:r>
      <w:r w:rsidR="00236FDE">
        <w:rPr>
          <w:bCs/>
          <w:color w:val="000000"/>
          <w:sz w:val="22"/>
          <w:szCs w:val="22"/>
          <w:lang w:val="en-GB"/>
        </w:rPr>
        <w:t>,</w:t>
      </w:r>
    </w:p>
    <w:p w14:paraId="5297A816" w14:textId="77777777" w:rsidR="00FF48C2" w:rsidRPr="004A59B1" w:rsidRDefault="00236FDE" w:rsidP="009C1193">
      <w:pPr>
        <w:pStyle w:val="Listlevel1"/>
        <w:widowControl w:val="0"/>
        <w:numPr>
          <w:ilvl w:val="0"/>
          <w:numId w:val="9"/>
        </w:numPr>
        <w:tabs>
          <w:tab w:val="clear" w:pos="360"/>
          <w:tab w:val="num" w:pos="567"/>
        </w:tabs>
        <w:spacing w:before="0" w:after="0"/>
        <w:ind w:left="567" w:hanging="567"/>
        <w:rPr>
          <w:bCs/>
          <w:color w:val="000000"/>
          <w:sz w:val="22"/>
          <w:szCs w:val="22"/>
          <w:lang w:val="en-GB"/>
        </w:rPr>
      </w:pPr>
      <w:r>
        <w:rPr>
          <w:bCs/>
          <w:color w:val="000000"/>
          <w:sz w:val="22"/>
          <w:szCs w:val="22"/>
          <w:lang w:val="en-GB"/>
        </w:rPr>
        <w:t>krvni strdki v majhnih krvnih žilah (trombotična mikroangiopatija)</w:t>
      </w:r>
      <w:r w:rsidR="00FF48C2" w:rsidRPr="004A59B1">
        <w:rPr>
          <w:bCs/>
          <w:color w:val="000000"/>
          <w:sz w:val="22"/>
          <w:szCs w:val="22"/>
          <w:lang w:val="en-GB"/>
        </w:rPr>
        <w:t>.</w:t>
      </w:r>
    </w:p>
    <w:p w14:paraId="5297A817" w14:textId="77777777" w:rsidR="001B5619" w:rsidRPr="004A59B1" w:rsidRDefault="001B5619" w:rsidP="009C1193">
      <w:pPr>
        <w:pStyle w:val="Listlevel1"/>
        <w:widowControl w:val="0"/>
        <w:spacing w:before="0" w:after="0"/>
        <w:ind w:left="0" w:firstLine="0"/>
        <w:rPr>
          <w:color w:val="000000"/>
          <w:sz w:val="22"/>
          <w:szCs w:val="22"/>
          <w:lang w:val="en-GB"/>
        </w:rPr>
      </w:pPr>
    </w:p>
    <w:p w14:paraId="5297A818" w14:textId="77777777" w:rsidR="001B5619" w:rsidRPr="004A59B1" w:rsidRDefault="001B5619" w:rsidP="009C1193">
      <w:pPr>
        <w:pStyle w:val="Listlevel1"/>
        <w:keepNext/>
        <w:widowControl w:val="0"/>
        <w:spacing w:before="0" w:after="0"/>
        <w:ind w:left="0" w:firstLine="0"/>
        <w:rPr>
          <w:color w:val="000000"/>
          <w:sz w:val="22"/>
          <w:szCs w:val="22"/>
          <w:lang w:val="en-GB"/>
        </w:rPr>
      </w:pPr>
      <w:r w:rsidRPr="004A59B1">
        <w:rPr>
          <w:b/>
          <w:bCs/>
          <w:color w:val="000000"/>
          <w:sz w:val="22"/>
          <w:szCs w:val="22"/>
          <w:lang w:val="fi-FI"/>
        </w:rPr>
        <w:t>Pogostnost neznana</w:t>
      </w:r>
      <w:r w:rsidR="002A3155" w:rsidRPr="004A59B1">
        <w:rPr>
          <w:b/>
          <w:bCs/>
          <w:color w:val="000000"/>
          <w:sz w:val="22"/>
          <w:szCs w:val="22"/>
          <w:lang w:val="fi-FI"/>
        </w:rPr>
        <w:t xml:space="preserve"> </w:t>
      </w:r>
      <w:r w:rsidR="002A3155" w:rsidRPr="004A59B1">
        <w:rPr>
          <w:bCs/>
          <w:color w:val="000000"/>
          <w:sz w:val="22"/>
          <w:szCs w:val="22"/>
          <w:lang w:val="fi-FI"/>
        </w:rPr>
        <w:t>(pogostnosti iz razpoložljivih podatkov ni mogoče oceniti)</w:t>
      </w:r>
      <w:r w:rsidR="00A428B6" w:rsidRPr="004A59B1">
        <w:rPr>
          <w:bCs/>
          <w:color w:val="000000"/>
          <w:sz w:val="22"/>
          <w:szCs w:val="22"/>
          <w:lang w:val="fi-FI"/>
        </w:rPr>
        <w:t>:</w:t>
      </w:r>
    </w:p>
    <w:p w14:paraId="5297A819" w14:textId="77777777" w:rsidR="009914E7" w:rsidRDefault="001B5619" w:rsidP="009C1193">
      <w:pPr>
        <w:pStyle w:val="Listlevel1"/>
        <w:widowControl w:val="0"/>
        <w:numPr>
          <w:ilvl w:val="0"/>
          <w:numId w:val="9"/>
        </w:numPr>
        <w:tabs>
          <w:tab w:val="clear" w:pos="360"/>
          <w:tab w:val="num" w:pos="567"/>
        </w:tabs>
        <w:spacing w:before="0" w:after="0"/>
        <w:ind w:left="567" w:hanging="567"/>
        <w:rPr>
          <w:color w:val="000000"/>
          <w:sz w:val="22"/>
          <w:szCs w:val="22"/>
          <w:lang w:val="en-GB"/>
        </w:rPr>
      </w:pPr>
      <w:r w:rsidRPr="004A59B1">
        <w:rPr>
          <w:color w:val="000000"/>
          <w:sz w:val="22"/>
          <w:szCs w:val="22"/>
          <w:lang w:val="en-GB"/>
        </w:rPr>
        <w:t xml:space="preserve">kombinacija </w:t>
      </w:r>
      <w:r w:rsidR="00D17DD1" w:rsidRPr="004A59B1">
        <w:rPr>
          <w:color w:val="000000"/>
          <w:sz w:val="22"/>
          <w:szCs w:val="22"/>
          <w:lang w:val="en-GB"/>
        </w:rPr>
        <w:t xml:space="preserve">hudo </w:t>
      </w:r>
      <w:r w:rsidRPr="004A59B1">
        <w:rPr>
          <w:color w:val="000000"/>
          <w:sz w:val="22"/>
          <w:szCs w:val="22"/>
          <w:lang w:val="en-GB"/>
        </w:rPr>
        <w:t>razširjenega hudega izpuščaja, slabosti</w:t>
      </w:r>
      <w:r w:rsidR="00F3732D" w:rsidRPr="004A59B1">
        <w:rPr>
          <w:color w:val="000000"/>
          <w:sz w:val="22"/>
          <w:szCs w:val="22"/>
          <w:lang w:val="en-GB"/>
        </w:rPr>
        <w:t xml:space="preserve"> s siljenjem na bruhanje</w:t>
      </w:r>
      <w:r w:rsidRPr="004A59B1">
        <w:rPr>
          <w:color w:val="000000"/>
          <w:sz w:val="22"/>
          <w:szCs w:val="22"/>
          <w:lang w:val="en-GB"/>
        </w:rPr>
        <w:t>, povišane telesne temperature, visoke vrednosti nekaterih vrst belih krvnih celic ali rumene obarvanosti kože ali oči (znaka zlatenice) z zasoplostjo, bolečino/neugodjem v prs</w:t>
      </w:r>
      <w:r w:rsidR="00F3732D" w:rsidRPr="004A59B1">
        <w:rPr>
          <w:color w:val="000000"/>
          <w:sz w:val="22"/>
          <w:szCs w:val="22"/>
          <w:lang w:val="en-GB"/>
        </w:rPr>
        <w:t>nem košu</w:t>
      </w:r>
      <w:r w:rsidRPr="004A59B1">
        <w:rPr>
          <w:color w:val="000000"/>
          <w:sz w:val="22"/>
          <w:szCs w:val="22"/>
          <w:lang w:val="en-GB"/>
        </w:rPr>
        <w:t xml:space="preserve">, izrazito zmanjšanim izločanjem urina in žejo </w:t>
      </w:r>
      <w:r w:rsidR="006C19A6" w:rsidRPr="004A59B1">
        <w:rPr>
          <w:color w:val="000000"/>
          <w:sz w:val="22"/>
          <w:szCs w:val="22"/>
          <w:lang w:val="en-GB"/>
        </w:rPr>
        <w:t>i</w:t>
      </w:r>
      <w:r w:rsidR="00F3732D" w:rsidRPr="004A59B1">
        <w:rPr>
          <w:color w:val="000000"/>
          <w:sz w:val="22"/>
          <w:szCs w:val="22"/>
          <w:lang w:val="en-GB"/>
        </w:rPr>
        <w:t>td.</w:t>
      </w:r>
      <w:r w:rsidR="006C19A6" w:rsidRPr="004A59B1">
        <w:rPr>
          <w:color w:val="000000"/>
          <w:sz w:val="22"/>
          <w:szCs w:val="22"/>
          <w:lang w:val="en-GB"/>
        </w:rPr>
        <w:t xml:space="preserve"> </w:t>
      </w:r>
      <w:r w:rsidRPr="004A59B1">
        <w:rPr>
          <w:color w:val="000000"/>
          <w:sz w:val="22"/>
          <w:szCs w:val="22"/>
          <w:lang w:val="en-GB"/>
        </w:rPr>
        <w:t>(znaki alergijske reakcije na zdravljenje)</w:t>
      </w:r>
      <w:r w:rsidR="009914E7">
        <w:rPr>
          <w:color w:val="000000"/>
          <w:sz w:val="22"/>
          <w:szCs w:val="22"/>
          <w:lang w:val="en-GB"/>
        </w:rPr>
        <w:t>,</w:t>
      </w:r>
    </w:p>
    <w:p w14:paraId="5297A81A" w14:textId="77777777" w:rsidR="00A45404" w:rsidRDefault="009914E7" w:rsidP="009C1193">
      <w:pPr>
        <w:pStyle w:val="Listlevel1"/>
        <w:widowControl w:val="0"/>
        <w:numPr>
          <w:ilvl w:val="0"/>
          <w:numId w:val="9"/>
        </w:numPr>
        <w:tabs>
          <w:tab w:val="clear" w:pos="360"/>
          <w:tab w:val="num" w:pos="567"/>
        </w:tabs>
        <w:spacing w:before="0" w:after="0"/>
        <w:ind w:left="567" w:hanging="567"/>
        <w:rPr>
          <w:color w:val="000000"/>
          <w:sz w:val="22"/>
          <w:szCs w:val="22"/>
          <w:lang w:val="en-GB"/>
        </w:rPr>
      </w:pPr>
      <w:r>
        <w:rPr>
          <w:color w:val="000000"/>
          <w:sz w:val="22"/>
          <w:szCs w:val="22"/>
          <w:lang w:val="en-GB"/>
        </w:rPr>
        <w:t>kronična ledvi</w:t>
      </w:r>
      <w:r w:rsidR="00F107AE">
        <w:rPr>
          <w:color w:val="000000"/>
          <w:sz w:val="22"/>
          <w:szCs w:val="22"/>
          <w:lang w:val="en-GB"/>
        </w:rPr>
        <w:t>čna bolezen</w:t>
      </w:r>
      <w:r w:rsidR="00A45404">
        <w:rPr>
          <w:color w:val="000000"/>
          <w:sz w:val="22"/>
          <w:szCs w:val="22"/>
          <w:lang w:val="en-GB"/>
        </w:rPr>
        <w:t>,</w:t>
      </w:r>
    </w:p>
    <w:p w14:paraId="5297A81B" w14:textId="77777777" w:rsidR="001B5619" w:rsidRPr="004A59B1" w:rsidRDefault="00A45404" w:rsidP="009C1193">
      <w:pPr>
        <w:pStyle w:val="Listlevel1"/>
        <w:widowControl w:val="0"/>
        <w:numPr>
          <w:ilvl w:val="0"/>
          <w:numId w:val="9"/>
        </w:numPr>
        <w:tabs>
          <w:tab w:val="clear" w:pos="360"/>
          <w:tab w:val="num" w:pos="567"/>
        </w:tabs>
        <w:spacing w:before="0" w:after="0"/>
        <w:ind w:left="567" w:hanging="567"/>
        <w:rPr>
          <w:color w:val="000000"/>
          <w:sz w:val="22"/>
          <w:szCs w:val="22"/>
          <w:lang w:val="en-GB"/>
        </w:rPr>
      </w:pPr>
      <w:r>
        <w:rPr>
          <w:color w:val="000000"/>
          <w:sz w:val="22"/>
          <w:szCs w:val="22"/>
          <w:lang w:val="en-GB"/>
        </w:rPr>
        <w:t>p</w:t>
      </w:r>
      <w:r w:rsidRPr="00AC42B3">
        <w:rPr>
          <w:color w:val="000000"/>
          <w:sz w:val="22"/>
          <w:szCs w:val="22"/>
          <w:lang w:val="en-GB"/>
        </w:rPr>
        <w:t xml:space="preserve">onovitev (reaktivacija) okužbe s hepatitisom B, če ste imeli hepatitis B v preteklosti (okužba </w:t>
      </w:r>
      <w:r w:rsidRPr="00AC42B3">
        <w:rPr>
          <w:color w:val="000000"/>
          <w:sz w:val="22"/>
          <w:szCs w:val="22"/>
          <w:lang w:val="en-GB"/>
        </w:rPr>
        <w:lastRenderedPageBreak/>
        <w:t>jeter).</w:t>
      </w:r>
    </w:p>
    <w:p w14:paraId="5297A81C" w14:textId="77777777" w:rsidR="001B5619" w:rsidRPr="004A59B1" w:rsidRDefault="001B5619" w:rsidP="009C1193">
      <w:pPr>
        <w:pStyle w:val="Listlevel1"/>
        <w:widowControl w:val="0"/>
        <w:spacing w:before="0" w:after="0"/>
        <w:ind w:left="0" w:firstLine="0"/>
        <w:rPr>
          <w:color w:val="000000"/>
          <w:sz w:val="22"/>
          <w:szCs w:val="22"/>
          <w:lang w:val="en-GB"/>
        </w:rPr>
      </w:pPr>
    </w:p>
    <w:p w14:paraId="5297A81D" w14:textId="77777777" w:rsidR="00FF48C2" w:rsidRPr="004A59B1" w:rsidRDefault="00FF48C2" w:rsidP="009C1193">
      <w:pPr>
        <w:pStyle w:val="Listlevel1"/>
        <w:widowControl w:val="0"/>
        <w:spacing w:before="0" w:after="0"/>
        <w:ind w:left="0" w:firstLine="0"/>
        <w:rPr>
          <w:color w:val="000000"/>
          <w:sz w:val="22"/>
          <w:szCs w:val="22"/>
          <w:lang w:val="en-GB"/>
        </w:rPr>
      </w:pPr>
      <w:r w:rsidRPr="004A59B1">
        <w:rPr>
          <w:color w:val="000000"/>
          <w:sz w:val="22"/>
          <w:szCs w:val="22"/>
          <w:lang w:val="en-GB"/>
        </w:rPr>
        <w:t xml:space="preserve">Če opazite katerega od zgoraj navedenih neželenih učinkov, </w:t>
      </w:r>
      <w:r w:rsidRPr="004A59B1">
        <w:rPr>
          <w:b/>
          <w:color w:val="000000"/>
          <w:sz w:val="22"/>
          <w:szCs w:val="22"/>
          <w:lang w:val="en-GB"/>
        </w:rPr>
        <w:t>nemudoma obvestite zdravnika</w:t>
      </w:r>
      <w:r w:rsidRPr="004A59B1">
        <w:rPr>
          <w:color w:val="000000"/>
          <w:sz w:val="22"/>
          <w:szCs w:val="22"/>
          <w:lang w:val="en-GB"/>
        </w:rPr>
        <w:t>.</w:t>
      </w:r>
    </w:p>
    <w:p w14:paraId="5297A81E" w14:textId="77777777" w:rsidR="00FF48C2" w:rsidRPr="004A59B1" w:rsidRDefault="00FF48C2" w:rsidP="009C1193">
      <w:pPr>
        <w:pStyle w:val="TextChar"/>
        <w:widowControl w:val="0"/>
        <w:spacing w:before="0"/>
        <w:jc w:val="left"/>
        <w:rPr>
          <w:color w:val="000000"/>
          <w:sz w:val="22"/>
          <w:szCs w:val="22"/>
          <w:lang w:val="en-GB"/>
        </w:rPr>
      </w:pPr>
    </w:p>
    <w:p w14:paraId="5297A81F" w14:textId="77777777" w:rsidR="00FF48C2" w:rsidRPr="004A59B1" w:rsidRDefault="00FF48C2" w:rsidP="009C1193">
      <w:pPr>
        <w:pStyle w:val="TextChar"/>
        <w:keepNext/>
        <w:widowControl w:val="0"/>
        <w:spacing w:before="0"/>
        <w:jc w:val="left"/>
        <w:rPr>
          <w:b/>
          <w:bCs/>
          <w:color w:val="000000"/>
          <w:sz w:val="22"/>
          <w:szCs w:val="22"/>
          <w:lang w:val="en-GB"/>
        </w:rPr>
      </w:pPr>
      <w:r w:rsidRPr="004A59B1">
        <w:rPr>
          <w:b/>
          <w:bCs/>
          <w:color w:val="000000"/>
          <w:sz w:val="22"/>
          <w:szCs w:val="22"/>
          <w:lang w:val="en-GB"/>
        </w:rPr>
        <w:t>Drugi neželeni učinki lahko vključujejo:</w:t>
      </w:r>
    </w:p>
    <w:p w14:paraId="5297A820" w14:textId="77777777" w:rsidR="00FF48C2" w:rsidRPr="004A59B1" w:rsidRDefault="00FF48C2" w:rsidP="009C1193">
      <w:pPr>
        <w:pStyle w:val="TextChar"/>
        <w:keepNext/>
        <w:widowControl w:val="0"/>
        <w:spacing w:before="0"/>
        <w:jc w:val="left"/>
        <w:rPr>
          <w:color w:val="000000"/>
          <w:sz w:val="22"/>
          <w:szCs w:val="22"/>
          <w:lang w:val="en-GB"/>
        </w:rPr>
      </w:pPr>
    </w:p>
    <w:p w14:paraId="5297A821" w14:textId="77777777" w:rsidR="00FF48C2" w:rsidRPr="004A59B1" w:rsidRDefault="00FF48C2" w:rsidP="009C1193">
      <w:pPr>
        <w:pStyle w:val="TextChar"/>
        <w:keepNext/>
        <w:widowControl w:val="0"/>
        <w:spacing w:before="0"/>
        <w:jc w:val="left"/>
        <w:rPr>
          <w:bCs/>
          <w:color w:val="000000"/>
          <w:sz w:val="22"/>
          <w:szCs w:val="22"/>
          <w:lang w:val="en-GB"/>
        </w:rPr>
      </w:pPr>
      <w:r w:rsidRPr="004A59B1">
        <w:rPr>
          <w:b/>
          <w:bCs/>
          <w:color w:val="000000"/>
          <w:sz w:val="22"/>
          <w:szCs w:val="22"/>
          <w:lang w:val="en-GB"/>
        </w:rPr>
        <w:t>Zelo pogosti</w:t>
      </w:r>
      <w:r w:rsidRPr="004A59B1">
        <w:rPr>
          <w:bCs/>
          <w:color w:val="000000"/>
          <w:sz w:val="22"/>
          <w:szCs w:val="22"/>
          <w:lang w:val="en-GB"/>
        </w:rPr>
        <w:t xml:space="preserve"> </w:t>
      </w:r>
      <w:r w:rsidRPr="004A59B1">
        <w:rPr>
          <w:color w:val="000000"/>
          <w:sz w:val="22"/>
          <w:szCs w:val="22"/>
          <w:lang w:val="en-GB"/>
        </w:rPr>
        <w:t>(</w:t>
      </w:r>
      <w:r w:rsidRPr="004A59B1">
        <w:rPr>
          <w:color w:val="000000"/>
          <w:sz w:val="22"/>
          <w:szCs w:val="22"/>
          <w:lang w:val="fi-FI"/>
        </w:rPr>
        <w:t>pojavijo se lahko pri več kot 1 od 10 bolnikov</w:t>
      </w:r>
      <w:r w:rsidRPr="004A59B1">
        <w:rPr>
          <w:color w:val="000000"/>
          <w:szCs w:val="22"/>
          <w:lang w:val="en-GB"/>
        </w:rPr>
        <w:t>)</w:t>
      </w:r>
      <w:r w:rsidRPr="004A59B1">
        <w:rPr>
          <w:bCs/>
          <w:color w:val="000000"/>
          <w:sz w:val="22"/>
          <w:szCs w:val="22"/>
          <w:lang w:val="en-GB"/>
        </w:rPr>
        <w:t>:</w:t>
      </w:r>
    </w:p>
    <w:p w14:paraId="5297A822" w14:textId="77777777" w:rsidR="00FF48C2" w:rsidRPr="004A59B1" w:rsidRDefault="00FF48C2" w:rsidP="009C1193">
      <w:pPr>
        <w:pStyle w:val="Text"/>
        <w:widowControl w:val="0"/>
        <w:numPr>
          <w:ilvl w:val="0"/>
          <w:numId w:val="45"/>
        </w:numPr>
        <w:tabs>
          <w:tab w:val="clear" w:pos="357"/>
          <w:tab w:val="num" w:pos="567"/>
        </w:tabs>
        <w:spacing w:before="0"/>
        <w:ind w:left="567" w:hanging="567"/>
        <w:jc w:val="left"/>
        <w:rPr>
          <w:color w:val="000000"/>
          <w:sz w:val="22"/>
          <w:szCs w:val="22"/>
          <w:lang w:val="en-GB"/>
        </w:rPr>
      </w:pPr>
      <w:r w:rsidRPr="004A59B1">
        <w:rPr>
          <w:color w:val="000000"/>
          <w:sz w:val="22"/>
          <w:szCs w:val="22"/>
          <w:lang w:val="en-GB"/>
        </w:rPr>
        <w:t>glavobol ali občutek utrujenosti,</w:t>
      </w:r>
    </w:p>
    <w:p w14:paraId="5297A823" w14:textId="77777777" w:rsidR="00FF48C2" w:rsidRPr="004A59B1" w:rsidRDefault="00FF48C2" w:rsidP="009C1193">
      <w:pPr>
        <w:pStyle w:val="Text"/>
        <w:widowControl w:val="0"/>
        <w:numPr>
          <w:ilvl w:val="0"/>
          <w:numId w:val="44"/>
        </w:numPr>
        <w:tabs>
          <w:tab w:val="clear" w:pos="717"/>
          <w:tab w:val="num" w:pos="567"/>
        </w:tabs>
        <w:spacing w:before="0"/>
        <w:ind w:left="567" w:hanging="567"/>
        <w:jc w:val="left"/>
        <w:rPr>
          <w:color w:val="000000"/>
          <w:sz w:val="22"/>
          <w:szCs w:val="22"/>
          <w:lang w:val="en-GB"/>
        </w:rPr>
      </w:pPr>
      <w:r w:rsidRPr="004A59B1">
        <w:rPr>
          <w:color w:val="000000"/>
          <w:sz w:val="22"/>
          <w:szCs w:val="22"/>
          <w:lang w:val="en-GB"/>
        </w:rPr>
        <w:t>občutek slabosti s siljenjem na bruhanje (navzea), bruhanje, driska ali prebavne težave,</w:t>
      </w:r>
    </w:p>
    <w:p w14:paraId="5297A824" w14:textId="77777777" w:rsidR="00FF48C2" w:rsidRPr="004A59B1" w:rsidRDefault="00FF48C2" w:rsidP="009C1193">
      <w:pPr>
        <w:pStyle w:val="Text"/>
        <w:widowControl w:val="0"/>
        <w:numPr>
          <w:ilvl w:val="0"/>
          <w:numId w:val="44"/>
        </w:numPr>
        <w:tabs>
          <w:tab w:val="clear" w:pos="717"/>
          <w:tab w:val="num" w:pos="567"/>
        </w:tabs>
        <w:spacing w:before="0"/>
        <w:ind w:left="567" w:hanging="567"/>
        <w:jc w:val="left"/>
        <w:rPr>
          <w:color w:val="000000"/>
          <w:sz w:val="22"/>
          <w:szCs w:val="22"/>
          <w:lang w:val="en-GB"/>
        </w:rPr>
      </w:pPr>
      <w:r w:rsidRPr="004A59B1">
        <w:rPr>
          <w:color w:val="000000"/>
          <w:sz w:val="22"/>
          <w:szCs w:val="22"/>
          <w:lang w:val="en-GB"/>
        </w:rPr>
        <w:t>izpuščaj,</w:t>
      </w:r>
    </w:p>
    <w:p w14:paraId="5297A825" w14:textId="77777777" w:rsidR="00FF48C2" w:rsidRPr="004A59B1" w:rsidRDefault="00FF48C2" w:rsidP="009C1193">
      <w:pPr>
        <w:pStyle w:val="Text"/>
        <w:widowControl w:val="0"/>
        <w:numPr>
          <w:ilvl w:val="0"/>
          <w:numId w:val="44"/>
        </w:numPr>
        <w:tabs>
          <w:tab w:val="clear" w:pos="717"/>
          <w:tab w:val="num" w:pos="567"/>
        </w:tabs>
        <w:spacing w:before="0"/>
        <w:ind w:left="567" w:hanging="567"/>
        <w:jc w:val="left"/>
        <w:rPr>
          <w:color w:val="000000"/>
          <w:sz w:val="22"/>
          <w:szCs w:val="22"/>
          <w:lang w:val="en-GB"/>
        </w:rPr>
      </w:pPr>
      <w:r w:rsidRPr="004A59B1">
        <w:rPr>
          <w:bCs/>
          <w:color w:val="000000"/>
          <w:sz w:val="22"/>
          <w:szCs w:val="22"/>
          <w:lang w:val="en-GB"/>
        </w:rPr>
        <w:t>mišični krči ali bolečine v sklepih, mišicah ali kosteh</w:t>
      </w:r>
      <w:r w:rsidR="0061152D">
        <w:rPr>
          <w:bCs/>
          <w:color w:val="000000"/>
          <w:sz w:val="22"/>
          <w:szCs w:val="22"/>
          <w:lang w:val="en-GB"/>
        </w:rPr>
        <w:t xml:space="preserve"> v obdobju, ko se zdravite z zdravilom Glivec ali po prenehanju jemanja zdravila,</w:t>
      </w:r>
    </w:p>
    <w:p w14:paraId="5297A826" w14:textId="77777777" w:rsidR="00FF48C2" w:rsidRPr="004A59B1" w:rsidRDefault="00FF48C2" w:rsidP="009C1193">
      <w:pPr>
        <w:pStyle w:val="Text"/>
        <w:widowControl w:val="0"/>
        <w:numPr>
          <w:ilvl w:val="0"/>
          <w:numId w:val="44"/>
        </w:numPr>
        <w:tabs>
          <w:tab w:val="clear" w:pos="717"/>
          <w:tab w:val="num" w:pos="567"/>
        </w:tabs>
        <w:spacing w:before="0"/>
        <w:ind w:left="567" w:hanging="567"/>
        <w:jc w:val="left"/>
        <w:rPr>
          <w:color w:val="000000"/>
          <w:sz w:val="22"/>
          <w:szCs w:val="22"/>
          <w:lang w:val="en-GB"/>
        </w:rPr>
      </w:pPr>
      <w:r w:rsidRPr="004A59B1">
        <w:rPr>
          <w:color w:val="000000"/>
          <w:sz w:val="22"/>
          <w:szCs w:val="22"/>
          <w:lang w:val="en-GB"/>
        </w:rPr>
        <w:t>otekanje, na primer otekline okrog gležnjev ali oči,</w:t>
      </w:r>
    </w:p>
    <w:p w14:paraId="5297A827" w14:textId="77777777" w:rsidR="00FF48C2" w:rsidRPr="004A59B1" w:rsidRDefault="00FF48C2" w:rsidP="009C1193">
      <w:pPr>
        <w:pStyle w:val="TextChar"/>
        <w:widowControl w:val="0"/>
        <w:numPr>
          <w:ilvl w:val="0"/>
          <w:numId w:val="44"/>
        </w:numPr>
        <w:tabs>
          <w:tab w:val="num" w:pos="567"/>
        </w:tabs>
        <w:spacing w:before="0"/>
        <w:ind w:left="567" w:hanging="567"/>
        <w:jc w:val="left"/>
        <w:rPr>
          <w:bCs/>
          <w:color w:val="000000"/>
          <w:sz w:val="22"/>
          <w:szCs w:val="22"/>
          <w:lang w:val="es-ES"/>
        </w:rPr>
      </w:pPr>
      <w:r w:rsidRPr="004A59B1">
        <w:rPr>
          <w:color w:val="000000"/>
          <w:sz w:val="22"/>
          <w:szCs w:val="22"/>
          <w:lang w:val="en-GB"/>
        </w:rPr>
        <w:t>povečanje telesne mase.</w:t>
      </w:r>
    </w:p>
    <w:p w14:paraId="5297A828" w14:textId="77777777" w:rsidR="00D17DD1" w:rsidRPr="004A59B1" w:rsidRDefault="00D17DD1" w:rsidP="009C1193">
      <w:pPr>
        <w:pStyle w:val="TextChar"/>
        <w:widowControl w:val="0"/>
        <w:spacing w:before="0"/>
        <w:jc w:val="left"/>
        <w:rPr>
          <w:sz w:val="22"/>
          <w:szCs w:val="22"/>
          <w:lang w:val="sl-SI"/>
        </w:rPr>
      </w:pPr>
      <w:r w:rsidRPr="004A59B1">
        <w:rPr>
          <w:sz w:val="22"/>
          <w:szCs w:val="22"/>
          <w:lang w:val="sl-SI"/>
        </w:rPr>
        <w:t xml:space="preserve">Če se pri vas kateri od zgoraj navedenih neželenih učinkov pojavi v hujši obliki, </w:t>
      </w:r>
      <w:r w:rsidRPr="004A59B1">
        <w:rPr>
          <w:b/>
          <w:sz w:val="22"/>
          <w:szCs w:val="22"/>
          <w:lang w:val="sl-SI"/>
        </w:rPr>
        <w:t>obvestite zdravnika</w:t>
      </w:r>
      <w:r w:rsidRPr="004A59B1">
        <w:rPr>
          <w:sz w:val="22"/>
          <w:szCs w:val="22"/>
          <w:lang w:val="sl-SI"/>
        </w:rPr>
        <w:t>.</w:t>
      </w:r>
    </w:p>
    <w:p w14:paraId="5297A829" w14:textId="77777777" w:rsidR="00FF48C2" w:rsidRPr="004A59B1" w:rsidRDefault="00FF48C2" w:rsidP="009C1193">
      <w:pPr>
        <w:pStyle w:val="TextChar"/>
        <w:widowControl w:val="0"/>
        <w:spacing w:before="0"/>
        <w:jc w:val="left"/>
        <w:rPr>
          <w:color w:val="000000"/>
          <w:sz w:val="22"/>
          <w:szCs w:val="22"/>
          <w:lang w:val="sl-SI"/>
        </w:rPr>
      </w:pPr>
    </w:p>
    <w:p w14:paraId="5297A82A" w14:textId="77777777" w:rsidR="00FF48C2" w:rsidRPr="00226F17" w:rsidRDefault="00FF48C2" w:rsidP="009C1193">
      <w:pPr>
        <w:pStyle w:val="TextChar"/>
        <w:keepNext/>
        <w:widowControl w:val="0"/>
        <w:spacing w:before="0"/>
        <w:jc w:val="left"/>
        <w:rPr>
          <w:bCs/>
          <w:color w:val="000000"/>
          <w:sz w:val="22"/>
          <w:szCs w:val="22"/>
          <w:lang w:val="sl-SI"/>
        </w:rPr>
      </w:pPr>
      <w:r w:rsidRPr="00226F17">
        <w:rPr>
          <w:b/>
          <w:bCs/>
          <w:color w:val="000000"/>
          <w:sz w:val="22"/>
          <w:szCs w:val="22"/>
          <w:lang w:val="sl-SI"/>
        </w:rPr>
        <w:t>Pogosti</w:t>
      </w:r>
      <w:r w:rsidRPr="00226F17">
        <w:rPr>
          <w:bCs/>
          <w:color w:val="000000"/>
          <w:sz w:val="22"/>
          <w:szCs w:val="22"/>
          <w:lang w:val="sl-SI"/>
        </w:rPr>
        <w:t xml:space="preserve"> </w:t>
      </w:r>
      <w:r w:rsidRPr="004A59B1">
        <w:rPr>
          <w:color w:val="000000"/>
          <w:sz w:val="22"/>
          <w:szCs w:val="22"/>
          <w:lang w:val="fi-FI"/>
        </w:rPr>
        <w:t>(pojavijo se lahko pri največ 1 od 10 bolnikov)</w:t>
      </w:r>
      <w:r w:rsidRPr="00226F17">
        <w:rPr>
          <w:bCs/>
          <w:color w:val="000000"/>
          <w:sz w:val="22"/>
          <w:szCs w:val="22"/>
          <w:lang w:val="sl-SI"/>
        </w:rPr>
        <w:t>:</w:t>
      </w:r>
    </w:p>
    <w:p w14:paraId="5297A82B" w14:textId="77777777" w:rsidR="00FF48C2" w:rsidRPr="00226F17" w:rsidRDefault="00FF48C2" w:rsidP="009C1193">
      <w:pPr>
        <w:pStyle w:val="Text"/>
        <w:widowControl w:val="0"/>
        <w:numPr>
          <w:ilvl w:val="0"/>
          <w:numId w:val="47"/>
        </w:numPr>
        <w:tabs>
          <w:tab w:val="clear" w:pos="357"/>
        </w:tabs>
        <w:spacing w:before="0"/>
        <w:ind w:left="567" w:hanging="567"/>
        <w:jc w:val="left"/>
        <w:rPr>
          <w:color w:val="000000"/>
          <w:sz w:val="22"/>
          <w:szCs w:val="22"/>
          <w:lang w:val="sl-SI"/>
        </w:rPr>
      </w:pPr>
      <w:r w:rsidRPr="00226F17">
        <w:rPr>
          <w:color w:val="000000"/>
          <w:sz w:val="22"/>
          <w:szCs w:val="22"/>
          <w:lang w:val="sl-SI"/>
        </w:rPr>
        <w:t>izguba apetita, zmanjšanje telesne mase ali moten občutek za okus,</w:t>
      </w:r>
    </w:p>
    <w:p w14:paraId="5297A82C" w14:textId="77777777" w:rsidR="00FF48C2" w:rsidRPr="004A59B1" w:rsidRDefault="00FF48C2" w:rsidP="009C1193">
      <w:pPr>
        <w:pStyle w:val="Text"/>
        <w:widowControl w:val="0"/>
        <w:numPr>
          <w:ilvl w:val="0"/>
          <w:numId w:val="46"/>
        </w:numPr>
        <w:tabs>
          <w:tab w:val="clear" w:pos="717"/>
          <w:tab w:val="num" w:pos="567"/>
        </w:tabs>
        <w:spacing w:before="0"/>
        <w:ind w:left="567" w:hanging="567"/>
        <w:jc w:val="left"/>
        <w:rPr>
          <w:color w:val="000000"/>
          <w:sz w:val="22"/>
          <w:szCs w:val="22"/>
          <w:lang w:val="en-GB"/>
        </w:rPr>
      </w:pPr>
      <w:r w:rsidRPr="004A59B1">
        <w:rPr>
          <w:color w:val="000000"/>
          <w:sz w:val="22"/>
          <w:szCs w:val="22"/>
          <w:lang w:val="en-GB"/>
        </w:rPr>
        <w:t>občutek omotičnosti ali šibkosti,</w:t>
      </w:r>
    </w:p>
    <w:p w14:paraId="5297A82D" w14:textId="77777777" w:rsidR="00FF48C2" w:rsidRPr="004A59B1" w:rsidRDefault="00FF48C2" w:rsidP="009C1193">
      <w:pPr>
        <w:pStyle w:val="Text"/>
        <w:widowControl w:val="0"/>
        <w:numPr>
          <w:ilvl w:val="0"/>
          <w:numId w:val="46"/>
        </w:numPr>
        <w:tabs>
          <w:tab w:val="clear" w:pos="717"/>
          <w:tab w:val="num" w:pos="567"/>
        </w:tabs>
        <w:spacing w:before="0"/>
        <w:ind w:left="567" w:hanging="567"/>
        <w:jc w:val="left"/>
        <w:rPr>
          <w:color w:val="000000"/>
          <w:sz w:val="22"/>
          <w:szCs w:val="22"/>
          <w:lang w:val="en-GB"/>
        </w:rPr>
      </w:pPr>
      <w:r w:rsidRPr="004A59B1">
        <w:rPr>
          <w:color w:val="000000"/>
          <w:sz w:val="22"/>
          <w:szCs w:val="22"/>
          <w:lang w:val="en-GB"/>
        </w:rPr>
        <w:t>težave s spanjem (nespečnost),</w:t>
      </w:r>
    </w:p>
    <w:p w14:paraId="5297A82E" w14:textId="77777777" w:rsidR="00FF48C2" w:rsidRPr="004A59B1" w:rsidRDefault="00FF48C2" w:rsidP="009C1193">
      <w:pPr>
        <w:pStyle w:val="Text"/>
        <w:widowControl w:val="0"/>
        <w:numPr>
          <w:ilvl w:val="0"/>
          <w:numId w:val="46"/>
        </w:numPr>
        <w:tabs>
          <w:tab w:val="clear" w:pos="717"/>
          <w:tab w:val="num" w:pos="567"/>
        </w:tabs>
        <w:spacing w:before="0"/>
        <w:ind w:left="567" w:hanging="567"/>
        <w:jc w:val="left"/>
        <w:rPr>
          <w:color w:val="000000"/>
          <w:sz w:val="22"/>
          <w:szCs w:val="22"/>
          <w:lang w:val="en-GB"/>
        </w:rPr>
      </w:pPr>
      <w:r w:rsidRPr="004A59B1">
        <w:rPr>
          <w:color w:val="000000"/>
          <w:sz w:val="22"/>
          <w:szCs w:val="22"/>
          <w:lang w:val="en-GB"/>
        </w:rPr>
        <w:t>izcedek iz oči s srbenjem, rdečino in otekanjem (vnetje očesne veznice), prekomerno solzenje ali zamegljen vid,</w:t>
      </w:r>
    </w:p>
    <w:p w14:paraId="5297A82F" w14:textId="77777777" w:rsidR="00FF48C2" w:rsidRPr="004A59B1" w:rsidRDefault="00FF48C2" w:rsidP="009C1193">
      <w:pPr>
        <w:pStyle w:val="Text"/>
        <w:widowControl w:val="0"/>
        <w:numPr>
          <w:ilvl w:val="0"/>
          <w:numId w:val="46"/>
        </w:numPr>
        <w:tabs>
          <w:tab w:val="clear" w:pos="717"/>
          <w:tab w:val="num" w:pos="567"/>
        </w:tabs>
        <w:spacing w:before="0"/>
        <w:ind w:left="567" w:hanging="567"/>
        <w:jc w:val="left"/>
        <w:rPr>
          <w:color w:val="000000"/>
          <w:sz w:val="22"/>
          <w:szCs w:val="22"/>
          <w:lang w:val="en-GB"/>
        </w:rPr>
      </w:pPr>
      <w:r w:rsidRPr="004A59B1">
        <w:rPr>
          <w:color w:val="000000"/>
          <w:sz w:val="22"/>
          <w:szCs w:val="22"/>
          <w:lang w:val="en-GB"/>
        </w:rPr>
        <w:t>krvavitve iz nosu,</w:t>
      </w:r>
    </w:p>
    <w:p w14:paraId="5297A830" w14:textId="77777777" w:rsidR="00FF48C2" w:rsidRPr="004A59B1" w:rsidRDefault="00FF48C2" w:rsidP="009C1193">
      <w:pPr>
        <w:pStyle w:val="Text"/>
        <w:widowControl w:val="0"/>
        <w:numPr>
          <w:ilvl w:val="0"/>
          <w:numId w:val="46"/>
        </w:numPr>
        <w:tabs>
          <w:tab w:val="clear" w:pos="717"/>
          <w:tab w:val="num" w:pos="567"/>
        </w:tabs>
        <w:spacing w:before="0"/>
        <w:ind w:left="567" w:hanging="567"/>
        <w:jc w:val="left"/>
        <w:rPr>
          <w:color w:val="000000"/>
          <w:sz w:val="22"/>
          <w:szCs w:val="22"/>
          <w:lang w:val="it-IT"/>
        </w:rPr>
      </w:pPr>
      <w:r w:rsidRPr="004A59B1">
        <w:rPr>
          <w:color w:val="000000"/>
          <w:sz w:val="22"/>
          <w:szCs w:val="22"/>
          <w:lang w:val="it-IT"/>
        </w:rPr>
        <w:t>bolečine v trebuhu ali napihnjen trebuh, vetrovi, zgaga ali zapeka,</w:t>
      </w:r>
    </w:p>
    <w:p w14:paraId="5297A831" w14:textId="77777777" w:rsidR="00FF48C2" w:rsidRPr="004A59B1" w:rsidRDefault="00FF48C2" w:rsidP="009C1193">
      <w:pPr>
        <w:pStyle w:val="Text"/>
        <w:widowControl w:val="0"/>
        <w:numPr>
          <w:ilvl w:val="0"/>
          <w:numId w:val="46"/>
        </w:numPr>
        <w:tabs>
          <w:tab w:val="clear" w:pos="717"/>
          <w:tab w:val="num" w:pos="567"/>
        </w:tabs>
        <w:spacing w:before="0"/>
        <w:ind w:left="567" w:hanging="567"/>
        <w:jc w:val="left"/>
        <w:rPr>
          <w:color w:val="000000"/>
          <w:sz w:val="22"/>
          <w:szCs w:val="22"/>
          <w:lang w:val="en-GB"/>
        </w:rPr>
      </w:pPr>
      <w:r w:rsidRPr="004A59B1">
        <w:rPr>
          <w:color w:val="000000"/>
          <w:sz w:val="22"/>
          <w:szCs w:val="22"/>
          <w:lang w:val="en-GB"/>
        </w:rPr>
        <w:t>srbenje</w:t>
      </w:r>
    </w:p>
    <w:p w14:paraId="5297A832" w14:textId="77777777" w:rsidR="00FF48C2" w:rsidRPr="004A59B1" w:rsidRDefault="00FF48C2" w:rsidP="009C1193">
      <w:pPr>
        <w:pStyle w:val="Text"/>
        <w:widowControl w:val="0"/>
        <w:numPr>
          <w:ilvl w:val="0"/>
          <w:numId w:val="46"/>
        </w:numPr>
        <w:tabs>
          <w:tab w:val="clear" w:pos="717"/>
          <w:tab w:val="num" w:pos="567"/>
        </w:tabs>
        <w:spacing w:before="0"/>
        <w:ind w:left="567" w:hanging="567"/>
        <w:jc w:val="left"/>
        <w:rPr>
          <w:color w:val="000000"/>
          <w:sz w:val="22"/>
          <w:szCs w:val="22"/>
          <w:lang w:val="es-ES"/>
        </w:rPr>
      </w:pPr>
      <w:r w:rsidRPr="004A59B1">
        <w:rPr>
          <w:color w:val="000000"/>
          <w:sz w:val="22"/>
          <w:szCs w:val="22"/>
          <w:lang w:val="es-ES"/>
        </w:rPr>
        <w:t>neobičajno izpadanje ali tanjšanje las,</w:t>
      </w:r>
    </w:p>
    <w:p w14:paraId="5297A833" w14:textId="77777777" w:rsidR="00FF48C2" w:rsidRPr="004A59B1" w:rsidRDefault="00FF48C2" w:rsidP="009C1193">
      <w:pPr>
        <w:pStyle w:val="Text"/>
        <w:widowControl w:val="0"/>
        <w:numPr>
          <w:ilvl w:val="0"/>
          <w:numId w:val="46"/>
        </w:numPr>
        <w:tabs>
          <w:tab w:val="clear" w:pos="717"/>
          <w:tab w:val="num" w:pos="567"/>
        </w:tabs>
        <w:spacing w:before="0"/>
        <w:ind w:left="567" w:hanging="567"/>
        <w:jc w:val="left"/>
        <w:rPr>
          <w:color w:val="000000"/>
          <w:sz w:val="22"/>
          <w:szCs w:val="22"/>
          <w:lang w:val="en-GB"/>
        </w:rPr>
      </w:pPr>
      <w:r w:rsidRPr="004A59B1">
        <w:rPr>
          <w:color w:val="000000"/>
          <w:sz w:val="22"/>
          <w:szCs w:val="22"/>
          <w:lang w:val="en-GB"/>
        </w:rPr>
        <w:t>odrevenelost dlani ali stopal,</w:t>
      </w:r>
    </w:p>
    <w:p w14:paraId="5297A834" w14:textId="77777777" w:rsidR="00FF48C2" w:rsidRPr="004A59B1" w:rsidRDefault="00FF48C2" w:rsidP="009C1193">
      <w:pPr>
        <w:pStyle w:val="Text"/>
        <w:widowControl w:val="0"/>
        <w:numPr>
          <w:ilvl w:val="0"/>
          <w:numId w:val="46"/>
        </w:numPr>
        <w:tabs>
          <w:tab w:val="clear" w:pos="717"/>
          <w:tab w:val="num" w:pos="567"/>
        </w:tabs>
        <w:spacing w:before="0"/>
        <w:ind w:left="567" w:hanging="567"/>
        <w:jc w:val="left"/>
        <w:rPr>
          <w:color w:val="000000"/>
          <w:sz w:val="22"/>
          <w:szCs w:val="22"/>
          <w:lang w:val="en-GB"/>
        </w:rPr>
      </w:pPr>
      <w:r w:rsidRPr="004A59B1">
        <w:rPr>
          <w:color w:val="000000"/>
          <w:sz w:val="22"/>
          <w:szCs w:val="22"/>
          <w:lang w:val="en-GB"/>
        </w:rPr>
        <w:t>razjede po ustih,</w:t>
      </w:r>
    </w:p>
    <w:p w14:paraId="5297A835" w14:textId="77777777" w:rsidR="00FF48C2" w:rsidRPr="004A59B1" w:rsidRDefault="00FF48C2" w:rsidP="009C1193">
      <w:pPr>
        <w:pStyle w:val="Text"/>
        <w:widowControl w:val="0"/>
        <w:numPr>
          <w:ilvl w:val="0"/>
          <w:numId w:val="46"/>
        </w:numPr>
        <w:tabs>
          <w:tab w:val="clear" w:pos="717"/>
          <w:tab w:val="num" w:pos="567"/>
        </w:tabs>
        <w:spacing w:before="0"/>
        <w:ind w:left="567" w:hanging="567"/>
        <w:jc w:val="left"/>
        <w:rPr>
          <w:color w:val="000000"/>
          <w:sz w:val="22"/>
          <w:szCs w:val="22"/>
          <w:lang w:val="pl-PL"/>
        </w:rPr>
      </w:pPr>
      <w:r w:rsidRPr="004A59B1">
        <w:rPr>
          <w:color w:val="000000"/>
          <w:sz w:val="22"/>
          <w:szCs w:val="22"/>
          <w:lang w:val="pl-PL"/>
        </w:rPr>
        <w:t>bolečine v sklepih z otekanjem.</w:t>
      </w:r>
    </w:p>
    <w:p w14:paraId="5297A836" w14:textId="77777777" w:rsidR="00FF48C2" w:rsidRPr="004A59B1" w:rsidRDefault="00FF48C2" w:rsidP="009C1193">
      <w:pPr>
        <w:pStyle w:val="Text"/>
        <w:widowControl w:val="0"/>
        <w:numPr>
          <w:ilvl w:val="0"/>
          <w:numId w:val="45"/>
        </w:numPr>
        <w:tabs>
          <w:tab w:val="clear" w:pos="357"/>
          <w:tab w:val="num" w:pos="567"/>
        </w:tabs>
        <w:spacing w:before="0"/>
        <w:ind w:left="567" w:hanging="567"/>
        <w:jc w:val="left"/>
        <w:rPr>
          <w:color w:val="000000"/>
          <w:sz w:val="22"/>
          <w:szCs w:val="22"/>
          <w:lang w:val="fi-FI"/>
        </w:rPr>
      </w:pPr>
      <w:r w:rsidRPr="004A59B1">
        <w:rPr>
          <w:color w:val="000000"/>
          <w:sz w:val="22"/>
          <w:szCs w:val="22"/>
          <w:lang w:val="fi-FI"/>
        </w:rPr>
        <w:t>suha usta, suha koža ali suhe oči,</w:t>
      </w:r>
    </w:p>
    <w:p w14:paraId="5297A837" w14:textId="77777777" w:rsidR="00FF48C2" w:rsidRPr="004A59B1" w:rsidRDefault="00FF48C2" w:rsidP="009C1193">
      <w:pPr>
        <w:pStyle w:val="Text"/>
        <w:widowControl w:val="0"/>
        <w:numPr>
          <w:ilvl w:val="0"/>
          <w:numId w:val="45"/>
        </w:numPr>
        <w:tabs>
          <w:tab w:val="clear" w:pos="357"/>
          <w:tab w:val="num" w:pos="567"/>
        </w:tabs>
        <w:spacing w:before="0"/>
        <w:ind w:left="567" w:hanging="567"/>
        <w:jc w:val="left"/>
        <w:rPr>
          <w:color w:val="000000"/>
          <w:sz w:val="22"/>
          <w:szCs w:val="22"/>
          <w:lang w:val="fi-FI"/>
        </w:rPr>
      </w:pPr>
      <w:r w:rsidRPr="004A59B1">
        <w:rPr>
          <w:color w:val="000000"/>
          <w:sz w:val="22"/>
          <w:szCs w:val="22"/>
          <w:lang w:val="fi-FI"/>
        </w:rPr>
        <w:t>zmanjšana ali povečana občutljivost kože,</w:t>
      </w:r>
    </w:p>
    <w:p w14:paraId="5297A838" w14:textId="77777777" w:rsidR="00FF48C2" w:rsidRPr="004A59B1" w:rsidRDefault="00FF48C2" w:rsidP="009C1193">
      <w:pPr>
        <w:pStyle w:val="Text"/>
        <w:widowControl w:val="0"/>
        <w:numPr>
          <w:ilvl w:val="0"/>
          <w:numId w:val="45"/>
        </w:numPr>
        <w:tabs>
          <w:tab w:val="clear" w:pos="357"/>
          <w:tab w:val="num" w:pos="567"/>
        </w:tabs>
        <w:spacing w:before="0"/>
        <w:ind w:left="567" w:hanging="567"/>
        <w:jc w:val="left"/>
        <w:rPr>
          <w:color w:val="000000"/>
          <w:sz w:val="22"/>
          <w:szCs w:val="22"/>
          <w:lang w:val="fi-FI"/>
        </w:rPr>
      </w:pPr>
      <w:r w:rsidRPr="004A59B1">
        <w:rPr>
          <w:color w:val="000000"/>
          <w:sz w:val="22"/>
          <w:szCs w:val="22"/>
          <w:lang w:val="fi-FI"/>
        </w:rPr>
        <w:t>navali vročine, mrazenje ali nočno znojenje.</w:t>
      </w:r>
    </w:p>
    <w:p w14:paraId="5297A839" w14:textId="77777777" w:rsidR="00FF48C2" w:rsidRPr="004A59B1" w:rsidRDefault="00FF48C2" w:rsidP="009C1193">
      <w:pPr>
        <w:pStyle w:val="TextChar"/>
        <w:widowControl w:val="0"/>
        <w:spacing w:before="0"/>
        <w:jc w:val="left"/>
        <w:rPr>
          <w:color w:val="000000"/>
          <w:sz w:val="22"/>
          <w:szCs w:val="22"/>
          <w:lang w:val="fi-FI"/>
        </w:rPr>
      </w:pPr>
      <w:r w:rsidRPr="004A59B1">
        <w:rPr>
          <w:color w:val="000000"/>
          <w:sz w:val="22"/>
          <w:szCs w:val="22"/>
          <w:lang w:val="fi-FI"/>
        </w:rPr>
        <w:t xml:space="preserve">Če imate </w:t>
      </w:r>
      <w:r w:rsidR="00D17DD1" w:rsidRPr="004A59B1">
        <w:rPr>
          <w:color w:val="000000"/>
          <w:sz w:val="22"/>
          <w:szCs w:val="22"/>
          <w:lang w:val="fi-FI"/>
        </w:rPr>
        <w:t xml:space="preserve">hudo </w:t>
      </w:r>
      <w:r w:rsidRPr="004A59B1">
        <w:rPr>
          <w:color w:val="000000"/>
          <w:sz w:val="22"/>
          <w:szCs w:val="22"/>
          <w:lang w:val="fi-FI"/>
        </w:rPr>
        <w:t xml:space="preserve">obliko katerega od zgoraj navedenih učinkov, </w:t>
      </w:r>
      <w:r w:rsidRPr="004A59B1">
        <w:rPr>
          <w:b/>
          <w:color w:val="000000"/>
          <w:sz w:val="22"/>
          <w:szCs w:val="22"/>
          <w:lang w:val="fi-FI"/>
        </w:rPr>
        <w:t>obvestite zdravnika</w:t>
      </w:r>
      <w:r w:rsidRPr="004A59B1">
        <w:rPr>
          <w:color w:val="000000"/>
          <w:sz w:val="22"/>
          <w:szCs w:val="22"/>
          <w:lang w:val="fi-FI"/>
        </w:rPr>
        <w:t>.</w:t>
      </w:r>
    </w:p>
    <w:p w14:paraId="5297A83A" w14:textId="77777777" w:rsidR="00FF48C2" w:rsidRPr="004A59B1" w:rsidRDefault="00FF48C2" w:rsidP="009C1193">
      <w:pPr>
        <w:pStyle w:val="Text"/>
        <w:widowControl w:val="0"/>
        <w:spacing w:before="0"/>
        <w:jc w:val="left"/>
        <w:rPr>
          <w:color w:val="000000"/>
          <w:sz w:val="22"/>
          <w:szCs w:val="22"/>
          <w:lang w:val="fi-FI"/>
        </w:rPr>
      </w:pPr>
    </w:p>
    <w:p w14:paraId="5297A83B" w14:textId="77777777" w:rsidR="00FF48C2" w:rsidRPr="004A59B1" w:rsidRDefault="00FF48C2" w:rsidP="009C1193">
      <w:pPr>
        <w:pStyle w:val="Text"/>
        <w:keepNext/>
        <w:widowControl w:val="0"/>
        <w:spacing w:before="0"/>
        <w:jc w:val="left"/>
        <w:rPr>
          <w:bCs/>
          <w:color w:val="000000"/>
          <w:sz w:val="22"/>
          <w:szCs w:val="22"/>
          <w:lang w:val="fi-FI"/>
        </w:rPr>
      </w:pPr>
      <w:r w:rsidRPr="004A59B1">
        <w:rPr>
          <w:b/>
          <w:bCs/>
          <w:color w:val="000000"/>
          <w:sz w:val="22"/>
          <w:szCs w:val="22"/>
          <w:lang w:val="fi-FI"/>
        </w:rPr>
        <w:t>Pogostnost neznana</w:t>
      </w:r>
      <w:r w:rsidRPr="004A59B1">
        <w:rPr>
          <w:bCs/>
          <w:color w:val="000000"/>
          <w:sz w:val="22"/>
          <w:szCs w:val="22"/>
          <w:lang w:val="fi-FI"/>
        </w:rPr>
        <w:t xml:space="preserve"> (pogostnosti iz razpoložljivih podatkov ni mogoče oceniti):</w:t>
      </w:r>
    </w:p>
    <w:p w14:paraId="5297A83C" w14:textId="77777777" w:rsidR="00FF48C2" w:rsidRDefault="00FF48C2" w:rsidP="009C1193">
      <w:pPr>
        <w:pStyle w:val="Text"/>
        <w:widowControl w:val="0"/>
        <w:numPr>
          <w:ilvl w:val="0"/>
          <w:numId w:val="48"/>
        </w:numPr>
        <w:tabs>
          <w:tab w:val="clear" w:pos="357"/>
          <w:tab w:val="num" w:pos="567"/>
        </w:tabs>
        <w:spacing w:before="0"/>
        <w:ind w:left="567" w:hanging="567"/>
        <w:jc w:val="left"/>
        <w:rPr>
          <w:color w:val="000000"/>
          <w:sz w:val="22"/>
          <w:szCs w:val="22"/>
          <w:lang w:val="fi-FI"/>
        </w:rPr>
      </w:pPr>
      <w:r w:rsidRPr="004A59B1">
        <w:rPr>
          <w:color w:val="000000"/>
          <w:sz w:val="22"/>
          <w:szCs w:val="22"/>
          <w:lang w:val="fi-FI"/>
        </w:rPr>
        <w:t>rdečina in/ali otekanje dlani in podplatov, lahko z občutkom mravljinčenja in s pekočo bolečino,</w:t>
      </w:r>
    </w:p>
    <w:p w14:paraId="5297A83D" w14:textId="77777777" w:rsidR="00AA1B6C" w:rsidRPr="004A59B1" w:rsidRDefault="00AA1B6C" w:rsidP="009C1193">
      <w:pPr>
        <w:pStyle w:val="Text"/>
        <w:widowControl w:val="0"/>
        <w:numPr>
          <w:ilvl w:val="0"/>
          <w:numId w:val="48"/>
        </w:numPr>
        <w:tabs>
          <w:tab w:val="clear" w:pos="357"/>
          <w:tab w:val="num" w:pos="567"/>
        </w:tabs>
        <w:spacing w:before="0"/>
        <w:ind w:left="567" w:hanging="567"/>
        <w:jc w:val="left"/>
        <w:rPr>
          <w:color w:val="000000"/>
          <w:sz w:val="22"/>
          <w:szCs w:val="22"/>
          <w:lang w:val="fi-FI"/>
        </w:rPr>
      </w:pPr>
      <w:r>
        <w:rPr>
          <w:color w:val="000000"/>
          <w:sz w:val="22"/>
          <w:szCs w:val="22"/>
          <w:lang w:val="fi-FI"/>
        </w:rPr>
        <w:t>boleče spremembe na koži z ali brez nastanka mehurjev,</w:t>
      </w:r>
    </w:p>
    <w:p w14:paraId="5297A83E" w14:textId="77777777" w:rsidR="00FF48C2" w:rsidRPr="004A59B1" w:rsidRDefault="00FF48C2" w:rsidP="009C1193">
      <w:pPr>
        <w:pStyle w:val="Text"/>
        <w:widowControl w:val="0"/>
        <w:numPr>
          <w:ilvl w:val="0"/>
          <w:numId w:val="48"/>
        </w:numPr>
        <w:tabs>
          <w:tab w:val="clear" w:pos="357"/>
        </w:tabs>
        <w:spacing w:before="0"/>
        <w:ind w:left="567" w:hanging="567"/>
        <w:jc w:val="left"/>
        <w:rPr>
          <w:color w:val="000000"/>
          <w:sz w:val="22"/>
          <w:szCs w:val="22"/>
          <w:lang w:val="sv-SE"/>
        </w:rPr>
      </w:pPr>
      <w:r w:rsidRPr="004A59B1">
        <w:rPr>
          <w:color w:val="000000"/>
          <w:sz w:val="22"/>
          <w:szCs w:val="22"/>
          <w:lang w:val="sv-SE"/>
        </w:rPr>
        <w:t>upočasnjena rast pri otrocih in mladostnikih.</w:t>
      </w:r>
    </w:p>
    <w:p w14:paraId="5297A83F" w14:textId="77777777" w:rsidR="00FF48C2" w:rsidRPr="004A59B1" w:rsidRDefault="00FF48C2" w:rsidP="009C1193">
      <w:pPr>
        <w:pStyle w:val="TextChar"/>
        <w:widowControl w:val="0"/>
        <w:spacing w:before="0"/>
        <w:jc w:val="left"/>
        <w:rPr>
          <w:color w:val="000000"/>
          <w:sz w:val="22"/>
          <w:szCs w:val="22"/>
          <w:lang w:val="sv-SE"/>
        </w:rPr>
      </w:pPr>
      <w:r w:rsidRPr="004A59B1">
        <w:rPr>
          <w:color w:val="000000"/>
          <w:sz w:val="22"/>
          <w:szCs w:val="22"/>
          <w:lang w:val="sv-SE"/>
        </w:rPr>
        <w:t xml:space="preserve">Če imate </w:t>
      </w:r>
      <w:r w:rsidR="00D17DD1" w:rsidRPr="004A59B1">
        <w:rPr>
          <w:color w:val="000000"/>
          <w:sz w:val="22"/>
          <w:szCs w:val="22"/>
          <w:lang w:val="sv-SE"/>
        </w:rPr>
        <w:t xml:space="preserve">hudo </w:t>
      </w:r>
      <w:r w:rsidRPr="004A59B1">
        <w:rPr>
          <w:color w:val="000000"/>
          <w:sz w:val="22"/>
          <w:szCs w:val="22"/>
          <w:lang w:val="sv-SE"/>
        </w:rPr>
        <w:t xml:space="preserve">obliko katerega od zgoraj navedenih učinkov, </w:t>
      </w:r>
      <w:r w:rsidRPr="004A59B1">
        <w:rPr>
          <w:b/>
          <w:color w:val="000000"/>
          <w:sz w:val="22"/>
          <w:szCs w:val="22"/>
          <w:lang w:val="sv-SE"/>
        </w:rPr>
        <w:t>obvestite zdravnika</w:t>
      </w:r>
      <w:r w:rsidRPr="004A59B1">
        <w:rPr>
          <w:color w:val="000000"/>
          <w:sz w:val="22"/>
          <w:szCs w:val="22"/>
          <w:lang w:val="sv-SE"/>
        </w:rPr>
        <w:t>.</w:t>
      </w:r>
    </w:p>
    <w:p w14:paraId="5297A840" w14:textId="77777777" w:rsidR="00FF48C2" w:rsidRPr="004A59B1" w:rsidRDefault="00FF48C2" w:rsidP="009C1193">
      <w:pPr>
        <w:pStyle w:val="TextChar"/>
        <w:widowControl w:val="0"/>
        <w:spacing w:before="0"/>
        <w:jc w:val="left"/>
        <w:rPr>
          <w:color w:val="000000"/>
          <w:sz w:val="22"/>
          <w:szCs w:val="22"/>
          <w:lang w:val="sv-SE"/>
        </w:rPr>
      </w:pPr>
    </w:p>
    <w:p w14:paraId="5297A841" w14:textId="77777777" w:rsidR="00FF48C2" w:rsidRPr="004A59B1" w:rsidRDefault="00FF48C2" w:rsidP="009C1193">
      <w:pPr>
        <w:keepNext/>
        <w:widowControl w:val="0"/>
        <w:numPr>
          <w:ilvl w:val="12"/>
          <w:numId w:val="0"/>
        </w:numPr>
        <w:outlineLvl w:val="0"/>
        <w:rPr>
          <w:b/>
          <w:szCs w:val="22"/>
          <w:lang w:val="sv-SE"/>
        </w:rPr>
      </w:pPr>
      <w:r w:rsidRPr="004A59B1">
        <w:rPr>
          <w:b/>
          <w:szCs w:val="22"/>
          <w:lang w:val="sv-SE"/>
        </w:rPr>
        <w:t>Poročanje o neželenih učinkih</w:t>
      </w:r>
    </w:p>
    <w:p w14:paraId="5297A842" w14:textId="77777777" w:rsidR="00FF48C2" w:rsidRPr="004A59B1" w:rsidRDefault="00FF48C2" w:rsidP="009C1193">
      <w:pPr>
        <w:widowControl w:val="0"/>
        <w:rPr>
          <w:szCs w:val="22"/>
          <w:lang w:val="sv-SE"/>
        </w:rPr>
      </w:pPr>
      <w:r w:rsidRPr="004A59B1">
        <w:rPr>
          <w:szCs w:val="22"/>
          <w:lang w:val="sv-SE"/>
        </w:rPr>
        <w:t>Če opazite kater</w:t>
      </w:r>
      <w:r w:rsidR="00782C59">
        <w:rPr>
          <w:szCs w:val="22"/>
          <w:lang w:val="sv-SE"/>
        </w:rPr>
        <w:t>ega</w:t>
      </w:r>
      <w:r w:rsidRPr="004A59B1">
        <w:rPr>
          <w:szCs w:val="22"/>
          <w:lang w:val="sv-SE"/>
        </w:rPr>
        <w:t xml:space="preserve"> koli </w:t>
      </w:r>
      <w:r w:rsidR="00782C59">
        <w:rPr>
          <w:szCs w:val="22"/>
          <w:lang w:val="sv-SE"/>
        </w:rPr>
        <w:t xml:space="preserve">izmed </w:t>
      </w:r>
      <w:r w:rsidRPr="004A59B1">
        <w:rPr>
          <w:szCs w:val="22"/>
          <w:lang w:val="sv-SE"/>
        </w:rPr>
        <w:t>neželeni</w:t>
      </w:r>
      <w:r w:rsidR="00782C59">
        <w:rPr>
          <w:szCs w:val="22"/>
          <w:lang w:val="sv-SE"/>
        </w:rPr>
        <w:t>h</w:t>
      </w:r>
      <w:r w:rsidRPr="004A59B1">
        <w:rPr>
          <w:szCs w:val="22"/>
          <w:lang w:val="sv-SE"/>
        </w:rPr>
        <w:t xml:space="preserve"> učink</w:t>
      </w:r>
      <w:r w:rsidR="00782C59">
        <w:rPr>
          <w:szCs w:val="22"/>
          <w:lang w:val="sv-SE"/>
        </w:rPr>
        <w:t>ov</w:t>
      </w:r>
      <w:r w:rsidRPr="004A59B1">
        <w:rPr>
          <w:szCs w:val="22"/>
          <w:lang w:val="sv-SE"/>
        </w:rPr>
        <w:t xml:space="preserve">, se posvetujte z zdravnikom, farmacevtom ali medicinsko sestro. Posvetujte se tudi, če opazite neželene učinke, ki niso navedeni v tem navodilu. O neželenih učinkih lahko poročate tudi neposredno </w:t>
      </w:r>
      <w:r w:rsidRPr="00B24401">
        <w:rPr>
          <w:szCs w:val="22"/>
          <w:lang w:val="sv-SE"/>
        </w:rPr>
        <w:t xml:space="preserve">na </w:t>
      </w:r>
      <w:r w:rsidRPr="004A59B1">
        <w:rPr>
          <w:szCs w:val="22"/>
          <w:shd w:val="pct15" w:color="auto" w:fill="auto"/>
          <w:lang w:val="sv-SE"/>
        </w:rPr>
        <w:t xml:space="preserve">nacionalni center za poročanje, ki je naveden v </w:t>
      </w:r>
      <w:hyperlink r:id="rId16" w:history="1">
        <w:r w:rsidRPr="004A59B1">
          <w:rPr>
            <w:rStyle w:val="Hyperlink"/>
            <w:noProof/>
            <w:szCs w:val="22"/>
            <w:shd w:val="pct15" w:color="auto" w:fill="auto"/>
            <w:lang w:val="sl-SI"/>
          </w:rPr>
          <w:t>Prilogi V</w:t>
        </w:r>
      </w:hyperlink>
      <w:r w:rsidRPr="004A59B1">
        <w:rPr>
          <w:color w:val="008000"/>
          <w:szCs w:val="22"/>
          <w:lang w:val="sv-SE"/>
        </w:rPr>
        <w:t>.</w:t>
      </w:r>
      <w:r w:rsidRPr="004A59B1">
        <w:rPr>
          <w:szCs w:val="22"/>
          <w:lang w:val="sv-SE"/>
        </w:rPr>
        <w:t xml:space="preserve"> S tem, ko poročate o neželenih učinkih, lahko prispevate k zagotovitvi več informacij o varnosti tega zdravila.</w:t>
      </w:r>
    </w:p>
    <w:p w14:paraId="5297A843" w14:textId="77777777" w:rsidR="00FF48C2" w:rsidRPr="004A59B1" w:rsidRDefault="00FF48C2" w:rsidP="009C1193">
      <w:pPr>
        <w:widowControl w:val="0"/>
        <w:numPr>
          <w:ilvl w:val="12"/>
          <w:numId w:val="0"/>
        </w:numPr>
        <w:tabs>
          <w:tab w:val="clear" w:pos="567"/>
        </w:tabs>
        <w:spacing w:line="240" w:lineRule="auto"/>
        <w:ind w:right="-2"/>
        <w:rPr>
          <w:color w:val="000000"/>
          <w:szCs w:val="22"/>
          <w:lang w:val="sv-SE"/>
        </w:rPr>
      </w:pPr>
    </w:p>
    <w:p w14:paraId="5297A844" w14:textId="77777777" w:rsidR="00FF48C2" w:rsidRPr="004A59B1" w:rsidRDefault="00FF48C2" w:rsidP="009C1193">
      <w:pPr>
        <w:widowControl w:val="0"/>
        <w:numPr>
          <w:ilvl w:val="12"/>
          <w:numId w:val="0"/>
        </w:numPr>
        <w:tabs>
          <w:tab w:val="clear" w:pos="567"/>
        </w:tabs>
        <w:spacing w:line="240" w:lineRule="auto"/>
        <w:ind w:right="-2"/>
        <w:rPr>
          <w:color w:val="000000"/>
          <w:szCs w:val="22"/>
          <w:lang w:val="sv-SE"/>
        </w:rPr>
      </w:pPr>
    </w:p>
    <w:p w14:paraId="5297A845" w14:textId="77777777" w:rsidR="007B1033" w:rsidRPr="004A59B1" w:rsidRDefault="007B1033" w:rsidP="009C1193">
      <w:pPr>
        <w:keepNext/>
        <w:widowControl w:val="0"/>
        <w:numPr>
          <w:ilvl w:val="12"/>
          <w:numId w:val="0"/>
        </w:numPr>
        <w:tabs>
          <w:tab w:val="clear" w:pos="567"/>
        </w:tabs>
        <w:spacing w:line="240" w:lineRule="auto"/>
        <w:ind w:left="567" w:right="-2" w:hanging="567"/>
        <w:rPr>
          <w:color w:val="000000"/>
          <w:szCs w:val="22"/>
          <w:lang w:val="sv-SE"/>
        </w:rPr>
      </w:pPr>
      <w:r w:rsidRPr="004A59B1">
        <w:rPr>
          <w:b/>
          <w:color w:val="000000"/>
          <w:szCs w:val="22"/>
          <w:lang w:val="sv-SE"/>
        </w:rPr>
        <w:t>5.</w:t>
      </w:r>
      <w:r w:rsidRPr="004A59B1">
        <w:rPr>
          <w:b/>
          <w:color w:val="000000"/>
          <w:szCs w:val="22"/>
          <w:lang w:val="sv-SE"/>
        </w:rPr>
        <w:tab/>
        <w:t>Shranjevanje zdravila Glivec</w:t>
      </w:r>
    </w:p>
    <w:p w14:paraId="5297A846" w14:textId="77777777" w:rsidR="007B1033" w:rsidRPr="004A59B1" w:rsidRDefault="007B1033" w:rsidP="009C1193">
      <w:pPr>
        <w:keepNext/>
        <w:widowControl w:val="0"/>
        <w:numPr>
          <w:ilvl w:val="12"/>
          <w:numId w:val="0"/>
        </w:numPr>
        <w:tabs>
          <w:tab w:val="clear" w:pos="567"/>
        </w:tabs>
        <w:spacing w:line="240" w:lineRule="auto"/>
        <w:ind w:right="-2"/>
        <w:rPr>
          <w:color w:val="000000"/>
          <w:szCs w:val="22"/>
          <w:lang w:val="sv-SE"/>
        </w:rPr>
      </w:pPr>
    </w:p>
    <w:p w14:paraId="5297A847" w14:textId="77777777" w:rsidR="007B1033" w:rsidRPr="004A59B1" w:rsidRDefault="007B1033" w:rsidP="005B2939">
      <w:pPr>
        <w:widowControl w:val="0"/>
        <w:numPr>
          <w:ilvl w:val="0"/>
          <w:numId w:val="10"/>
        </w:numPr>
        <w:tabs>
          <w:tab w:val="clear" w:pos="360"/>
          <w:tab w:val="clear" w:pos="567"/>
        </w:tabs>
        <w:spacing w:line="240" w:lineRule="auto"/>
        <w:ind w:left="567" w:hanging="567"/>
        <w:rPr>
          <w:color w:val="000000"/>
          <w:szCs w:val="22"/>
        </w:rPr>
      </w:pPr>
      <w:r w:rsidRPr="004A59B1">
        <w:rPr>
          <w:color w:val="000000"/>
          <w:szCs w:val="22"/>
        </w:rPr>
        <w:t>Zdravilo shranjujte nedosegljivo otrokom!</w:t>
      </w:r>
    </w:p>
    <w:p w14:paraId="5297A848" w14:textId="77777777" w:rsidR="007B1033" w:rsidRPr="004A59B1" w:rsidRDefault="007B1033" w:rsidP="005B2939">
      <w:pPr>
        <w:pStyle w:val="TextChar"/>
        <w:widowControl w:val="0"/>
        <w:numPr>
          <w:ilvl w:val="0"/>
          <w:numId w:val="5"/>
        </w:numPr>
        <w:tabs>
          <w:tab w:val="clear" w:pos="360"/>
          <w:tab w:val="num" w:pos="567"/>
        </w:tabs>
        <w:spacing w:before="0"/>
        <w:ind w:left="567" w:hanging="567"/>
        <w:jc w:val="left"/>
        <w:rPr>
          <w:color w:val="000000"/>
          <w:sz w:val="22"/>
          <w:szCs w:val="22"/>
          <w:lang w:val="en-GB"/>
        </w:rPr>
      </w:pPr>
      <w:r w:rsidRPr="004A59B1">
        <w:rPr>
          <w:color w:val="000000"/>
          <w:sz w:val="22"/>
          <w:szCs w:val="22"/>
        </w:rPr>
        <w:t>Tega zdravila ne smete uporabljati po datumu izteka roka uporabnosti, ki je naveden na škatli</w:t>
      </w:r>
      <w:r w:rsidR="00AA1B6C">
        <w:rPr>
          <w:color w:val="000000"/>
          <w:sz w:val="22"/>
          <w:szCs w:val="22"/>
        </w:rPr>
        <w:t xml:space="preserve"> poleg oznake EXP</w:t>
      </w:r>
      <w:r w:rsidRPr="004A59B1">
        <w:rPr>
          <w:color w:val="000000"/>
          <w:sz w:val="22"/>
          <w:szCs w:val="22"/>
          <w:lang w:val="en-GB"/>
        </w:rPr>
        <w:t>.</w:t>
      </w:r>
    </w:p>
    <w:p w14:paraId="5297A849" w14:textId="77777777" w:rsidR="007B1033" w:rsidRPr="004A59B1" w:rsidRDefault="007B1033" w:rsidP="005B2939">
      <w:pPr>
        <w:pStyle w:val="TextChar"/>
        <w:widowControl w:val="0"/>
        <w:numPr>
          <w:ilvl w:val="0"/>
          <w:numId w:val="5"/>
        </w:numPr>
        <w:tabs>
          <w:tab w:val="clear" w:pos="360"/>
          <w:tab w:val="num" w:pos="567"/>
        </w:tabs>
        <w:spacing w:before="0"/>
        <w:ind w:left="567" w:hanging="567"/>
        <w:jc w:val="left"/>
        <w:rPr>
          <w:color w:val="000000"/>
          <w:sz w:val="22"/>
          <w:szCs w:val="22"/>
          <w:lang w:val="it-IT"/>
        </w:rPr>
      </w:pPr>
      <w:r w:rsidRPr="004A59B1">
        <w:rPr>
          <w:color w:val="000000"/>
          <w:sz w:val="22"/>
          <w:szCs w:val="22"/>
          <w:lang w:val="it-IT"/>
        </w:rPr>
        <w:t>Shranjujte pri temperaturi do 30 </w:t>
      </w:r>
      <w:r w:rsidRPr="004A59B1">
        <w:rPr>
          <w:color w:val="000000"/>
          <w:sz w:val="22"/>
          <w:szCs w:val="22"/>
        </w:rPr>
        <w:sym w:font="Symbol" w:char="F0B0"/>
      </w:r>
      <w:r w:rsidRPr="004A59B1">
        <w:rPr>
          <w:color w:val="000000"/>
          <w:sz w:val="22"/>
          <w:szCs w:val="22"/>
          <w:lang w:val="it-IT"/>
        </w:rPr>
        <w:t>C.</w:t>
      </w:r>
    </w:p>
    <w:p w14:paraId="5297A84A" w14:textId="77777777" w:rsidR="007B1033" w:rsidRPr="004A59B1" w:rsidRDefault="007B1033" w:rsidP="005B2939">
      <w:pPr>
        <w:pStyle w:val="TextChar"/>
        <w:widowControl w:val="0"/>
        <w:numPr>
          <w:ilvl w:val="0"/>
          <w:numId w:val="5"/>
        </w:numPr>
        <w:tabs>
          <w:tab w:val="clear" w:pos="360"/>
          <w:tab w:val="num" w:pos="567"/>
        </w:tabs>
        <w:spacing w:before="0"/>
        <w:ind w:left="567" w:hanging="567"/>
        <w:jc w:val="left"/>
        <w:rPr>
          <w:color w:val="000000"/>
          <w:sz w:val="22"/>
          <w:szCs w:val="22"/>
          <w:lang w:val="it-IT"/>
        </w:rPr>
      </w:pPr>
      <w:r w:rsidRPr="004A59B1">
        <w:rPr>
          <w:color w:val="000000"/>
          <w:sz w:val="22"/>
          <w:szCs w:val="22"/>
          <w:lang w:val="it-IT"/>
        </w:rPr>
        <w:t>Shranjujte v originalni ovojnini</w:t>
      </w:r>
      <w:r w:rsidRPr="004A59B1">
        <w:rPr>
          <w:noProof/>
          <w:color w:val="000000"/>
          <w:sz w:val="22"/>
          <w:szCs w:val="22"/>
          <w:lang w:val="sl-SI"/>
        </w:rPr>
        <w:t xml:space="preserve"> za zagotovitev zaščite pred vlago</w:t>
      </w:r>
      <w:r w:rsidRPr="004A59B1">
        <w:rPr>
          <w:color w:val="000000"/>
          <w:sz w:val="22"/>
          <w:szCs w:val="22"/>
          <w:lang w:val="it-IT"/>
        </w:rPr>
        <w:t>.</w:t>
      </w:r>
    </w:p>
    <w:p w14:paraId="5297A84B" w14:textId="77777777" w:rsidR="003D1107" w:rsidRPr="004A59B1" w:rsidRDefault="007B1033" w:rsidP="005B2939">
      <w:pPr>
        <w:pStyle w:val="TextChar"/>
        <w:widowControl w:val="0"/>
        <w:numPr>
          <w:ilvl w:val="0"/>
          <w:numId w:val="5"/>
        </w:numPr>
        <w:tabs>
          <w:tab w:val="clear" w:pos="360"/>
          <w:tab w:val="num" w:pos="567"/>
        </w:tabs>
        <w:spacing w:before="0"/>
        <w:ind w:left="567" w:hanging="567"/>
        <w:jc w:val="left"/>
        <w:rPr>
          <w:color w:val="000000"/>
          <w:sz w:val="22"/>
          <w:szCs w:val="22"/>
          <w:lang w:val="it-IT"/>
        </w:rPr>
      </w:pPr>
      <w:r w:rsidRPr="004A59B1">
        <w:rPr>
          <w:color w:val="000000"/>
          <w:sz w:val="22"/>
          <w:szCs w:val="22"/>
          <w:lang w:val="it-IT"/>
        </w:rPr>
        <w:lastRenderedPageBreak/>
        <w:t>Ne uporabite škatle, če je poškodovana ali kaže znake, da je bila že odprta.</w:t>
      </w:r>
    </w:p>
    <w:p w14:paraId="5297A84C" w14:textId="77777777" w:rsidR="004C2F19" w:rsidRPr="004A59B1" w:rsidRDefault="004C2F19" w:rsidP="005B2939">
      <w:pPr>
        <w:pStyle w:val="TextChar"/>
        <w:widowControl w:val="0"/>
        <w:numPr>
          <w:ilvl w:val="0"/>
          <w:numId w:val="5"/>
        </w:numPr>
        <w:tabs>
          <w:tab w:val="clear" w:pos="360"/>
          <w:tab w:val="num" w:pos="567"/>
        </w:tabs>
        <w:spacing w:before="0"/>
        <w:ind w:left="567" w:hanging="567"/>
        <w:jc w:val="left"/>
        <w:rPr>
          <w:color w:val="000000"/>
          <w:sz w:val="22"/>
          <w:szCs w:val="22"/>
          <w:lang w:val="it-IT"/>
        </w:rPr>
      </w:pPr>
      <w:r w:rsidRPr="004A59B1">
        <w:rPr>
          <w:color w:val="000000"/>
          <w:sz w:val="22"/>
          <w:szCs w:val="22"/>
          <w:lang w:val="it-IT"/>
        </w:rPr>
        <w:t>Zdravila ne smete odvreči v odpadne vode ali med gospodinjske odpadke. O načinu odstranjevanja zdravila, ki ga ne uporabljate več, se posvetujte s farmacevtom. Taki ukrepi pomagajo varovati okolje.</w:t>
      </w:r>
    </w:p>
    <w:p w14:paraId="5297A84D" w14:textId="77777777" w:rsidR="007B1033" w:rsidRPr="004A59B1" w:rsidRDefault="007B1033" w:rsidP="009C1193">
      <w:pPr>
        <w:widowControl w:val="0"/>
        <w:numPr>
          <w:ilvl w:val="12"/>
          <w:numId w:val="0"/>
        </w:numPr>
        <w:tabs>
          <w:tab w:val="clear" w:pos="567"/>
        </w:tabs>
        <w:spacing w:line="240" w:lineRule="auto"/>
        <w:ind w:right="-2"/>
        <w:rPr>
          <w:color w:val="000000"/>
          <w:szCs w:val="22"/>
          <w:lang w:val="it-IT"/>
        </w:rPr>
      </w:pPr>
    </w:p>
    <w:p w14:paraId="5297A84E" w14:textId="77777777" w:rsidR="007B1033" w:rsidRPr="004A59B1" w:rsidRDefault="007B1033" w:rsidP="009C1193">
      <w:pPr>
        <w:widowControl w:val="0"/>
        <w:numPr>
          <w:ilvl w:val="12"/>
          <w:numId w:val="0"/>
        </w:numPr>
        <w:tabs>
          <w:tab w:val="num" w:pos="567"/>
        </w:tabs>
        <w:spacing w:line="240" w:lineRule="auto"/>
        <w:ind w:left="567" w:right="-2" w:hanging="567"/>
        <w:rPr>
          <w:color w:val="000000"/>
          <w:szCs w:val="22"/>
          <w:lang w:val="it-IT"/>
        </w:rPr>
      </w:pPr>
    </w:p>
    <w:p w14:paraId="5297A84F" w14:textId="77777777" w:rsidR="00841424" w:rsidRPr="004A59B1" w:rsidRDefault="00841424" w:rsidP="009C1193">
      <w:pPr>
        <w:keepNext/>
        <w:widowControl w:val="0"/>
        <w:numPr>
          <w:ilvl w:val="12"/>
          <w:numId w:val="0"/>
        </w:numPr>
        <w:tabs>
          <w:tab w:val="clear" w:pos="567"/>
        </w:tabs>
        <w:spacing w:line="240" w:lineRule="auto"/>
        <w:rPr>
          <w:caps/>
          <w:color w:val="000000"/>
          <w:szCs w:val="22"/>
          <w:lang w:val="da-DK"/>
        </w:rPr>
      </w:pPr>
      <w:r w:rsidRPr="004A59B1">
        <w:rPr>
          <w:b/>
          <w:caps/>
          <w:color w:val="000000"/>
          <w:szCs w:val="22"/>
          <w:lang w:val="da-DK"/>
        </w:rPr>
        <w:t>6.</w:t>
      </w:r>
      <w:r w:rsidRPr="004A59B1">
        <w:rPr>
          <w:b/>
          <w:caps/>
          <w:color w:val="000000"/>
          <w:szCs w:val="22"/>
          <w:lang w:val="da-DK"/>
        </w:rPr>
        <w:tab/>
      </w:r>
      <w:r w:rsidR="002E508D" w:rsidRPr="004A59B1">
        <w:rPr>
          <w:b/>
          <w:color w:val="000000"/>
          <w:szCs w:val="22"/>
          <w:lang w:val="da-DK"/>
        </w:rPr>
        <w:t>Vsebina pakiranja in dodatne informacije</w:t>
      </w:r>
    </w:p>
    <w:p w14:paraId="5297A850" w14:textId="77777777" w:rsidR="00841424" w:rsidRPr="004A59B1" w:rsidRDefault="00841424" w:rsidP="009C1193">
      <w:pPr>
        <w:keepNext/>
        <w:widowControl w:val="0"/>
        <w:numPr>
          <w:ilvl w:val="12"/>
          <w:numId w:val="0"/>
        </w:numPr>
        <w:tabs>
          <w:tab w:val="clear" w:pos="567"/>
        </w:tabs>
        <w:spacing w:line="240" w:lineRule="auto"/>
        <w:rPr>
          <w:bCs/>
          <w:color w:val="000000"/>
          <w:szCs w:val="22"/>
          <w:lang w:val="da-DK"/>
        </w:rPr>
      </w:pPr>
      <w:bookmarkStart w:id="7" w:name="OLE_LINK2"/>
    </w:p>
    <w:p w14:paraId="5297A851" w14:textId="77777777" w:rsidR="00841424" w:rsidRPr="004A59B1" w:rsidRDefault="00841424" w:rsidP="009C1193">
      <w:pPr>
        <w:keepNext/>
        <w:widowControl w:val="0"/>
        <w:numPr>
          <w:ilvl w:val="12"/>
          <w:numId w:val="0"/>
        </w:numPr>
        <w:tabs>
          <w:tab w:val="clear" w:pos="567"/>
        </w:tabs>
        <w:spacing w:line="240" w:lineRule="auto"/>
        <w:rPr>
          <w:b/>
          <w:bCs/>
          <w:color w:val="000000"/>
          <w:szCs w:val="22"/>
          <w:lang w:val="da-DK"/>
        </w:rPr>
      </w:pPr>
      <w:r w:rsidRPr="004A59B1">
        <w:rPr>
          <w:b/>
          <w:bCs/>
          <w:color w:val="000000"/>
          <w:szCs w:val="22"/>
          <w:lang w:val="da-DK"/>
        </w:rPr>
        <w:t>Kaj vsebuje zdravilo Glivec</w:t>
      </w:r>
    </w:p>
    <w:p w14:paraId="5297A852" w14:textId="77777777" w:rsidR="00841424" w:rsidRPr="004A59B1" w:rsidRDefault="00564784" w:rsidP="009C1193">
      <w:pPr>
        <w:keepNext/>
        <w:widowControl w:val="0"/>
        <w:numPr>
          <w:ilvl w:val="0"/>
          <w:numId w:val="1"/>
        </w:numPr>
        <w:tabs>
          <w:tab w:val="clear" w:pos="567"/>
        </w:tabs>
        <w:spacing w:line="240" w:lineRule="auto"/>
        <w:ind w:left="567" w:hanging="567"/>
        <w:rPr>
          <w:color w:val="000000"/>
          <w:szCs w:val="22"/>
          <w:lang w:val="da-DK"/>
        </w:rPr>
      </w:pPr>
      <w:r>
        <w:rPr>
          <w:color w:val="000000"/>
          <w:szCs w:val="22"/>
          <w:lang w:val="da-DK"/>
        </w:rPr>
        <w:t>U</w:t>
      </w:r>
      <w:r w:rsidR="00841424" w:rsidRPr="004A59B1">
        <w:rPr>
          <w:color w:val="000000"/>
          <w:szCs w:val="22"/>
          <w:lang w:val="da-DK"/>
        </w:rPr>
        <w:t xml:space="preserve">činkovina je imatinibijev mesilat. </w:t>
      </w:r>
      <w:r w:rsidR="00841424" w:rsidRPr="004A59B1">
        <w:rPr>
          <w:color w:val="000000"/>
          <w:szCs w:val="22"/>
          <w:lang w:val="sv-SE"/>
        </w:rPr>
        <w:t xml:space="preserve">Ena kapsula zdravila Glivec vsebuje 100 mg imatiniba </w:t>
      </w:r>
      <w:r w:rsidR="002E508D" w:rsidRPr="004A59B1">
        <w:rPr>
          <w:color w:val="000000"/>
          <w:szCs w:val="22"/>
          <w:lang w:val="sv-SE"/>
        </w:rPr>
        <w:t xml:space="preserve">(v obliki </w:t>
      </w:r>
      <w:r w:rsidR="00841424" w:rsidRPr="004A59B1">
        <w:rPr>
          <w:color w:val="000000"/>
          <w:szCs w:val="22"/>
          <w:lang w:val="sv-SE"/>
        </w:rPr>
        <w:t>mesilata</w:t>
      </w:r>
      <w:r w:rsidR="002E508D" w:rsidRPr="004A59B1">
        <w:rPr>
          <w:color w:val="000000"/>
          <w:szCs w:val="22"/>
          <w:lang w:val="sv-SE"/>
        </w:rPr>
        <w:t>)</w:t>
      </w:r>
      <w:r w:rsidR="00841424" w:rsidRPr="004A59B1">
        <w:rPr>
          <w:color w:val="000000"/>
          <w:szCs w:val="22"/>
          <w:lang w:val="sv-SE"/>
        </w:rPr>
        <w:t>.</w:t>
      </w:r>
    </w:p>
    <w:p w14:paraId="5297A853" w14:textId="77777777" w:rsidR="00841424" w:rsidRPr="004A59B1" w:rsidRDefault="002E508D" w:rsidP="009C1193">
      <w:pPr>
        <w:widowControl w:val="0"/>
        <w:numPr>
          <w:ilvl w:val="0"/>
          <w:numId w:val="1"/>
        </w:numPr>
        <w:tabs>
          <w:tab w:val="clear" w:pos="567"/>
        </w:tabs>
        <w:spacing w:line="240" w:lineRule="auto"/>
        <w:ind w:left="567" w:right="-2" w:hanging="567"/>
        <w:rPr>
          <w:color w:val="000000"/>
          <w:szCs w:val="22"/>
          <w:lang w:val="da-DK"/>
        </w:rPr>
      </w:pPr>
      <w:r w:rsidRPr="004A59B1">
        <w:rPr>
          <w:color w:val="000000"/>
          <w:szCs w:val="22"/>
          <w:lang w:val="da-DK"/>
        </w:rPr>
        <w:t>Druge sestavine zdravila</w:t>
      </w:r>
      <w:r w:rsidR="00841424" w:rsidRPr="004A59B1">
        <w:rPr>
          <w:color w:val="000000"/>
          <w:szCs w:val="22"/>
          <w:lang w:val="da-DK"/>
        </w:rPr>
        <w:t xml:space="preserve"> so mikrokristalna celuloza, krospovidon, magnezijev stearat in brezvoden koloidni silicijev dioksid. Ovojnico kapsule sestavljajo želatina, rdeči železov oksid (E172), rumeni železov oksid (E172) in titanov dioksid (E171). </w:t>
      </w:r>
      <w:r w:rsidR="00982861" w:rsidRPr="004A59B1">
        <w:rPr>
          <w:color w:val="000000"/>
          <w:szCs w:val="22"/>
          <w:lang w:val="da-DK"/>
        </w:rPr>
        <w:t>Tiskarsko barvo sestavljata rdeči železov oksid (E172) in šelak.</w:t>
      </w:r>
    </w:p>
    <w:p w14:paraId="5297A854" w14:textId="77777777" w:rsidR="00841424" w:rsidRPr="004A59B1" w:rsidRDefault="00841424" w:rsidP="009C1193">
      <w:pPr>
        <w:widowControl w:val="0"/>
        <w:tabs>
          <w:tab w:val="clear" w:pos="567"/>
        </w:tabs>
        <w:spacing w:line="240" w:lineRule="auto"/>
        <w:ind w:right="-2"/>
        <w:rPr>
          <w:color w:val="000000"/>
          <w:szCs w:val="22"/>
          <w:lang w:val="da-DK"/>
        </w:rPr>
      </w:pPr>
    </w:p>
    <w:p w14:paraId="5297A855" w14:textId="77777777" w:rsidR="00841424" w:rsidRPr="004A59B1" w:rsidRDefault="00841424" w:rsidP="009C1193">
      <w:pPr>
        <w:keepNext/>
        <w:widowControl w:val="0"/>
        <w:numPr>
          <w:ilvl w:val="12"/>
          <w:numId w:val="0"/>
        </w:numPr>
        <w:tabs>
          <w:tab w:val="clear" w:pos="567"/>
        </w:tabs>
        <w:spacing w:line="240" w:lineRule="auto"/>
        <w:ind w:right="-2"/>
        <w:rPr>
          <w:b/>
          <w:bCs/>
          <w:color w:val="000000"/>
          <w:szCs w:val="22"/>
          <w:lang w:val="da-DK"/>
        </w:rPr>
      </w:pPr>
      <w:r w:rsidRPr="004A59B1">
        <w:rPr>
          <w:b/>
          <w:bCs/>
          <w:color w:val="000000"/>
          <w:szCs w:val="22"/>
          <w:lang w:val="da-DK"/>
        </w:rPr>
        <w:t>Izgled zdravila Glivec in vsebina pakiranja</w:t>
      </w:r>
    </w:p>
    <w:p w14:paraId="5297A856" w14:textId="77777777" w:rsidR="00841424" w:rsidRPr="004A59B1" w:rsidRDefault="00841424" w:rsidP="009C1193">
      <w:pPr>
        <w:widowControl w:val="0"/>
        <w:tabs>
          <w:tab w:val="clear" w:pos="567"/>
        </w:tabs>
        <w:spacing w:line="240" w:lineRule="auto"/>
        <w:rPr>
          <w:color w:val="000000"/>
          <w:szCs w:val="22"/>
          <w:lang w:val="da-DK"/>
        </w:rPr>
      </w:pPr>
      <w:r w:rsidRPr="004A59B1">
        <w:rPr>
          <w:color w:val="000000"/>
          <w:szCs w:val="22"/>
          <w:lang w:val="da-DK"/>
        </w:rPr>
        <w:t>Glivec 100 mg kapsule so oranžne do sivkastooranžne, označene z “NVR SI”. Vsebujejo bel do rumen prašek.</w:t>
      </w:r>
    </w:p>
    <w:p w14:paraId="5297A857" w14:textId="77777777" w:rsidR="00841424" w:rsidRPr="004A59B1" w:rsidRDefault="00841424" w:rsidP="009C1193">
      <w:pPr>
        <w:widowControl w:val="0"/>
        <w:numPr>
          <w:ilvl w:val="12"/>
          <w:numId w:val="0"/>
        </w:numPr>
        <w:tabs>
          <w:tab w:val="clear" w:pos="567"/>
        </w:tabs>
        <w:spacing w:line="240" w:lineRule="auto"/>
        <w:ind w:right="-2"/>
        <w:rPr>
          <w:color w:val="000000"/>
          <w:szCs w:val="22"/>
          <w:u w:val="single"/>
          <w:lang w:val="da-DK"/>
        </w:rPr>
      </w:pPr>
    </w:p>
    <w:p w14:paraId="5297A858" w14:textId="77777777" w:rsidR="00841424" w:rsidRPr="004A59B1" w:rsidRDefault="00841424" w:rsidP="009C1193">
      <w:pPr>
        <w:widowControl w:val="0"/>
        <w:numPr>
          <w:ilvl w:val="12"/>
          <w:numId w:val="0"/>
        </w:numPr>
        <w:tabs>
          <w:tab w:val="clear" w:pos="567"/>
        </w:tabs>
        <w:spacing w:line="240" w:lineRule="auto"/>
        <w:ind w:right="-2"/>
        <w:rPr>
          <w:color w:val="000000"/>
          <w:szCs w:val="22"/>
          <w:lang w:val="da-DK"/>
        </w:rPr>
      </w:pPr>
      <w:r w:rsidRPr="004A59B1">
        <w:rPr>
          <w:color w:val="000000"/>
          <w:szCs w:val="22"/>
          <w:lang w:val="da-DK"/>
        </w:rPr>
        <w:t>Na tržišču so v škatlah po 24, 48, 96, 120 ali 180 kapsul, vendar je možno, da na trgu ni vseh navedenih pakiranj.</w:t>
      </w:r>
    </w:p>
    <w:bookmarkEnd w:id="7"/>
    <w:p w14:paraId="5297A859" w14:textId="77777777" w:rsidR="00841424" w:rsidRPr="004A59B1" w:rsidRDefault="00841424" w:rsidP="009C1193">
      <w:pPr>
        <w:widowControl w:val="0"/>
        <w:numPr>
          <w:ilvl w:val="12"/>
          <w:numId w:val="0"/>
        </w:numPr>
        <w:tabs>
          <w:tab w:val="clear" w:pos="567"/>
        </w:tabs>
        <w:spacing w:line="240" w:lineRule="auto"/>
        <w:ind w:right="-2"/>
        <w:rPr>
          <w:color w:val="000000"/>
          <w:szCs w:val="22"/>
          <w:u w:val="single"/>
          <w:lang w:val="da-DK"/>
        </w:rPr>
      </w:pPr>
    </w:p>
    <w:p w14:paraId="5297A85A" w14:textId="77777777" w:rsidR="00841424" w:rsidRPr="004A59B1" w:rsidRDefault="00841424" w:rsidP="009C1193">
      <w:pPr>
        <w:keepNext/>
        <w:widowControl w:val="0"/>
        <w:numPr>
          <w:ilvl w:val="12"/>
          <w:numId w:val="0"/>
        </w:numPr>
        <w:tabs>
          <w:tab w:val="clear" w:pos="567"/>
        </w:tabs>
        <w:spacing w:line="240" w:lineRule="auto"/>
        <w:ind w:right="-2"/>
        <w:rPr>
          <w:b/>
          <w:color w:val="000000"/>
          <w:szCs w:val="22"/>
          <w:lang w:val="pl-PL"/>
        </w:rPr>
      </w:pPr>
      <w:r w:rsidRPr="004A59B1">
        <w:rPr>
          <w:b/>
          <w:color w:val="000000"/>
          <w:szCs w:val="22"/>
          <w:lang w:val="pl-PL"/>
        </w:rPr>
        <w:t>Imetnik dovoljenja za promet z zdravilom</w:t>
      </w:r>
    </w:p>
    <w:p w14:paraId="5297A85B" w14:textId="77777777" w:rsidR="00841424" w:rsidRPr="004A59B1" w:rsidRDefault="00841424" w:rsidP="009C1193">
      <w:pPr>
        <w:pStyle w:val="EndnoteText"/>
        <w:keepNext/>
        <w:widowControl w:val="0"/>
        <w:tabs>
          <w:tab w:val="clear" w:pos="567"/>
        </w:tabs>
        <w:rPr>
          <w:color w:val="000000"/>
          <w:szCs w:val="22"/>
        </w:rPr>
      </w:pPr>
      <w:r w:rsidRPr="004A59B1">
        <w:rPr>
          <w:color w:val="000000"/>
          <w:szCs w:val="22"/>
        </w:rPr>
        <w:t>Novartis Europharm Limited</w:t>
      </w:r>
    </w:p>
    <w:p w14:paraId="5297A85C" w14:textId="77777777" w:rsidR="001A1DF7" w:rsidRPr="00EB33FE" w:rsidRDefault="001A1DF7" w:rsidP="009C1193">
      <w:pPr>
        <w:keepNext/>
        <w:widowControl w:val="0"/>
        <w:spacing w:line="240" w:lineRule="auto"/>
        <w:rPr>
          <w:color w:val="000000"/>
        </w:rPr>
      </w:pPr>
      <w:r w:rsidRPr="00EB33FE">
        <w:rPr>
          <w:color w:val="000000"/>
        </w:rPr>
        <w:t>Vista Building</w:t>
      </w:r>
    </w:p>
    <w:p w14:paraId="5297A85D" w14:textId="77777777" w:rsidR="001A1DF7" w:rsidRPr="00EB33FE" w:rsidRDefault="001A1DF7" w:rsidP="009C1193">
      <w:pPr>
        <w:keepNext/>
        <w:widowControl w:val="0"/>
        <w:spacing w:line="240" w:lineRule="auto"/>
        <w:rPr>
          <w:color w:val="000000"/>
        </w:rPr>
      </w:pPr>
      <w:r w:rsidRPr="00EB33FE">
        <w:rPr>
          <w:color w:val="000000"/>
        </w:rPr>
        <w:t>Elm Park, Merrion Road</w:t>
      </w:r>
    </w:p>
    <w:p w14:paraId="5297A85E" w14:textId="77777777" w:rsidR="001A1DF7" w:rsidRPr="003B6568" w:rsidRDefault="001A1DF7" w:rsidP="009C1193">
      <w:pPr>
        <w:keepNext/>
        <w:widowControl w:val="0"/>
        <w:spacing w:line="240" w:lineRule="auto"/>
        <w:rPr>
          <w:color w:val="000000"/>
        </w:rPr>
      </w:pPr>
      <w:r w:rsidRPr="003B6568">
        <w:rPr>
          <w:color w:val="000000"/>
        </w:rPr>
        <w:t>Dublin 4</w:t>
      </w:r>
    </w:p>
    <w:p w14:paraId="5297A85F" w14:textId="77777777" w:rsidR="001A1DF7" w:rsidRPr="003B6568" w:rsidRDefault="001A1DF7" w:rsidP="009C1193">
      <w:pPr>
        <w:widowControl w:val="0"/>
        <w:spacing w:line="240" w:lineRule="auto"/>
        <w:rPr>
          <w:color w:val="000000"/>
        </w:rPr>
      </w:pPr>
      <w:r w:rsidRPr="003B6568">
        <w:rPr>
          <w:color w:val="000000"/>
        </w:rPr>
        <w:t>Irska</w:t>
      </w:r>
    </w:p>
    <w:p w14:paraId="5297A860" w14:textId="77777777" w:rsidR="00841424" w:rsidRPr="004A59B1" w:rsidRDefault="00841424" w:rsidP="009C1193">
      <w:pPr>
        <w:pStyle w:val="TextChar"/>
        <w:widowControl w:val="0"/>
        <w:spacing w:before="0"/>
        <w:jc w:val="left"/>
        <w:rPr>
          <w:color w:val="000000"/>
          <w:sz w:val="22"/>
          <w:szCs w:val="22"/>
          <w:lang w:val="es-ES"/>
        </w:rPr>
      </w:pPr>
    </w:p>
    <w:p w14:paraId="5297A861" w14:textId="77777777" w:rsidR="00841424" w:rsidRPr="004A59B1" w:rsidRDefault="00841424" w:rsidP="009C1193">
      <w:pPr>
        <w:pStyle w:val="Heading2"/>
        <w:widowControl w:val="0"/>
        <w:spacing w:before="0" w:after="0" w:line="240" w:lineRule="auto"/>
        <w:rPr>
          <w:rFonts w:ascii="Times New Roman" w:hAnsi="Times New Roman"/>
          <w:i w:val="0"/>
          <w:color w:val="000000"/>
          <w:sz w:val="22"/>
          <w:szCs w:val="22"/>
          <w:lang w:val="es-ES"/>
        </w:rPr>
      </w:pPr>
      <w:r w:rsidRPr="004A59B1">
        <w:rPr>
          <w:rFonts w:ascii="Times New Roman" w:hAnsi="Times New Roman"/>
          <w:i w:val="0"/>
          <w:color w:val="000000"/>
          <w:sz w:val="22"/>
          <w:szCs w:val="22"/>
          <w:lang w:val="es-ES"/>
        </w:rPr>
        <w:t>Izdelovalec</w:t>
      </w:r>
    </w:p>
    <w:p w14:paraId="5297A862" w14:textId="77777777" w:rsidR="00841424" w:rsidRPr="003B6568" w:rsidRDefault="00841424" w:rsidP="009C1193">
      <w:pPr>
        <w:keepNext/>
        <w:widowControl w:val="0"/>
        <w:spacing w:line="240" w:lineRule="auto"/>
        <w:rPr>
          <w:snapToGrid w:val="0"/>
          <w:color w:val="000000"/>
          <w:szCs w:val="22"/>
        </w:rPr>
      </w:pPr>
      <w:r w:rsidRPr="003B6568">
        <w:rPr>
          <w:snapToGrid w:val="0"/>
          <w:color w:val="000000"/>
          <w:szCs w:val="22"/>
        </w:rPr>
        <w:t>Novartis Pharma GmbH</w:t>
      </w:r>
    </w:p>
    <w:p w14:paraId="5297A863" w14:textId="77777777" w:rsidR="00841424" w:rsidRPr="003B6568" w:rsidRDefault="00841424" w:rsidP="009C1193">
      <w:pPr>
        <w:keepNext/>
        <w:widowControl w:val="0"/>
        <w:spacing w:line="240" w:lineRule="auto"/>
        <w:ind w:left="709" w:hanging="709"/>
        <w:rPr>
          <w:snapToGrid w:val="0"/>
          <w:color w:val="000000"/>
          <w:szCs w:val="22"/>
        </w:rPr>
      </w:pPr>
      <w:r w:rsidRPr="003B6568">
        <w:rPr>
          <w:snapToGrid w:val="0"/>
          <w:color w:val="000000"/>
          <w:szCs w:val="22"/>
        </w:rPr>
        <w:t>Roonstrasse 25</w:t>
      </w:r>
    </w:p>
    <w:p w14:paraId="5297A864" w14:textId="77777777" w:rsidR="00841424" w:rsidRPr="003B6568" w:rsidRDefault="00841424" w:rsidP="009C1193">
      <w:pPr>
        <w:keepNext/>
        <w:widowControl w:val="0"/>
        <w:spacing w:line="240" w:lineRule="auto"/>
        <w:ind w:left="709" w:hanging="709"/>
        <w:rPr>
          <w:snapToGrid w:val="0"/>
          <w:color w:val="000000"/>
          <w:szCs w:val="22"/>
        </w:rPr>
      </w:pPr>
      <w:r w:rsidRPr="003B6568">
        <w:rPr>
          <w:snapToGrid w:val="0"/>
          <w:color w:val="000000"/>
          <w:szCs w:val="22"/>
        </w:rPr>
        <w:t>D-90429 Nürnberg</w:t>
      </w:r>
    </w:p>
    <w:p w14:paraId="5297A865" w14:textId="77777777" w:rsidR="00841424" w:rsidRPr="003F2EE1" w:rsidRDefault="00841424" w:rsidP="009C1193">
      <w:pPr>
        <w:pStyle w:val="EndnoteText"/>
        <w:widowControl w:val="0"/>
        <w:numPr>
          <w:ilvl w:val="12"/>
          <w:numId w:val="0"/>
        </w:numPr>
        <w:tabs>
          <w:tab w:val="clear" w:pos="567"/>
        </w:tabs>
        <w:rPr>
          <w:snapToGrid w:val="0"/>
          <w:color w:val="000000"/>
          <w:szCs w:val="22"/>
        </w:rPr>
      </w:pPr>
      <w:r w:rsidRPr="003F2EE1">
        <w:rPr>
          <w:snapToGrid w:val="0"/>
          <w:color w:val="000000"/>
          <w:szCs w:val="22"/>
        </w:rPr>
        <w:t>Nemčija</w:t>
      </w:r>
    </w:p>
    <w:p w14:paraId="5297A866" w14:textId="0E3FA26D" w:rsidR="00841424" w:rsidRDefault="00841424" w:rsidP="009C1193">
      <w:pPr>
        <w:widowControl w:val="0"/>
        <w:numPr>
          <w:ilvl w:val="12"/>
          <w:numId w:val="0"/>
        </w:numPr>
        <w:tabs>
          <w:tab w:val="clear" w:pos="567"/>
        </w:tabs>
        <w:spacing w:line="240" w:lineRule="auto"/>
        <w:ind w:right="-2"/>
        <w:rPr>
          <w:color w:val="000000"/>
          <w:szCs w:val="22"/>
        </w:rPr>
      </w:pPr>
    </w:p>
    <w:p w14:paraId="0112FF32" w14:textId="77777777" w:rsidR="00915BAD" w:rsidRPr="003B6568" w:rsidRDefault="00915BAD" w:rsidP="00915BAD">
      <w:pPr>
        <w:keepNext/>
        <w:widowControl w:val="0"/>
        <w:rPr>
          <w:szCs w:val="22"/>
          <w:shd w:val="pct15" w:color="auto" w:fill="auto"/>
          <w:lang w:val="de-CH"/>
        </w:rPr>
      </w:pPr>
      <w:r w:rsidRPr="003B6568">
        <w:rPr>
          <w:szCs w:val="22"/>
          <w:shd w:val="pct15" w:color="auto" w:fill="auto"/>
          <w:lang w:val="de-CH"/>
        </w:rPr>
        <w:t>Sandoz S.R.L.</w:t>
      </w:r>
    </w:p>
    <w:p w14:paraId="50D4D850" w14:textId="77777777" w:rsidR="00915BAD" w:rsidRPr="003B6568" w:rsidRDefault="00915BAD" w:rsidP="00915BAD">
      <w:pPr>
        <w:keepNext/>
        <w:widowControl w:val="0"/>
        <w:rPr>
          <w:szCs w:val="22"/>
          <w:shd w:val="pct15" w:color="auto" w:fill="auto"/>
          <w:lang w:val="de-CH"/>
        </w:rPr>
      </w:pPr>
      <w:r w:rsidRPr="003B6568">
        <w:rPr>
          <w:szCs w:val="22"/>
          <w:shd w:val="pct15" w:color="auto" w:fill="auto"/>
          <w:lang w:val="de-CH"/>
        </w:rPr>
        <w:t>Str. Livezeni nr. 7A</w:t>
      </w:r>
    </w:p>
    <w:p w14:paraId="107B42EB" w14:textId="77777777" w:rsidR="00915BAD" w:rsidRPr="003B6568" w:rsidRDefault="00915BAD" w:rsidP="00915BAD">
      <w:pPr>
        <w:keepNext/>
        <w:widowControl w:val="0"/>
        <w:rPr>
          <w:szCs w:val="22"/>
          <w:shd w:val="pct15" w:color="auto" w:fill="auto"/>
          <w:lang w:val="de-CH"/>
        </w:rPr>
      </w:pPr>
      <w:r w:rsidRPr="003B6568">
        <w:rPr>
          <w:szCs w:val="22"/>
          <w:shd w:val="pct15" w:color="auto" w:fill="auto"/>
          <w:lang w:val="de-CH"/>
        </w:rPr>
        <w:t>540472, Targu Mures</w:t>
      </w:r>
    </w:p>
    <w:p w14:paraId="3A46EA6B" w14:textId="1DAE01AE" w:rsidR="00915BAD" w:rsidRPr="003B6568" w:rsidRDefault="00915BAD" w:rsidP="00915BAD">
      <w:pPr>
        <w:widowControl w:val="0"/>
        <w:numPr>
          <w:ilvl w:val="12"/>
          <w:numId w:val="0"/>
        </w:numPr>
        <w:tabs>
          <w:tab w:val="clear" w:pos="567"/>
        </w:tabs>
        <w:spacing w:line="240" w:lineRule="auto"/>
        <w:ind w:right="-2"/>
        <w:rPr>
          <w:szCs w:val="22"/>
          <w:shd w:val="pct15" w:color="auto" w:fill="auto"/>
          <w:lang w:val="de-CH"/>
        </w:rPr>
      </w:pPr>
      <w:r w:rsidRPr="003B6568">
        <w:rPr>
          <w:szCs w:val="22"/>
          <w:shd w:val="pct15" w:color="auto" w:fill="auto"/>
          <w:lang w:val="de-CH"/>
        </w:rPr>
        <w:t>Romunija</w:t>
      </w:r>
    </w:p>
    <w:p w14:paraId="37832244" w14:textId="77777777" w:rsidR="00915BAD" w:rsidRPr="003F2EE1" w:rsidRDefault="00915BAD" w:rsidP="00915BAD">
      <w:pPr>
        <w:widowControl w:val="0"/>
        <w:numPr>
          <w:ilvl w:val="12"/>
          <w:numId w:val="0"/>
        </w:numPr>
        <w:tabs>
          <w:tab w:val="clear" w:pos="567"/>
        </w:tabs>
        <w:spacing w:line="240" w:lineRule="auto"/>
        <w:ind w:right="-2"/>
        <w:rPr>
          <w:color w:val="000000"/>
          <w:szCs w:val="22"/>
        </w:rPr>
      </w:pPr>
    </w:p>
    <w:p w14:paraId="5297A867" w14:textId="77777777" w:rsidR="00841424" w:rsidRPr="003F2EE1" w:rsidRDefault="00841424" w:rsidP="00915BAD">
      <w:pPr>
        <w:keepNext/>
        <w:keepLines/>
        <w:widowControl w:val="0"/>
        <w:numPr>
          <w:ilvl w:val="12"/>
          <w:numId w:val="0"/>
        </w:numPr>
        <w:tabs>
          <w:tab w:val="clear" w:pos="567"/>
        </w:tabs>
        <w:spacing w:line="240" w:lineRule="auto"/>
        <w:rPr>
          <w:color w:val="000000"/>
          <w:szCs w:val="22"/>
        </w:rPr>
      </w:pPr>
      <w:r w:rsidRPr="003F2EE1">
        <w:rPr>
          <w:color w:val="000000"/>
          <w:szCs w:val="22"/>
        </w:rPr>
        <w:t>Za vse morebitne nadaljnje informacije o tem zdravilu se lahko obrnete na predstavništvo imetnika dovoljenja za promet z zdravilom:</w:t>
      </w:r>
    </w:p>
    <w:p w14:paraId="5297A868" w14:textId="77777777" w:rsidR="0087411B" w:rsidRPr="003F2EE1" w:rsidRDefault="0087411B" w:rsidP="009C1193">
      <w:pPr>
        <w:keepNext/>
        <w:widowControl w:val="0"/>
        <w:tabs>
          <w:tab w:val="clear" w:pos="567"/>
        </w:tabs>
        <w:spacing w:line="240" w:lineRule="auto"/>
        <w:ind w:right="-449"/>
        <w:rPr>
          <w:color w:val="000000"/>
          <w:szCs w:val="22"/>
        </w:rPr>
      </w:pPr>
    </w:p>
    <w:tbl>
      <w:tblPr>
        <w:tblW w:w="9300" w:type="dxa"/>
        <w:tblLayout w:type="fixed"/>
        <w:tblLook w:val="0000" w:firstRow="0" w:lastRow="0" w:firstColumn="0" w:lastColumn="0" w:noHBand="0" w:noVBand="0"/>
      </w:tblPr>
      <w:tblGrid>
        <w:gridCol w:w="4650"/>
        <w:gridCol w:w="4650"/>
      </w:tblGrid>
      <w:tr w:rsidR="0087411B" w:rsidRPr="0017492F" w14:paraId="5297A871" w14:textId="77777777" w:rsidTr="008F282C">
        <w:trPr>
          <w:cantSplit/>
        </w:trPr>
        <w:tc>
          <w:tcPr>
            <w:tcW w:w="4650" w:type="dxa"/>
          </w:tcPr>
          <w:p w14:paraId="5297A869" w14:textId="77777777" w:rsidR="0087411B" w:rsidRPr="004A59B1" w:rsidRDefault="0087411B" w:rsidP="009C1193">
            <w:pPr>
              <w:widowControl w:val="0"/>
              <w:rPr>
                <w:b/>
                <w:color w:val="000000"/>
                <w:szCs w:val="22"/>
                <w:lang w:val="fr-FR"/>
              </w:rPr>
            </w:pPr>
            <w:r w:rsidRPr="004A59B1">
              <w:rPr>
                <w:b/>
                <w:color w:val="000000"/>
                <w:szCs w:val="22"/>
                <w:lang w:val="fr-FR"/>
              </w:rPr>
              <w:t>België/Belgique/Belgien</w:t>
            </w:r>
          </w:p>
          <w:p w14:paraId="5297A86A" w14:textId="77777777" w:rsidR="0087411B" w:rsidRPr="004A59B1" w:rsidRDefault="0087411B" w:rsidP="009C1193">
            <w:pPr>
              <w:widowControl w:val="0"/>
              <w:rPr>
                <w:color w:val="000000"/>
                <w:szCs w:val="22"/>
                <w:lang w:val="fr-FR"/>
              </w:rPr>
            </w:pPr>
            <w:r w:rsidRPr="004A59B1">
              <w:rPr>
                <w:color w:val="000000"/>
                <w:szCs w:val="22"/>
                <w:lang w:val="fr-FR"/>
              </w:rPr>
              <w:t>Novartis Pharma N.V.</w:t>
            </w:r>
          </w:p>
          <w:p w14:paraId="5297A86B" w14:textId="77777777" w:rsidR="0087411B" w:rsidRPr="004A59B1" w:rsidRDefault="0087411B" w:rsidP="009C1193">
            <w:pPr>
              <w:widowControl w:val="0"/>
              <w:rPr>
                <w:color w:val="000000"/>
                <w:szCs w:val="22"/>
              </w:rPr>
            </w:pPr>
            <w:r w:rsidRPr="004A59B1">
              <w:rPr>
                <w:color w:val="000000"/>
                <w:szCs w:val="22"/>
              </w:rPr>
              <w:t>Tél/Tel: +32 2 246 16 11</w:t>
            </w:r>
          </w:p>
          <w:p w14:paraId="5297A86C" w14:textId="77777777" w:rsidR="0087411B" w:rsidRPr="004A59B1" w:rsidRDefault="0087411B" w:rsidP="009C1193">
            <w:pPr>
              <w:widowControl w:val="0"/>
              <w:rPr>
                <w:b/>
                <w:color w:val="000000"/>
                <w:szCs w:val="22"/>
              </w:rPr>
            </w:pPr>
          </w:p>
        </w:tc>
        <w:tc>
          <w:tcPr>
            <w:tcW w:w="4650" w:type="dxa"/>
          </w:tcPr>
          <w:p w14:paraId="5297A86D" w14:textId="77777777" w:rsidR="0087411B" w:rsidRPr="0017492F" w:rsidRDefault="0087411B" w:rsidP="009C1193">
            <w:pPr>
              <w:widowControl w:val="0"/>
              <w:rPr>
                <w:b/>
                <w:color w:val="000000"/>
                <w:szCs w:val="22"/>
                <w:lang w:val="es-ES"/>
              </w:rPr>
            </w:pPr>
            <w:r w:rsidRPr="0017492F">
              <w:rPr>
                <w:b/>
                <w:color w:val="000000"/>
                <w:szCs w:val="22"/>
                <w:lang w:val="es-ES"/>
              </w:rPr>
              <w:t>Lietuva</w:t>
            </w:r>
          </w:p>
          <w:p w14:paraId="5297A86E" w14:textId="73E7788C" w:rsidR="0087411B" w:rsidRPr="0017492F" w:rsidRDefault="005E41E9" w:rsidP="009C1193">
            <w:pPr>
              <w:widowControl w:val="0"/>
              <w:rPr>
                <w:color w:val="000000"/>
                <w:szCs w:val="22"/>
                <w:lang w:val="es-ES"/>
              </w:rPr>
            </w:pPr>
            <w:r w:rsidRPr="0017492F">
              <w:rPr>
                <w:szCs w:val="22"/>
                <w:lang w:val="es-ES"/>
              </w:rPr>
              <w:t>SIA Novartis Baltics Lietuvos filialas</w:t>
            </w:r>
          </w:p>
          <w:p w14:paraId="5297A86F" w14:textId="77777777" w:rsidR="0087411B" w:rsidRPr="0017492F" w:rsidRDefault="0087411B" w:rsidP="009C1193">
            <w:pPr>
              <w:widowControl w:val="0"/>
              <w:rPr>
                <w:color w:val="000000"/>
                <w:szCs w:val="22"/>
                <w:lang w:val="es-ES"/>
              </w:rPr>
            </w:pPr>
            <w:r w:rsidRPr="0017492F">
              <w:rPr>
                <w:color w:val="000000"/>
                <w:szCs w:val="22"/>
                <w:lang w:val="es-ES"/>
              </w:rPr>
              <w:t>Tel: +370 5 269 16 50</w:t>
            </w:r>
          </w:p>
          <w:p w14:paraId="5297A870" w14:textId="77777777" w:rsidR="0087411B" w:rsidRPr="0017492F" w:rsidRDefault="0087411B" w:rsidP="009C1193">
            <w:pPr>
              <w:widowControl w:val="0"/>
              <w:rPr>
                <w:color w:val="000000"/>
                <w:szCs w:val="22"/>
                <w:lang w:val="es-ES"/>
              </w:rPr>
            </w:pPr>
          </w:p>
        </w:tc>
      </w:tr>
      <w:tr w:rsidR="0087411B" w:rsidRPr="004A59B1" w14:paraId="5297A87A" w14:textId="77777777" w:rsidTr="008F282C">
        <w:trPr>
          <w:cantSplit/>
        </w:trPr>
        <w:tc>
          <w:tcPr>
            <w:tcW w:w="4650" w:type="dxa"/>
          </w:tcPr>
          <w:p w14:paraId="5297A872" w14:textId="77777777" w:rsidR="0087411B" w:rsidRPr="003F2EE1" w:rsidRDefault="0087411B" w:rsidP="009C1193">
            <w:pPr>
              <w:widowControl w:val="0"/>
              <w:rPr>
                <w:b/>
                <w:noProof/>
                <w:color w:val="000000"/>
                <w:szCs w:val="22"/>
                <w:lang w:val="es-ES"/>
              </w:rPr>
            </w:pPr>
            <w:r w:rsidRPr="004A59B1">
              <w:rPr>
                <w:b/>
                <w:noProof/>
                <w:color w:val="000000"/>
                <w:szCs w:val="22"/>
              </w:rPr>
              <w:t>България</w:t>
            </w:r>
          </w:p>
          <w:p w14:paraId="5297A873" w14:textId="77777777" w:rsidR="0087411B" w:rsidRPr="003F2EE1" w:rsidRDefault="00AA1B6C" w:rsidP="009C1193">
            <w:pPr>
              <w:widowControl w:val="0"/>
              <w:rPr>
                <w:noProof/>
                <w:color w:val="000000"/>
                <w:szCs w:val="22"/>
                <w:lang w:val="es-ES"/>
              </w:rPr>
            </w:pPr>
            <w:r w:rsidRPr="003F2EE1">
              <w:rPr>
                <w:szCs w:val="22"/>
                <w:lang w:val="es-ES"/>
              </w:rPr>
              <w:t>Novartis Bulgaria EOOD</w:t>
            </w:r>
          </w:p>
          <w:p w14:paraId="5297A874" w14:textId="77777777" w:rsidR="0087411B" w:rsidRPr="003F2EE1" w:rsidRDefault="0087411B" w:rsidP="009C1193">
            <w:pPr>
              <w:widowControl w:val="0"/>
              <w:rPr>
                <w:noProof/>
                <w:color w:val="000000"/>
                <w:szCs w:val="22"/>
                <w:lang w:val="es-ES"/>
              </w:rPr>
            </w:pPr>
            <w:r w:rsidRPr="004A59B1">
              <w:rPr>
                <w:noProof/>
                <w:color w:val="000000"/>
                <w:szCs w:val="22"/>
              </w:rPr>
              <w:t>Тел</w:t>
            </w:r>
            <w:r w:rsidRPr="003F2EE1">
              <w:rPr>
                <w:noProof/>
                <w:color w:val="000000"/>
                <w:szCs w:val="22"/>
                <w:lang w:val="es-ES"/>
              </w:rPr>
              <w:t>.: +359 2 489 98 28</w:t>
            </w:r>
          </w:p>
          <w:p w14:paraId="5297A875" w14:textId="77777777" w:rsidR="0087411B" w:rsidRPr="004A59B1" w:rsidRDefault="0087411B" w:rsidP="009C1193">
            <w:pPr>
              <w:widowControl w:val="0"/>
              <w:rPr>
                <w:b/>
                <w:color w:val="000000"/>
                <w:szCs w:val="22"/>
                <w:lang w:val="pt-BR"/>
              </w:rPr>
            </w:pPr>
          </w:p>
        </w:tc>
        <w:tc>
          <w:tcPr>
            <w:tcW w:w="4650" w:type="dxa"/>
          </w:tcPr>
          <w:p w14:paraId="5297A876" w14:textId="77777777" w:rsidR="0087411B" w:rsidRPr="004A59B1" w:rsidRDefault="0087411B" w:rsidP="009C1193">
            <w:pPr>
              <w:widowControl w:val="0"/>
              <w:rPr>
                <w:b/>
                <w:color w:val="000000"/>
                <w:szCs w:val="22"/>
                <w:lang w:val="de-CH"/>
              </w:rPr>
            </w:pPr>
            <w:r w:rsidRPr="004A59B1">
              <w:rPr>
                <w:b/>
                <w:color w:val="000000"/>
                <w:szCs w:val="22"/>
                <w:lang w:val="de-CH"/>
              </w:rPr>
              <w:t>Luxembourg/Luxemburg</w:t>
            </w:r>
          </w:p>
          <w:p w14:paraId="5297A877" w14:textId="77777777" w:rsidR="0087411B" w:rsidRPr="004A59B1" w:rsidRDefault="0087411B" w:rsidP="009C1193">
            <w:pPr>
              <w:widowControl w:val="0"/>
              <w:rPr>
                <w:color w:val="000000"/>
                <w:szCs w:val="22"/>
                <w:lang w:val="de-CH"/>
              </w:rPr>
            </w:pPr>
            <w:r w:rsidRPr="004A59B1">
              <w:rPr>
                <w:color w:val="000000"/>
                <w:szCs w:val="22"/>
                <w:lang w:val="de-CH"/>
              </w:rPr>
              <w:t>Novartis Pharma N.V.</w:t>
            </w:r>
          </w:p>
          <w:p w14:paraId="5297A878" w14:textId="77777777" w:rsidR="0087411B" w:rsidRPr="004A59B1" w:rsidRDefault="0087411B" w:rsidP="009C1193">
            <w:pPr>
              <w:widowControl w:val="0"/>
              <w:rPr>
                <w:color w:val="000000"/>
                <w:szCs w:val="22"/>
                <w:lang w:val="de-CH"/>
              </w:rPr>
            </w:pPr>
            <w:r w:rsidRPr="004A59B1">
              <w:rPr>
                <w:color w:val="000000"/>
                <w:szCs w:val="22"/>
                <w:lang w:val="de-CH"/>
              </w:rPr>
              <w:t>Tél/Tel: +32 2 246 16 11</w:t>
            </w:r>
          </w:p>
          <w:p w14:paraId="5297A879" w14:textId="77777777" w:rsidR="0087411B" w:rsidRPr="004A59B1" w:rsidRDefault="0087411B" w:rsidP="009C1193">
            <w:pPr>
              <w:widowControl w:val="0"/>
              <w:rPr>
                <w:color w:val="000000"/>
                <w:szCs w:val="22"/>
                <w:lang w:val="de-CH"/>
              </w:rPr>
            </w:pPr>
          </w:p>
        </w:tc>
      </w:tr>
      <w:tr w:rsidR="0087411B" w:rsidRPr="004A59B1" w14:paraId="5297A882" w14:textId="77777777" w:rsidTr="008F282C">
        <w:trPr>
          <w:cantSplit/>
        </w:trPr>
        <w:tc>
          <w:tcPr>
            <w:tcW w:w="4650" w:type="dxa"/>
          </w:tcPr>
          <w:p w14:paraId="5297A87B" w14:textId="77777777" w:rsidR="0087411B" w:rsidRPr="004A59B1" w:rsidRDefault="0087411B" w:rsidP="009C1193">
            <w:pPr>
              <w:widowControl w:val="0"/>
              <w:rPr>
                <w:b/>
                <w:color w:val="000000"/>
                <w:szCs w:val="22"/>
                <w:lang w:val="pt-BR"/>
              </w:rPr>
            </w:pPr>
            <w:r w:rsidRPr="004A59B1">
              <w:rPr>
                <w:b/>
                <w:color w:val="000000"/>
                <w:szCs w:val="22"/>
                <w:lang w:val="pt-BR"/>
              </w:rPr>
              <w:t>Česká republika</w:t>
            </w:r>
          </w:p>
          <w:p w14:paraId="5297A87C" w14:textId="77777777" w:rsidR="0087411B" w:rsidRPr="004A59B1" w:rsidRDefault="0087411B" w:rsidP="009C1193">
            <w:pPr>
              <w:widowControl w:val="0"/>
              <w:rPr>
                <w:color w:val="000000"/>
                <w:szCs w:val="22"/>
                <w:lang w:val="pt-BR"/>
              </w:rPr>
            </w:pPr>
            <w:r w:rsidRPr="004A59B1">
              <w:rPr>
                <w:color w:val="000000"/>
                <w:szCs w:val="22"/>
                <w:lang w:val="pt-BR"/>
              </w:rPr>
              <w:t>Novartis s.r.o.</w:t>
            </w:r>
          </w:p>
          <w:p w14:paraId="5297A87D" w14:textId="77777777" w:rsidR="0087411B" w:rsidRPr="004A59B1" w:rsidRDefault="0087411B" w:rsidP="009C1193">
            <w:pPr>
              <w:widowControl w:val="0"/>
              <w:rPr>
                <w:color w:val="000000"/>
                <w:szCs w:val="22"/>
              </w:rPr>
            </w:pPr>
            <w:r w:rsidRPr="004A59B1">
              <w:rPr>
                <w:color w:val="000000"/>
                <w:szCs w:val="22"/>
              </w:rPr>
              <w:t>Tel: +420 225 775 111</w:t>
            </w:r>
          </w:p>
          <w:p w14:paraId="5297A87E" w14:textId="77777777" w:rsidR="0087411B" w:rsidRPr="004A59B1" w:rsidRDefault="0087411B" w:rsidP="009C1193">
            <w:pPr>
              <w:widowControl w:val="0"/>
              <w:rPr>
                <w:b/>
                <w:color w:val="000000"/>
                <w:szCs w:val="22"/>
              </w:rPr>
            </w:pPr>
          </w:p>
        </w:tc>
        <w:tc>
          <w:tcPr>
            <w:tcW w:w="4650" w:type="dxa"/>
          </w:tcPr>
          <w:p w14:paraId="5297A87F" w14:textId="77777777" w:rsidR="0087411B" w:rsidRPr="004A59B1" w:rsidRDefault="0087411B" w:rsidP="009C1193">
            <w:pPr>
              <w:widowControl w:val="0"/>
              <w:rPr>
                <w:b/>
                <w:color w:val="000000"/>
                <w:szCs w:val="22"/>
                <w:lang w:val="pt-BR"/>
              </w:rPr>
            </w:pPr>
            <w:r w:rsidRPr="004A59B1">
              <w:rPr>
                <w:b/>
                <w:color w:val="000000"/>
                <w:szCs w:val="22"/>
                <w:lang w:val="pt-BR"/>
              </w:rPr>
              <w:t>Magyarország</w:t>
            </w:r>
          </w:p>
          <w:p w14:paraId="5297A880" w14:textId="77777777" w:rsidR="0087411B" w:rsidRPr="004A59B1" w:rsidRDefault="0087411B" w:rsidP="009C1193">
            <w:pPr>
              <w:widowControl w:val="0"/>
              <w:rPr>
                <w:color w:val="000000"/>
                <w:szCs w:val="22"/>
                <w:lang w:val="pt-BR"/>
              </w:rPr>
            </w:pPr>
            <w:r w:rsidRPr="004A59B1">
              <w:rPr>
                <w:color w:val="000000"/>
                <w:szCs w:val="22"/>
                <w:lang w:val="pt-BR"/>
              </w:rPr>
              <w:t>Novartis Hungária Kft.</w:t>
            </w:r>
          </w:p>
          <w:p w14:paraId="5297A881" w14:textId="77777777" w:rsidR="0087411B" w:rsidRPr="004A59B1" w:rsidRDefault="0087411B" w:rsidP="009C1193">
            <w:pPr>
              <w:widowControl w:val="0"/>
              <w:rPr>
                <w:color w:val="000000"/>
                <w:szCs w:val="22"/>
                <w:lang w:val="pt-BR"/>
              </w:rPr>
            </w:pPr>
            <w:r w:rsidRPr="004A59B1">
              <w:rPr>
                <w:color w:val="000000"/>
                <w:szCs w:val="22"/>
                <w:lang w:val="pt-BR"/>
              </w:rPr>
              <w:t>Tel.: +36 1 457 65 00</w:t>
            </w:r>
          </w:p>
        </w:tc>
      </w:tr>
      <w:tr w:rsidR="0087411B" w:rsidRPr="004A59B1" w14:paraId="5297A88A" w14:textId="77777777" w:rsidTr="008F282C">
        <w:trPr>
          <w:cantSplit/>
        </w:trPr>
        <w:tc>
          <w:tcPr>
            <w:tcW w:w="4650" w:type="dxa"/>
          </w:tcPr>
          <w:p w14:paraId="5297A883" w14:textId="77777777" w:rsidR="0087411B" w:rsidRPr="004A59B1" w:rsidRDefault="0087411B" w:rsidP="009C1193">
            <w:pPr>
              <w:widowControl w:val="0"/>
              <w:rPr>
                <w:b/>
                <w:color w:val="000000"/>
                <w:szCs w:val="22"/>
                <w:lang w:val="en-US"/>
              </w:rPr>
            </w:pPr>
            <w:r w:rsidRPr="004A59B1">
              <w:rPr>
                <w:b/>
                <w:color w:val="000000"/>
                <w:szCs w:val="22"/>
                <w:lang w:val="en-US"/>
              </w:rPr>
              <w:lastRenderedPageBreak/>
              <w:t>Danmark</w:t>
            </w:r>
          </w:p>
          <w:p w14:paraId="5297A884" w14:textId="77777777" w:rsidR="0087411B" w:rsidRPr="004A59B1" w:rsidRDefault="0087411B" w:rsidP="009C1193">
            <w:pPr>
              <w:widowControl w:val="0"/>
              <w:rPr>
                <w:color w:val="000000"/>
                <w:szCs w:val="22"/>
                <w:lang w:val="en-US"/>
              </w:rPr>
            </w:pPr>
            <w:r w:rsidRPr="004A59B1">
              <w:rPr>
                <w:color w:val="000000"/>
                <w:szCs w:val="22"/>
                <w:lang w:val="en-US"/>
              </w:rPr>
              <w:t>Novartis Healthcare A/S</w:t>
            </w:r>
          </w:p>
          <w:p w14:paraId="5297A885" w14:textId="77777777" w:rsidR="0087411B" w:rsidRPr="004A59B1" w:rsidRDefault="0087411B" w:rsidP="009C1193">
            <w:pPr>
              <w:widowControl w:val="0"/>
              <w:rPr>
                <w:color w:val="000000"/>
                <w:szCs w:val="22"/>
                <w:lang w:val="en-US"/>
              </w:rPr>
            </w:pPr>
            <w:r w:rsidRPr="004A59B1">
              <w:rPr>
                <w:color w:val="000000"/>
                <w:szCs w:val="22"/>
                <w:lang w:val="en-US"/>
              </w:rPr>
              <w:t>Tlf: +45 39 16 84 00</w:t>
            </w:r>
          </w:p>
          <w:p w14:paraId="5297A886" w14:textId="77777777" w:rsidR="0087411B" w:rsidRPr="004A59B1" w:rsidRDefault="0087411B" w:rsidP="009C1193">
            <w:pPr>
              <w:widowControl w:val="0"/>
              <w:rPr>
                <w:b/>
                <w:color w:val="000000"/>
                <w:szCs w:val="22"/>
                <w:lang w:val="en-US"/>
              </w:rPr>
            </w:pPr>
          </w:p>
        </w:tc>
        <w:tc>
          <w:tcPr>
            <w:tcW w:w="4650" w:type="dxa"/>
          </w:tcPr>
          <w:p w14:paraId="5297A887" w14:textId="77777777" w:rsidR="0087411B" w:rsidRPr="004A59B1" w:rsidRDefault="0087411B" w:rsidP="009C1193">
            <w:pPr>
              <w:widowControl w:val="0"/>
              <w:rPr>
                <w:b/>
                <w:color w:val="000000"/>
                <w:szCs w:val="22"/>
                <w:lang w:val="pt-BR"/>
              </w:rPr>
            </w:pPr>
            <w:r w:rsidRPr="004A59B1">
              <w:rPr>
                <w:b/>
                <w:color w:val="000000"/>
                <w:szCs w:val="22"/>
                <w:lang w:val="pt-BR"/>
              </w:rPr>
              <w:t>Malta</w:t>
            </w:r>
          </w:p>
          <w:p w14:paraId="5297A888" w14:textId="77777777" w:rsidR="0087411B" w:rsidRPr="004A59B1" w:rsidRDefault="0087411B" w:rsidP="009C1193">
            <w:pPr>
              <w:widowControl w:val="0"/>
              <w:rPr>
                <w:color w:val="000000"/>
                <w:szCs w:val="22"/>
                <w:lang w:val="pt-BR"/>
              </w:rPr>
            </w:pPr>
            <w:r w:rsidRPr="004A59B1">
              <w:rPr>
                <w:color w:val="000000"/>
                <w:szCs w:val="22"/>
                <w:lang w:val="pt-BR"/>
              </w:rPr>
              <w:t>Novartis Pharma Services Inc.</w:t>
            </w:r>
          </w:p>
          <w:p w14:paraId="5297A889" w14:textId="77777777" w:rsidR="0087411B" w:rsidRPr="004A59B1" w:rsidRDefault="0087411B" w:rsidP="009C1193">
            <w:pPr>
              <w:widowControl w:val="0"/>
              <w:rPr>
                <w:color w:val="000000"/>
                <w:szCs w:val="22"/>
              </w:rPr>
            </w:pPr>
            <w:r w:rsidRPr="004A59B1">
              <w:rPr>
                <w:color w:val="000000"/>
                <w:szCs w:val="22"/>
              </w:rPr>
              <w:t>Tel: +356 2122 2872</w:t>
            </w:r>
          </w:p>
        </w:tc>
      </w:tr>
      <w:tr w:rsidR="0087411B" w:rsidRPr="004A59B1" w14:paraId="5297A892" w14:textId="77777777" w:rsidTr="008F282C">
        <w:trPr>
          <w:cantSplit/>
        </w:trPr>
        <w:tc>
          <w:tcPr>
            <w:tcW w:w="4650" w:type="dxa"/>
          </w:tcPr>
          <w:p w14:paraId="5297A88B" w14:textId="77777777" w:rsidR="0087411B" w:rsidRPr="004A59B1" w:rsidRDefault="0087411B" w:rsidP="009C1193">
            <w:pPr>
              <w:widowControl w:val="0"/>
              <w:rPr>
                <w:b/>
                <w:color w:val="000000"/>
                <w:szCs w:val="22"/>
                <w:lang w:val="de-CH"/>
              </w:rPr>
            </w:pPr>
            <w:r w:rsidRPr="004A59B1">
              <w:rPr>
                <w:b/>
                <w:color w:val="000000"/>
                <w:szCs w:val="22"/>
                <w:lang w:val="de-CH"/>
              </w:rPr>
              <w:t>Deutschland</w:t>
            </w:r>
          </w:p>
          <w:p w14:paraId="5297A88C" w14:textId="77777777" w:rsidR="0087411B" w:rsidRPr="004A59B1" w:rsidRDefault="0087411B" w:rsidP="009C1193">
            <w:pPr>
              <w:widowControl w:val="0"/>
              <w:rPr>
                <w:color w:val="000000"/>
                <w:szCs w:val="22"/>
                <w:lang w:val="de-CH"/>
              </w:rPr>
            </w:pPr>
            <w:r w:rsidRPr="004A59B1">
              <w:rPr>
                <w:color w:val="000000"/>
                <w:szCs w:val="22"/>
                <w:lang w:val="de-CH"/>
              </w:rPr>
              <w:t>Novartis Pharma GmbH</w:t>
            </w:r>
          </w:p>
          <w:p w14:paraId="5297A88D" w14:textId="77777777" w:rsidR="0087411B" w:rsidRPr="004A59B1" w:rsidRDefault="0087411B" w:rsidP="009C1193">
            <w:pPr>
              <w:widowControl w:val="0"/>
              <w:rPr>
                <w:color w:val="000000"/>
                <w:szCs w:val="22"/>
                <w:lang w:val="de-CH"/>
              </w:rPr>
            </w:pPr>
            <w:r w:rsidRPr="004A59B1">
              <w:rPr>
                <w:color w:val="000000"/>
                <w:szCs w:val="22"/>
                <w:lang w:val="de-CH"/>
              </w:rPr>
              <w:t>Tel: +49 911 273 0</w:t>
            </w:r>
          </w:p>
          <w:p w14:paraId="5297A88E" w14:textId="77777777" w:rsidR="0087411B" w:rsidRPr="004A59B1" w:rsidRDefault="0087411B" w:rsidP="009C1193">
            <w:pPr>
              <w:widowControl w:val="0"/>
              <w:rPr>
                <w:b/>
                <w:color w:val="000000"/>
                <w:szCs w:val="22"/>
                <w:lang w:val="de-CH"/>
              </w:rPr>
            </w:pPr>
          </w:p>
        </w:tc>
        <w:tc>
          <w:tcPr>
            <w:tcW w:w="4650" w:type="dxa"/>
          </w:tcPr>
          <w:p w14:paraId="5297A88F" w14:textId="77777777" w:rsidR="0087411B" w:rsidRPr="004A59B1" w:rsidRDefault="0087411B" w:rsidP="009C1193">
            <w:pPr>
              <w:widowControl w:val="0"/>
              <w:rPr>
                <w:b/>
                <w:color w:val="000000"/>
                <w:szCs w:val="22"/>
                <w:lang w:val="de-CH"/>
              </w:rPr>
            </w:pPr>
            <w:r w:rsidRPr="004A59B1">
              <w:rPr>
                <w:b/>
                <w:color w:val="000000"/>
                <w:szCs w:val="22"/>
                <w:lang w:val="de-CH"/>
              </w:rPr>
              <w:t>Nederland</w:t>
            </w:r>
          </w:p>
          <w:p w14:paraId="5297A890" w14:textId="77777777" w:rsidR="0087411B" w:rsidRPr="004A59B1" w:rsidRDefault="0087411B" w:rsidP="009C1193">
            <w:pPr>
              <w:widowControl w:val="0"/>
              <w:rPr>
                <w:color w:val="000000"/>
                <w:szCs w:val="22"/>
                <w:lang w:val="de-CH"/>
              </w:rPr>
            </w:pPr>
            <w:r w:rsidRPr="004A59B1">
              <w:rPr>
                <w:color w:val="000000"/>
                <w:szCs w:val="22"/>
                <w:lang w:val="de-CH"/>
              </w:rPr>
              <w:t>Novartis Pharma B.V.</w:t>
            </w:r>
          </w:p>
          <w:p w14:paraId="5297A891" w14:textId="12087FF5" w:rsidR="0087411B" w:rsidRPr="003F2EE1" w:rsidRDefault="0087411B" w:rsidP="00483705">
            <w:pPr>
              <w:widowControl w:val="0"/>
              <w:rPr>
                <w:color w:val="000000"/>
                <w:szCs w:val="22"/>
                <w:lang w:val="de-CH"/>
              </w:rPr>
            </w:pPr>
            <w:r w:rsidRPr="003F2EE1">
              <w:rPr>
                <w:color w:val="000000"/>
                <w:szCs w:val="22"/>
                <w:lang w:val="de-CH"/>
              </w:rPr>
              <w:t xml:space="preserve">Tel: +31 </w:t>
            </w:r>
            <w:r w:rsidR="00483705">
              <w:rPr>
                <w:color w:val="000000"/>
                <w:szCs w:val="22"/>
                <w:lang w:val="de-CH"/>
              </w:rPr>
              <w:t>88 04 52</w:t>
            </w:r>
            <w:r w:rsidRPr="003F2EE1">
              <w:rPr>
                <w:color w:val="000000"/>
                <w:szCs w:val="22"/>
                <w:lang w:val="de-CH"/>
              </w:rPr>
              <w:t xml:space="preserve"> </w:t>
            </w:r>
            <w:r w:rsidR="00346403" w:rsidRPr="003F2EE1">
              <w:rPr>
                <w:color w:val="000000"/>
                <w:szCs w:val="22"/>
                <w:lang w:val="de-CH"/>
              </w:rPr>
              <w:t>555</w:t>
            </w:r>
          </w:p>
        </w:tc>
      </w:tr>
      <w:tr w:rsidR="0087411B" w:rsidRPr="004A59B1" w14:paraId="5297A89A" w14:textId="77777777" w:rsidTr="008F282C">
        <w:trPr>
          <w:cantSplit/>
        </w:trPr>
        <w:tc>
          <w:tcPr>
            <w:tcW w:w="4650" w:type="dxa"/>
          </w:tcPr>
          <w:p w14:paraId="5297A893" w14:textId="77777777" w:rsidR="0087411B" w:rsidRPr="0017492F" w:rsidRDefault="0087411B" w:rsidP="009C1193">
            <w:pPr>
              <w:widowControl w:val="0"/>
              <w:rPr>
                <w:b/>
                <w:color w:val="000000"/>
                <w:szCs w:val="22"/>
                <w:lang w:val="it-IT"/>
              </w:rPr>
            </w:pPr>
            <w:r w:rsidRPr="0017492F">
              <w:rPr>
                <w:b/>
                <w:color w:val="000000"/>
                <w:szCs w:val="22"/>
                <w:lang w:val="it-IT"/>
              </w:rPr>
              <w:t>Eesti</w:t>
            </w:r>
          </w:p>
          <w:p w14:paraId="5297A894" w14:textId="77777777" w:rsidR="0087411B" w:rsidRPr="0017492F" w:rsidRDefault="005E41E9" w:rsidP="009C1193">
            <w:pPr>
              <w:widowControl w:val="0"/>
              <w:rPr>
                <w:color w:val="000000"/>
                <w:szCs w:val="22"/>
                <w:lang w:val="it-IT"/>
              </w:rPr>
            </w:pPr>
            <w:r w:rsidRPr="0017492F">
              <w:rPr>
                <w:szCs w:val="22"/>
                <w:lang w:val="it-IT"/>
              </w:rPr>
              <w:t>SIA Novartis Baltics Eesti filiaal</w:t>
            </w:r>
          </w:p>
          <w:p w14:paraId="5297A895" w14:textId="77777777" w:rsidR="0087411B" w:rsidRPr="004A59B1" w:rsidRDefault="0087411B" w:rsidP="009C1193">
            <w:pPr>
              <w:widowControl w:val="0"/>
              <w:rPr>
                <w:color w:val="000000"/>
                <w:szCs w:val="22"/>
              </w:rPr>
            </w:pPr>
            <w:r w:rsidRPr="004A59B1">
              <w:rPr>
                <w:color w:val="000000"/>
                <w:szCs w:val="22"/>
              </w:rPr>
              <w:t>Tel: +372 66 30 810</w:t>
            </w:r>
          </w:p>
          <w:p w14:paraId="5297A896" w14:textId="77777777" w:rsidR="0087411B" w:rsidRPr="004A59B1" w:rsidRDefault="0087411B" w:rsidP="009C1193">
            <w:pPr>
              <w:widowControl w:val="0"/>
              <w:rPr>
                <w:b/>
                <w:color w:val="000000"/>
                <w:szCs w:val="22"/>
              </w:rPr>
            </w:pPr>
          </w:p>
        </w:tc>
        <w:tc>
          <w:tcPr>
            <w:tcW w:w="4650" w:type="dxa"/>
          </w:tcPr>
          <w:p w14:paraId="5297A897" w14:textId="77777777" w:rsidR="0087411B" w:rsidRPr="004A59B1" w:rsidRDefault="0087411B" w:rsidP="009C1193">
            <w:pPr>
              <w:widowControl w:val="0"/>
              <w:rPr>
                <w:b/>
                <w:color w:val="000000"/>
                <w:szCs w:val="22"/>
                <w:lang w:val="pt-BR"/>
              </w:rPr>
            </w:pPr>
            <w:r w:rsidRPr="004A59B1">
              <w:rPr>
                <w:b/>
                <w:color w:val="000000"/>
                <w:szCs w:val="22"/>
                <w:lang w:val="pt-BR"/>
              </w:rPr>
              <w:t>Norge</w:t>
            </w:r>
          </w:p>
          <w:p w14:paraId="5297A898" w14:textId="77777777" w:rsidR="0087411B" w:rsidRPr="004A59B1" w:rsidRDefault="0087411B" w:rsidP="009C1193">
            <w:pPr>
              <w:widowControl w:val="0"/>
              <w:rPr>
                <w:color w:val="000000"/>
                <w:szCs w:val="22"/>
                <w:lang w:val="pt-BR"/>
              </w:rPr>
            </w:pPr>
            <w:r w:rsidRPr="004A59B1">
              <w:rPr>
                <w:color w:val="000000"/>
                <w:szCs w:val="22"/>
                <w:lang w:val="pt-BR"/>
              </w:rPr>
              <w:t>Novartis Norge AS</w:t>
            </w:r>
          </w:p>
          <w:p w14:paraId="5297A899" w14:textId="77777777" w:rsidR="0087411B" w:rsidRPr="004A59B1" w:rsidRDefault="0087411B" w:rsidP="009C1193">
            <w:pPr>
              <w:widowControl w:val="0"/>
              <w:rPr>
                <w:color w:val="000000"/>
                <w:szCs w:val="22"/>
                <w:lang w:val="pt-BR"/>
              </w:rPr>
            </w:pPr>
            <w:r w:rsidRPr="004A59B1">
              <w:rPr>
                <w:color w:val="000000"/>
                <w:szCs w:val="22"/>
                <w:lang w:val="pt-BR"/>
              </w:rPr>
              <w:t>Tlf: +47 23 05 20 00</w:t>
            </w:r>
          </w:p>
        </w:tc>
      </w:tr>
      <w:tr w:rsidR="0087411B" w:rsidRPr="003B6568" w14:paraId="5297A8A2" w14:textId="77777777" w:rsidTr="008F282C">
        <w:trPr>
          <w:cantSplit/>
        </w:trPr>
        <w:tc>
          <w:tcPr>
            <w:tcW w:w="4650" w:type="dxa"/>
          </w:tcPr>
          <w:p w14:paraId="5297A89B" w14:textId="77777777" w:rsidR="0087411B" w:rsidRPr="004A59B1" w:rsidRDefault="0087411B" w:rsidP="009C1193">
            <w:pPr>
              <w:widowControl w:val="0"/>
              <w:rPr>
                <w:b/>
                <w:color w:val="000000"/>
                <w:szCs w:val="22"/>
                <w:lang w:val="pt-BR"/>
              </w:rPr>
            </w:pPr>
            <w:r w:rsidRPr="004A59B1">
              <w:rPr>
                <w:b/>
                <w:color w:val="000000"/>
                <w:szCs w:val="22"/>
              </w:rPr>
              <w:t>Ελλάδα</w:t>
            </w:r>
          </w:p>
          <w:p w14:paraId="5297A89C" w14:textId="77777777" w:rsidR="0087411B" w:rsidRPr="004A59B1" w:rsidRDefault="0087411B" w:rsidP="009C1193">
            <w:pPr>
              <w:widowControl w:val="0"/>
              <w:rPr>
                <w:color w:val="000000"/>
                <w:szCs w:val="22"/>
                <w:lang w:val="pt-BR"/>
              </w:rPr>
            </w:pPr>
            <w:r w:rsidRPr="004A59B1">
              <w:rPr>
                <w:color w:val="000000"/>
                <w:szCs w:val="22"/>
                <w:lang w:val="pt-BR"/>
              </w:rPr>
              <w:t>Novartis (Hellas) A.E.B.E.</w:t>
            </w:r>
          </w:p>
          <w:p w14:paraId="5297A89D" w14:textId="77777777" w:rsidR="0087411B" w:rsidRPr="004A59B1" w:rsidRDefault="0087411B" w:rsidP="009C1193">
            <w:pPr>
              <w:widowControl w:val="0"/>
              <w:rPr>
                <w:color w:val="000000"/>
                <w:szCs w:val="22"/>
                <w:lang w:val="pt-BR"/>
              </w:rPr>
            </w:pPr>
            <w:r w:rsidRPr="004A59B1">
              <w:rPr>
                <w:color w:val="000000"/>
                <w:szCs w:val="22"/>
              </w:rPr>
              <w:t>Τηλ</w:t>
            </w:r>
            <w:r w:rsidRPr="004A59B1">
              <w:rPr>
                <w:color w:val="000000"/>
                <w:szCs w:val="22"/>
                <w:lang w:val="pt-BR"/>
              </w:rPr>
              <w:t>: +30 210 281 17 12</w:t>
            </w:r>
          </w:p>
          <w:p w14:paraId="5297A89E" w14:textId="77777777" w:rsidR="0087411B" w:rsidRPr="004A59B1" w:rsidRDefault="0087411B" w:rsidP="009C1193">
            <w:pPr>
              <w:widowControl w:val="0"/>
              <w:rPr>
                <w:b/>
                <w:color w:val="000000"/>
                <w:szCs w:val="22"/>
                <w:lang w:val="pt-BR"/>
              </w:rPr>
            </w:pPr>
          </w:p>
        </w:tc>
        <w:tc>
          <w:tcPr>
            <w:tcW w:w="4650" w:type="dxa"/>
          </w:tcPr>
          <w:p w14:paraId="5297A89F" w14:textId="77777777" w:rsidR="0087411B" w:rsidRPr="004A59B1" w:rsidRDefault="0087411B" w:rsidP="009C1193">
            <w:pPr>
              <w:widowControl w:val="0"/>
              <w:rPr>
                <w:b/>
                <w:color w:val="000000"/>
                <w:szCs w:val="22"/>
                <w:lang w:val="de-CH"/>
              </w:rPr>
            </w:pPr>
            <w:r w:rsidRPr="004A59B1">
              <w:rPr>
                <w:b/>
                <w:color w:val="000000"/>
                <w:szCs w:val="22"/>
                <w:lang w:val="de-CH"/>
              </w:rPr>
              <w:t>Österreich</w:t>
            </w:r>
          </w:p>
          <w:p w14:paraId="5297A8A0" w14:textId="77777777" w:rsidR="0087411B" w:rsidRPr="004A59B1" w:rsidRDefault="0087411B" w:rsidP="009C1193">
            <w:pPr>
              <w:widowControl w:val="0"/>
              <w:rPr>
                <w:color w:val="000000"/>
                <w:szCs w:val="22"/>
                <w:lang w:val="de-CH"/>
              </w:rPr>
            </w:pPr>
            <w:r w:rsidRPr="004A59B1">
              <w:rPr>
                <w:color w:val="000000"/>
                <w:szCs w:val="22"/>
                <w:lang w:val="de-CH"/>
              </w:rPr>
              <w:t>Novartis Pharma GmbH</w:t>
            </w:r>
          </w:p>
          <w:p w14:paraId="5297A8A1" w14:textId="77777777" w:rsidR="0087411B" w:rsidRPr="004A59B1" w:rsidRDefault="0087411B" w:rsidP="009C1193">
            <w:pPr>
              <w:widowControl w:val="0"/>
              <w:rPr>
                <w:color w:val="000000"/>
                <w:szCs w:val="22"/>
                <w:lang w:val="de-CH"/>
              </w:rPr>
            </w:pPr>
            <w:r w:rsidRPr="004A59B1">
              <w:rPr>
                <w:color w:val="000000"/>
                <w:szCs w:val="22"/>
                <w:lang w:val="de-CH"/>
              </w:rPr>
              <w:t>Tel: +43 1 86 6570</w:t>
            </w:r>
          </w:p>
        </w:tc>
      </w:tr>
      <w:tr w:rsidR="0087411B" w:rsidRPr="004A59B1" w14:paraId="5297A8AA" w14:textId="77777777" w:rsidTr="008F282C">
        <w:trPr>
          <w:cantSplit/>
        </w:trPr>
        <w:tc>
          <w:tcPr>
            <w:tcW w:w="4650" w:type="dxa"/>
          </w:tcPr>
          <w:p w14:paraId="5297A8A3" w14:textId="77777777" w:rsidR="0087411B" w:rsidRPr="004A59B1" w:rsidRDefault="0087411B" w:rsidP="009C1193">
            <w:pPr>
              <w:widowControl w:val="0"/>
              <w:rPr>
                <w:b/>
                <w:color w:val="000000"/>
                <w:szCs w:val="22"/>
                <w:lang w:val="pt-BR"/>
              </w:rPr>
            </w:pPr>
            <w:r w:rsidRPr="004A59B1">
              <w:rPr>
                <w:b/>
                <w:color w:val="000000"/>
                <w:szCs w:val="22"/>
                <w:lang w:val="pt-BR"/>
              </w:rPr>
              <w:t>España</w:t>
            </w:r>
          </w:p>
          <w:p w14:paraId="5297A8A4" w14:textId="77777777" w:rsidR="0087411B" w:rsidRPr="004A59B1" w:rsidRDefault="0087411B" w:rsidP="009C1193">
            <w:pPr>
              <w:widowControl w:val="0"/>
              <w:rPr>
                <w:color w:val="000000"/>
                <w:szCs w:val="22"/>
                <w:lang w:val="pt-BR"/>
              </w:rPr>
            </w:pPr>
            <w:r w:rsidRPr="004A59B1">
              <w:rPr>
                <w:color w:val="000000"/>
                <w:szCs w:val="22"/>
                <w:lang w:val="pt-BR"/>
              </w:rPr>
              <w:t>Novartis Farmacéutica, S.A.</w:t>
            </w:r>
          </w:p>
          <w:p w14:paraId="5297A8A5" w14:textId="77777777" w:rsidR="0087411B" w:rsidRPr="004A59B1" w:rsidRDefault="0087411B" w:rsidP="009C1193">
            <w:pPr>
              <w:widowControl w:val="0"/>
              <w:rPr>
                <w:color w:val="000000"/>
                <w:szCs w:val="22"/>
              </w:rPr>
            </w:pPr>
            <w:r w:rsidRPr="004A59B1">
              <w:rPr>
                <w:color w:val="000000"/>
                <w:szCs w:val="22"/>
              </w:rPr>
              <w:t>Tel: +34 93 306 42 00</w:t>
            </w:r>
          </w:p>
          <w:p w14:paraId="5297A8A6" w14:textId="77777777" w:rsidR="0087411B" w:rsidRPr="004A59B1" w:rsidRDefault="0087411B" w:rsidP="009C1193">
            <w:pPr>
              <w:widowControl w:val="0"/>
              <w:rPr>
                <w:b/>
                <w:color w:val="000000"/>
                <w:szCs w:val="22"/>
              </w:rPr>
            </w:pPr>
          </w:p>
        </w:tc>
        <w:tc>
          <w:tcPr>
            <w:tcW w:w="4650" w:type="dxa"/>
          </w:tcPr>
          <w:p w14:paraId="5297A8A7" w14:textId="77777777" w:rsidR="0087411B" w:rsidRPr="004A59B1" w:rsidRDefault="0087411B" w:rsidP="009C1193">
            <w:pPr>
              <w:widowControl w:val="0"/>
              <w:rPr>
                <w:b/>
                <w:color w:val="000000"/>
                <w:szCs w:val="22"/>
                <w:lang w:val="pt-BR"/>
              </w:rPr>
            </w:pPr>
            <w:r w:rsidRPr="004A59B1">
              <w:rPr>
                <w:b/>
                <w:color w:val="000000"/>
                <w:szCs w:val="22"/>
                <w:lang w:val="pt-BR"/>
              </w:rPr>
              <w:t>Polska</w:t>
            </w:r>
          </w:p>
          <w:p w14:paraId="5297A8A8" w14:textId="77777777" w:rsidR="0087411B" w:rsidRPr="004A59B1" w:rsidRDefault="0087411B" w:rsidP="009C1193">
            <w:pPr>
              <w:widowControl w:val="0"/>
              <w:rPr>
                <w:color w:val="000000"/>
                <w:szCs w:val="22"/>
                <w:lang w:val="pt-BR"/>
              </w:rPr>
            </w:pPr>
            <w:r w:rsidRPr="004A59B1">
              <w:rPr>
                <w:color w:val="000000"/>
                <w:szCs w:val="22"/>
                <w:lang w:val="pt-BR"/>
              </w:rPr>
              <w:t>Novartis Poland Sp. z o.o.</w:t>
            </w:r>
          </w:p>
          <w:p w14:paraId="5297A8A9" w14:textId="77777777" w:rsidR="0087411B" w:rsidRPr="004A59B1" w:rsidRDefault="0087411B" w:rsidP="009C1193">
            <w:pPr>
              <w:widowControl w:val="0"/>
              <w:rPr>
                <w:color w:val="000000"/>
                <w:szCs w:val="22"/>
                <w:lang w:val="pt-BR"/>
              </w:rPr>
            </w:pPr>
            <w:r w:rsidRPr="004A59B1">
              <w:rPr>
                <w:color w:val="000000"/>
                <w:szCs w:val="22"/>
                <w:lang w:val="pt-BR"/>
              </w:rPr>
              <w:t xml:space="preserve">Tel.: +48 22 </w:t>
            </w:r>
            <w:r w:rsidRPr="004A59B1">
              <w:rPr>
                <w:szCs w:val="22"/>
              </w:rPr>
              <w:t>375 4888</w:t>
            </w:r>
          </w:p>
        </w:tc>
      </w:tr>
      <w:tr w:rsidR="0087411B" w:rsidRPr="004A59B1" w14:paraId="5297A8B2" w14:textId="77777777" w:rsidTr="008F282C">
        <w:trPr>
          <w:cantSplit/>
        </w:trPr>
        <w:tc>
          <w:tcPr>
            <w:tcW w:w="4650" w:type="dxa"/>
          </w:tcPr>
          <w:p w14:paraId="5297A8AB" w14:textId="77777777" w:rsidR="0087411B" w:rsidRPr="004A59B1" w:rsidRDefault="0087411B" w:rsidP="009C1193">
            <w:pPr>
              <w:widowControl w:val="0"/>
              <w:rPr>
                <w:b/>
                <w:color w:val="000000"/>
                <w:szCs w:val="22"/>
                <w:lang w:val="fr-FR"/>
              </w:rPr>
            </w:pPr>
            <w:r w:rsidRPr="004A59B1">
              <w:rPr>
                <w:b/>
                <w:color w:val="000000"/>
                <w:szCs w:val="22"/>
                <w:lang w:val="fr-FR"/>
              </w:rPr>
              <w:t>France</w:t>
            </w:r>
          </w:p>
          <w:p w14:paraId="5297A8AC" w14:textId="77777777" w:rsidR="0087411B" w:rsidRPr="004A59B1" w:rsidRDefault="0087411B" w:rsidP="009C1193">
            <w:pPr>
              <w:widowControl w:val="0"/>
              <w:rPr>
                <w:color w:val="000000"/>
                <w:szCs w:val="22"/>
                <w:lang w:val="fr-FR"/>
              </w:rPr>
            </w:pPr>
            <w:r w:rsidRPr="004A59B1">
              <w:rPr>
                <w:color w:val="000000"/>
                <w:szCs w:val="22"/>
                <w:lang w:val="fr-FR"/>
              </w:rPr>
              <w:t>Novartis Pharma S.A.S.</w:t>
            </w:r>
          </w:p>
          <w:p w14:paraId="5297A8AD" w14:textId="77777777" w:rsidR="0087411B" w:rsidRPr="004A59B1" w:rsidRDefault="0087411B" w:rsidP="009C1193">
            <w:pPr>
              <w:widowControl w:val="0"/>
              <w:rPr>
                <w:color w:val="000000"/>
                <w:szCs w:val="22"/>
                <w:lang w:val="fr-FR"/>
              </w:rPr>
            </w:pPr>
            <w:r w:rsidRPr="004A59B1">
              <w:rPr>
                <w:color w:val="000000"/>
                <w:szCs w:val="22"/>
                <w:lang w:val="fr-FR"/>
              </w:rPr>
              <w:t>Tél: +33 1 55 47 66 00</w:t>
            </w:r>
          </w:p>
          <w:p w14:paraId="5297A8AE" w14:textId="77777777" w:rsidR="0087411B" w:rsidRPr="004A59B1" w:rsidRDefault="0087411B" w:rsidP="009C1193">
            <w:pPr>
              <w:widowControl w:val="0"/>
              <w:rPr>
                <w:b/>
                <w:color w:val="000000"/>
                <w:szCs w:val="22"/>
                <w:lang w:val="fr-FR"/>
              </w:rPr>
            </w:pPr>
          </w:p>
        </w:tc>
        <w:tc>
          <w:tcPr>
            <w:tcW w:w="4650" w:type="dxa"/>
          </w:tcPr>
          <w:p w14:paraId="5297A8AF" w14:textId="77777777" w:rsidR="0087411B" w:rsidRPr="004A59B1" w:rsidRDefault="0087411B" w:rsidP="009C1193">
            <w:pPr>
              <w:widowControl w:val="0"/>
              <w:rPr>
                <w:b/>
                <w:color w:val="000000"/>
                <w:szCs w:val="22"/>
                <w:lang w:val="pt-BR"/>
              </w:rPr>
            </w:pPr>
            <w:r w:rsidRPr="004A59B1">
              <w:rPr>
                <w:b/>
                <w:color w:val="000000"/>
                <w:szCs w:val="22"/>
                <w:lang w:val="pt-BR"/>
              </w:rPr>
              <w:t>Portugal</w:t>
            </w:r>
          </w:p>
          <w:p w14:paraId="5297A8B0" w14:textId="77777777" w:rsidR="0087411B" w:rsidRPr="004A59B1" w:rsidRDefault="0087411B" w:rsidP="009C1193">
            <w:pPr>
              <w:widowControl w:val="0"/>
              <w:rPr>
                <w:color w:val="000000"/>
                <w:szCs w:val="22"/>
                <w:lang w:val="pt-BR"/>
              </w:rPr>
            </w:pPr>
            <w:r w:rsidRPr="004A59B1">
              <w:rPr>
                <w:color w:val="000000"/>
                <w:szCs w:val="22"/>
                <w:lang w:val="pt-BR"/>
              </w:rPr>
              <w:t>Novartis Farma - Produtos Farmacêuticos, S.A.</w:t>
            </w:r>
          </w:p>
          <w:p w14:paraId="5297A8B1" w14:textId="77777777" w:rsidR="0087411B" w:rsidRPr="004A59B1" w:rsidRDefault="0087411B" w:rsidP="009C1193">
            <w:pPr>
              <w:widowControl w:val="0"/>
              <w:rPr>
                <w:color w:val="000000"/>
                <w:szCs w:val="22"/>
              </w:rPr>
            </w:pPr>
            <w:r w:rsidRPr="004A59B1">
              <w:rPr>
                <w:color w:val="000000"/>
                <w:szCs w:val="22"/>
              </w:rPr>
              <w:t>Tel: +351 21 000 8600</w:t>
            </w:r>
          </w:p>
        </w:tc>
      </w:tr>
      <w:tr w:rsidR="0087411B" w:rsidRPr="004A59B1" w14:paraId="5297A8BA" w14:textId="77777777" w:rsidTr="008F282C">
        <w:trPr>
          <w:cantSplit/>
        </w:trPr>
        <w:tc>
          <w:tcPr>
            <w:tcW w:w="4650" w:type="dxa"/>
          </w:tcPr>
          <w:p w14:paraId="5297A8B3" w14:textId="77777777" w:rsidR="0087411B" w:rsidRPr="003F2EE1" w:rsidRDefault="0087411B" w:rsidP="009C1193">
            <w:pPr>
              <w:widowControl w:val="0"/>
              <w:rPr>
                <w:rFonts w:eastAsia="PMingLiU"/>
                <w:b/>
                <w:szCs w:val="22"/>
                <w:lang w:val="de-CH"/>
              </w:rPr>
            </w:pPr>
            <w:r w:rsidRPr="003F2EE1">
              <w:rPr>
                <w:rFonts w:eastAsia="PMingLiU"/>
                <w:b/>
                <w:szCs w:val="22"/>
                <w:lang w:val="de-CH"/>
              </w:rPr>
              <w:t>Hrvatska</w:t>
            </w:r>
          </w:p>
          <w:p w14:paraId="5297A8B4" w14:textId="77777777" w:rsidR="0087411B" w:rsidRPr="003F2EE1" w:rsidRDefault="0087411B" w:rsidP="009C1193">
            <w:pPr>
              <w:widowControl w:val="0"/>
              <w:rPr>
                <w:szCs w:val="22"/>
                <w:lang w:val="de-CH"/>
              </w:rPr>
            </w:pPr>
            <w:r w:rsidRPr="003F2EE1">
              <w:rPr>
                <w:szCs w:val="22"/>
                <w:lang w:val="de-CH"/>
              </w:rPr>
              <w:t>Novartis Hrvatska d.o.o.</w:t>
            </w:r>
          </w:p>
          <w:p w14:paraId="5297A8B5" w14:textId="77777777" w:rsidR="0087411B" w:rsidRPr="004A59B1" w:rsidRDefault="0087411B" w:rsidP="009C1193">
            <w:pPr>
              <w:widowControl w:val="0"/>
              <w:rPr>
                <w:szCs w:val="22"/>
              </w:rPr>
            </w:pPr>
            <w:r w:rsidRPr="004A59B1">
              <w:rPr>
                <w:szCs w:val="22"/>
              </w:rPr>
              <w:t>Tel. +385 1 6274 220</w:t>
            </w:r>
          </w:p>
          <w:p w14:paraId="5297A8B6" w14:textId="77777777" w:rsidR="0087411B" w:rsidRPr="004A59B1" w:rsidRDefault="0087411B" w:rsidP="009C1193">
            <w:pPr>
              <w:widowControl w:val="0"/>
              <w:rPr>
                <w:b/>
                <w:color w:val="000000"/>
                <w:szCs w:val="22"/>
                <w:lang w:val="fr-FR"/>
              </w:rPr>
            </w:pPr>
          </w:p>
        </w:tc>
        <w:tc>
          <w:tcPr>
            <w:tcW w:w="4650" w:type="dxa"/>
          </w:tcPr>
          <w:p w14:paraId="5297A8B7" w14:textId="77777777" w:rsidR="0087411B" w:rsidRPr="004A59B1" w:rsidRDefault="0087411B" w:rsidP="009C1193">
            <w:pPr>
              <w:widowControl w:val="0"/>
              <w:rPr>
                <w:b/>
                <w:noProof/>
                <w:color w:val="000000"/>
                <w:szCs w:val="22"/>
                <w:lang w:val="it-IT"/>
              </w:rPr>
            </w:pPr>
            <w:r w:rsidRPr="004A59B1">
              <w:rPr>
                <w:b/>
                <w:noProof/>
                <w:color w:val="000000"/>
                <w:szCs w:val="22"/>
                <w:lang w:val="it-IT"/>
              </w:rPr>
              <w:t>România</w:t>
            </w:r>
          </w:p>
          <w:p w14:paraId="5297A8B8" w14:textId="77777777" w:rsidR="0087411B" w:rsidRPr="004A59B1" w:rsidRDefault="0087411B" w:rsidP="009C1193">
            <w:pPr>
              <w:widowControl w:val="0"/>
              <w:rPr>
                <w:noProof/>
                <w:color w:val="000000"/>
                <w:szCs w:val="22"/>
                <w:lang w:val="it-IT"/>
              </w:rPr>
            </w:pPr>
            <w:r w:rsidRPr="004A59B1">
              <w:rPr>
                <w:noProof/>
                <w:color w:val="000000"/>
                <w:szCs w:val="22"/>
                <w:lang w:val="it-IT"/>
              </w:rPr>
              <w:t xml:space="preserve">Novartis Pharma Services </w:t>
            </w:r>
            <w:r w:rsidRPr="003F2EE1">
              <w:rPr>
                <w:color w:val="2F2F2F"/>
                <w:szCs w:val="22"/>
                <w:lang w:val="fr-CH"/>
              </w:rPr>
              <w:t>Romania SRL</w:t>
            </w:r>
          </w:p>
          <w:p w14:paraId="5297A8B9" w14:textId="77777777" w:rsidR="0087411B" w:rsidRPr="004A59B1" w:rsidRDefault="0087411B" w:rsidP="009C1193">
            <w:pPr>
              <w:widowControl w:val="0"/>
              <w:rPr>
                <w:color w:val="000000"/>
                <w:szCs w:val="22"/>
              </w:rPr>
            </w:pPr>
            <w:r w:rsidRPr="004A59B1">
              <w:rPr>
                <w:noProof/>
                <w:color w:val="000000"/>
                <w:szCs w:val="22"/>
                <w:lang w:val="it-IT"/>
              </w:rPr>
              <w:t>Tel: +40 21 31299 01</w:t>
            </w:r>
          </w:p>
        </w:tc>
      </w:tr>
      <w:tr w:rsidR="0087411B" w:rsidRPr="004A59B1" w14:paraId="5297A8C2" w14:textId="77777777" w:rsidTr="008F282C">
        <w:trPr>
          <w:cantSplit/>
        </w:trPr>
        <w:tc>
          <w:tcPr>
            <w:tcW w:w="4650" w:type="dxa"/>
          </w:tcPr>
          <w:p w14:paraId="5297A8BB" w14:textId="77777777" w:rsidR="0087411B" w:rsidRPr="004A59B1" w:rsidRDefault="0087411B" w:rsidP="009C1193">
            <w:pPr>
              <w:widowControl w:val="0"/>
              <w:rPr>
                <w:b/>
                <w:color w:val="000000"/>
                <w:szCs w:val="22"/>
                <w:lang w:val="en-US"/>
              </w:rPr>
            </w:pPr>
            <w:r w:rsidRPr="004A59B1">
              <w:rPr>
                <w:b/>
                <w:color w:val="000000"/>
                <w:szCs w:val="22"/>
                <w:lang w:val="en-US"/>
              </w:rPr>
              <w:t>Ireland</w:t>
            </w:r>
          </w:p>
          <w:p w14:paraId="5297A8BC" w14:textId="77777777" w:rsidR="0087411B" w:rsidRPr="004A59B1" w:rsidRDefault="0087411B" w:rsidP="009C1193">
            <w:pPr>
              <w:widowControl w:val="0"/>
              <w:rPr>
                <w:color w:val="000000"/>
                <w:szCs w:val="22"/>
                <w:lang w:val="en-US"/>
              </w:rPr>
            </w:pPr>
            <w:r w:rsidRPr="004A59B1">
              <w:rPr>
                <w:color w:val="000000"/>
                <w:szCs w:val="22"/>
                <w:lang w:val="en-US"/>
              </w:rPr>
              <w:t>Novartis Ireland Limited</w:t>
            </w:r>
          </w:p>
          <w:p w14:paraId="5297A8BD" w14:textId="77777777" w:rsidR="0087411B" w:rsidRPr="004A59B1" w:rsidRDefault="0087411B" w:rsidP="009C1193">
            <w:pPr>
              <w:widowControl w:val="0"/>
              <w:rPr>
                <w:color w:val="000000"/>
                <w:szCs w:val="22"/>
                <w:lang w:val="en-US"/>
              </w:rPr>
            </w:pPr>
            <w:r w:rsidRPr="004A59B1">
              <w:rPr>
                <w:color w:val="000000"/>
                <w:szCs w:val="22"/>
                <w:lang w:val="en-US"/>
              </w:rPr>
              <w:t>Tel: +353 1 260 12 55</w:t>
            </w:r>
          </w:p>
          <w:p w14:paraId="5297A8BE" w14:textId="77777777" w:rsidR="0087411B" w:rsidRPr="004A59B1" w:rsidRDefault="0087411B" w:rsidP="009C1193">
            <w:pPr>
              <w:widowControl w:val="0"/>
              <w:rPr>
                <w:b/>
                <w:color w:val="000000"/>
                <w:szCs w:val="22"/>
                <w:lang w:val="en-US"/>
              </w:rPr>
            </w:pPr>
          </w:p>
        </w:tc>
        <w:tc>
          <w:tcPr>
            <w:tcW w:w="4650" w:type="dxa"/>
          </w:tcPr>
          <w:p w14:paraId="5297A8BF" w14:textId="77777777" w:rsidR="0087411B" w:rsidRPr="004A59B1" w:rsidRDefault="0087411B" w:rsidP="009C1193">
            <w:pPr>
              <w:widowControl w:val="0"/>
              <w:rPr>
                <w:b/>
                <w:color w:val="000000"/>
                <w:szCs w:val="22"/>
                <w:lang w:val="fr-FR"/>
              </w:rPr>
            </w:pPr>
            <w:r w:rsidRPr="004A59B1">
              <w:rPr>
                <w:b/>
                <w:color w:val="000000"/>
                <w:szCs w:val="22"/>
                <w:lang w:val="fr-FR"/>
              </w:rPr>
              <w:t>Slovenija</w:t>
            </w:r>
          </w:p>
          <w:p w14:paraId="5297A8C0" w14:textId="77777777" w:rsidR="0087411B" w:rsidRPr="004A59B1" w:rsidRDefault="0087411B" w:rsidP="009C1193">
            <w:pPr>
              <w:widowControl w:val="0"/>
              <w:rPr>
                <w:color w:val="000000"/>
                <w:szCs w:val="22"/>
                <w:lang w:val="fr-FR"/>
              </w:rPr>
            </w:pPr>
            <w:r w:rsidRPr="004A59B1">
              <w:rPr>
                <w:color w:val="000000"/>
                <w:szCs w:val="22"/>
                <w:lang w:val="fr-FR"/>
              </w:rPr>
              <w:t>Novartis Pharma Services Inc.</w:t>
            </w:r>
          </w:p>
          <w:p w14:paraId="5297A8C1" w14:textId="77777777" w:rsidR="0087411B" w:rsidRPr="004A59B1" w:rsidRDefault="0087411B" w:rsidP="009C1193">
            <w:pPr>
              <w:widowControl w:val="0"/>
              <w:rPr>
                <w:color w:val="000000"/>
                <w:szCs w:val="22"/>
                <w:lang w:val="fr-FR"/>
              </w:rPr>
            </w:pPr>
            <w:r w:rsidRPr="004A59B1">
              <w:rPr>
                <w:color w:val="000000"/>
                <w:szCs w:val="22"/>
                <w:lang w:val="fr-FR"/>
              </w:rPr>
              <w:t>Tel: +386 1 300 75 50</w:t>
            </w:r>
          </w:p>
        </w:tc>
      </w:tr>
      <w:tr w:rsidR="0087411B" w:rsidRPr="004A59B1" w14:paraId="5297A8CB" w14:textId="77777777" w:rsidTr="008F282C">
        <w:trPr>
          <w:cantSplit/>
        </w:trPr>
        <w:tc>
          <w:tcPr>
            <w:tcW w:w="4650" w:type="dxa"/>
          </w:tcPr>
          <w:p w14:paraId="5297A8C3" w14:textId="77777777" w:rsidR="0087411B" w:rsidRPr="004A59B1" w:rsidRDefault="0087411B" w:rsidP="009C1193">
            <w:pPr>
              <w:widowControl w:val="0"/>
              <w:rPr>
                <w:b/>
                <w:color w:val="000000"/>
                <w:szCs w:val="22"/>
              </w:rPr>
            </w:pPr>
            <w:r w:rsidRPr="004A59B1">
              <w:rPr>
                <w:b/>
                <w:color w:val="000000"/>
                <w:szCs w:val="22"/>
              </w:rPr>
              <w:t>Ísland</w:t>
            </w:r>
          </w:p>
          <w:p w14:paraId="5297A8C4" w14:textId="77777777" w:rsidR="0087411B" w:rsidRPr="004A59B1" w:rsidRDefault="0087411B" w:rsidP="009C1193">
            <w:pPr>
              <w:widowControl w:val="0"/>
              <w:rPr>
                <w:color w:val="000000"/>
                <w:szCs w:val="22"/>
              </w:rPr>
            </w:pPr>
            <w:r w:rsidRPr="004A59B1">
              <w:rPr>
                <w:color w:val="000000"/>
                <w:szCs w:val="22"/>
              </w:rPr>
              <w:t>Vistor hf.</w:t>
            </w:r>
          </w:p>
          <w:p w14:paraId="5297A8C5" w14:textId="77777777" w:rsidR="0087411B" w:rsidRPr="004A59B1" w:rsidRDefault="0087411B" w:rsidP="009C1193">
            <w:pPr>
              <w:widowControl w:val="0"/>
              <w:rPr>
                <w:color w:val="000000"/>
                <w:szCs w:val="22"/>
              </w:rPr>
            </w:pPr>
            <w:r w:rsidRPr="004A59B1">
              <w:rPr>
                <w:noProof/>
                <w:color w:val="000000"/>
                <w:szCs w:val="22"/>
                <w:lang w:val="it-IT"/>
              </w:rPr>
              <w:t>S</w:t>
            </w:r>
            <w:r w:rsidRPr="004A59B1">
              <w:rPr>
                <w:noProof/>
                <w:color w:val="000000"/>
                <w:szCs w:val="22"/>
                <w:lang w:val="cs-CZ"/>
              </w:rPr>
              <w:t>í</w:t>
            </w:r>
            <w:r w:rsidRPr="004A59B1">
              <w:rPr>
                <w:noProof/>
                <w:color w:val="000000"/>
                <w:szCs w:val="22"/>
                <w:lang w:val="it-IT"/>
              </w:rPr>
              <w:t>mi</w:t>
            </w:r>
            <w:r w:rsidRPr="004A59B1">
              <w:rPr>
                <w:color w:val="000000"/>
                <w:szCs w:val="22"/>
              </w:rPr>
              <w:t>: +354 535 7000</w:t>
            </w:r>
          </w:p>
          <w:p w14:paraId="5297A8C6" w14:textId="77777777" w:rsidR="0087411B" w:rsidRPr="004A59B1" w:rsidRDefault="0087411B" w:rsidP="009C1193">
            <w:pPr>
              <w:widowControl w:val="0"/>
              <w:rPr>
                <w:b/>
                <w:color w:val="000000"/>
                <w:szCs w:val="22"/>
              </w:rPr>
            </w:pPr>
          </w:p>
        </w:tc>
        <w:tc>
          <w:tcPr>
            <w:tcW w:w="4650" w:type="dxa"/>
          </w:tcPr>
          <w:p w14:paraId="5297A8C7" w14:textId="77777777" w:rsidR="0087411B" w:rsidRPr="004A59B1" w:rsidRDefault="0087411B" w:rsidP="009C1193">
            <w:pPr>
              <w:widowControl w:val="0"/>
              <w:rPr>
                <w:b/>
                <w:color w:val="000000"/>
                <w:szCs w:val="22"/>
                <w:lang w:val="pt-BR"/>
              </w:rPr>
            </w:pPr>
            <w:r w:rsidRPr="004A59B1">
              <w:rPr>
                <w:b/>
                <w:color w:val="000000"/>
                <w:szCs w:val="22"/>
                <w:lang w:val="pt-BR"/>
              </w:rPr>
              <w:t>Slovenská republika</w:t>
            </w:r>
          </w:p>
          <w:p w14:paraId="5297A8C8" w14:textId="77777777" w:rsidR="0087411B" w:rsidRPr="004A59B1" w:rsidRDefault="0087411B" w:rsidP="009C1193">
            <w:pPr>
              <w:widowControl w:val="0"/>
              <w:rPr>
                <w:color w:val="000000"/>
                <w:szCs w:val="22"/>
                <w:lang w:val="pt-BR"/>
              </w:rPr>
            </w:pPr>
            <w:r w:rsidRPr="004A59B1">
              <w:rPr>
                <w:color w:val="000000"/>
                <w:szCs w:val="22"/>
                <w:lang w:val="pt-BR"/>
              </w:rPr>
              <w:t>Novartis Slovakia s.r.o.</w:t>
            </w:r>
          </w:p>
          <w:p w14:paraId="5297A8C9" w14:textId="77777777" w:rsidR="0087411B" w:rsidRPr="004A59B1" w:rsidRDefault="0087411B" w:rsidP="009C1193">
            <w:pPr>
              <w:widowControl w:val="0"/>
              <w:rPr>
                <w:color w:val="000000"/>
                <w:szCs w:val="22"/>
              </w:rPr>
            </w:pPr>
            <w:r w:rsidRPr="004A59B1">
              <w:rPr>
                <w:color w:val="000000"/>
                <w:szCs w:val="22"/>
              </w:rPr>
              <w:t>Tel: +421 2 5542 5439</w:t>
            </w:r>
          </w:p>
          <w:p w14:paraId="5297A8CA" w14:textId="77777777" w:rsidR="0087411B" w:rsidRPr="004A59B1" w:rsidRDefault="0087411B" w:rsidP="009C1193">
            <w:pPr>
              <w:widowControl w:val="0"/>
              <w:rPr>
                <w:color w:val="000000"/>
                <w:szCs w:val="22"/>
              </w:rPr>
            </w:pPr>
          </w:p>
        </w:tc>
      </w:tr>
      <w:tr w:rsidR="0087411B" w:rsidRPr="003B6568" w14:paraId="5297A8D3" w14:textId="77777777" w:rsidTr="008F282C">
        <w:trPr>
          <w:cantSplit/>
        </w:trPr>
        <w:tc>
          <w:tcPr>
            <w:tcW w:w="4650" w:type="dxa"/>
          </w:tcPr>
          <w:p w14:paraId="5297A8CC" w14:textId="77777777" w:rsidR="0087411B" w:rsidRPr="004A59B1" w:rsidRDefault="0087411B" w:rsidP="009C1193">
            <w:pPr>
              <w:widowControl w:val="0"/>
              <w:rPr>
                <w:b/>
                <w:color w:val="000000"/>
                <w:szCs w:val="22"/>
                <w:lang w:val="pt-BR"/>
              </w:rPr>
            </w:pPr>
            <w:r w:rsidRPr="004A59B1">
              <w:rPr>
                <w:b/>
                <w:color w:val="000000"/>
                <w:szCs w:val="22"/>
                <w:lang w:val="pt-BR"/>
              </w:rPr>
              <w:t>Italia</w:t>
            </w:r>
          </w:p>
          <w:p w14:paraId="5297A8CD" w14:textId="77777777" w:rsidR="0087411B" w:rsidRPr="004A59B1" w:rsidRDefault="0087411B" w:rsidP="009C1193">
            <w:pPr>
              <w:widowControl w:val="0"/>
              <w:rPr>
                <w:color w:val="000000"/>
                <w:szCs w:val="22"/>
                <w:lang w:val="pt-BR"/>
              </w:rPr>
            </w:pPr>
            <w:r w:rsidRPr="004A59B1">
              <w:rPr>
                <w:color w:val="000000"/>
                <w:szCs w:val="22"/>
                <w:lang w:val="pt-BR"/>
              </w:rPr>
              <w:t>Novartis Farma S.p.A.</w:t>
            </w:r>
          </w:p>
          <w:p w14:paraId="5297A8CE" w14:textId="77777777" w:rsidR="0087411B" w:rsidRPr="004A59B1" w:rsidRDefault="0087411B" w:rsidP="009C1193">
            <w:pPr>
              <w:widowControl w:val="0"/>
              <w:rPr>
                <w:b/>
                <w:color w:val="000000"/>
                <w:szCs w:val="22"/>
              </w:rPr>
            </w:pPr>
            <w:r w:rsidRPr="004A59B1">
              <w:rPr>
                <w:color w:val="000000"/>
                <w:szCs w:val="22"/>
              </w:rPr>
              <w:t>Tel: +39 02 96 54 1</w:t>
            </w:r>
          </w:p>
        </w:tc>
        <w:tc>
          <w:tcPr>
            <w:tcW w:w="4650" w:type="dxa"/>
          </w:tcPr>
          <w:p w14:paraId="5297A8CF" w14:textId="77777777" w:rsidR="0087411B" w:rsidRPr="004A59B1" w:rsidRDefault="0087411B" w:rsidP="009C1193">
            <w:pPr>
              <w:widowControl w:val="0"/>
              <w:rPr>
                <w:b/>
                <w:color w:val="000000"/>
                <w:szCs w:val="22"/>
                <w:lang w:val="fr-FR"/>
              </w:rPr>
            </w:pPr>
            <w:r w:rsidRPr="004A59B1">
              <w:rPr>
                <w:b/>
                <w:color w:val="000000"/>
                <w:szCs w:val="22"/>
                <w:lang w:val="fr-FR"/>
              </w:rPr>
              <w:t>Suomi/Finland</w:t>
            </w:r>
          </w:p>
          <w:p w14:paraId="5297A8D0" w14:textId="77777777" w:rsidR="0087411B" w:rsidRPr="004A59B1" w:rsidRDefault="0087411B" w:rsidP="009C1193">
            <w:pPr>
              <w:widowControl w:val="0"/>
              <w:rPr>
                <w:color w:val="000000"/>
                <w:szCs w:val="22"/>
                <w:lang w:val="fr-FR"/>
              </w:rPr>
            </w:pPr>
            <w:r w:rsidRPr="004A59B1">
              <w:rPr>
                <w:color w:val="000000"/>
                <w:szCs w:val="22"/>
                <w:lang w:val="fr-FR"/>
              </w:rPr>
              <w:t>Novartis Finland Oy</w:t>
            </w:r>
          </w:p>
          <w:p w14:paraId="5297A8D1" w14:textId="77777777" w:rsidR="0087411B" w:rsidRPr="004A59B1" w:rsidRDefault="0087411B" w:rsidP="009C1193">
            <w:pPr>
              <w:widowControl w:val="0"/>
              <w:rPr>
                <w:color w:val="000000"/>
                <w:szCs w:val="22"/>
                <w:lang w:val="fr-FR"/>
              </w:rPr>
            </w:pPr>
            <w:r w:rsidRPr="004A59B1">
              <w:rPr>
                <w:color w:val="000000"/>
                <w:szCs w:val="22"/>
                <w:lang w:val="fr-FR"/>
              </w:rPr>
              <w:t xml:space="preserve">Puh/Tel: </w:t>
            </w:r>
            <w:r w:rsidRPr="004A59B1">
              <w:rPr>
                <w:color w:val="000000"/>
                <w:szCs w:val="22"/>
                <w:lang w:val="de-CH" w:bidi="he-IL"/>
              </w:rPr>
              <w:t>+358 (0)10 6133 200</w:t>
            </w:r>
          </w:p>
          <w:p w14:paraId="5297A8D2" w14:textId="77777777" w:rsidR="0087411B" w:rsidRPr="004A59B1" w:rsidRDefault="0087411B" w:rsidP="009C1193">
            <w:pPr>
              <w:widowControl w:val="0"/>
              <w:rPr>
                <w:color w:val="000000"/>
                <w:szCs w:val="22"/>
                <w:lang w:val="fr-FR"/>
              </w:rPr>
            </w:pPr>
          </w:p>
        </w:tc>
      </w:tr>
      <w:tr w:rsidR="0087411B" w:rsidRPr="003B6568" w14:paraId="5297A8DC" w14:textId="77777777" w:rsidTr="008F282C">
        <w:trPr>
          <w:cantSplit/>
        </w:trPr>
        <w:tc>
          <w:tcPr>
            <w:tcW w:w="4650" w:type="dxa"/>
          </w:tcPr>
          <w:p w14:paraId="5297A8D4" w14:textId="77777777" w:rsidR="0087411B" w:rsidRPr="004A59B1" w:rsidRDefault="0087411B" w:rsidP="009C1193">
            <w:pPr>
              <w:widowControl w:val="0"/>
              <w:rPr>
                <w:b/>
                <w:color w:val="000000"/>
                <w:szCs w:val="22"/>
                <w:lang w:val="fr-FR"/>
              </w:rPr>
            </w:pPr>
            <w:r w:rsidRPr="004A59B1">
              <w:rPr>
                <w:b/>
                <w:color w:val="000000"/>
                <w:szCs w:val="22"/>
              </w:rPr>
              <w:t>Κύπρος</w:t>
            </w:r>
          </w:p>
          <w:p w14:paraId="5297A8D5" w14:textId="77777777" w:rsidR="0087411B" w:rsidRPr="004A59B1" w:rsidRDefault="0087411B" w:rsidP="009C1193">
            <w:pPr>
              <w:widowControl w:val="0"/>
              <w:rPr>
                <w:color w:val="000000"/>
                <w:szCs w:val="22"/>
                <w:lang w:val="fr-FR"/>
              </w:rPr>
            </w:pPr>
            <w:r w:rsidRPr="004A59B1">
              <w:rPr>
                <w:color w:val="000000"/>
                <w:szCs w:val="22"/>
                <w:lang w:val="fr-FR" w:bidi="he-IL"/>
              </w:rPr>
              <w:t>Novartis Pharma Services Inc.</w:t>
            </w:r>
          </w:p>
          <w:p w14:paraId="5297A8D6" w14:textId="77777777" w:rsidR="0087411B" w:rsidRPr="004A59B1" w:rsidRDefault="0087411B" w:rsidP="009C1193">
            <w:pPr>
              <w:widowControl w:val="0"/>
              <w:rPr>
                <w:color w:val="000000"/>
                <w:szCs w:val="22"/>
                <w:lang w:val="fr-FR"/>
              </w:rPr>
            </w:pPr>
            <w:r w:rsidRPr="004A59B1">
              <w:rPr>
                <w:color w:val="000000"/>
                <w:szCs w:val="22"/>
              </w:rPr>
              <w:t>Τηλ</w:t>
            </w:r>
            <w:r w:rsidRPr="004A59B1">
              <w:rPr>
                <w:color w:val="000000"/>
                <w:szCs w:val="22"/>
                <w:lang w:val="fr-FR"/>
              </w:rPr>
              <w:t>: +357 22 690 690</w:t>
            </w:r>
          </w:p>
          <w:p w14:paraId="5297A8D7" w14:textId="77777777" w:rsidR="0087411B" w:rsidRPr="004A59B1" w:rsidRDefault="0087411B" w:rsidP="009C1193">
            <w:pPr>
              <w:widowControl w:val="0"/>
              <w:rPr>
                <w:b/>
                <w:color w:val="000000"/>
                <w:szCs w:val="22"/>
                <w:lang w:val="fr-FR"/>
              </w:rPr>
            </w:pPr>
          </w:p>
        </w:tc>
        <w:tc>
          <w:tcPr>
            <w:tcW w:w="4650" w:type="dxa"/>
          </w:tcPr>
          <w:p w14:paraId="5297A8D8" w14:textId="77777777" w:rsidR="0087411B" w:rsidRPr="004A59B1" w:rsidRDefault="0087411B" w:rsidP="009C1193">
            <w:pPr>
              <w:widowControl w:val="0"/>
              <w:rPr>
                <w:b/>
                <w:color w:val="000000"/>
                <w:szCs w:val="22"/>
                <w:lang w:val="de-CH"/>
              </w:rPr>
            </w:pPr>
            <w:r w:rsidRPr="004A59B1">
              <w:rPr>
                <w:b/>
                <w:color w:val="000000"/>
                <w:szCs w:val="22"/>
                <w:lang w:val="de-CH"/>
              </w:rPr>
              <w:t>Sverige</w:t>
            </w:r>
          </w:p>
          <w:p w14:paraId="5297A8D9" w14:textId="77777777" w:rsidR="0087411B" w:rsidRPr="004A59B1" w:rsidRDefault="0087411B" w:rsidP="009C1193">
            <w:pPr>
              <w:widowControl w:val="0"/>
              <w:rPr>
                <w:color w:val="000000"/>
                <w:szCs w:val="22"/>
                <w:lang w:val="de-CH"/>
              </w:rPr>
            </w:pPr>
            <w:r w:rsidRPr="004A59B1">
              <w:rPr>
                <w:color w:val="000000"/>
                <w:szCs w:val="22"/>
                <w:lang w:val="de-CH"/>
              </w:rPr>
              <w:t>Novartis Sverige AB</w:t>
            </w:r>
          </w:p>
          <w:p w14:paraId="5297A8DA" w14:textId="77777777" w:rsidR="0087411B" w:rsidRPr="004A59B1" w:rsidRDefault="0087411B" w:rsidP="009C1193">
            <w:pPr>
              <w:widowControl w:val="0"/>
              <w:rPr>
                <w:color w:val="000000"/>
                <w:szCs w:val="22"/>
                <w:lang w:val="de-CH"/>
              </w:rPr>
            </w:pPr>
            <w:r w:rsidRPr="004A59B1">
              <w:rPr>
                <w:color w:val="000000"/>
                <w:szCs w:val="22"/>
                <w:lang w:val="de-CH"/>
              </w:rPr>
              <w:t>Tel: +46 8 732 32 00</w:t>
            </w:r>
          </w:p>
          <w:p w14:paraId="5297A8DB" w14:textId="77777777" w:rsidR="0087411B" w:rsidRPr="004A59B1" w:rsidRDefault="0087411B" w:rsidP="009C1193">
            <w:pPr>
              <w:widowControl w:val="0"/>
              <w:rPr>
                <w:color w:val="000000"/>
                <w:szCs w:val="22"/>
                <w:lang w:val="de-CH"/>
              </w:rPr>
            </w:pPr>
          </w:p>
        </w:tc>
      </w:tr>
      <w:tr w:rsidR="0087411B" w:rsidRPr="004A59B1" w14:paraId="5297A8E5" w14:textId="77777777" w:rsidTr="008F282C">
        <w:trPr>
          <w:cantSplit/>
        </w:trPr>
        <w:tc>
          <w:tcPr>
            <w:tcW w:w="4650" w:type="dxa"/>
          </w:tcPr>
          <w:p w14:paraId="5297A8DD" w14:textId="77777777" w:rsidR="0087411B" w:rsidRPr="000C1414" w:rsidRDefault="0087411B" w:rsidP="009C1193">
            <w:pPr>
              <w:widowControl w:val="0"/>
              <w:rPr>
                <w:b/>
                <w:color w:val="000000"/>
                <w:szCs w:val="22"/>
                <w:lang w:val="it-IT"/>
              </w:rPr>
            </w:pPr>
            <w:r w:rsidRPr="000C1414">
              <w:rPr>
                <w:b/>
                <w:color w:val="000000"/>
                <w:szCs w:val="22"/>
                <w:lang w:val="it-IT"/>
              </w:rPr>
              <w:t>Latvija</w:t>
            </w:r>
          </w:p>
          <w:p w14:paraId="5297A8DE" w14:textId="03EF5A52" w:rsidR="0087411B" w:rsidRPr="000C1414" w:rsidRDefault="00AA1B6C" w:rsidP="009C1193">
            <w:pPr>
              <w:widowControl w:val="0"/>
              <w:rPr>
                <w:color w:val="000000"/>
                <w:szCs w:val="22"/>
                <w:lang w:val="it-IT"/>
              </w:rPr>
            </w:pPr>
            <w:r w:rsidRPr="0051657E">
              <w:rPr>
                <w:szCs w:val="22"/>
                <w:lang w:val="it-IT"/>
              </w:rPr>
              <w:t>SIA Novartis Baltics</w:t>
            </w:r>
          </w:p>
          <w:p w14:paraId="5297A8DF" w14:textId="77777777" w:rsidR="0087411B" w:rsidRPr="000C1414" w:rsidRDefault="0087411B" w:rsidP="009C1193">
            <w:pPr>
              <w:widowControl w:val="0"/>
              <w:rPr>
                <w:color w:val="000000"/>
                <w:szCs w:val="22"/>
                <w:lang w:val="it-IT"/>
              </w:rPr>
            </w:pPr>
            <w:r w:rsidRPr="000C1414">
              <w:rPr>
                <w:color w:val="000000"/>
                <w:szCs w:val="22"/>
                <w:lang w:val="it-IT"/>
              </w:rPr>
              <w:t>Tel: +371 67 887 070</w:t>
            </w:r>
          </w:p>
          <w:p w14:paraId="5297A8E0" w14:textId="77777777" w:rsidR="0087411B" w:rsidRPr="000C1414" w:rsidRDefault="0087411B" w:rsidP="009C1193">
            <w:pPr>
              <w:widowControl w:val="0"/>
              <w:rPr>
                <w:b/>
                <w:color w:val="000000"/>
                <w:szCs w:val="22"/>
                <w:lang w:val="it-IT"/>
              </w:rPr>
            </w:pPr>
          </w:p>
        </w:tc>
        <w:tc>
          <w:tcPr>
            <w:tcW w:w="4650" w:type="dxa"/>
          </w:tcPr>
          <w:p w14:paraId="5297A8E1" w14:textId="77777777" w:rsidR="0087411B" w:rsidRPr="004A59B1" w:rsidRDefault="0087411B" w:rsidP="009C1193">
            <w:pPr>
              <w:widowControl w:val="0"/>
              <w:rPr>
                <w:b/>
                <w:color w:val="000000"/>
                <w:szCs w:val="22"/>
                <w:lang w:val="en-US"/>
              </w:rPr>
            </w:pPr>
            <w:r w:rsidRPr="004A59B1">
              <w:rPr>
                <w:b/>
                <w:color w:val="000000"/>
                <w:szCs w:val="22"/>
                <w:lang w:val="en-US"/>
              </w:rPr>
              <w:t>United Kingdom</w:t>
            </w:r>
          </w:p>
          <w:p w14:paraId="5297A8E2" w14:textId="77777777" w:rsidR="0087411B" w:rsidRPr="004A59B1" w:rsidRDefault="0087411B" w:rsidP="009C1193">
            <w:pPr>
              <w:widowControl w:val="0"/>
              <w:rPr>
                <w:color w:val="000000"/>
                <w:szCs w:val="22"/>
                <w:lang w:val="en-US"/>
              </w:rPr>
            </w:pPr>
            <w:r w:rsidRPr="004A59B1">
              <w:rPr>
                <w:color w:val="000000"/>
                <w:szCs w:val="22"/>
                <w:lang w:val="en-US"/>
              </w:rPr>
              <w:t>Novartis Pharmaceuticals UK Ltd.</w:t>
            </w:r>
          </w:p>
          <w:p w14:paraId="5297A8E3" w14:textId="77777777" w:rsidR="0087411B" w:rsidRPr="004A59B1" w:rsidRDefault="0087411B" w:rsidP="009C1193">
            <w:pPr>
              <w:widowControl w:val="0"/>
              <w:rPr>
                <w:color w:val="000000"/>
                <w:szCs w:val="22"/>
              </w:rPr>
            </w:pPr>
            <w:r w:rsidRPr="004A59B1">
              <w:rPr>
                <w:color w:val="000000"/>
                <w:szCs w:val="22"/>
              </w:rPr>
              <w:t>Tel: +44 1276 698370</w:t>
            </w:r>
          </w:p>
          <w:p w14:paraId="5297A8E4" w14:textId="77777777" w:rsidR="0087411B" w:rsidRPr="004A59B1" w:rsidRDefault="0087411B" w:rsidP="009C1193">
            <w:pPr>
              <w:widowControl w:val="0"/>
              <w:rPr>
                <w:color w:val="000000"/>
                <w:szCs w:val="22"/>
              </w:rPr>
            </w:pPr>
          </w:p>
        </w:tc>
      </w:tr>
    </w:tbl>
    <w:p w14:paraId="5297A8E6" w14:textId="77777777" w:rsidR="0087411B" w:rsidRPr="004A59B1" w:rsidRDefault="0087411B" w:rsidP="009C1193">
      <w:pPr>
        <w:widowControl w:val="0"/>
        <w:tabs>
          <w:tab w:val="clear" w:pos="567"/>
        </w:tabs>
        <w:spacing w:line="240" w:lineRule="auto"/>
        <w:ind w:right="-449"/>
        <w:rPr>
          <w:color w:val="000000"/>
          <w:szCs w:val="22"/>
        </w:rPr>
      </w:pPr>
    </w:p>
    <w:p w14:paraId="5297A8E7" w14:textId="77777777" w:rsidR="00841424" w:rsidRPr="004A59B1" w:rsidRDefault="00841424" w:rsidP="009C1193">
      <w:pPr>
        <w:widowControl w:val="0"/>
        <w:numPr>
          <w:ilvl w:val="12"/>
          <w:numId w:val="0"/>
        </w:numPr>
        <w:tabs>
          <w:tab w:val="clear" w:pos="567"/>
        </w:tabs>
        <w:spacing w:line="240" w:lineRule="auto"/>
        <w:ind w:right="-2"/>
        <w:rPr>
          <w:b/>
          <w:color w:val="000000"/>
          <w:szCs w:val="22"/>
          <w:lang w:val="es-ES"/>
        </w:rPr>
      </w:pPr>
      <w:r w:rsidRPr="004A59B1">
        <w:rPr>
          <w:b/>
          <w:color w:val="000000"/>
          <w:szCs w:val="22"/>
          <w:lang w:val="es-ES"/>
        </w:rPr>
        <w:t xml:space="preserve">Navodilo je bilo </w:t>
      </w:r>
      <w:r w:rsidR="002E508D" w:rsidRPr="004A59B1">
        <w:rPr>
          <w:b/>
          <w:color w:val="000000"/>
          <w:szCs w:val="22"/>
          <w:lang w:val="es-ES"/>
        </w:rPr>
        <w:t>nazadnje revidirano</w:t>
      </w:r>
    </w:p>
    <w:p w14:paraId="5297A8E8" w14:textId="77777777" w:rsidR="00841424" w:rsidRPr="004A59B1" w:rsidRDefault="00841424" w:rsidP="009C1193">
      <w:pPr>
        <w:widowControl w:val="0"/>
        <w:numPr>
          <w:ilvl w:val="12"/>
          <w:numId w:val="0"/>
        </w:numPr>
        <w:tabs>
          <w:tab w:val="clear" w:pos="567"/>
        </w:tabs>
        <w:spacing w:line="240" w:lineRule="auto"/>
        <w:ind w:right="-2"/>
        <w:rPr>
          <w:bCs/>
          <w:color w:val="000000"/>
          <w:szCs w:val="22"/>
          <w:lang w:val="es-ES"/>
        </w:rPr>
      </w:pPr>
    </w:p>
    <w:p w14:paraId="5297A8E9" w14:textId="77777777" w:rsidR="002E508D" w:rsidRPr="004A59B1" w:rsidRDefault="002E508D" w:rsidP="009C1193">
      <w:pPr>
        <w:pStyle w:val="Text"/>
        <w:keepNext/>
        <w:widowControl w:val="0"/>
        <w:tabs>
          <w:tab w:val="left" w:pos="567"/>
        </w:tabs>
        <w:spacing w:before="0"/>
        <w:jc w:val="left"/>
        <w:rPr>
          <w:b/>
          <w:color w:val="000000"/>
          <w:sz w:val="22"/>
          <w:szCs w:val="22"/>
          <w:lang w:val="pl-PL"/>
        </w:rPr>
      </w:pPr>
      <w:r w:rsidRPr="004A59B1">
        <w:rPr>
          <w:b/>
          <w:color w:val="000000"/>
          <w:sz w:val="22"/>
          <w:szCs w:val="22"/>
          <w:lang w:val="pl-PL"/>
        </w:rPr>
        <w:t>Drugi viri informacij</w:t>
      </w:r>
    </w:p>
    <w:p w14:paraId="5297A8EA" w14:textId="77777777" w:rsidR="00841424" w:rsidRPr="004A59B1" w:rsidRDefault="00841424" w:rsidP="009C1193">
      <w:pPr>
        <w:pStyle w:val="Text"/>
        <w:widowControl w:val="0"/>
        <w:tabs>
          <w:tab w:val="left" w:pos="567"/>
        </w:tabs>
        <w:spacing w:before="0"/>
        <w:jc w:val="left"/>
        <w:rPr>
          <w:color w:val="000000"/>
          <w:sz w:val="22"/>
          <w:szCs w:val="22"/>
          <w:lang w:val="pl-PL"/>
        </w:rPr>
      </w:pPr>
      <w:r w:rsidRPr="004A59B1">
        <w:rPr>
          <w:color w:val="000000"/>
          <w:sz w:val="22"/>
          <w:szCs w:val="22"/>
          <w:lang w:val="pl-PL"/>
        </w:rPr>
        <w:t>Podrobne informacije o zdravilu so objavljene na spletni strani Evropske agencije za zdravila http://www.ema.europa.eu</w:t>
      </w:r>
      <w:r w:rsidR="00346403" w:rsidRPr="004A59B1">
        <w:rPr>
          <w:color w:val="000000"/>
          <w:sz w:val="22"/>
          <w:szCs w:val="22"/>
          <w:lang w:val="pl-PL"/>
        </w:rPr>
        <w:t>.</w:t>
      </w:r>
    </w:p>
    <w:p w14:paraId="5297A8EB" w14:textId="77777777" w:rsidR="00841424" w:rsidRPr="004A59B1" w:rsidRDefault="00841424" w:rsidP="009C1193">
      <w:pPr>
        <w:widowControl w:val="0"/>
        <w:numPr>
          <w:ilvl w:val="12"/>
          <w:numId w:val="0"/>
        </w:numPr>
        <w:tabs>
          <w:tab w:val="clear" w:pos="567"/>
        </w:tabs>
        <w:spacing w:line="240" w:lineRule="auto"/>
        <w:ind w:right="-2"/>
        <w:rPr>
          <w:noProof/>
          <w:color w:val="000000"/>
          <w:lang w:val="pl-PL"/>
        </w:rPr>
      </w:pPr>
    </w:p>
    <w:p w14:paraId="5297A8EC" w14:textId="77777777" w:rsidR="00841424" w:rsidRPr="004A59B1" w:rsidRDefault="00841424" w:rsidP="009C1193">
      <w:pPr>
        <w:widowControl w:val="0"/>
        <w:tabs>
          <w:tab w:val="clear" w:pos="567"/>
        </w:tabs>
        <w:spacing w:line="240" w:lineRule="auto"/>
        <w:jc w:val="center"/>
        <w:rPr>
          <w:color w:val="000000"/>
          <w:szCs w:val="22"/>
          <w:lang w:val="pl-PL"/>
        </w:rPr>
      </w:pPr>
      <w:r w:rsidRPr="004A59B1">
        <w:rPr>
          <w:b/>
          <w:color w:val="000000"/>
          <w:szCs w:val="22"/>
          <w:lang w:val="pl-PL"/>
        </w:rPr>
        <w:br w:type="page"/>
      </w:r>
      <w:r w:rsidRPr="004A59B1">
        <w:rPr>
          <w:b/>
          <w:color w:val="000000"/>
          <w:szCs w:val="22"/>
          <w:lang w:val="pl-PL"/>
        </w:rPr>
        <w:lastRenderedPageBreak/>
        <w:t>N</w:t>
      </w:r>
      <w:r w:rsidR="002E508D" w:rsidRPr="004A59B1">
        <w:rPr>
          <w:b/>
          <w:color w:val="000000"/>
          <w:szCs w:val="22"/>
          <w:lang w:val="pl-PL"/>
        </w:rPr>
        <w:t>avodilo za uporabo</w:t>
      </w:r>
    </w:p>
    <w:p w14:paraId="5297A8ED" w14:textId="77777777" w:rsidR="00841424" w:rsidRPr="004A59B1" w:rsidRDefault="00841424" w:rsidP="009C1193">
      <w:pPr>
        <w:widowControl w:val="0"/>
        <w:tabs>
          <w:tab w:val="clear" w:pos="567"/>
        </w:tabs>
        <w:spacing w:line="240" w:lineRule="auto"/>
        <w:jc w:val="center"/>
        <w:rPr>
          <w:bCs/>
          <w:color w:val="000000"/>
          <w:szCs w:val="22"/>
          <w:lang w:val="pl-PL"/>
        </w:rPr>
      </w:pPr>
    </w:p>
    <w:p w14:paraId="5297A8EE" w14:textId="248E8A64" w:rsidR="00841424" w:rsidRDefault="00841424" w:rsidP="009C1193">
      <w:pPr>
        <w:widowControl w:val="0"/>
        <w:tabs>
          <w:tab w:val="clear" w:pos="567"/>
        </w:tabs>
        <w:spacing w:line="240" w:lineRule="auto"/>
        <w:jc w:val="center"/>
        <w:rPr>
          <w:b/>
          <w:bCs/>
          <w:color w:val="000000"/>
          <w:szCs w:val="22"/>
          <w:lang w:val="pl-PL"/>
        </w:rPr>
      </w:pPr>
      <w:r w:rsidRPr="004A59B1">
        <w:rPr>
          <w:b/>
          <w:bCs/>
          <w:color w:val="000000"/>
          <w:szCs w:val="22"/>
          <w:lang w:val="pl-PL"/>
        </w:rPr>
        <w:t>Glivec 100 mg filmsko obložene tablete</w:t>
      </w:r>
    </w:p>
    <w:p w14:paraId="0B5FE879" w14:textId="2D0FE1B1" w:rsidR="00042F15" w:rsidRPr="004A59B1" w:rsidRDefault="00042F15" w:rsidP="009C1193">
      <w:pPr>
        <w:widowControl w:val="0"/>
        <w:tabs>
          <w:tab w:val="clear" w:pos="567"/>
        </w:tabs>
        <w:spacing w:line="240" w:lineRule="auto"/>
        <w:jc w:val="center"/>
        <w:rPr>
          <w:b/>
          <w:bCs/>
          <w:color w:val="000000"/>
          <w:szCs w:val="22"/>
          <w:lang w:val="pl-PL"/>
        </w:rPr>
      </w:pPr>
      <w:r>
        <w:rPr>
          <w:b/>
          <w:bCs/>
          <w:color w:val="000000"/>
          <w:szCs w:val="22"/>
          <w:lang w:val="pl-PL"/>
        </w:rPr>
        <w:t>Glivec 4</w:t>
      </w:r>
      <w:r w:rsidRPr="004A59B1">
        <w:rPr>
          <w:b/>
          <w:bCs/>
          <w:color w:val="000000"/>
          <w:szCs w:val="22"/>
          <w:lang w:val="pl-PL"/>
        </w:rPr>
        <w:t>00 mg filmsko obložene tablete</w:t>
      </w:r>
    </w:p>
    <w:p w14:paraId="5297A8EF" w14:textId="77777777" w:rsidR="00841424" w:rsidRPr="004A59B1" w:rsidRDefault="00841424" w:rsidP="009C1193">
      <w:pPr>
        <w:widowControl w:val="0"/>
        <w:tabs>
          <w:tab w:val="clear" w:pos="567"/>
        </w:tabs>
        <w:spacing w:line="240" w:lineRule="auto"/>
        <w:jc w:val="center"/>
        <w:rPr>
          <w:color w:val="000000"/>
          <w:szCs w:val="22"/>
          <w:lang w:val="pt-BR"/>
        </w:rPr>
      </w:pPr>
      <w:r w:rsidRPr="004A59B1">
        <w:rPr>
          <w:color w:val="000000"/>
          <w:szCs w:val="22"/>
          <w:lang w:val="pt-BR"/>
        </w:rPr>
        <w:t>imatinib</w:t>
      </w:r>
    </w:p>
    <w:p w14:paraId="5297A8F0" w14:textId="77777777" w:rsidR="00841424" w:rsidRPr="004A59B1" w:rsidRDefault="00841424" w:rsidP="009C1193">
      <w:pPr>
        <w:widowControl w:val="0"/>
        <w:tabs>
          <w:tab w:val="clear" w:pos="567"/>
        </w:tabs>
        <w:spacing w:line="240" w:lineRule="auto"/>
        <w:rPr>
          <w:color w:val="000000"/>
          <w:szCs w:val="22"/>
          <w:lang w:val="pt-BR"/>
        </w:rPr>
      </w:pPr>
    </w:p>
    <w:p w14:paraId="5297A8F1" w14:textId="77777777" w:rsidR="00651793" w:rsidRPr="004A59B1" w:rsidRDefault="003B1E8C" w:rsidP="009C1193">
      <w:pPr>
        <w:widowControl w:val="0"/>
        <w:tabs>
          <w:tab w:val="clear" w:pos="567"/>
        </w:tabs>
        <w:spacing w:line="240" w:lineRule="auto"/>
        <w:rPr>
          <w:snapToGrid w:val="0"/>
          <w:lang w:val="sl-SI" w:eastAsia="zh-CN"/>
        </w:rPr>
      </w:pPr>
      <w:r w:rsidRPr="004A59B1">
        <w:rPr>
          <w:noProof/>
          <w:lang w:val="en-US"/>
        </w:rPr>
        <w:drawing>
          <wp:inline distT="0" distB="0" distL="0" distR="0" wp14:anchorId="5297AC3C" wp14:editId="5297AC3D">
            <wp:extent cx="201295" cy="173990"/>
            <wp:effectExtent l="0" t="0" r="0" b="0"/>
            <wp:docPr id="9" name="Picture 2"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remansk\AppData\Local\Microsoft\Windows\Temporary Internet Files\Content.Word\BT_1000x858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295" cy="173990"/>
                    </a:xfrm>
                    <a:prstGeom prst="rect">
                      <a:avLst/>
                    </a:prstGeom>
                    <a:noFill/>
                    <a:ln>
                      <a:noFill/>
                    </a:ln>
                  </pic:spPr>
                </pic:pic>
              </a:graphicData>
            </a:graphic>
          </wp:inline>
        </w:drawing>
      </w:r>
      <w:r w:rsidR="00651793" w:rsidRPr="004A59B1">
        <w:rPr>
          <w:snapToGrid w:val="0"/>
          <w:szCs w:val="22"/>
          <w:lang w:val="sl-SI" w:eastAsia="zh-CN"/>
        </w:rPr>
        <w:t>Za to zdravilo se izvaja dodatno spremljanje varnosti. Tako bodo hitreje na voljo nove informacije o njegovi varnosti. Tudi sami lahko k temu prispevate tako, da poročate o katerem koli neželenem učinku zdravila, ki bi se utegnil pojaviti pri vas. Glejte na koncu poglavja 4, kako poročati o neželenih učinkih.</w:t>
      </w:r>
    </w:p>
    <w:p w14:paraId="5297A8F2" w14:textId="77777777" w:rsidR="00A46940" w:rsidRPr="004A59B1" w:rsidRDefault="00A46940" w:rsidP="009C1193">
      <w:pPr>
        <w:widowControl w:val="0"/>
        <w:tabs>
          <w:tab w:val="clear" w:pos="567"/>
        </w:tabs>
        <w:spacing w:line="240" w:lineRule="auto"/>
        <w:rPr>
          <w:color w:val="000000"/>
          <w:szCs w:val="22"/>
          <w:lang w:val="pt-BR"/>
        </w:rPr>
      </w:pPr>
    </w:p>
    <w:p w14:paraId="5297A8F3" w14:textId="77777777" w:rsidR="007B1033" w:rsidRPr="004A59B1" w:rsidRDefault="007B1033" w:rsidP="009C1193">
      <w:pPr>
        <w:widowControl w:val="0"/>
        <w:tabs>
          <w:tab w:val="clear" w:pos="567"/>
        </w:tabs>
        <w:spacing w:line="240" w:lineRule="auto"/>
        <w:ind w:right="-2"/>
        <w:rPr>
          <w:color w:val="000000"/>
          <w:szCs w:val="22"/>
          <w:lang w:val="pl-PL"/>
        </w:rPr>
      </w:pPr>
      <w:r w:rsidRPr="004A59B1">
        <w:rPr>
          <w:b/>
          <w:color w:val="000000"/>
          <w:szCs w:val="22"/>
          <w:lang w:val="pl-PL"/>
        </w:rPr>
        <w:t xml:space="preserve">Pred začetkom </w:t>
      </w:r>
      <w:r w:rsidR="00346403" w:rsidRPr="004A59B1">
        <w:rPr>
          <w:b/>
          <w:color w:val="000000"/>
          <w:szCs w:val="22"/>
          <w:lang w:val="pl-PL"/>
        </w:rPr>
        <w:t>jemanja</w:t>
      </w:r>
      <w:r w:rsidRPr="004A59B1">
        <w:rPr>
          <w:b/>
          <w:color w:val="000000"/>
          <w:szCs w:val="22"/>
          <w:lang w:val="pl-PL"/>
        </w:rPr>
        <w:t xml:space="preserve"> zdravila natančno preberite navodilo</w:t>
      </w:r>
      <w:r w:rsidRPr="004A59B1">
        <w:rPr>
          <w:b/>
          <w:color w:val="000000"/>
          <w:szCs w:val="22"/>
          <w:lang w:val="sl-SI"/>
        </w:rPr>
        <w:t>, ker vsebuje za vas pomembne podatke</w:t>
      </w:r>
      <w:r w:rsidRPr="004A59B1">
        <w:rPr>
          <w:b/>
          <w:color w:val="000000"/>
          <w:szCs w:val="22"/>
          <w:lang w:val="pl-PL"/>
        </w:rPr>
        <w:t>!</w:t>
      </w:r>
    </w:p>
    <w:p w14:paraId="5297A8F4" w14:textId="77777777" w:rsidR="007B1033" w:rsidRPr="004A59B1" w:rsidRDefault="007B1033" w:rsidP="009C1193">
      <w:pPr>
        <w:widowControl w:val="0"/>
        <w:numPr>
          <w:ilvl w:val="0"/>
          <w:numId w:val="1"/>
        </w:numPr>
        <w:tabs>
          <w:tab w:val="clear" w:pos="567"/>
        </w:tabs>
        <w:spacing w:line="240" w:lineRule="auto"/>
        <w:ind w:left="567" w:right="-2" w:hanging="567"/>
        <w:rPr>
          <w:color w:val="000000"/>
          <w:szCs w:val="22"/>
          <w:lang w:val="it-IT"/>
        </w:rPr>
      </w:pPr>
      <w:r w:rsidRPr="004A59B1">
        <w:rPr>
          <w:color w:val="000000"/>
          <w:szCs w:val="22"/>
          <w:lang w:val="it-IT"/>
        </w:rPr>
        <w:t>Navodilo shranite. Morda ga boste želeli ponovno prebrati.</w:t>
      </w:r>
    </w:p>
    <w:p w14:paraId="5297A8F5" w14:textId="77777777" w:rsidR="007B1033" w:rsidRPr="004A59B1" w:rsidRDefault="007B1033" w:rsidP="009C1193">
      <w:pPr>
        <w:widowControl w:val="0"/>
        <w:numPr>
          <w:ilvl w:val="0"/>
          <w:numId w:val="1"/>
        </w:numPr>
        <w:tabs>
          <w:tab w:val="clear" w:pos="567"/>
        </w:tabs>
        <w:spacing w:line="240" w:lineRule="auto"/>
        <w:ind w:left="567" w:right="-2" w:hanging="567"/>
        <w:rPr>
          <w:color w:val="000000"/>
          <w:szCs w:val="22"/>
          <w:lang w:val="it-IT"/>
        </w:rPr>
      </w:pPr>
      <w:r w:rsidRPr="004A59B1">
        <w:rPr>
          <w:color w:val="000000"/>
          <w:szCs w:val="22"/>
          <w:lang w:val="it-IT"/>
        </w:rPr>
        <w:t xml:space="preserve">Če imate dodatna vprašanja, se posvetujte </w:t>
      </w:r>
      <w:r w:rsidR="00346403" w:rsidRPr="004A59B1">
        <w:rPr>
          <w:color w:val="000000"/>
          <w:szCs w:val="22"/>
          <w:lang w:val="it-IT"/>
        </w:rPr>
        <w:t>z</w:t>
      </w:r>
      <w:r w:rsidRPr="004A59B1">
        <w:rPr>
          <w:noProof/>
          <w:color w:val="000000"/>
          <w:lang w:val="sl-SI"/>
        </w:rPr>
        <w:t xml:space="preserve"> </w:t>
      </w:r>
      <w:r w:rsidRPr="004A59B1">
        <w:rPr>
          <w:color w:val="000000"/>
          <w:szCs w:val="22"/>
          <w:lang w:val="it-IT"/>
        </w:rPr>
        <w:t>zdravnikom, farmacevtom ali medicinsko sestro.</w:t>
      </w:r>
    </w:p>
    <w:p w14:paraId="5297A8F6" w14:textId="77777777" w:rsidR="007B1033" w:rsidRPr="004A59B1" w:rsidRDefault="007B1033" w:rsidP="009C1193">
      <w:pPr>
        <w:widowControl w:val="0"/>
        <w:numPr>
          <w:ilvl w:val="0"/>
          <w:numId w:val="1"/>
        </w:numPr>
        <w:tabs>
          <w:tab w:val="clear" w:pos="567"/>
        </w:tabs>
        <w:spacing w:line="240" w:lineRule="auto"/>
        <w:ind w:left="567" w:right="-2" w:hanging="567"/>
        <w:rPr>
          <w:color w:val="000000"/>
          <w:szCs w:val="22"/>
          <w:lang w:val="it-IT"/>
        </w:rPr>
      </w:pPr>
      <w:r w:rsidRPr="004A59B1">
        <w:rPr>
          <w:color w:val="000000"/>
          <w:szCs w:val="22"/>
          <w:lang w:val="it-IT"/>
        </w:rPr>
        <w:t xml:space="preserve">Zdravilo je bilo predpisano vam osebno in </w:t>
      </w:r>
      <w:r w:rsidRPr="004A59B1">
        <w:rPr>
          <w:snapToGrid w:val="0"/>
          <w:color w:val="000000"/>
          <w:szCs w:val="22"/>
          <w:lang w:val="it-IT"/>
        </w:rPr>
        <w:t>ga ne smete dajati drugim. Njim bi lahko celo škodovalo, čeprav imajo znake bolezni, podobne vašim</w:t>
      </w:r>
      <w:r w:rsidRPr="004A59B1">
        <w:rPr>
          <w:color w:val="000000"/>
          <w:szCs w:val="22"/>
          <w:lang w:val="it-IT"/>
        </w:rPr>
        <w:t>.</w:t>
      </w:r>
    </w:p>
    <w:p w14:paraId="5297A8F7" w14:textId="77777777" w:rsidR="007B1033" w:rsidRPr="004A59B1" w:rsidRDefault="007B1033" w:rsidP="009C1193">
      <w:pPr>
        <w:widowControl w:val="0"/>
        <w:numPr>
          <w:ilvl w:val="0"/>
          <w:numId w:val="1"/>
        </w:numPr>
        <w:tabs>
          <w:tab w:val="clear" w:pos="567"/>
        </w:tabs>
        <w:spacing w:line="240" w:lineRule="auto"/>
        <w:ind w:left="567" w:right="-2" w:hanging="567"/>
        <w:rPr>
          <w:color w:val="000000"/>
          <w:szCs w:val="22"/>
          <w:lang w:val="it-IT"/>
        </w:rPr>
      </w:pPr>
      <w:r w:rsidRPr="004A59B1">
        <w:rPr>
          <w:color w:val="000000"/>
          <w:szCs w:val="22"/>
          <w:lang w:val="it-IT"/>
        </w:rPr>
        <w:t xml:space="preserve">Če opazite kateri koli neželeni učinek, se posvetujte </w:t>
      </w:r>
      <w:r w:rsidR="00346403" w:rsidRPr="004A59B1">
        <w:rPr>
          <w:color w:val="000000"/>
          <w:szCs w:val="22"/>
          <w:lang w:val="it-IT"/>
        </w:rPr>
        <w:t>z</w:t>
      </w:r>
      <w:r w:rsidRPr="004A59B1">
        <w:rPr>
          <w:color w:val="000000"/>
          <w:szCs w:val="22"/>
          <w:lang w:val="it-IT"/>
        </w:rPr>
        <w:t xml:space="preserve"> zdravnikom, farmacevtom ali medicinsko sestro. Posvetujte se tudi, če opazite katere koli neželene učinke, ki niso navedeni v tem navodilu.</w:t>
      </w:r>
      <w:r w:rsidR="00346403" w:rsidRPr="004A59B1">
        <w:rPr>
          <w:color w:val="000000"/>
          <w:szCs w:val="22"/>
          <w:lang w:val="it-IT"/>
        </w:rPr>
        <w:t xml:space="preserve"> Glejte poglavje 4.</w:t>
      </w:r>
    </w:p>
    <w:p w14:paraId="5297A8F8" w14:textId="77777777" w:rsidR="007B1033" w:rsidRPr="004A59B1" w:rsidRDefault="007B1033" w:rsidP="009C1193">
      <w:pPr>
        <w:widowControl w:val="0"/>
        <w:tabs>
          <w:tab w:val="clear" w:pos="567"/>
        </w:tabs>
        <w:spacing w:line="240" w:lineRule="auto"/>
        <w:rPr>
          <w:color w:val="000000"/>
          <w:szCs w:val="22"/>
          <w:lang w:val="it-IT"/>
        </w:rPr>
      </w:pPr>
    </w:p>
    <w:p w14:paraId="5297A8F9" w14:textId="77777777" w:rsidR="007B1033" w:rsidRPr="004A59B1" w:rsidRDefault="007B1033" w:rsidP="009C1193">
      <w:pPr>
        <w:widowControl w:val="0"/>
        <w:numPr>
          <w:ilvl w:val="12"/>
          <w:numId w:val="0"/>
        </w:numPr>
        <w:tabs>
          <w:tab w:val="clear" w:pos="567"/>
        </w:tabs>
        <w:spacing w:line="240" w:lineRule="auto"/>
        <w:ind w:right="-2"/>
        <w:rPr>
          <w:color w:val="000000"/>
          <w:szCs w:val="22"/>
          <w:lang w:val="it-IT"/>
        </w:rPr>
      </w:pPr>
    </w:p>
    <w:p w14:paraId="5297A8FA" w14:textId="77777777" w:rsidR="007B1033" w:rsidRPr="004A59B1" w:rsidRDefault="007B1033" w:rsidP="005B2939">
      <w:pPr>
        <w:keepNext/>
        <w:widowControl w:val="0"/>
        <w:numPr>
          <w:ilvl w:val="12"/>
          <w:numId w:val="0"/>
        </w:numPr>
        <w:tabs>
          <w:tab w:val="clear" w:pos="567"/>
        </w:tabs>
        <w:spacing w:line="240" w:lineRule="auto"/>
        <w:ind w:right="-2"/>
        <w:rPr>
          <w:color w:val="000000"/>
          <w:szCs w:val="22"/>
          <w:lang w:val="it-IT"/>
        </w:rPr>
      </w:pPr>
      <w:r w:rsidRPr="004A59B1">
        <w:rPr>
          <w:b/>
          <w:color w:val="000000"/>
          <w:szCs w:val="22"/>
          <w:lang w:val="it-IT"/>
        </w:rPr>
        <w:t>Kaj vsebuje navodilo</w:t>
      </w:r>
    </w:p>
    <w:p w14:paraId="5297A8FB" w14:textId="77777777" w:rsidR="007B1033" w:rsidRPr="004A59B1" w:rsidRDefault="007B1033" w:rsidP="005B2939">
      <w:pPr>
        <w:keepNext/>
        <w:widowControl w:val="0"/>
        <w:numPr>
          <w:ilvl w:val="12"/>
          <w:numId w:val="0"/>
        </w:numPr>
        <w:tabs>
          <w:tab w:val="clear" w:pos="567"/>
        </w:tabs>
        <w:spacing w:line="240" w:lineRule="auto"/>
        <w:ind w:right="-29"/>
        <w:rPr>
          <w:color w:val="000000"/>
          <w:szCs w:val="22"/>
          <w:lang w:val="it-IT"/>
        </w:rPr>
      </w:pPr>
      <w:r w:rsidRPr="004A59B1">
        <w:rPr>
          <w:color w:val="000000"/>
          <w:szCs w:val="22"/>
          <w:lang w:val="it-IT"/>
        </w:rPr>
        <w:t>1.</w:t>
      </w:r>
      <w:r w:rsidRPr="004A59B1">
        <w:rPr>
          <w:color w:val="000000"/>
          <w:szCs w:val="22"/>
          <w:lang w:val="it-IT"/>
        </w:rPr>
        <w:tab/>
        <w:t>Kaj je zdravilo Glivec in za kaj ga uporabljamo</w:t>
      </w:r>
    </w:p>
    <w:p w14:paraId="5297A8FC" w14:textId="77777777" w:rsidR="007B1033" w:rsidRPr="004A59B1" w:rsidRDefault="007B1033" w:rsidP="005B2939">
      <w:pPr>
        <w:keepNext/>
        <w:widowControl w:val="0"/>
        <w:numPr>
          <w:ilvl w:val="12"/>
          <w:numId w:val="0"/>
        </w:numPr>
        <w:tabs>
          <w:tab w:val="clear" w:pos="567"/>
        </w:tabs>
        <w:spacing w:line="240" w:lineRule="auto"/>
        <w:ind w:right="-29"/>
        <w:rPr>
          <w:color w:val="000000"/>
          <w:szCs w:val="22"/>
          <w:lang w:val="it-IT"/>
        </w:rPr>
      </w:pPr>
      <w:r w:rsidRPr="004A59B1">
        <w:rPr>
          <w:color w:val="000000"/>
          <w:szCs w:val="22"/>
          <w:lang w:val="it-IT"/>
        </w:rPr>
        <w:t>2.</w:t>
      </w:r>
      <w:r w:rsidRPr="004A59B1">
        <w:rPr>
          <w:color w:val="000000"/>
          <w:szCs w:val="22"/>
          <w:lang w:val="it-IT"/>
        </w:rPr>
        <w:tab/>
        <w:t>Kaj morate vedeti, preden boste vzeli zdravilo Glivec</w:t>
      </w:r>
    </w:p>
    <w:p w14:paraId="5297A8FD" w14:textId="77777777" w:rsidR="007B1033" w:rsidRPr="004A59B1" w:rsidRDefault="007B1033" w:rsidP="005B2939">
      <w:pPr>
        <w:keepNext/>
        <w:widowControl w:val="0"/>
        <w:numPr>
          <w:ilvl w:val="12"/>
          <w:numId w:val="0"/>
        </w:numPr>
        <w:tabs>
          <w:tab w:val="clear" w:pos="567"/>
        </w:tabs>
        <w:spacing w:line="240" w:lineRule="auto"/>
        <w:ind w:right="-29"/>
        <w:rPr>
          <w:color w:val="000000"/>
          <w:szCs w:val="22"/>
          <w:lang w:val="it-IT"/>
        </w:rPr>
      </w:pPr>
      <w:r w:rsidRPr="004A59B1">
        <w:rPr>
          <w:color w:val="000000"/>
          <w:szCs w:val="22"/>
          <w:lang w:val="it-IT"/>
        </w:rPr>
        <w:t>3.</w:t>
      </w:r>
      <w:r w:rsidRPr="004A59B1">
        <w:rPr>
          <w:color w:val="000000"/>
          <w:szCs w:val="22"/>
          <w:lang w:val="it-IT"/>
        </w:rPr>
        <w:tab/>
        <w:t>Kako jemati zdravilo Glivec</w:t>
      </w:r>
    </w:p>
    <w:p w14:paraId="5297A8FE" w14:textId="77777777" w:rsidR="007B1033" w:rsidRPr="004A59B1" w:rsidRDefault="007B1033" w:rsidP="005B2939">
      <w:pPr>
        <w:keepNext/>
        <w:widowControl w:val="0"/>
        <w:numPr>
          <w:ilvl w:val="12"/>
          <w:numId w:val="0"/>
        </w:numPr>
        <w:tabs>
          <w:tab w:val="clear" w:pos="567"/>
        </w:tabs>
        <w:spacing w:line="240" w:lineRule="auto"/>
        <w:ind w:right="-29"/>
        <w:rPr>
          <w:color w:val="000000"/>
          <w:szCs w:val="22"/>
          <w:lang w:val="it-IT"/>
        </w:rPr>
      </w:pPr>
      <w:r w:rsidRPr="004A59B1">
        <w:rPr>
          <w:color w:val="000000"/>
          <w:szCs w:val="22"/>
          <w:lang w:val="it-IT"/>
        </w:rPr>
        <w:t>4.</w:t>
      </w:r>
      <w:r w:rsidRPr="004A59B1">
        <w:rPr>
          <w:color w:val="000000"/>
          <w:szCs w:val="22"/>
          <w:lang w:val="it-IT"/>
        </w:rPr>
        <w:tab/>
        <w:t>Možni neželeni učinki</w:t>
      </w:r>
    </w:p>
    <w:p w14:paraId="5297A8FF" w14:textId="77777777" w:rsidR="007B1033" w:rsidRPr="004A59B1" w:rsidRDefault="007B1033" w:rsidP="005B2939">
      <w:pPr>
        <w:keepNext/>
        <w:widowControl w:val="0"/>
        <w:tabs>
          <w:tab w:val="clear" w:pos="567"/>
        </w:tabs>
        <w:spacing w:line="240" w:lineRule="auto"/>
        <w:ind w:right="-29"/>
        <w:rPr>
          <w:color w:val="000000"/>
          <w:szCs w:val="22"/>
          <w:lang w:val="it-IT"/>
        </w:rPr>
      </w:pPr>
      <w:r w:rsidRPr="004A59B1">
        <w:rPr>
          <w:color w:val="000000"/>
          <w:szCs w:val="22"/>
          <w:lang w:val="it-IT"/>
        </w:rPr>
        <w:t>5.</w:t>
      </w:r>
      <w:r w:rsidRPr="004A59B1">
        <w:rPr>
          <w:color w:val="000000"/>
          <w:szCs w:val="22"/>
          <w:lang w:val="it-IT"/>
        </w:rPr>
        <w:tab/>
        <w:t>Shranjevanje zdravila Glivec</w:t>
      </w:r>
    </w:p>
    <w:p w14:paraId="5297A900" w14:textId="77777777" w:rsidR="007B1033" w:rsidRPr="004A59B1" w:rsidRDefault="007B1033" w:rsidP="009C1193">
      <w:pPr>
        <w:widowControl w:val="0"/>
        <w:tabs>
          <w:tab w:val="clear" w:pos="567"/>
        </w:tabs>
        <w:spacing w:line="240" w:lineRule="auto"/>
        <w:ind w:right="-29"/>
        <w:rPr>
          <w:color w:val="000000"/>
          <w:szCs w:val="22"/>
          <w:lang w:val="it-IT"/>
        </w:rPr>
      </w:pPr>
      <w:r w:rsidRPr="004A59B1">
        <w:rPr>
          <w:color w:val="000000"/>
          <w:szCs w:val="22"/>
          <w:lang w:val="it-IT"/>
        </w:rPr>
        <w:t>6.</w:t>
      </w:r>
      <w:r w:rsidRPr="004A59B1">
        <w:rPr>
          <w:color w:val="000000"/>
          <w:szCs w:val="22"/>
          <w:lang w:val="it-IT"/>
        </w:rPr>
        <w:tab/>
        <w:t>Vsebina pakiranja in dodatne informacije</w:t>
      </w:r>
    </w:p>
    <w:p w14:paraId="5297A901" w14:textId="77777777" w:rsidR="007B1033" w:rsidRPr="004A59B1" w:rsidRDefault="007B1033" w:rsidP="009C1193">
      <w:pPr>
        <w:pStyle w:val="EndnoteText"/>
        <w:widowControl w:val="0"/>
        <w:numPr>
          <w:ilvl w:val="12"/>
          <w:numId w:val="0"/>
        </w:numPr>
        <w:tabs>
          <w:tab w:val="clear" w:pos="567"/>
        </w:tabs>
        <w:rPr>
          <w:color w:val="000000"/>
          <w:szCs w:val="22"/>
          <w:lang w:val="it-IT"/>
        </w:rPr>
      </w:pPr>
    </w:p>
    <w:p w14:paraId="5297A902" w14:textId="77777777" w:rsidR="007B1033" w:rsidRPr="004A59B1" w:rsidRDefault="007B1033" w:rsidP="009C1193">
      <w:pPr>
        <w:pStyle w:val="EndnoteText"/>
        <w:widowControl w:val="0"/>
        <w:numPr>
          <w:ilvl w:val="12"/>
          <w:numId w:val="0"/>
        </w:numPr>
        <w:tabs>
          <w:tab w:val="clear" w:pos="567"/>
        </w:tabs>
        <w:rPr>
          <w:color w:val="000000"/>
          <w:szCs w:val="22"/>
          <w:lang w:val="it-IT"/>
        </w:rPr>
      </w:pPr>
    </w:p>
    <w:p w14:paraId="5297A903" w14:textId="77777777" w:rsidR="007B1033" w:rsidRPr="004A59B1" w:rsidRDefault="007B1033" w:rsidP="009C1193">
      <w:pPr>
        <w:keepNext/>
        <w:widowControl w:val="0"/>
        <w:numPr>
          <w:ilvl w:val="12"/>
          <w:numId w:val="0"/>
        </w:numPr>
        <w:tabs>
          <w:tab w:val="clear" w:pos="567"/>
        </w:tabs>
        <w:spacing w:line="240" w:lineRule="auto"/>
        <w:ind w:left="567" w:right="-2" w:hanging="567"/>
        <w:rPr>
          <w:color w:val="000000"/>
          <w:szCs w:val="22"/>
          <w:lang w:val="it-IT"/>
        </w:rPr>
      </w:pPr>
      <w:r w:rsidRPr="004A59B1">
        <w:rPr>
          <w:b/>
          <w:color w:val="000000"/>
          <w:szCs w:val="22"/>
          <w:lang w:val="it-IT"/>
        </w:rPr>
        <w:t>1.</w:t>
      </w:r>
      <w:r w:rsidRPr="004A59B1">
        <w:rPr>
          <w:b/>
          <w:color w:val="000000"/>
          <w:szCs w:val="22"/>
          <w:lang w:val="it-IT"/>
        </w:rPr>
        <w:tab/>
        <w:t>Kaj je zdravilo Glivec in za kaj ga uporabljamo</w:t>
      </w:r>
    </w:p>
    <w:p w14:paraId="5297A904" w14:textId="77777777" w:rsidR="007B1033" w:rsidRPr="004A59B1" w:rsidRDefault="007B1033" w:rsidP="009C1193">
      <w:pPr>
        <w:pStyle w:val="TextChar"/>
        <w:keepNext/>
        <w:widowControl w:val="0"/>
        <w:spacing w:before="0"/>
        <w:jc w:val="left"/>
        <w:rPr>
          <w:color w:val="000000"/>
          <w:sz w:val="22"/>
          <w:szCs w:val="22"/>
          <w:lang w:val="it-IT"/>
        </w:rPr>
      </w:pPr>
    </w:p>
    <w:p w14:paraId="5297A905" w14:textId="77777777" w:rsidR="007B1033" w:rsidRPr="004A59B1" w:rsidRDefault="007B1033" w:rsidP="009C1193">
      <w:pPr>
        <w:pStyle w:val="Text"/>
        <w:widowControl w:val="0"/>
        <w:spacing w:before="0"/>
        <w:jc w:val="left"/>
        <w:rPr>
          <w:color w:val="000000"/>
          <w:sz w:val="22"/>
          <w:szCs w:val="22"/>
          <w:lang w:val="it-IT"/>
        </w:rPr>
      </w:pPr>
      <w:r w:rsidRPr="004A59B1">
        <w:rPr>
          <w:color w:val="000000"/>
          <w:sz w:val="22"/>
          <w:szCs w:val="22"/>
          <w:lang w:val="it-IT"/>
        </w:rPr>
        <w:t>Glivec je zdravilo, ki vsebuje zdravilno učinkovino z imenom imatinib. Zdravilo deluje tako, da zavira rast nenormalnih celic pri spodaj navedenih boleznih, med katerimi so tudi nekatere vrste raka.</w:t>
      </w:r>
    </w:p>
    <w:p w14:paraId="5297A906" w14:textId="77777777" w:rsidR="007B1033" w:rsidRPr="004A59B1" w:rsidRDefault="007B1033" w:rsidP="009C1193">
      <w:pPr>
        <w:pStyle w:val="TextChar"/>
        <w:widowControl w:val="0"/>
        <w:spacing w:before="0"/>
        <w:jc w:val="left"/>
        <w:rPr>
          <w:color w:val="000000"/>
          <w:sz w:val="22"/>
          <w:szCs w:val="22"/>
          <w:lang w:val="it-IT"/>
        </w:rPr>
      </w:pPr>
    </w:p>
    <w:p w14:paraId="5297A907" w14:textId="77777777" w:rsidR="007B1033" w:rsidRPr="004A59B1" w:rsidRDefault="007B1033" w:rsidP="009C1193">
      <w:pPr>
        <w:pStyle w:val="TextChar"/>
        <w:keepNext/>
        <w:widowControl w:val="0"/>
        <w:spacing w:before="0"/>
        <w:jc w:val="left"/>
        <w:rPr>
          <w:b/>
          <w:color w:val="000000"/>
          <w:sz w:val="22"/>
          <w:szCs w:val="22"/>
          <w:lang w:val="it-IT"/>
        </w:rPr>
      </w:pPr>
      <w:r w:rsidRPr="004A59B1">
        <w:rPr>
          <w:b/>
          <w:color w:val="000000"/>
          <w:sz w:val="22"/>
          <w:szCs w:val="22"/>
          <w:lang w:val="it-IT"/>
        </w:rPr>
        <w:t>Zdravilo Glivec je zdravilo za odrasle in otroke:</w:t>
      </w:r>
    </w:p>
    <w:p w14:paraId="5297A908" w14:textId="77777777" w:rsidR="007B1033" w:rsidRPr="004A59B1" w:rsidRDefault="007B1033" w:rsidP="009C1193">
      <w:pPr>
        <w:pStyle w:val="TextChar"/>
        <w:keepNext/>
        <w:widowControl w:val="0"/>
        <w:spacing w:before="0"/>
        <w:jc w:val="left"/>
        <w:rPr>
          <w:color w:val="000000"/>
          <w:sz w:val="22"/>
          <w:szCs w:val="22"/>
          <w:lang w:val="it-IT"/>
        </w:rPr>
      </w:pPr>
    </w:p>
    <w:p w14:paraId="5297A909" w14:textId="77777777" w:rsidR="007B1033" w:rsidRPr="004A59B1" w:rsidRDefault="007B1033" w:rsidP="009C1193">
      <w:pPr>
        <w:pStyle w:val="TextChar"/>
        <w:widowControl w:val="0"/>
        <w:spacing w:before="0"/>
        <w:ind w:left="567" w:hanging="567"/>
        <w:jc w:val="left"/>
        <w:rPr>
          <w:color w:val="000000"/>
          <w:sz w:val="22"/>
          <w:szCs w:val="22"/>
          <w:lang w:val="it-IT"/>
        </w:rPr>
      </w:pPr>
      <w:r w:rsidRPr="004A59B1">
        <w:rPr>
          <w:color w:val="000000"/>
          <w:sz w:val="22"/>
          <w:szCs w:val="22"/>
          <w:lang w:val="it-IT"/>
        </w:rPr>
        <w:t>-</w:t>
      </w:r>
      <w:r w:rsidRPr="004A59B1">
        <w:rPr>
          <w:color w:val="000000"/>
          <w:sz w:val="22"/>
          <w:szCs w:val="22"/>
          <w:lang w:val="it-IT"/>
        </w:rPr>
        <w:tab/>
      </w:r>
      <w:r w:rsidR="004C2F19" w:rsidRPr="004A59B1">
        <w:rPr>
          <w:b/>
          <w:color w:val="000000"/>
          <w:sz w:val="22"/>
          <w:szCs w:val="22"/>
          <w:lang w:val="it-IT"/>
        </w:rPr>
        <w:t xml:space="preserve">s </w:t>
      </w:r>
      <w:r w:rsidRPr="004A59B1">
        <w:rPr>
          <w:b/>
          <w:bCs/>
          <w:color w:val="000000"/>
          <w:sz w:val="22"/>
          <w:szCs w:val="22"/>
          <w:lang w:val="it-IT"/>
        </w:rPr>
        <w:t>kronično mieloično levkemijo (KML).</w:t>
      </w:r>
      <w:r w:rsidRPr="004A59B1">
        <w:rPr>
          <w:color w:val="000000"/>
          <w:sz w:val="22"/>
          <w:szCs w:val="22"/>
          <w:lang w:val="it-IT"/>
        </w:rPr>
        <w:t xml:space="preserve"> Levkemija je rak belih krvničk. Te bele krvničke telesu navadno pomagajo v borbi proti okužbi. Kronična mieloična levkemija je oblika levkemije, pri kateri se začnejo nenadzorovano razraščati določene nenormalne bele krvničke, ki se imenujejo mieloidne celice.</w:t>
      </w:r>
    </w:p>
    <w:p w14:paraId="5297A90A" w14:textId="77777777" w:rsidR="004C2F19" w:rsidRPr="004A59B1" w:rsidRDefault="004C2F19" w:rsidP="009C1193">
      <w:pPr>
        <w:pStyle w:val="TextChar"/>
        <w:widowControl w:val="0"/>
        <w:spacing w:before="0"/>
        <w:ind w:left="567" w:hanging="567"/>
        <w:jc w:val="left"/>
        <w:rPr>
          <w:color w:val="000000"/>
          <w:sz w:val="22"/>
          <w:szCs w:val="22"/>
          <w:lang w:val="it-IT"/>
        </w:rPr>
      </w:pPr>
      <w:r w:rsidRPr="004A59B1">
        <w:rPr>
          <w:color w:val="000000"/>
          <w:sz w:val="22"/>
          <w:szCs w:val="22"/>
          <w:lang w:val="it-IT"/>
        </w:rPr>
        <w:t>-</w:t>
      </w:r>
      <w:r w:rsidRPr="004A59B1">
        <w:rPr>
          <w:color w:val="000000"/>
          <w:sz w:val="22"/>
          <w:szCs w:val="22"/>
          <w:lang w:val="it-IT"/>
        </w:rPr>
        <w:tab/>
      </w:r>
      <w:r w:rsidRPr="004A59B1">
        <w:rPr>
          <w:b/>
          <w:bCs/>
          <w:color w:val="000000"/>
          <w:sz w:val="22"/>
          <w:szCs w:val="22"/>
          <w:lang w:val="it-IT"/>
        </w:rPr>
        <w:t>z akutno limfoblastno levkemijo s prisotnim kromosomom Philadelphia (Ph pozitivna ALL).</w:t>
      </w:r>
      <w:r w:rsidRPr="004A59B1">
        <w:rPr>
          <w:bCs/>
          <w:color w:val="000000"/>
          <w:sz w:val="22"/>
          <w:szCs w:val="22"/>
          <w:lang w:val="it-IT"/>
        </w:rPr>
        <w:t xml:space="preserve"> </w:t>
      </w:r>
      <w:r w:rsidRPr="004A59B1">
        <w:rPr>
          <w:color w:val="000000"/>
          <w:sz w:val="22"/>
          <w:szCs w:val="22"/>
          <w:lang w:val="it-IT"/>
        </w:rPr>
        <w:t>Levkemija je rak belih krvničk. Te bele krvničke telesu navadno pomagajo v borbi proti okužbi. Akutna limfoblastna levkemija je oblika levkemije, pri kateri se začnejo nenadzorovano razraščati določene nenormalne bele krvničke, ki se imenujejo limfoblasti. Zdravilo Glivec zavira rast teh celic.</w:t>
      </w:r>
    </w:p>
    <w:p w14:paraId="5297A90B" w14:textId="77777777" w:rsidR="007B1033" w:rsidRPr="004A59B1" w:rsidRDefault="007B1033" w:rsidP="009C1193">
      <w:pPr>
        <w:pStyle w:val="TextChar"/>
        <w:widowControl w:val="0"/>
        <w:spacing w:before="0"/>
        <w:jc w:val="left"/>
        <w:rPr>
          <w:color w:val="000000"/>
          <w:sz w:val="22"/>
          <w:szCs w:val="22"/>
          <w:lang w:val="it-IT"/>
        </w:rPr>
      </w:pPr>
    </w:p>
    <w:p w14:paraId="5297A90C" w14:textId="77777777" w:rsidR="007B1033" w:rsidRPr="004A59B1" w:rsidRDefault="007B1033" w:rsidP="009C1193">
      <w:pPr>
        <w:pStyle w:val="TextChar"/>
        <w:keepNext/>
        <w:widowControl w:val="0"/>
        <w:spacing w:before="0"/>
        <w:jc w:val="left"/>
        <w:rPr>
          <w:color w:val="000000"/>
          <w:sz w:val="22"/>
          <w:szCs w:val="22"/>
          <w:lang w:val="it-IT"/>
        </w:rPr>
      </w:pPr>
      <w:r w:rsidRPr="004A59B1">
        <w:rPr>
          <w:b/>
          <w:bCs/>
          <w:color w:val="000000"/>
          <w:sz w:val="22"/>
          <w:szCs w:val="22"/>
          <w:lang w:val="it-IT"/>
        </w:rPr>
        <w:t>Zdravilo Glivec je tudi zdravilo za odrasle:</w:t>
      </w:r>
    </w:p>
    <w:p w14:paraId="5297A90D" w14:textId="77777777" w:rsidR="007B1033" w:rsidRPr="004A59B1" w:rsidRDefault="007B1033" w:rsidP="009C1193">
      <w:pPr>
        <w:pStyle w:val="TextChar"/>
        <w:keepNext/>
        <w:widowControl w:val="0"/>
        <w:spacing w:before="0"/>
        <w:ind w:left="567" w:hanging="567"/>
        <w:jc w:val="left"/>
        <w:rPr>
          <w:color w:val="000000"/>
          <w:sz w:val="22"/>
          <w:szCs w:val="22"/>
          <w:lang w:val="it-IT"/>
        </w:rPr>
      </w:pPr>
    </w:p>
    <w:p w14:paraId="5297A90E" w14:textId="77777777" w:rsidR="007B1033" w:rsidRPr="004A59B1" w:rsidRDefault="007B1033" w:rsidP="009C1193">
      <w:pPr>
        <w:pStyle w:val="Listlevel1"/>
        <w:widowControl w:val="0"/>
        <w:spacing w:before="0" w:after="0"/>
        <w:ind w:left="567" w:hanging="567"/>
        <w:rPr>
          <w:color w:val="000000"/>
          <w:sz w:val="22"/>
          <w:szCs w:val="22"/>
          <w:lang w:val="it-IT"/>
        </w:rPr>
      </w:pPr>
      <w:r w:rsidRPr="004A59B1">
        <w:rPr>
          <w:color w:val="000000"/>
          <w:sz w:val="22"/>
          <w:szCs w:val="22"/>
          <w:lang w:val="it-IT"/>
        </w:rPr>
        <w:t>-</w:t>
      </w:r>
      <w:r w:rsidRPr="004A59B1">
        <w:rPr>
          <w:color w:val="000000"/>
          <w:sz w:val="22"/>
          <w:szCs w:val="22"/>
          <w:lang w:val="it-IT"/>
        </w:rPr>
        <w:tab/>
      </w:r>
      <w:r w:rsidRPr="004A59B1">
        <w:rPr>
          <w:b/>
          <w:bCs/>
          <w:color w:val="000000"/>
          <w:sz w:val="22"/>
          <w:szCs w:val="22"/>
          <w:lang w:val="it-IT"/>
        </w:rPr>
        <w:t>z mielodisplastičnimi/mieloproliferativnimi boleznimi (MDS/MPD).</w:t>
      </w:r>
      <w:r w:rsidRPr="004A59B1">
        <w:rPr>
          <w:color w:val="000000"/>
          <w:sz w:val="22"/>
          <w:szCs w:val="22"/>
          <w:lang w:val="it-IT"/>
        </w:rPr>
        <w:t xml:space="preserve"> Te bolezni sodijo v skupino krvnih bolezni, pri katerih se začnejo nenadzorovano razraščati nekatere krvne celice. Zdravilo Glivec zavira rast teh celic pri določenih podskupinah teh bolezni.</w:t>
      </w:r>
    </w:p>
    <w:p w14:paraId="5297A90F" w14:textId="77777777" w:rsidR="007B1033" w:rsidRPr="004A59B1" w:rsidRDefault="007B1033" w:rsidP="009C1193">
      <w:pPr>
        <w:pStyle w:val="Listlevel1"/>
        <w:widowControl w:val="0"/>
        <w:ind w:left="567" w:hanging="567"/>
        <w:rPr>
          <w:color w:val="000000"/>
          <w:sz w:val="22"/>
          <w:szCs w:val="22"/>
          <w:lang w:val="it-IT"/>
        </w:rPr>
      </w:pPr>
      <w:r w:rsidRPr="004A59B1">
        <w:rPr>
          <w:bCs/>
          <w:color w:val="000000"/>
          <w:sz w:val="22"/>
          <w:szCs w:val="22"/>
          <w:lang w:val="it-IT"/>
        </w:rPr>
        <w:t>-</w:t>
      </w:r>
      <w:r w:rsidRPr="004A59B1">
        <w:rPr>
          <w:bCs/>
          <w:color w:val="000000"/>
          <w:sz w:val="22"/>
          <w:szCs w:val="22"/>
          <w:lang w:val="it-IT"/>
        </w:rPr>
        <w:tab/>
      </w:r>
      <w:r w:rsidRPr="004A59B1">
        <w:rPr>
          <w:b/>
          <w:color w:val="000000"/>
          <w:sz w:val="22"/>
          <w:szCs w:val="22"/>
          <w:lang w:val="it-IT"/>
        </w:rPr>
        <w:t xml:space="preserve">s hipereozinofilnim sindromom (HES) ali kronično eozinofilno levkemijo (CEL) ali z obojim. </w:t>
      </w:r>
      <w:r w:rsidRPr="004A59B1">
        <w:rPr>
          <w:color w:val="000000"/>
          <w:sz w:val="22"/>
          <w:szCs w:val="22"/>
          <w:lang w:val="it-IT"/>
        </w:rPr>
        <w:t>To so bolezni krvi, pri katerih se začnejo nenadzorovano razraščati nekatere krvne celice, ki se imenujejo eozinofilci. Zdravilo Glivec zavira rast teh celic pri določenih podskupinah teh bolezni.</w:t>
      </w:r>
    </w:p>
    <w:p w14:paraId="5297A910" w14:textId="77777777" w:rsidR="007B1033" w:rsidRPr="004A59B1" w:rsidRDefault="007B1033" w:rsidP="009C1193">
      <w:pPr>
        <w:pStyle w:val="TextChar"/>
        <w:widowControl w:val="0"/>
        <w:spacing w:before="0"/>
        <w:ind w:left="567" w:hanging="567"/>
        <w:jc w:val="left"/>
        <w:rPr>
          <w:color w:val="000000"/>
          <w:sz w:val="22"/>
          <w:szCs w:val="22"/>
          <w:lang w:val="nl-NL"/>
        </w:rPr>
      </w:pPr>
      <w:r w:rsidRPr="004A59B1">
        <w:rPr>
          <w:color w:val="000000"/>
          <w:sz w:val="22"/>
          <w:szCs w:val="22"/>
          <w:lang w:val="pl-PL"/>
        </w:rPr>
        <w:lastRenderedPageBreak/>
        <w:t>-</w:t>
      </w:r>
      <w:r w:rsidRPr="004A59B1">
        <w:rPr>
          <w:color w:val="000000"/>
          <w:sz w:val="22"/>
          <w:szCs w:val="22"/>
          <w:lang w:val="pl-PL"/>
        </w:rPr>
        <w:tab/>
      </w:r>
      <w:r w:rsidRPr="004A59B1">
        <w:rPr>
          <w:b/>
          <w:bCs/>
          <w:color w:val="000000"/>
          <w:sz w:val="22"/>
          <w:szCs w:val="22"/>
          <w:lang w:val="pl-PL"/>
        </w:rPr>
        <w:t>z gastrointestinalnimi stromalnimi tumorji (GIST).</w:t>
      </w:r>
      <w:r w:rsidRPr="004A59B1">
        <w:rPr>
          <w:color w:val="000000"/>
          <w:sz w:val="22"/>
          <w:szCs w:val="22"/>
          <w:lang w:val="pl-PL"/>
        </w:rPr>
        <w:t xml:space="preserve"> </w:t>
      </w:r>
      <w:r w:rsidRPr="004A59B1">
        <w:rPr>
          <w:color w:val="000000"/>
          <w:sz w:val="22"/>
          <w:szCs w:val="22"/>
          <w:lang w:val="nl-NL"/>
        </w:rPr>
        <w:t>GIST je rak želodca in črevesa. Nastane z nekontrolirano rastjo celic vezivnih tkiv teh organov.</w:t>
      </w:r>
    </w:p>
    <w:p w14:paraId="5297A911" w14:textId="77777777" w:rsidR="007B1033" w:rsidRPr="004A59B1" w:rsidRDefault="007B1033" w:rsidP="009C1193">
      <w:pPr>
        <w:pStyle w:val="Text"/>
        <w:widowControl w:val="0"/>
        <w:spacing w:before="0"/>
        <w:ind w:left="567" w:hanging="567"/>
        <w:jc w:val="left"/>
        <w:rPr>
          <w:color w:val="000000"/>
          <w:sz w:val="22"/>
          <w:szCs w:val="22"/>
          <w:lang w:val="nl-NL"/>
        </w:rPr>
      </w:pPr>
      <w:r w:rsidRPr="004A59B1">
        <w:rPr>
          <w:color w:val="000000"/>
          <w:sz w:val="22"/>
          <w:szCs w:val="22"/>
          <w:lang w:val="nl-NL"/>
        </w:rPr>
        <w:t>-</w:t>
      </w:r>
      <w:r w:rsidRPr="004A59B1">
        <w:rPr>
          <w:color w:val="000000"/>
          <w:sz w:val="22"/>
          <w:szCs w:val="22"/>
          <w:lang w:val="nl-NL"/>
        </w:rPr>
        <w:tab/>
      </w:r>
      <w:r w:rsidRPr="004A59B1">
        <w:rPr>
          <w:b/>
          <w:bCs/>
          <w:color w:val="000000"/>
          <w:sz w:val="22"/>
          <w:szCs w:val="22"/>
          <w:lang w:val="nl-NL"/>
        </w:rPr>
        <w:t>s protuberantnim dermatofibrosarkomom (DFSP).</w:t>
      </w:r>
      <w:r w:rsidRPr="004A59B1">
        <w:rPr>
          <w:color w:val="000000"/>
          <w:sz w:val="22"/>
          <w:szCs w:val="22"/>
          <w:lang w:val="nl-NL"/>
        </w:rPr>
        <w:t xml:space="preserve"> DFSP je rak podkožnega tkiva, pri katerem se začnejo nenadzorovano razraščati nekatere celice. Zdravilo Glivec zavira rast teh celic.</w:t>
      </w:r>
    </w:p>
    <w:p w14:paraId="5297A912" w14:textId="77777777" w:rsidR="007B1033" w:rsidRPr="004A59B1" w:rsidRDefault="007B1033" w:rsidP="009C1193">
      <w:pPr>
        <w:pStyle w:val="Text"/>
        <w:widowControl w:val="0"/>
        <w:spacing w:before="0"/>
        <w:jc w:val="left"/>
        <w:rPr>
          <w:color w:val="000000"/>
          <w:sz w:val="22"/>
          <w:szCs w:val="22"/>
          <w:lang w:val="nl-NL"/>
        </w:rPr>
      </w:pPr>
      <w:r w:rsidRPr="004A59B1">
        <w:rPr>
          <w:color w:val="000000"/>
          <w:sz w:val="22"/>
          <w:szCs w:val="22"/>
          <w:lang w:val="nl-NL"/>
        </w:rPr>
        <w:t>V nadaljnjem besedilu tega navodila za uporabo so bolezni navedene s kraticami.</w:t>
      </w:r>
    </w:p>
    <w:p w14:paraId="5297A913" w14:textId="77777777" w:rsidR="007B1033" w:rsidRPr="004A59B1" w:rsidRDefault="007B1033" w:rsidP="009C1193">
      <w:pPr>
        <w:pStyle w:val="TextChar"/>
        <w:widowControl w:val="0"/>
        <w:spacing w:before="0"/>
        <w:jc w:val="left"/>
        <w:rPr>
          <w:color w:val="000000"/>
          <w:sz w:val="22"/>
          <w:szCs w:val="22"/>
          <w:lang w:val="nl-NL"/>
        </w:rPr>
      </w:pPr>
    </w:p>
    <w:p w14:paraId="5297A914" w14:textId="77777777" w:rsidR="007B1033" w:rsidRPr="004A59B1" w:rsidRDefault="007B1033" w:rsidP="009C1193">
      <w:pPr>
        <w:pStyle w:val="TextChar"/>
        <w:widowControl w:val="0"/>
        <w:spacing w:before="0"/>
        <w:jc w:val="left"/>
        <w:rPr>
          <w:color w:val="000000"/>
          <w:sz w:val="22"/>
          <w:szCs w:val="22"/>
          <w:lang w:val="nl-NL"/>
        </w:rPr>
      </w:pPr>
      <w:r w:rsidRPr="004A59B1">
        <w:rPr>
          <w:color w:val="000000"/>
          <w:sz w:val="22"/>
          <w:szCs w:val="22"/>
          <w:lang w:val="nl-NL"/>
        </w:rPr>
        <w:t>Če imate kakšna vprašanja glede tega, kako zdravilo Glivec deluje ali zakaj vam je bilo predpisano to zdravilo, vprašajte svojega zdravnika.</w:t>
      </w:r>
    </w:p>
    <w:p w14:paraId="5297A915" w14:textId="77777777" w:rsidR="007B1033" w:rsidRPr="004A59B1" w:rsidRDefault="007B1033" w:rsidP="009C1193">
      <w:pPr>
        <w:pStyle w:val="EndnoteText"/>
        <w:widowControl w:val="0"/>
        <w:numPr>
          <w:ilvl w:val="12"/>
          <w:numId w:val="0"/>
        </w:numPr>
        <w:tabs>
          <w:tab w:val="clear" w:pos="567"/>
        </w:tabs>
        <w:rPr>
          <w:color w:val="000000"/>
          <w:szCs w:val="22"/>
          <w:lang w:val="nl-NL"/>
        </w:rPr>
      </w:pPr>
    </w:p>
    <w:p w14:paraId="5297A916" w14:textId="77777777" w:rsidR="007B1033" w:rsidRPr="004A59B1" w:rsidRDefault="007B1033" w:rsidP="009C1193">
      <w:pPr>
        <w:pStyle w:val="EndnoteText"/>
        <w:widowControl w:val="0"/>
        <w:numPr>
          <w:ilvl w:val="12"/>
          <w:numId w:val="0"/>
        </w:numPr>
        <w:tabs>
          <w:tab w:val="clear" w:pos="567"/>
        </w:tabs>
        <w:rPr>
          <w:color w:val="000000"/>
          <w:szCs w:val="22"/>
          <w:lang w:val="nl-NL"/>
        </w:rPr>
      </w:pPr>
    </w:p>
    <w:p w14:paraId="5297A917" w14:textId="77777777" w:rsidR="007B1033" w:rsidRPr="004A59B1" w:rsidRDefault="007B1033" w:rsidP="009C1193">
      <w:pPr>
        <w:keepNext/>
        <w:widowControl w:val="0"/>
        <w:numPr>
          <w:ilvl w:val="12"/>
          <w:numId w:val="0"/>
        </w:numPr>
        <w:tabs>
          <w:tab w:val="clear" w:pos="567"/>
        </w:tabs>
        <w:spacing w:line="240" w:lineRule="auto"/>
        <w:ind w:left="567" w:right="-2" w:hanging="567"/>
        <w:rPr>
          <w:b/>
          <w:color w:val="000000"/>
          <w:szCs w:val="22"/>
          <w:lang w:val="nl-NL"/>
        </w:rPr>
      </w:pPr>
      <w:r w:rsidRPr="004A59B1">
        <w:rPr>
          <w:b/>
          <w:color w:val="000000"/>
          <w:szCs w:val="22"/>
          <w:lang w:val="nl-NL"/>
        </w:rPr>
        <w:t>2.</w:t>
      </w:r>
      <w:r w:rsidRPr="004A59B1">
        <w:rPr>
          <w:b/>
          <w:color w:val="000000"/>
          <w:szCs w:val="22"/>
          <w:lang w:val="nl-NL"/>
        </w:rPr>
        <w:tab/>
        <w:t>Kaj morate vedeti, preden boste vzeli zdravilo Glivec</w:t>
      </w:r>
    </w:p>
    <w:p w14:paraId="5297A918" w14:textId="77777777" w:rsidR="007B1033" w:rsidRPr="004A59B1" w:rsidRDefault="007B1033" w:rsidP="009C1193">
      <w:pPr>
        <w:keepNext/>
        <w:widowControl w:val="0"/>
        <w:numPr>
          <w:ilvl w:val="12"/>
          <w:numId w:val="0"/>
        </w:numPr>
        <w:tabs>
          <w:tab w:val="clear" w:pos="567"/>
        </w:tabs>
        <w:spacing w:line="240" w:lineRule="auto"/>
        <w:ind w:left="567" w:right="-2" w:hanging="567"/>
        <w:rPr>
          <w:color w:val="000000"/>
          <w:szCs w:val="22"/>
          <w:lang w:val="nl-NL"/>
        </w:rPr>
      </w:pPr>
    </w:p>
    <w:p w14:paraId="5297A919" w14:textId="77777777" w:rsidR="007B1033" w:rsidRPr="004A59B1" w:rsidRDefault="007B1033" w:rsidP="009C1193">
      <w:pPr>
        <w:pStyle w:val="TextChar"/>
        <w:widowControl w:val="0"/>
        <w:spacing w:before="0"/>
        <w:jc w:val="left"/>
        <w:rPr>
          <w:color w:val="000000"/>
          <w:sz w:val="22"/>
          <w:szCs w:val="22"/>
          <w:lang w:val="nl-NL"/>
        </w:rPr>
      </w:pPr>
      <w:r w:rsidRPr="004A59B1">
        <w:rPr>
          <w:color w:val="000000"/>
          <w:sz w:val="22"/>
          <w:szCs w:val="22"/>
          <w:lang w:val="nl-NL"/>
        </w:rPr>
        <w:t>Zdravilo Glivec vam lahko predpiše samo zdravnik, ki ima izkušnje z zdravili za zdravljenje krvnih rakov in solidnih tumorjev.</w:t>
      </w:r>
    </w:p>
    <w:p w14:paraId="5297A91A" w14:textId="77777777" w:rsidR="007B1033" w:rsidRPr="004A59B1" w:rsidRDefault="007B1033" w:rsidP="009C1193">
      <w:pPr>
        <w:widowControl w:val="0"/>
        <w:numPr>
          <w:ilvl w:val="12"/>
          <w:numId w:val="0"/>
        </w:numPr>
        <w:tabs>
          <w:tab w:val="clear" w:pos="567"/>
        </w:tabs>
        <w:spacing w:line="240" w:lineRule="auto"/>
        <w:ind w:right="-2"/>
        <w:rPr>
          <w:color w:val="000000"/>
          <w:szCs w:val="22"/>
          <w:lang w:val="nl-NL"/>
        </w:rPr>
      </w:pPr>
    </w:p>
    <w:p w14:paraId="5297A91B" w14:textId="77777777" w:rsidR="007B1033" w:rsidRPr="004A59B1" w:rsidRDefault="007B1033" w:rsidP="009C1193">
      <w:pPr>
        <w:widowControl w:val="0"/>
        <w:numPr>
          <w:ilvl w:val="12"/>
          <w:numId w:val="0"/>
        </w:numPr>
        <w:tabs>
          <w:tab w:val="clear" w:pos="567"/>
        </w:tabs>
        <w:spacing w:line="240" w:lineRule="auto"/>
        <w:ind w:right="-2"/>
        <w:rPr>
          <w:color w:val="000000"/>
          <w:szCs w:val="22"/>
          <w:lang w:val="nl-NL"/>
        </w:rPr>
      </w:pPr>
      <w:r w:rsidRPr="004A59B1">
        <w:rPr>
          <w:color w:val="000000"/>
          <w:szCs w:val="22"/>
          <w:lang w:val="nl-NL"/>
        </w:rPr>
        <w:t>Skrbno se ravnajte po vseh navodilih vašega zdravnika, tudi če se razlikujejo od splošnih informacij v tem navodilu za uporabo.</w:t>
      </w:r>
    </w:p>
    <w:p w14:paraId="5297A91C" w14:textId="77777777" w:rsidR="007B1033" w:rsidRPr="004A59B1" w:rsidRDefault="007B1033" w:rsidP="009C1193">
      <w:pPr>
        <w:widowControl w:val="0"/>
        <w:numPr>
          <w:ilvl w:val="12"/>
          <w:numId w:val="0"/>
        </w:numPr>
        <w:tabs>
          <w:tab w:val="clear" w:pos="567"/>
        </w:tabs>
        <w:spacing w:line="240" w:lineRule="auto"/>
        <w:ind w:right="-2"/>
        <w:rPr>
          <w:color w:val="000000"/>
          <w:szCs w:val="22"/>
          <w:lang w:val="nl-NL"/>
        </w:rPr>
      </w:pPr>
    </w:p>
    <w:p w14:paraId="5297A91D" w14:textId="77777777" w:rsidR="007B1033" w:rsidRPr="004A59B1" w:rsidRDefault="007B1033" w:rsidP="009C1193">
      <w:pPr>
        <w:keepNext/>
        <w:widowControl w:val="0"/>
        <w:numPr>
          <w:ilvl w:val="12"/>
          <w:numId w:val="0"/>
        </w:numPr>
        <w:tabs>
          <w:tab w:val="clear" w:pos="567"/>
        </w:tabs>
        <w:spacing w:line="240" w:lineRule="auto"/>
        <w:rPr>
          <w:color w:val="000000"/>
          <w:szCs w:val="22"/>
          <w:lang w:val="nl-NL"/>
        </w:rPr>
      </w:pPr>
      <w:r w:rsidRPr="004A59B1">
        <w:rPr>
          <w:b/>
          <w:color w:val="000000"/>
          <w:szCs w:val="22"/>
          <w:lang w:val="nl-NL"/>
        </w:rPr>
        <w:t>Ne jemljite zdravila Glivec</w:t>
      </w:r>
    </w:p>
    <w:p w14:paraId="5297A91E" w14:textId="77777777" w:rsidR="007B1033" w:rsidRPr="004A59B1" w:rsidRDefault="007B1033" w:rsidP="009C1193">
      <w:pPr>
        <w:widowControl w:val="0"/>
        <w:tabs>
          <w:tab w:val="clear" w:pos="567"/>
        </w:tabs>
        <w:spacing w:line="240" w:lineRule="auto"/>
        <w:ind w:left="567" w:hanging="567"/>
        <w:rPr>
          <w:color w:val="000000"/>
          <w:szCs w:val="22"/>
          <w:lang w:val="nl-NL"/>
        </w:rPr>
      </w:pPr>
      <w:r w:rsidRPr="004A59B1">
        <w:rPr>
          <w:color w:val="000000"/>
          <w:szCs w:val="22"/>
          <w:lang w:val="nl-NL"/>
        </w:rPr>
        <w:t>-</w:t>
      </w:r>
      <w:r w:rsidRPr="004A59B1">
        <w:rPr>
          <w:color w:val="000000"/>
          <w:szCs w:val="22"/>
          <w:lang w:val="nl-NL"/>
        </w:rPr>
        <w:tab/>
        <w:t>če ste alergični na imatinib ali katero koli sestavino tega zdravila (navedeno v poglavju 6).</w:t>
      </w:r>
    </w:p>
    <w:p w14:paraId="5297A91F" w14:textId="77777777" w:rsidR="007B1033" w:rsidRPr="004A59B1" w:rsidRDefault="007B1033" w:rsidP="009C1193">
      <w:pPr>
        <w:widowControl w:val="0"/>
        <w:tabs>
          <w:tab w:val="clear" w:pos="567"/>
        </w:tabs>
        <w:spacing w:line="240" w:lineRule="auto"/>
        <w:rPr>
          <w:b/>
          <w:bCs/>
          <w:color w:val="000000"/>
          <w:szCs w:val="22"/>
          <w:lang w:val="nl-NL"/>
        </w:rPr>
      </w:pPr>
      <w:r w:rsidRPr="004A59B1">
        <w:rPr>
          <w:color w:val="000000"/>
          <w:szCs w:val="22"/>
          <w:lang w:val="nl-NL"/>
        </w:rPr>
        <w:t xml:space="preserve">Če to velja za vas, </w:t>
      </w:r>
      <w:r w:rsidRPr="004A59B1">
        <w:rPr>
          <w:b/>
          <w:bCs/>
          <w:color w:val="000000"/>
          <w:szCs w:val="22"/>
          <w:lang w:val="nl-NL"/>
        </w:rPr>
        <w:t>povejte zdravniku in ne jemljite zdravila Glivec.</w:t>
      </w:r>
    </w:p>
    <w:p w14:paraId="5297A920" w14:textId="77777777" w:rsidR="007B1033" w:rsidRPr="004A59B1" w:rsidRDefault="007B1033" w:rsidP="009C1193">
      <w:pPr>
        <w:widowControl w:val="0"/>
        <w:tabs>
          <w:tab w:val="clear" w:pos="567"/>
        </w:tabs>
        <w:spacing w:line="240" w:lineRule="auto"/>
        <w:rPr>
          <w:color w:val="000000"/>
          <w:szCs w:val="22"/>
          <w:lang w:val="nl-NL"/>
        </w:rPr>
      </w:pPr>
    </w:p>
    <w:p w14:paraId="5297A921" w14:textId="77777777" w:rsidR="007B1033" w:rsidRPr="004A59B1" w:rsidRDefault="007B1033" w:rsidP="009C1193">
      <w:pPr>
        <w:widowControl w:val="0"/>
        <w:tabs>
          <w:tab w:val="clear" w:pos="567"/>
        </w:tabs>
        <w:spacing w:line="240" w:lineRule="auto"/>
        <w:rPr>
          <w:color w:val="000000"/>
          <w:szCs w:val="22"/>
          <w:lang w:val="nl-NL"/>
        </w:rPr>
      </w:pPr>
      <w:r w:rsidRPr="004A59B1">
        <w:rPr>
          <w:color w:val="000000"/>
          <w:szCs w:val="22"/>
          <w:lang w:val="nl-NL"/>
        </w:rPr>
        <w:t>Če mislite, da bi bili lahko alergični, a niste prepričani, se posvetujte s svojim zdravnikom.</w:t>
      </w:r>
    </w:p>
    <w:p w14:paraId="5297A922" w14:textId="77777777" w:rsidR="007B1033" w:rsidRPr="004A59B1" w:rsidRDefault="007B1033" w:rsidP="009C1193">
      <w:pPr>
        <w:widowControl w:val="0"/>
        <w:numPr>
          <w:ilvl w:val="12"/>
          <w:numId w:val="0"/>
        </w:numPr>
        <w:tabs>
          <w:tab w:val="clear" w:pos="567"/>
        </w:tabs>
        <w:spacing w:line="240" w:lineRule="auto"/>
        <w:ind w:right="-2"/>
        <w:rPr>
          <w:color w:val="000000"/>
          <w:szCs w:val="22"/>
          <w:lang w:val="nl-NL"/>
        </w:rPr>
      </w:pPr>
    </w:p>
    <w:p w14:paraId="5297A923" w14:textId="77777777" w:rsidR="007B1033" w:rsidRPr="004A59B1" w:rsidRDefault="007B1033" w:rsidP="009C1193">
      <w:pPr>
        <w:keepNext/>
        <w:widowControl w:val="0"/>
        <w:numPr>
          <w:ilvl w:val="12"/>
          <w:numId w:val="0"/>
        </w:numPr>
        <w:tabs>
          <w:tab w:val="clear" w:pos="567"/>
        </w:tabs>
        <w:spacing w:line="240" w:lineRule="auto"/>
        <w:ind w:right="-2"/>
        <w:rPr>
          <w:b/>
          <w:color w:val="000000"/>
          <w:szCs w:val="22"/>
          <w:lang w:val="nl-NL"/>
        </w:rPr>
      </w:pPr>
      <w:r w:rsidRPr="004A59B1">
        <w:rPr>
          <w:b/>
          <w:color w:val="000000"/>
          <w:szCs w:val="22"/>
          <w:lang w:val="nl-NL"/>
        </w:rPr>
        <w:t>Opozorila in previdnostni ukrepi</w:t>
      </w:r>
    </w:p>
    <w:p w14:paraId="5297A924" w14:textId="77777777" w:rsidR="007B1033" w:rsidRPr="004A59B1" w:rsidRDefault="007B1033" w:rsidP="009C1193">
      <w:pPr>
        <w:keepNext/>
        <w:widowControl w:val="0"/>
        <w:numPr>
          <w:ilvl w:val="12"/>
          <w:numId w:val="0"/>
        </w:numPr>
        <w:tabs>
          <w:tab w:val="clear" w:pos="567"/>
        </w:tabs>
        <w:spacing w:line="240" w:lineRule="auto"/>
        <w:ind w:right="-2"/>
        <w:rPr>
          <w:bCs/>
          <w:color w:val="000000"/>
          <w:szCs w:val="22"/>
          <w:lang w:val="nl-NL"/>
        </w:rPr>
      </w:pPr>
      <w:r w:rsidRPr="004A59B1">
        <w:rPr>
          <w:bCs/>
          <w:color w:val="000000"/>
          <w:szCs w:val="22"/>
          <w:lang w:val="nl-NL"/>
        </w:rPr>
        <w:t xml:space="preserve">Pred začetkom jemanja zdravila Glivec se posvetujte </w:t>
      </w:r>
      <w:r w:rsidR="00346403" w:rsidRPr="004A59B1">
        <w:rPr>
          <w:bCs/>
          <w:color w:val="000000"/>
          <w:szCs w:val="22"/>
          <w:lang w:val="nl-NL"/>
        </w:rPr>
        <w:t>z</w:t>
      </w:r>
      <w:r w:rsidRPr="004A59B1">
        <w:rPr>
          <w:bCs/>
          <w:color w:val="000000"/>
          <w:szCs w:val="22"/>
          <w:lang w:val="nl-NL"/>
        </w:rPr>
        <w:t xml:space="preserve"> zdravnikom:</w:t>
      </w:r>
    </w:p>
    <w:p w14:paraId="5297A925" w14:textId="77777777" w:rsidR="007B1033" w:rsidRPr="004A59B1" w:rsidRDefault="007B1033" w:rsidP="009C1193">
      <w:pPr>
        <w:widowControl w:val="0"/>
        <w:numPr>
          <w:ilvl w:val="0"/>
          <w:numId w:val="1"/>
        </w:numPr>
        <w:tabs>
          <w:tab w:val="clear" w:pos="567"/>
        </w:tabs>
        <w:spacing w:line="240" w:lineRule="auto"/>
        <w:ind w:left="567" w:hanging="567"/>
        <w:rPr>
          <w:color w:val="000000"/>
          <w:szCs w:val="22"/>
          <w:lang w:val="it-IT"/>
        </w:rPr>
      </w:pPr>
      <w:r w:rsidRPr="004A59B1">
        <w:rPr>
          <w:color w:val="000000"/>
          <w:szCs w:val="22"/>
          <w:lang w:val="it-IT"/>
        </w:rPr>
        <w:t>če imate ali ste kdaj imeli težave z jetri, ledvicami ali srcem;</w:t>
      </w:r>
    </w:p>
    <w:p w14:paraId="5297A926" w14:textId="77777777" w:rsidR="003F708C" w:rsidRDefault="007B1033" w:rsidP="009C1193">
      <w:pPr>
        <w:widowControl w:val="0"/>
        <w:numPr>
          <w:ilvl w:val="0"/>
          <w:numId w:val="1"/>
        </w:numPr>
        <w:tabs>
          <w:tab w:val="clear" w:pos="567"/>
        </w:tabs>
        <w:spacing w:line="240" w:lineRule="auto"/>
        <w:ind w:left="567" w:hanging="567"/>
        <w:rPr>
          <w:color w:val="000000"/>
          <w:szCs w:val="22"/>
          <w:lang w:val="it-IT"/>
        </w:rPr>
      </w:pPr>
      <w:r w:rsidRPr="004A59B1">
        <w:rPr>
          <w:color w:val="000000"/>
          <w:spacing w:val="-2"/>
          <w:lang w:val="it-IT"/>
        </w:rPr>
        <w:t>če jemljete zdravilo levotiroksin, ker so vam odstranili ščitnico</w:t>
      </w:r>
      <w:r w:rsidR="003F708C">
        <w:rPr>
          <w:color w:val="000000"/>
          <w:szCs w:val="22"/>
          <w:lang w:val="it-IT"/>
        </w:rPr>
        <w:t>;</w:t>
      </w:r>
    </w:p>
    <w:p w14:paraId="5297A927" w14:textId="77777777" w:rsidR="007B1033" w:rsidRPr="00E77884" w:rsidRDefault="003F708C" w:rsidP="009C1193">
      <w:pPr>
        <w:widowControl w:val="0"/>
        <w:numPr>
          <w:ilvl w:val="0"/>
          <w:numId w:val="1"/>
        </w:numPr>
        <w:tabs>
          <w:tab w:val="clear" w:pos="567"/>
        </w:tabs>
        <w:spacing w:line="240" w:lineRule="auto"/>
        <w:ind w:left="567" w:hanging="567"/>
        <w:rPr>
          <w:color w:val="000000"/>
          <w:szCs w:val="22"/>
          <w:lang w:val="it-IT"/>
        </w:rPr>
      </w:pPr>
      <w:r w:rsidRPr="00AC42B3">
        <w:rPr>
          <w:color w:val="000000"/>
          <w:spacing w:val="-2"/>
          <w:lang w:val="it-IT"/>
        </w:rPr>
        <w:t xml:space="preserve">če ste kdaj bili ali ste sedaj okuženi z virusom hepatitisa B. Zdravilo </w:t>
      </w:r>
      <w:r>
        <w:rPr>
          <w:color w:val="000000"/>
          <w:spacing w:val="-2"/>
          <w:lang w:val="it-IT"/>
        </w:rPr>
        <w:t>Glivec</w:t>
      </w:r>
      <w:r w:rsidRPr="00AC42B3">
        <w:rPr>
          <w:color w:val="000000"/>
          <w:spacing w:val="-2"/>
          <w:lang w:val="it-IT"/>
        </w:rPr>
        <w:t xml:space="preserve"> namreč lahko povzroči ponovno aktivacijo hepatitisa B, kar utegne biti v nekaterih primerih </w:t>
      </w:r>
      <w:r w:rsidRPr="0032026B">
        <w:rPr>
          <w:color w:val="000000"/>
          <w:spacing w:val="-2"/>
          <w:szCs w:val="22"/>
          <w:lang w:val="it-IT"/>
        </w:rPr>
        <w:t>smrtno nevarno. Pred začetkom zdravljenja bo zdravnik skrbno pregledal bolnike glede znakov te okužbe.</w:t>
      </w:r>
    </w:p>
    <w:p w14:paraId="5297A928" w14:textId="77777777" w:rsidR="00236FDE" w:rsidRPr="000C2E42" w:rsidRDefault="00236FDE" w:rsidP="009C1193">
      <w:pPr>
        <w:widowControl w:val="0"/>
        <w:numPr>
          <w:ilvl w:val="0"/>
          <w:numId w:val="1"/>
        </w:numPr>
        <w:tabs>
          <w:tab w:val="clear" w:pos="567"/>
        </w:tabs>
        <w:spacing w:line="240" w:lineRule="auto"/>
        <w:ind w:left="567" w:hanging="567"/>
        <w:rPr>
          <w:color w:val="000000"/>
          <w:szCs w:val="22"/>
          <w:lang w:val="it-IT"/>
        </w:rPr>
      </w:pPr>
      <w:r>
        <w:rPr>
          <w:color w:val="000000"/>
          <w:szCs w:val="22"/>
          <w:lang w:val="it-IT"/>
        </w:rPr>
        <w:t>Če se v obdobju</w:t>
      </w:r>
      <w:r w:rsidR="00171B81">
        <w:rPr>
          <w:color w:val="000000"/>
          <w:szCs w:val="22"/>
          <w:lang w:val="it-IT"/>
        </w:rPr>
        <w:t>,</w:t>
      </w:r>
      <w:r>
        <w:rPr>
          <w:color w:val="000000"/>
          <w:szCs w:val="22"/>
          <w:lang w:val="it-IT"/>
        </w:rPr>
        <w:t xml:space="preserve"> ko jemljete zdravilo Glivec, pri vas pojavijo modrice, krvavitev, povišana telesna temperatura, utrujenost in zmedenost, se posvetujte z zdravnikom. To so lahko znaki poškodbe krvnih žil</w:t>
      </w:r>
      <w:r w:rsidR="003A2AAF">
        <w:rPr>
          <w:color w:val="000000"/>
          <w:szCs w:val="22"/>
          <w:lang w:val="it-IT"/>
        </w:rPr>
        <w:t>, znani</w:t>
      </w:r>
      <w:r>
        <w:rPr>
          <w:color w:val="000000"/>
          <w:szCs w:val="22"/>
          <w:lang w:val="it-IT"/>
        </w:rPr>
        <w:t xml:space="preserve"> kot trombotična mikroangiopatija.</w:t>
      </w:r>
    </w:p>
    <w:p w14:paraId="5297A929" w14:textId="77777777" w:rsidR="007B1033" w:rsidRPr="000C2E42" w:rsidRDefault="007B1033" w:rsidP="009C1193">
      <w:pPr>
        <w:pStyle w:val="TextChar"/>
        <w:widowControl w:val="0"/>
        <w:spacing w:before="0"/>
        <w:jc w:val="left"/>
        <w:rPr>
          <w:b/>
          <w:color w:val="000000"/>
          <w:sz w:val="22"/>
          <w:szCs w:val="22"/>
          <w:lang w:val="it-IT"/>
        </w:rPr>
      </w:pPr>
      <w:r w:rsidRPr="000C2E42">
        <w:rPr>
          <w:color w:val="000000"/>
          <w:sz w:val="22"/>
          <w:szCs w:val="22"/>
          <w:lang w:val="it-IT"/>
        </w:rPr>
        <w:t xml:space="preserve">Če kaj od zgoraj navedenega velja za vas, </w:t>
      </w:r>
      <w:r w:rsidRPr="000C2E42">
        <w:rPr>
          <w:b/>
          <w:color w:val="000000"/>
          <w:sz w:val="22"/>
          <w:szCs w:val="22"/>
          <w:lang w:val="it-IT"/>
        </w:rPr>
        <w:t>se še pred jemanjem zdravila posvetujte s svojim zdravnikom.</w:t>
      </w:r>
    </w:p>
    <w:p w14:paraId="5297A92A" w14:textId="77777777" w:rsidR="007B1033" w:rsidRDefault="007B1033" w:rsidP="009C1193">
      <w:pPr>
        <w:pStyle w:val="TextChar"/>
        <w:widowControl w:val="0"/>
        <w:spacing w:before="0"/>
        <w:jc w:val="left"/>
        <w:rPr>
          <w:color w:val="000000"/>
          <w:sz w:val="22"/>
          <w:szCs w:val="22"/>
          <w:lang w:val="it-IT"/>
        </w:rPr>
      </w:pPr>
    </w:p>
    <w:p w14:paraId="5297A92B" w14:textId="77777777" w:rsidR="005E41E9" w:rsidRDefault="005E41E9" w:rsidP="009C1193">
      <w:pPr>
        <w:pStyle w:val="TextChar"/>
        <w:widowControl w:val="0"/>
        <w:spacing w:before="0"/>
        <w:jc w:val="left"/>
        <w:rPr>
          <w:color w:val="000000"/>
          <w:sz w:val="22"/>
          <w:szCs w:val="22"/>
          <w:lang w:val="it-IT"/>
        </w:rPr>
      </w:pPr>
      <w:r>
        <w:rPr>
          <w:color w:val="000000"/>
          <w:sz w:val="22"/>
          <w:szCs w:val="22"/>
          <w:lang w:val="it-IT"/>
        </w:rPr>
        <w:t>Med jemanjem zdravila Glivec lahko postanete občutljivejši na sonce. Pomembno je, da pokrijete predele kože, ki so izpostavljeni soncu, in uporabljate zaščitno kremo z visokim zaščitnim faktorjem. Te zaščitne ukrepe je treba upoštevati tudi pri otrocih.</w:t>
      </w:r>
    </w:p>
    <w:p w14:paraId="5297A92C" w14:textId="77777777" w:rsidR="005E41E9" w:rsidRPr="004A59B1" w:rsidRDefault="005E41E9" w:rsidP="009C1193">
      <w:pPr>
        <w:pStyle w:val="TextChar"/>
        <w:widowControl w:val="0"/>
        <w:spacing w:before="0"/>
        <w:jc w:val="left"/>
        <w:rPr>
          <w:color w:val="000000"/>
          <w:sz w:val="22"/>
          <w:szCs w:val="22"/>
          <w:lang w:val="it-IT"/>
        </w:rPr>
      </w:pPr>
    </w:p>
    <w:p w14:paraId="5297A92D" w14:textId="77777777" w:rsidR="007B1033" w:rsidRPr="004A59B1" w:rsidRDefault="007B1033" w:rsidP="009C1193">
      <w:pPr>
        <w:pStyle w:val="TextChar"/>
        <w:widowControl w:val="0"/>
        <w:spacing w:before="0"/>
        <w:jc w:val="left"/>
        <w:rPr>
          <w:color w:val="000000"/>
          <w:sz w:val="22"/>
          <w:szCs w:val="22"/>
          <w:lang w:val="it-IT"/>
        </w:rPr>
      </w:pPr>
      <w:r w:rsidRPr="004A59B1">
        <w:rPr>
          <w:b/>
          <w:bCs/>
          <w:color w:val="000000"/>
          <w:sz w:val="22"/>
          <w:szCs w:val="22"/>
          <w:lang w:val="it-IT"/>
        </w:rPr>
        <w:t xml:space="preserve">Če med jemanjem zdravila Glivec </w:t>
      </w:r>
      <w:r w:rsidRPr="004A59B1">
        <w:rPr>
          <w:color w:val="000000"/>
          <w:sz w:val="22"/>
          <w:szCs w:val="22"/>
          <w:lang w:val="it-IT"/>
        </w:rPr>
        <w:t xml:space="preserve">začnete hitro pridobivati telesno maso, </w:t>
      </w:r>
      <w:r w:rsidRPr="004A59B1">
        <w:rPr>
          <w:b/>
          <w:color w:val="000000"/>
          <w:sz w:val="22"/>
          <w:szCs w:val="22"/>
          <w:lang w:val="it-IT"/>
        </w:rPr>
        <w:t>takoj obvestite zdravnika</w:t>
      </w:r>
      <w:r w:rsidRPr="004A59B1">
        <w:rPr>
          <w:color w:val="000000"/>
          <w:sz w:val="22"/>
          <w:szCs w:val="22"/>
          <w:lang w:val="it-IT"/>
        </w:rPr>
        <w:t xml:space="preserve">. Zaradi zdravila Glivec lahko telo zadržuje vodo (lahko pride do </w:t>
      </w:r>
      <w:r w:rsidR="00651793" w:rsidRPr="004A59B1">
        <w:rPr>
          <w:color w:val="000000"/>
          <w:sz w:val="22"/>
          <w:szCs w:val="22"/>
          <w:lang w:val="it-IT"/>
        </w:rPr>
        <w:t>hudega</w:t>
      </w:r>
      <w:r w:rsidR="00651793" w:rsidRPr="004A59B1" w:rsidDel="00651793">
        <w:rPr>
          <w:color w:val="000000"/>
          <w:sz w:val="22"/>
          <w:szCs w:val="22"/>
          <w:lang w:val="it-IT"/>
        </w:rPr>
        <w:t xml:space="preserve"> </w:t>
      </w:r>
      <w:r w:rsidRPr="004A59B1">
        <w:rPr>
          <w:color w:val="000000"/>
          <w:sz w:val="22"/>
          <w:szCs w:val="22"/>
          <w:lang w:val="it-IT"/>
        </w:rPr>
        <w:t>zastajanja tekočine).</w:t>
      </w:r>
    </w:p>
    <w:p w14:paraId="5297A92E" w14:textId="77777777" w:rsidR="007B1033" w:rsidRPr="004A59B1" w:rsidRDefault="007B1033" w:rsidP="009C1193">
      <w:pPr>
        <w:pStyle w:val="TextChar"/>
        <w:widowControl w:val="0"/>
        <w:spacing w:before="0"/>
        <w:jc w:val="left"/>
        <w:rPr>
          <w:color w:val="000000"/>
          <w:sz w:val="22"/>
          <w:szCs w:val="22"/>
          <w:lang w:val="it-IT"/>
        </w:rPr>
      </w:pPr>
    </w:p>
    <w:p w14:paraId="5297A92F" w14:textId="77777777" w:rsidR="00651793" w:rsidRPr="004A59B1" w:rsidRDefault="007B1033" w:rsidP="009C1193">
      <w:pPr>
        <w:pStyle w:val="TextChar"/>
        <w:widowControl w:val="0"/>
        <w:spacing w:before="0"/>
        <w:jc w:val="left"/>
        <w:rPr>
          <w:color w:val="000000"/>
          <w:sz w:val="22"/>
          <w:szCs w:val="22"/>
          <w:lang w:val="it-IT"/>
        </w:rPr>
      </w:pPr>
      <w:r w:rsidRPr="004A59B1">
        <w:rPr>
          <w:color w:val="000000"/>
          <w:sz w:val="22"/>
          <w:szCs w:val="22"/>
          <w:lang w:val="it-IT"/>
        </w:rPr>
        <w:t xml:space="preserve">Med jemanjem zdravila Glivec bo zdravnik redno spremljal, ali zdravilo deluje. </w:t>
      </w:r>
      <w:r w:rsidR="00651793" w:rsidRPr="004A59B1">
        <w:rPr>
          <w:color w:val="000000"/>
          <w:sz w:val="22"/>
          <w:szCs w:val="22"/>
          <w:lang w:val="it-IT"/>
        </w:rPr>
        <w:t>Pri vas bodo tudi opravljali preiskave krvi in vas redno tehtali.</w:t>
      </w:r>
    </w:p>
    <w:p w14:paraId="5297A930" w14:textId="77777777" w:rsidR="007B1033" w:rsidRPr="004A59B1" w:rsidRDefault="007B1033" w:rsidP="009C1193">
      <w:pPr>
        <w:pStyle w:val="TextChar"/>
        <w:widowControl w:val="0"/>
        <w:spacing w:before="0"/>
        <w:jc w:val="left"/>
        <w:rPr>
          <w:color w:val="000000"/>
          <w:szCs w:val="22"/>
          <w:lang w:val="it-IT"/>
        </w:rPr>
      </w:pPr>
    </w:p>
    <w:p w14:paraId="5297A931" w14:textId="77777777" w:rsidR="007B1033" w:rsidRPr="004A59B1" w:rsidRDefault="007B1033" w:rsidP="009C1193">
      <w:pPr>
        <w:pStyle w:val="EndnoteText"/>
        <w:keepNext/>
        <w:widowControl w:val="0"/>
        <w:numPr>
          <w:ilvl w:val="12"/>
          <w:numId w:val="0"/>
        </w:numPr>
        <w:tabs>
          <w:tab w:val="clear" w:pos="567"/>
        </w:tabs>
        <w:rPr>
          <w:b/>
          <w:color w:val="000000"/>
          <w:szCs w:val="22"/>
          <w:lang w:val="it-IT"/>
        </w:rPr>
      </w:pPr>
      <w:r w:rsidRPr="004A59B1">
        <w:rPr>
          <w:b/>
          <w:color w:val="000000"/>
          <w:szCs w:val="22"/>
          <w:lang w:val="it-IT"/>
        </w:rPr>
        <w:t>Otroci in mladostniki</w:t>
      </w:r>
    </w:p>
    <w:p w14:paraId="5297A932" w14:textId="77777777" w:rsidR="007B1033" w:rsidRPr="004A59B1" w:rsidRDefault="007B1033" w:rsidP="009C1193">
      <w:pPr>
        <w:pStyle w:val="EndnoteText"/>
        <w:widowControl w:val="0"/>
        <w:numPr>
          <w:ilvl w:val="12"/>
          <w:numId w:val="0"/>
        </w:numPr>
        <w:tabs>
          <w:tab w:val="clear" w:pos="567"/>
        </w:tabs>
        <w:rPr>
          <w:color w:val="000000"/>
          <w:szCs w:val="22"/>
          <w:lang w:val="it-IT"/>
        </w:rPr>
      </w:pPr>
      <w:r w:rsidRPr="004A59B1">
        <w:rPr>
          <w:color w:val="000000"/>
          <w:szCs w:val="22"/>
          <w:lang w:val="it-IT"/>
        </w:rPr>
        <w:t>Zdravilo Glivec je namenjeno tudi zdravljenju otrok s KML. Izkušenj pri otrocih s KML, mlajših od 2 let, ni. Izkušenj pri otrocih s Ph pozitivno ALL je malo</w:t>
      </w:r>
      <w:r w:rsidR="004C0629" w:rsidRPr="004A59B1">
        <w:rPr>
          <w:color w:val="000000"/>
          <w:szCs w:val="22"/>
          <w:lang w:val="it-IT"/>
        </w:rPr>
        <w:t>, pri otrocih z MDS/MPD, DFSP, GIST ali s HES/CEL pa zelo malo</w:t>
      </w:r>
      <w:r w:rsidRPr="004A59B1">
        <w:rPr>
          <w:color w:val="000000"/>
          <w:szCs w:val="22"/>
          <w:lang w:val="it-IT"/>
        </w:rPr>
        <w:t>.</w:t>
      </w:r>
    </w:p>
    <w:p w14:paraId="5297A933" w14:textId="77777777" w:rsidR="007B1033" w:rsidRPr="004A59B1" w:rsidRDefault="007B1033" w:rsidP="009C1193">
      <w:pPr>
        <w:pStyle w:val="EndnoteText"/>
        <w:widowControl w:val="0"/>
        <w:numPr>
          <w:ilvl w:val="12"/>
          <w:numId w:val="0"/>
        </w:numPr>
        <w:tabs>
          <w:tab w:val="clear" w:pos="567"/>
        </w:tabs>
        <w:rPr>
          <w:color w:val="000000"/>
          <w:szCs w:val="22"/>
          <w:lang w:val="it-IT"/>
        </w:rPr>
      </w:pPr>
    </w:p>
    <w:p w14:paraId="5297A934" w14:textId="77777777" w:rsidR="007B1033" w:rsidRPr="004A59B1" w:rsidRDefault="007B1033" w:rsidP="009C1193">
      <w:pPr>
        <w:pStyle w:val="EndnoteText"/>
        <w:widowControl w:val="0"/>
        <w:numPr>
          <w:ilvl w:val="12"/>
          <w:numId w:val="0"/>
        </w:numPr>
        <w:tabs>
          <w:tab w:val="clear" w:pos="567"/>
        </w:tabs>
        <w:rPr>
          <w:color w:val="000000"/>
          <w:szCs w:val="22"/>
          <w:lang w:val="it-IT"/>
        </w:rPr>
      </w:pPr>
      <w:r w:rsidRPr="004A59B1">
        <w:rPr>
          <w:color w:val="000000"/>
          <w:szCs w:val="22"/>
          <w:lang w:val="it-IT"/>
        </w:rPr>
        <w:t>Pri nekaterih otrocih in mladostnikih, ki jemljejo zdravilo Glivec, je lahko rast počasnejša od normalne. Zdravnik bo spremljal rast na rednih pregledih.</w:t>
      </w:r>
    </w:p>
    <w:p w14:paraId="5297A935" w14:textId="77777777" w:rsidR="007B1033" w:rsidRPr="004A59B1" w:rsidRDefault="007B1033" w:rsidP="009C1193">
      <w:pPr>
        <w:pStyle w:val="EndnoteText"/>
        <w:widowControl w:val="0"/>
        <w:numPr>
          <w:ilvl w:val="12"/>
          <w:numId w:val="0"/>
        </w:numPr>
        <w:tabs>
          <w:tab w:val="clear" w:pos="567"/>
        </w:tabs>
        <w:rPr>
          <w:color w:val="000000"/>
          <w:szCs w:val="22"/>
          <w:lang w:val="it-IT"/>
        </w:rPr>
      </w:pPr>
    </w:p>
    <w:p w14:paraId="5297A936" w14:textId="77777777" w:rsidR="007B1033" w:rsidRPr="004A59B1" w:rsidRDefault="007B1033" w:rsidP="009C1193">
      <w:pPr>
        <w:keepNext/>
        <w:widowControl w:val="0"/>
        <w:numPr>
          <w:ilvl w:val="12"/>
          <w:numId w:val="0"/>
        </w:numPr>
        <w:tabs>
          <w:tab w:val="clear" w:pos="567"/>
        </w:tabs>
        <w:spacing w:line="240" w:lineRule="auto"/>
        <w:ind w:right="-2"/>
        <w:rPr>
          <w:color w:val="000000"/>
          <w:szCs w:val="22"/>
          <w:lang w:val="it-IT"/>
        </w:rPr>
      </w:pPr>
      <w:r w:rsidRPr="004A59B1">
        <w:rPr>
          <w:b/>
          <w:color w:val="000000"/>
          <w:szCs w:val="22"/>
          <w:lang w:val="it-IT"/>
        </w:rPr>
        <w:lastRenderedPageBreak/>
        <w:t>Druga zdravila in zdravilo Glivec</w:t>
      </w:r>
    </w:p>
    <w:p w14:paraId="5297A937" w14:textId="77777777" w:rsidR="007B1033" w:rsidRPr="004A59B1" w:rsidRDefault="007B1033" w:rsidP="009C1193">
      <w:pPr>
        <w:pStyle w:val="EndnoteText"/>
        <w:widowControl w:val="0"/>
        <w:numPr>
          <w:ilvl w:val="12"/>
          <w:numId w:val="0"/>
        </w:numPr>
        <w:tabs>
          <w:tab w:val="clear" w:pos="567"/>
        </w:tabs>
        <w:rPr>
          <w:color w:val="000000"/>
          <w:szCs w:val="22"/>
          <w:lang w:val="pt-PT"/>
        </w:rPr>
      </w:pPr>
      <w:r w:rsidRPr="004A59B1">
        <w:rPr>
          <w:color w:val="000000"/>
          <w:szCs w:val="22"/>
          <w:lang w:val="it-IT"/>
        </w:rPr>
        <w:t xml:space="preserve">Obvestite zdravnika ali farmacevta, če jemljete, ste pred kratkim jemali ali pa boste morda začeli jemati katero koli drugo zdravilo, tudi če ste ga dobili brez recepta (na primer paracetamol), vključno z zdravili rastlinskega izvora (na primer šentjanževke). </w:t>
      </w:r>
      <w:r w:rsidRPr="004A59B1">
        <w:rPr>
          <w:color w:val="000000"/>
          <w:szCs w:val="22"/>
          <w:lang w:val="pt-PT"/>
        </w:rPr>
        <w:t xml:space="preserve">Nekatera zdravila lahko ob sočasnem jemanju vplivajo na delovanje zdravila Glivec. Lahko povečajo ali zmanjšajo učinek zdravila Glivec in zato bodisi povečajo verjetnost za nastanek neželenih učinkov, bodisi zmanjšajo učinkovitost zdravila Glivec. Zdravilo Glivec lahko enako vpliva na </w:t>
      </w:r>
      <w:r w:rsidR="00651793" w:rsidRPr="004A59B1">
        <w:rPr>
          <w:color w:val="000000"/>
          <w:szCs w:val="22"/>
          <w:lang w:val="pt-PT"/>
        </w:rPr>
        <w:t xml:space="preserve">nekatera </w:t>
      </w:r>
      <w:r w:rsidRPr="004A59B1">
        <w:rPr>
          <w:color w:val="000000"/>
          <w:szCs w:val="22"/>
          <w:lang w:val="pt-PT"/>
        </w:rPr>
        <w:t>druga zdravila.</w:t>
      </w:r>
    </w:p>
    <w:p w14:paraId="5297A938" w14:textId="77777777" w:rsidR="00A73C50" w:rsidRPr="004A59B1" w:rsidRDefault="00A73C50" w:rsidP="009C1193">
      <w:pPr>
        <w:pStyle w:val="EndnoteText"/>
        <w:widowControl w:val="0"/>
        <w:numPr>
          <w:ilvl w:val="12"/>
          <w:numId w:val="0"/>
        </w:numPr>
        <w:tabs>
          <w:tab w:val="clear" w:pos="567"/>
        </w:tabs>
        <w:rPr>
          <w:color w:val="000000"/>
          <w:szCs w:val="22"/>
          <w:lang w:val="pt-PT"/>
        </w:rPr>
      </w:pPr>
    </w:p>
    <w:p w14:paraId="5297A939" w14:textId="77777777" w:rsidR="00A73C50" w:rsidRPr="004A59B1" w:rsidRDefault="00A73C50" w:rsidP="009C1193">
      <w:pPr>
        <w:pStyle w:val="EndnoteText"/>
        <w:widowControl w:val="0"/>
        <w:numPr>
          <w:ilvl w:val="12"/>
          <w:numId w:val="0"/>
        </w:numPr>
        <w:tabs>
          <w:tab w:val="clear" w:pos="567"/>
        </w:tabs>
        <w:rPr>
          <w:color w:val="000000"/>
          <w:szCs w:val="22"/>
          <w:lang w:val="pt-PT"/>
        </w:rPr>
      </w:pPr>
      <w:r w:rsidRPr="004A59B1">
        <w:rPr>
          <w:color w:val="000000"/>
          <w:szCs w:val="22"/>
          <w:lang w:val="pt-PT"/>
        </w:rPr>
        <w:t>Povejte svojemu zdravniku, če uporabljate zdravila, ki preprečujejo strjevanje krvi.</w:t>
      </w:r>
    </w:p>
    <w:p w14:paraId="5297A93A" w14:textId="77777777" w:rsidR="007B1033" w:rsidRPr="004A59B1" w:rsidRDefault="007B1033" w:rsidP="009C1193">
      <w:pPr>
        <w:pStyle w:val="EndnoteText"/>
        <w:widowControl w:val="0"/>
        <w:numPr>
          <w:ilvl w:val="12"/>
          <w:numId w:val="0"/>
        </w:numPr>
        <w:tabs>
          <w:tab w:val="clear" w:pos="567"/>
        </w:tabs>
        <w:rPr>
          <w:color w:val="000000"/>
          <w:szCs w:val="22"/>
          <w:lang w:val="pt-PT"/>
        </w:rPr>
      </w:pPr>
    </w:p>
    <w:p w14:paraId="5297A93B" w14:textId="77777777" w:rsidR="007B1033" w:rsidRPr="004A59B1" w:rsidRDefault="007B1033" w:rsidP="009C1193">
      <w:pPr>
        <w:pStyle w:val="TextChar"/>
        <w:keepNext/>
        <w:widowControl w:val="0"/>
        <w:spacing w:before="0"/>
        <w:jc w:val="left"/>
        <w:rPr>
          <w:color w:val="000000"/>
          <w:sz w:val="22"/>
          <w:szCs w:val="22"/>
          <w:lang w:val="pt-PT"/>
        </w:rPr>
      </w:pPr>
      <w:r w:rsidRPr="004A59B1">
        <w:rPr>
          <w:b/>
          <w:color w:val="000000"/>
          <w:sz w:val="22"/>
          <w:szCs w:val="22"/>
          <w:lang w:val="pt-PT"/>
        </w:rPr>
        <w:t>Nosečnost, dojenje in plodnost</w:t>
      </w:r>
    </w:p>
    <w:p w14:paraId="5297A93C" w14:textId="77777777" w:rsidR="007B1033" w:rsidRPr="004A59B1" w:rsidRDefault="007B1033" w:rsidP="009C1193">
      <w:pPr>
        <w:keepNext/>
        <w:widowControl w:val="0"/>
        <w:numPr>
          <w:ilvl w:val="0"/>
          <w:numId w:val="42"/>
        </w:numPr>
        <w:tabs>
          <w:tab w:val="clear" w:pos="567"/>
        </w:tabs>
        <w:spacing w:line="240" w:lineRule="auto"/>
        <w:ind w:left="567" w:hanging="567"/>
        <w:rPr>
          <w:color w:val="000000"/>
          <w:szCs w:val="22"/>
          <w:lang w:val="pt-PT"/>
        </w:rPr>
      </w:pPr>
      <w:r w:rsidRPr="004A59B1">
        <w:rPr>
          <w:color w:val="000000"/>
          <w:szCs w:val="22"/>
          <w:lang w:val="pt-PT"/>
        </w:rPr>
        <w:t xml:space="preserve">Če ste noseči ali dojite, menite, da </w:t>
      </w:r>
      <w:r w:rsidR="00346403" w:rsidRPr="004A59B1">
        <w:rPr>
          <w:color w:val="000000"/>
          <w:szCs w:val="22"/>
          <w:lang w:val="pt-PT"/>
        </w:rPr>
        <w:t>bi lahko bili</w:t>
      </w:r>
      <w:r w:rsidRPr="004A59B1">
        <w:rPr>
          <w:color w:val="000000"/>
          <w:szCs w:val="22"/>
          <w:lang w:val="pt-PT"/>
        </w:rPr>
        <w:t xml:space="preserve"> noseči ali načrtujete zanositev, se posvetujte </w:t>
      </w:r>
      <w:r w:rsidR="00346403" w:rsidRPr="004A59B1">
        <w:rPr>
          <w:color w:val="000000"/>
          <w:szCs w:val="22"/>
          <w:lang w:val="pt-PT"/>
        </w:rPr>
        <w:t>z</w:t>
      </w:r>
      <w:r w:rsidRPr="004A59B1">
        <w:rPr>
          <w:color w:val="000000"/>
          <w:szCs w:val="22"/>
          <w:lang w:val="pt-PT"/>
        </w:rPr>
        <w:t xml:space="preserve"> zdravnikom, preden vzamete to zdravilo.</w:t>
      </w:r>
    </w:p>
    <w:p w14:paraId="5297A93D" w14:textId="77777777" w:rsidR="007B1033" w:rsidRPr="004A59B1" w:rsidRDefault="007B1033" w:rsidP="009C1193">
      <w:pPr>
        <w:widowControl w:val="0"/>
        <w:numPr>
          <w:ilvl w:val="12"/>
          <w:numId w:val="0"/>
        </w:numPr>
        <w:tabs>
          <w:tab w:val="clear" w:pos="567"/>
        </w:tabs>
        <w:spacing w:line="240" w:lineRule="auto"/>
        <w:ind w:left="567" w:hanging="567"/>
        <w:rPr>
          <w:color w:val="000000"/>
          <w:szCs w:val="22"/>
          <w:lang w:val="pt-PT"/>
        </w:rPr>
      </w:pPr>
      <w:r w:rsidRPr="004A59B1">
        <w:rPr>
          <w:b/>
          <w:color w:val="000000"/>
          <w:szCs w:val="22"/>
          <w:lang w:val="pt-PT"/>
        </w:rPr>
        <w:t>-</w:t>
      </w:r>
      <w:r w:rsidRPr="004A59B1">
        <w:rPr>
          <w:b/>
          <w:color w:val="000000"/>
          <w:szCs w:val="22"/>
          <w:lang w:val="pt-PT"/>
        </w:rPr>
        <w:tab/>
      </w:r>
      <w:r w:rsidRPr="004A59B1">
        <w:rPr>
          <w:color w:val="000000"/>
          <w:szCs w:val="22"/>
          <w:lang w:val="pt-PT"/>
        </w:rPr>
        <w:t>Uporaba zdravila Glivec v nosečnosti ni priporočena, če to ni nujno potrebno, saj lahko škoduje vašemu otroku. Zdravnik se bo pogovoril z vami o možnih nevarnostih jemanja zdravila Glivec v nosečnosti.</w:t>
      </w:r>
    </w:p>
    <w:p w14:paraId="5297A93E" w14:textId="77777777" w:rsidR="007B1033" w:rsidRPr="004A59B1" w:rsidRDefault="007B1033" w:rsidP="009C1193">
      <w:pPr>
        <w:widowControl w:val="0"/>
        <w:numPr>
          <w:ilvl w:val="12"/>
          <w:numId w:val="0"/>
        </w:numPr>
        <w:tabs>
          <w:tab w:val="clear" w:pos="567"/>
        </w:tabs>
        <w:spacing w:line="240" w:lineRule="auto"/>
        <w:ind w:left="567" w:hanging="567"/>
        <w:rPr>
          <w:color w:val="000000"/>
          <w:szCs w:val="22"/>
          <w:lang w:val="pt-PT"/>
        </w:rPr>
      </w:pPr>
      <w:r w:rsidRPr="004A59B1">
        <w:rPr>
          <w:color w:val="000000"/>
          <w:szCs w:val="22"/>
          <w:lang w:val="pt-PT"/>
        </w:rPr>
        <w:t>-</w:t>
      </w:r>
      <w:r w:rsidRPr="004A59B1">
        <w:rPr>
          <w:color w:val="000000"/>
          <w:szCs w:val="22"/>
          <w:lang w:val="pt-PT"/>
        </w:rPr>
        <w:tab/>
        <w:t xml:space="preserve">Ženskam, ki bi lahko zanosile, med zdravljenjem </w:t>
      </w:r>
      <w:r w:rsidR="004351C7">
        <w:rPr>
          <w:color w:val="000000"/>
          <w:szCs w:val="22"/>
          <w:lang w:val="pt-PT"/>
        </w:rPr>
        <w:t xml:space="preserve">in še 15 dni po koncu zdravljenja </w:t>
      </w:r>
      <w:r w:rsidRPr="004A59B1">
        <w:rPr>
          <w:color w:val="000000"/>
          <w:szCs w:val="22"/>
          <w:lang w:val="pt-PT"/>
        </w:rPr>
        <w:t>priporočamo uporabo učinkovite kontracepcijske metode.</w:t>
      </w:r>
    </w:p>
    <w:p w14:paraId="5297A93F" w14:textId="77777777" w:rsidR="007B1033" w:rsidRPr="004A59B1" w:rsidRDefault="007B1033" w:rsidP="009C1193">
      <w:pPr>
        <w:widowControl w:val="0"/>
        <w:numPr>
          <w:ilvl w:val="12"/>
          <w:numId w:val="0"/>
        </w:numPr>
        <w:tabs>
          <w:tab w:val="clear" w:pos="567"/>
        </w:tabs>
        <w:spacing w:line="240" w:lineRule="auto"/>
        <w:ind w:left="567" w:hanging="567"/>
        <w:rPr>
          <w:color w:val="000000"/>
          <w:szCs w:val="22"/>
          <w:lang w:val="pt-PT"/>
        </w:rPr>
      </w:pPr>
      <w:r w:rsidRPr="004A59B1">
        <w:rPr>
          <w:color w:val="000000"/>
          <w:szCs w:val="22"/>
          <w:lang w:val="pt-PT"/>
        </w:rPr>
        <w:t>-</w:t>
      </w:r>
      <w:r w:rsidRPr="004A59B1">
        <w:rPr>
          <w:color w:val="000000"/>
          <w:szCs w:val="22"/>
          <w:lang w:val="pt-PT"/>
        </w:rPr>
        <w:tab/>
        <w:t xml:space="preserve">Med zdravljenjem </w:t>
      </w:r>
      <w:r w:rsidR="004351C7">
        <w:rPr>
          <w:color w:val="000000"/>
          <w:szCs w:val="22"/>
          <w:lang w:val="pt-PT"/>
        </w:rPr>
        <w:t xml:space="preserve">in še 15 dni po koncu zdravljenja </w:t>
      </w:r>
      <w:r w:rsidRPr="004A59B1">
        <w:rPr>
          <w:color w:val="000000"/>
          <w:szCs w:val="22"/>
          <w:lang w:val="pt-PT"/>
        </w:rPr>
        <w:t>z zdravilom Glivec ne dojite</w:t>
      </w:r>
      <w:r w:rsidR="004351C7">
        <w:rPr>
          <w:color w:val="000000"/>
          <w:szCs w:val="22"/>
          <w:lang w:val="pt-PT"/>
        </w:rPr>
        <w:t>, ker to lahko škodi vašemu otroku</w:t>
      </w:r>
      <w:r w:rsidRPr="004A59B1">
        <w:rPr>
          <w:color w:val="000000"/>
          <w:szCs w:val="22"/>
          <w:lang w:val="pt-PT"/>
        </w:rPr>
        <w:t>.</w:t>
      </w:r>
    </w:p>
    <w:p w14:paraId="5297A940" w14:textId="77777777" w:rsidR="007B1033" w:rsidRPr="004A59B1" w:rsidRDefault="007B1033" w:rsidP="009C1193">
      <w:pPr>
        <w:widowControl w:val="0"/>
        <w:numPr>
          <w:ilvl w:val="12"/>
          <w:numId w:val="0"/>
        </w:numPr>
        <w:tabs>
          <w:tab w:val="clear" w:pos="567"/>
        </w:tabs>
        <w:spacing w:line="240" w:lineRule="auto"/>
        <w:ind w:left="567" w:hanging="567"/>
        <w:rPr>
          <w:color w:val="000000"/>
          <w:szCs w:val="22"/>
          <w:lang w:val="pt-PT"/>
        </w:rPr>
      </w:pPr>
      <w:r w:rsidRPr="004A59B1">
        <w:rPr>
          <w:color w:val="000000"/>
          <w:szCs w:val="22"/>
          <w:lang w:val="pt-PT"/>
        </w:rPr>
        <w:t>-</w:t>
      </w:r>
      <w:r w:rsidRPr="004A59B1">
        <w:rPr>
          <w:color w:val="000000"/>
          <w:szCs w:val="22"/>
          <w:lang w:val="pt-PT"/>
        </w:rPr>
        <w:tab/>
        <w:t>Bolniki</w:t>
      </w:r>
      <w:r w:rsidRPr="004A59B1">
        <w:rPr>
          <w:lang w:val="sl-SI"/>
        </w:rPr>
        <w:t>, ki jih skrbi glede njihove plodnosti v času zdravljenja z zdravilom Glivec, naj se posvetujejo s svojim zdravnikom.</w:t>
      </w:r>
    </w:p>
    <w:p w14:paraId="5297A941" w14:textId="77777777" w:rsidR="007B1033" w:rsidRPr="004A59B1" w:rsidRDefault="007B1033" w:rsidP="009C1193">
      <w:pPr>
        <w:widowControl w:val="0"/>
        <w:numPr>
          <w:ilvl w:val="12"/>
          <w:numId w:val="0"/>
        </w:numPr>
        <w:tabs>
          <w:tab w:val="clear" w:pos="567"/>
        </w:tabs>
        <w:spacing w:line="240" w:lineRule="auto"/>
        <w:ind w:left="567" w:hanging="567"/>
        <w:rPr>
          <w:color w:val="000000"/>
          <w:szCs w:val="22"/>
          <w:lang w:val="pt-PT"/>
        </w:rPr>
      </w:pPr>
    </w:p>
    <w:p w14:paraId="5297A942" w14:textId="77777777" w:rsidR="007B1033" w:rsidRPr="004A59B1" w:rsidRDefault="007B1033" w:rsidP="009C1193">
      <w:pPr>
        <w:keepNext/>
        <w:widowControl w:val="0"/>
        <w:numPr>
          <w:ilvl w:val="12"/>
          <w:numId w:val="0"/>
        </w:numPr>
        <w:tabs>
          <w:tab w:val="clear" w:pos="567"/>
        </w:tabs>
        <w:spacing w:line="240" w:lineRule="auto"/>
        <w:ind w:right="-2"/>
        <w:rPr>
          <w:b/>
          <w:color w:val="000000"/>
          <w:szCs w:val="22"/>
          <w:lang w:val="pt-PT"/>
        </w:rPr>
      </w:pPr>
      <w:r w:rsidRPr="004A59B1">
        <w:rPr>
          <w:b/>
          <w:color w:val="000000"/>
          <w:szCs w:val="22"/>
          <w:lang w:val="pt-PT"/>
        </w:rPr>
        <w:t>Vpliv na sposobnost upravljanja vozil in strojev</w:t>
      </w:r>
    </w:p>
    <w:p w14:paraId="5297A943" w14:textId="77777777" w:rsidR="007B1033" w:rsidRPr="004A59B1" w:rsidRDefault="007B1033" w:rsidP="009C1193">
      <w:pPr>
        <w:widowControl w:val="0"/>
        <w:numPr>
          <w:ilvl w:val="12"/>
          <w:numId w:val="0"/>
        </w:numPr>
        <w:tabs>
          <w:tab w:val="clear" w:pos="567"/>
        </w:tabs>
        <w:spacing w:line="240" w:lineRule="auto"/>
        <w:ind w:right="-29"/>
        <w:rPr>
          <w:color w:val="000000"/>
          <w:szCs w:val="22"/>
          <w:lang w:val="sl-SI"/>
        </w:rPr>
      </w:pPr>
      <w:r w:rsidRPr="004A59B1">
        <w:rPr>
          <w:color w:val="000000"/>
          <w:szCs w:val="22"/>
          <w:lang w:val="sl-SI"/>
        </w:rPr>
        <w:t>V času jemanja zdravila Glivec lahko postanete omotični ali zaspani ali se vam zamegli vid. Če pride do tega, ne vozite in ne upravljajte nobenih naprav ali strojev, dokler se ne počutite spet normalno.</w:t>
      </w:r>
    </w:p>
    <w:p w14:paraId="5297A944" w14:textId="77777777" w:rsidR="007B1033" w:rsidRPr="004A59B1" w:rsidRDefault="007B1033" w:rsidP="009C1193">
      <w:pPr>
        <w:pStyle w:val="EndnoteText"/>
        <w:widowControl w:val="0"/>
        <w:numPr>
          <w:ilvl w:val="12"/>
          <w:numId w:val="0"/>
        </w:numPr>
        <w:tabs>
          <w:tab w:val="clear" w:pos="567"/>
        </w:tabs>
        <w:rPr>
          <w:color w:val="000000"/>
          <w:szCs w:val="22"/>
          <w:lang w:val="sl-SI"/>
        </w:rPr>
      </w:pPr>
    </w:p>
    <w:p w14:paraId="5297A945" w14:textId="77777777" w:rsidR="007B1033" w:rsidRPr="004A59B1" w:rsidRDefault="007B1033" w:rsidP="009C1193">
      <w:pPr>
        <w:pStyle w:val="EndnoteText"/>
        <w:widowControl w:val="0"/>
        <w:numPr>
          <w:ilvl w:val="12"/>
          <w:numId w:val="0"/>
        </w:numPr>
        <w:tabs>
          <w:tab w:val="clear" w:pos="567"/>
        </w:tabs>
        <w:rPr>
          <w:color w:val="000000"/>
          <w:szCs w:val="22"/>
          <w:lang w:val="sl-SI"/>
        </w:rPr>
      </w:pPr>
    </w:p>
    <w:p w14:paraId="5297A946" w14:textId="77777777" w:rsidR="00841424" w:rsidRPr="004A59B1" w:rsidRDefault="00841424" w:rsidP="009C1193">
      <w:pPr>
        <w:keepNext/>
        <w:widowControl w:val="0"/>
        <w:numPr>
          <w:ilvl w:val="12"/>
          <w:numId w:val="0"/>
        </w:numPr>
        <w:tabs>
          <w:tab w:val="clear" w:pos="567"/>
        </w:tabs>
        <w:spacing w:line="240" w:lineRule="auto"/>
        <w:ind w:left="567" w:right="-2" w:hanging="567"/>
        <w:rPr>
          <w:color w:val="000000"/>
          <w:szCs w:val="22"/>
          <w:lang w:val="sl-SI"/>
        </w:rPr>
      </w:pPr>
      <w:r w:rsidRPr="004A59B1">
        <w:rPr>
          <w:b/>
          <w:color w:val="000000"/>
          <w:szCs w:val="22"/>
          <w:lang w:val="sl-SI"/>
        </w:rPr>
        <w:t>3.</w:t>
      </w:r>
      <w:r w:rsidRPr="004A59B1">
        <w:rPr>
          <w:b/>
          <w:color w:val="000000"/>
          <w:szCs w:val="22"/>
          <w:lang w:val="sl-SI"/>
        </w:rPr>
        <w:tab/>
        <w:t>K</w:t>
      </w:r>
      <w:r w:rsidR="002E508D" w:rsidRPr="004A59B1">
        <w:rPr>
          <w:b/>
          <w:color w:val="000000"/>
          <w:szCs w:val="22"/>
          <w:lang w:val="sl-SI"/>
        </w:rPr>
        <w:t>ako jemati zdravilo Glivec</w:t>
      </w:r>
    </w:p>
    <w:p w14:paraId="5297A947" w14:textId="77777777" w:rsidR="00841424" w:rsidRPr="004A59B1" w:rsidRDefault="00841424" w:rsidP="009C1193">
      <w:pPr>
        <w:pStyle w:val="EndnoteText"/>
        <w:keepNext/>
        <w:widowControl w:val="0"/>
        <w:numPr>
          <w:ilvl w:val="12"/>
          <w:numId w:val="0"/>
        </w:numPr>
        <w:tabs>
          <w:tab w:val="clear" w:pos="567"/>
        </w:tabs>
        <w:rPr>
          <w:color w:val="000000"/>
          <w:szCs w:val="22"/>
          <w:lang w:val="sl-SI"/>
        </w:rPr>
      </w:pPr>
    </w:p>
    <w:p w14:paraId="5297A948" w14:textId="77777777" w:rsidR="00841424" w:rsidRPr="004A59B1" w:rsidRDefault="00841424" w:rsidP="009C1193">
      <w:pPr>
        <w:pStyle w:val="Text"/>
        <w:widowControl w:val="0"/>
        <w:spacing w:before="0"/>
        <w:jc w:val="left"/>
        <w:rPr>
          <w:rFonts w:cs="Helv"/>
          <w:color w:val="000000"/>
          <w:sz w:val="22"/>
          <w:szCs w:val="22"/>
          <w:lang w:val="sl-SI" w:bidi="th-TH"/>
        </w:rPr>
      </w:pPr>
      <w:r w:rsidRPr="004A59B1">
        <w:rPr>
          <w:rFonts w:cs="Helv"/>
          <w:color w:val="000000"/>
          <w:sz w:val="22"/>
          <w:szCs w:val="22"/>
          <w:lang w:val="sl-SI" w:bidi="th-TH"/>
        </w:rPr>
        <w:t>Zdravnik vam je predpisal zdravilo Glivec, ker imate resno bolezen. Zdravilo Glivec vam lahko pomaga pri premagovanju te bolezni.</w:t>
      </w:r>
    </w:p>
    <w:p w14:paraId="5297A949" w14:textId="77777777" w:rsidR="00841424" w:rsidRPr="004A59B1" w:rsidRDefault="00841424" w:rsidP="009C1193">
      <w:pPr>
        <w:pStyle w:val="EndnoteText"/>
        <w:widowControl w:val="0"/>
        <w:numPr>
          <w:ilvl w:val="12"/>
          <w:numId w:val="0"/>
        </w:numPr>
        <w:tabs>
          <w:tab w:val="clear" w:pos="567"/>
        </w:tabs>
        <w:rPr>
          <w:color w:val="000000"/>
          <w:szCs w:val="22"/>
          <w:lang w:val="sl-SI"/>
        </w:rPr>
      </w:pPr>
    </w:p>
    <w:p w14:paraId="5297A94A" w14:textId="77777777" w:rsidR="00841424" w:rsidRPr="004A59B1" w:rsidRDefault="00841424" w:rsidP="009C1193">
      <w:pPr>
        <w:pStyle w:val="TextChar"/>
        <w:widowControl w:val="0"/>
        <w:spacing w:before="0"/>
        <w:jc w:val="left"/>
        <w:rPr>
          <w:color w:val="000000"/>
          <w:sz w:val="22"/>
          <w:szCs w:val="22"/>
          <w:lang w:val="sl-SI"/>
        </w:rPr>
      </w:pPr>
      <w:r w:rsidRPr="004A59B1">
        <w:rPr>
          <w:color w:val="000000"/>
          <w:sz w:val="22"/>
          <w:szCs w:val="22"/>
          <w:lang w:val="sl-SI"/>
        </w:rPr>
        <w:t>Seveda pri jemanju</w:t>
      </w:r>
      <w:r w:rsidR="002E508D" w:rsidRPr="004A59B1">
        <w:rPr>
          <w:color w:val="000000"/>
          <w:sz w:val="22"/>
          <w:szCs w:val="22"/>
          <w:lang w:val="sl-SI"/>
        </w:rPr>
        <w:t xml:space="preserve"> tega</w:t>
      </w:r>
      <w:r w:rsidRPr="004A59B1">
        <w:rPr>
          <w:color w:val="000000"/>
          <w:sz w:val="22"/>
          <w:szCs w:val="22"/>
          <w:lang w:val="sl-SI"/>
        </w:rPr>
        <w:t xml:space="preserve"> zdravila natančno upoštevajte navodila</w:t>
      </w:r>
      <w:r w:rsidR="002E508D" w:rsidRPr="004A59B1">
        <w:rPr>
          <w:color w:val="000000"/>
          <w:sz w:val="22"/>
          <w:szCs w:val="22"/>
          <w:lang w:val="sl-SI"/>
        </w:rPr>
        <w:t xml:space="preserve"> zdravnika ali farmacevta</w:t>
      </w:r>
      <w:r w:rsidRPr="004A59B1">
        <w:rPr>
          <w:color w:val="000000"/>
          <w:sz w:val="22"/>
          <w:szCs w:val="22"/>
          <w:lang w:val="sl-SI"/>
        </w:rPr>
        <w:t>. Pomembno je, da zdravilo jemljete tako dolgo, kot vam naroči zdravnik</w:t>
      </w:r>
      <w:r w:rsidR="00A265DB" w:rsidRPr="004A59B1">
        <w:rPr>
          <w:color w:val="000000"/>
          <w:sz w:val="22"/>
          <w:szCs w:val="22"/>
          <w:lang w:val="sl-SI"/>
        </w:rPr>
        <w:t xml:space="preserve"> ali farmacevt</w:t>
      </w:r>
      <w:r w:rsidRPr="004A59B1">
        <w:rPr>
          <w:color w:val="000000"/>
          <w:sz w:val="22"/>
          <w:szCs w:val="22"/>
          <w:lang w:val="sl-SI"/>
        </w:rPr>
        <w:t xml:space="preserve">. Če ste negotovi, se posvetujte </w:t>
      </w:r>
      <w:r w:rsidR="009A41C9" w:rsidRPr="004A59B1">
        <w:rPr>
          <w:color w:val="000000"/>
          <w:szCs w:val="22"/>
          <w:lang w:val="pt-PT"/>
        </w:rPr>
        <w:t>z</w:t>
      </w:r>
      <w:r w:rsidR="00A265DB" w:rsidRPr="004A59B1">
        <w:rPr>
          <w:color w:val="000000"/>
          <w:sz w:val="22"/>
          <w:szCs w:val="22"/>
          <w:lang w:val="sl-SI"/>
        </w:rPr>
        <w:t xml:space="preserve"> </w:t>
      </w:r>
      <w:r w:rsidRPr="004A59B1">
        <w:rPr>
          <w:color w:val="000000"/>
          <w:sz w:val="22"/>
          <w:szCs w:val="22"/>
          <w:lang w:val="sl-SI"/>
        </w:rPr>
        <w:t>zdravnikom ali farmacevtom.</w:t>
      </w:r>
    </w:p>
    <w:p w14:paraId="5297A94B" w14:textId="77777777" w:rsidR="00841424" w:rsidRPr="004A59B1" w:rsidRDefault="00841424" w:rsidP="009C1193">
      <w:pPr>
        <w:pStyle w:val="TextChar"/>
        <w:widowControl w:val="0"/>
        <w:spacing w:before="0"/>
        <w:jc w:val="left"/>
        <w:rPr>
          <w:color w:val="000000"/>
          <w:sz w:val="22"/>
          <w:szCs w:val="22"/>
          <w:lang w:val="sl-SI"/>
        </w:rPr>
      </w:pPr>
    </w:p>
    <w:p w14:paraId="5297A94C" w14:textId="77777777" w:rsidR="00841424" w:rsidRPr="004A59B1" w:rsidRDefault="00841424" w:rsidP="009C1193">
      <w:pPr>
        <w:widowControl w:val="0"/>
        <w:tabs>
          <w:tab w:val="clear" w:pos="567"/>
        </w:tabs>
        <w:autoSpaceDE w:val="0"/>
        <w:autoSpaceDN w:val="0"/>
        <w:adjustRightInd w:val="0"/>
        <w:spacing w:line="240" w:lineRule="auto"/>
        <w:rPr>
          <w:rFonts w:cs="Helv"/>
          <w:color w:val="000000"/>
          <w:szCs w:val="22"/>
          <w:lang w:val="sl-SI" w:bidi="th-TH"/>
        </w:rPr>
      </w:pPr>
      <w:r w:rsidRPr="004A59B1">
        <w:rPr>
          <w:rFonts w:cs="Helv"/>
          <w:color w:val="000000"/>
          <w:szCs w:val="22"/>
          <w:lang w:val="sl-SI" w:bidi="th-TH"/>
        </w:rPr>
        <w:t>Ne prenehajte jemati zdravila Glivec, razen če vam tako naroči zdravnik. Če zdravila ne morete jemati tako, kot vam je predpisal zdravnik, ali se vam zdi, da zdravila ne potrebujete več, takoj pokličite zdravnika.</w:t>
      </w:r>
    </w:p>
    <w:p w14:paraId="5297A94D" w14:textId="77777777" w:rsidR="00841424" w:rsidRPr="004A59B1" w:rsidRDefault="00841424" w:rsidP="009C1193">
      <w:pPr>
        <w:pStyle w:val="TextChar"/>
        <w:widowControl w:val="0"/>
        <w:spacing w:before="0"/>
        <w:jc w:val="left"/>
        <w:rPr>
          <w:color w:val="000000"/>
          <w:sz w:val="22"/>
          <w:szCs w:val="22"/>
          <w:lang w:val="sl-SI"/>
        </w:rPr>
      </w:pPr>
    </w:p>
    <w:p w14:paraId="5297A94E" w14:textId="77777777" w:rsidR="00841424" w:rsidRPr="004A59B1" w:rsidRDefault="00841424" w:rsidP="009C1193">
      <w:pPr>
        <w:pStyle w:val="TextChar"/>
        <w:keepNext/>
        <w:widowControl w:val="0"/>
        <w:spacing w:before="0"/>
        <w:jc w:val="left"/>
        <w:rPr>
          <w:b/>
          <w:color w:val="000000"/>
          <w:sz w:val="22"/>
          <w:szCs w:val="22"/>
          <w:lang w:val="sl-SI"/>
        </w:rPr>
      </w:pPr>
      <w:r w:rsidRPr="004A59B1">
        <w:rPr>
          <w:b/>
          <w:color w:val="000000"/>
          <w:sz w:val="22"/>
          <w:szCs w:val="22"/>
          <w:lang w:val="sl-SI"/>
        </w:rPr>
        <w:t xml:space="preserve">Koliko </w:t>
      </w:r>
      <w:r w:rsidR="00A265DB" w:rsidRPr="004A59B1">
        <w:rPr>
          <w:b/>
          <w:color w:val="000000"/>
          <w:sz w:val="22"/>
          <w:szCs w:val="22"/>
          <w:lang w:val="sl-SI"/>
        </w:rPr>
        <w:t xml:space="preserve">zdravila Glivec </w:t>
      </w:r>
      <w:r w:rsidRPr="004A59B1">
        <w:rPr>
          <w:b/>
          <w:color w:val="000000"/>
          <w:sz w:val="22"/>
          <w:szCs w:val="22"/>
          <w:lang w:val="sl-SI"/>
        </w:rPr>
        <w:t>jemati</w:t>
      </w:r>
    </w:p>
    <w:p w14:paraId="5297A94F" w14:textId="77777777" w:rsidR="00841424" w:rsidRPr="004A59B1" w:rsidRDefault="00841424" w:rsidP="009C1193">
      <w:pPr>
        <w:pStyle w:val="TextChar"/>
        <w:keepNext/>
        <w:widowControl w:val="0"/>
        <w:spacing w:before="0"/>
        <w:jc w:val="left"/>
        <w:rPr>
          <w:color w:val="000000"/>
          <w:sz w:val="22"/>
          <w:szCs w:val="22"/>
          <w:lang w:val="sl-SI"/>
        </w:rPr>
      </w:pPr>
    </w:p>
    <w:p w14:paraId="5297A950" w14:textId="77777777" w:rsidR="00841424" w:rsidRPr="004A59B1" w:rsidRDefault="00841424" w:rsidP="009C1193">
      <w:pPr>
        <w:pStyle w:val="TextChar"/>
        <w:keepNext/>
        <w:widowControl w:val="0"/>
        <w:spacing w:before="0"/>
        <w:jc w:val="left"/>
        <w:rPr>
          <w:b/>
          <w:bCs/>
          <w:color w:val="000000"/>
          <w:sz w:val="22"/>
          <w:szCs w:val="22"/>
          <w:lang w:val="sl-SI"/>
        </w:rPr>
      </w:pPr>
      <w:r w:rsidRPr="004A59B1">
        <w:rPr>
          <w:b/>
          <w:bCs/>
          <w:color w:val="000000"/>
          <w:sz w:val="22"/>
          <w:szCs w:val="22"/>
          <w:lang w:val="sl-SI"/>
        </w:rPr>
        <w:t>Uporaba pri odraslih</w:t>
      </w:r>
    </w:p>
    <w:p w14:paraId="5297A951" w14:textId="77777777" w:rsidR="00841424" w:rsidRPr="004A59B1" w:rsidRDefault="00841424" w:rsidP="009C1193">
      <w:pPr>
        <w:pStyle w:val="TextChar"/>
        <w:widowControl w:val="0"/>
        <w:spacing w:before="0"/>
        <w:jc w:val="left"/>
        <w:rPr>
          <w:color w:val="000000"/>
          <w:sz w:val="22"/>
          <w:szCs w:val="22"/>
          <w:lang w:val="sl-SI"/>
        </w:rPr>
      </w:pPr>
      <w:r w:rsidRPr="004A59B1">
        <w:rPr>
          <w:color w:val="000000"/>
          <w:sz w:val="22"/>
          <w:szCs w:val="22"/>
          <w:lang w:val="sl-SI"/>
        </w:rPr>
        <w:t>Zdravnik vam bo natančno povedal, koliko tablet zdravila Glivec morate jemati.</w:t>
      </w:r>
    </w:p>
    <w:p w14:paraId="5297A952" w14:textId="77777777" w:rsidR="00841424" w:rsidRPr="004A59B1" w:rsidRDefault="00841424" w:rsidP="009C1193">
      <w:pPr>
        <w:pStyle w:val="TextChar"/>
        <w:widowControl w:val="0"/>
        <w:spacing w:before="0"/>
        <w:jc w:val="left"/>
        <w:rPr>
          <w:color w:val="000000"/>
          <w:sz w:val="22"/>
          <w:szCs w:val="22"/>
          <w:lang w:val="sl-SI"/>
        </w:rPr>
      </w:pPr>
    </w:p>
    <w:p w14:paraId="5297A953" w14:textId="77777777" w:rsidR="00841424" w:rsidRPr="004A59B1" w:rsidRDefault="00841424" w:rsidP="002227FB">
      <w:pPr>
        <w:pStyle w:val="TextChar"/>
        <w:keepNext/>
        <w:widowControl w:val="0"/>
        <w:spacing w:before="0"/>
        <w:ind w:left="567" w:hanging="567"/>
        <w:jc w:val="left"/>
        <w:rPr>
          <w:color w:val="000000"/>
          <w:sz w:val="22"/>
          <w:szCs w:val="22"/>
          <w:lang w:val="sl-SI"/>
        </w:rPr>
      </w:pPr>
      <w:r w:rsidRPr="004A59B1">
        <w:rPr>
          <w:color w:val="000000"/>
          <w:sz w:val="22"/>
          <w:szCs w:val="22"/>
          <w:lang w:val="sl-SI"/>
        </w:rPr>
        <w:t>-</w:t>
      </w:r>
      <w:r w:rsidRPr="004A59B1">
        <w:rPr>
          <w:color w:val="000000"/>
          <w:sz w:val="22"/>
          <w:szCs w:val="22"/>
          <w:lang w:val="sl-SI"/>
        </w:rPr>
        <w:tab/>
      </w:r>
      <w:r w:rsidRPr="004A59B1">
        <w:rPr>
          <w:b/>
          <w:bCs/>
          <w:color w:val="000000"/>
          <w:sz w:val="22"/>
          <w:szCs w:val="22"/>
          <w:lang w:val="sl-SI"/>
        </w:rPr>
        <w:t>Če se zdravite zaradi KML:</w:t>
      </w:r>
    </w:p>
    <w:p w14:paraId="5297A954" w14:textId="1068B75C" w:rsidR="00841424" w:rsidRPr="004A59B1" w:rsidRDefault="00841424" w:rsidP="002227FB">
      <w:pPr>
        <w:pStyle w:val="TextChar"/>
        <w:keepNext/>
        <w:widowControl w:val="0"/>
        <w:tabs>
          <w:tab w:val="left" w:pos="600"/>
        </w:tabs>
        <w:spacing w:before="0"/>
        <w:ind w:left="567"/>
        <w:jc w:val="left"/>
        <w:rPr>
          <w:color w:val="000000"/>
          <w:sz w:val="22"/>
          <w:szCs w:val="22"/>
          <w:lang w:val="sl-SI"/>
        </w:rPr>
      </w:pPr>
      <w:r w:rsidRPr="004A59B1">
        <w:rPr>
          <w:color w:val="000000"/>
          <w:sz w:val="22"/>
          <w:szCs w:val="22"/>
          <w:lang w:val="sl-SI"/>
        </w:rPr>
        <w:t xml:space="preserve">Glede na fazo bolezni je običajni začetni odmerek bodisi </w:t>
      </w:r>
      <w:r w:rsidRPr="002227FB">
        <w:rPr>
          <w:b/>
          <w:color w:val="000000"/>
          <w:sz w:val="22"/>
          <w:szCs w:val="22"/>
          <w:lang w:val="sl-SI"/>
        </w:rPr>
        <w:t>400 mg</w:t>
      </w:r>
      <w:r w:rsidRPr="004A59B1">
        <w:rPr>
          <w:color w:val="000000"/>
          <w:sz w:val="22"/>
          <w:szCs w:val="22"/>
          <w:lang w:val="sl-SI"/>
        </w:rPr>
        <w:t xml:space="preserve"> ali </w:t>
      </w:r>
      <w:r w:rsidRPr="002227FB">
        <w:rPr>
          <w:b/>
          <w:color w:val="000000"/>
          <w:sz w:val="22"/>
          <w:szCs w:val="22"/>
          <w:lang w:val="sl-SI"/>
        </w:rPr>
        <w:t>600 mg</w:t>
      </w:r>
      <w:r w:rsidR="00042F15" w:rsidRPr="002227FB">
        <w:rPr>
          <w:color w:val="000000"/>
          <w:sz w:val="22"/>
          <w:szCs w:val="22"/>
          <w:lang w:val="sl-SI"/>
        </w:rPr>
        <w:t xml:space="preserve">, ki ga vzamete </w:t>
      </w:r>
      <w:r w:rsidR="00042F15" w:rsidRPr="00042F15">
        <w:rPr>
          <w:b/>
          <w:color w:val="000000"/>
          <w:sz w:val="22"/>
          <w:szCs w:val="22"/>
          <w:lang w:val="sl-SI"/>
        </w:rPr>
        <w:t xml:space="preserve">enkrat </w:t>
      </w:r>
      <w:r w:rsidR="00042F15" w:rsidRPr="002227FB">
        <w:rPr>
          <w:color w:val="000000"/>
          <w:sz w:val="22"/>
          <w:szCs w:val="22"/>
          <w:lang w:val="sl-SI"/>
        </w:rPr>
        <w:t>na dan.</w:t>
      </w:r>
    </w:p>
    <w:p w14:paraId="5297A957" w14:textId="77777777" w:rsidR="00841424" w:rsidRPr="004A59B1" w:rsidRDefault="00841424" w:rsidP="009C1193">
      <w:pPr>
        <w:pStyle w:val="TextChar"/>
        <w:widowControl w:val="0"/>
        <w:spacing w:before="0"/>
        <w:jc w:val="left"/>
        <w:rPr>
          <w:color w:val="000000"/>
          <w:sz w:val="22"/>
          <w:szCs w:val="22"/>
          <w:lang w:val="nl-NL"/>
        </w:rPr>
      </w:pPr>
    </w:p>
    <w:p w14:paraId="5297A958" w14:textId="77777777" w:rsidR="00841424" w:rsidRPr="004A59B1" w:rsidRDefault="00841424" w:rsidP="009C1193">
      <w:pPr>
        <w:pStyle w:val="TextChar"/>
        <w:keepNext/>
        <w:widowControl w:val="0"/>
        <w:numPr>
          <w:ilvl w:val="0"/>
          <w:numId w:val="1"/>
        </w:numPr>
        <w:spacing w:before="0"/>
        <w:ind w:left="567" w:hanging="567"/>
        <w:jc w:val="left"/>
        <w:rPr>
          <w:b/>
          <w:bCs/>
          <w:color w:val="000000"/>
          <w:sz w:val="22"/>
          <w:szCs w:val="22"/>
          <w:lang w:val="it-IT"/>
        </w:rPr>
      </w:pPr>
      <w:r w:rsidRPr="004A59B1">
        <w:rPr>
          <w:b/>
          <w:bCs/>
          <w:color w:val="000000"/>
          <w:sz w:val="22"/>
          <w:szCs w:val="22"/>
          <w:lang w:val="nl-NL"/>
        </w:rPr>
        <w:t>Če se zdravite zaradi GIST:</w:t>
      </w:r>
    </w:p>
    <w:p w14:paraId="5297A959" w14:textId="1F964377" w:rsidR="00841424" w:rsidRPr="004A59B1" w:rsidRDefault="00841424" w:rsidP="009C1193">
      <w:pPr>
        <w:pStyle w:val="TextChar"/>
        <w:widowControl w:val="0"/>
        <w:spacing w:before="0"/>
        <w:ind w:left="567"/>
        <w:jc w:val="left"/>
        <w:rPr>
          <w:color w:val="000000"/>
          <w:sz w:val="22"/>
          <w:szCs w:val="22"/>
          <w:lang w:val="it-IT"/>
        </w:rPr>
      </w:pPr>
      <w:r w:rsidRPr="004A59B1">
        <w:rPr>
          <w:color w:val="000000"/>
          <w:sz w:val="22"/>
          <w:szCs w:val="22"/>
          <w:lang w:val="it-IT"/>
        </w:rPr>
        <w:t xml:space="preserve">Začetni odmerek je 400 mg, </w:t>
      </w:r>
      <w:r w:rsidR="00651793" w:rsidRPr="004A59B1">
        <w:rPr>
          <w:color w:val="000000"/>
          <w:sz w:val="22"/>
          <w:szCs w:val="22"/>
          <w:lang w:val="it-IT"/>
        </w:rPr>
        <w:t>ki ga</w:t>
      </w:r>
      <w:r w:rsidRPr="004A59B1">
        <w:rPr>
          <w:color w:val="000000"/>
          <w:sz w:val="22"/>
          <w:szCs w:val="22"/>
          <w:lang w:val="it-IT"/>
        </w:rPr>
        <w:t xml:space="preserve"> vzamete </w:t>
      </w:r>
      <w:r w:rsidRPr="004A59B1">
        <w:rPr>
          <w:b/>
          <w:bCs/>
          <w:color w:val="000000"/>
          <w:sz w:val="22"/>
          <w:szCs w:val="22"/>
          <w:lang w:val="it-IT"/>
        </w:rPr>
        <w:t>enkrat</w:t>
      </w:r>
      <w:r w:rsidRPr="004A59B1">
        <w:rPr>
          <w:color w:val="000000"/>
          <w:sz w:val="22"/>
          <w:szCs w:val="22"/>
          <w:lang w:val="it-IT"/>
        </w:rPr>
        <w:t xml:space="preserve"> na dan.</w:t>
      </w:r>
    </w:p>
    <w:p w14:paraId="5297A95A" w14:textId="77777777" w:rsidR="00841424" w:rsidRPr="004A59B1" w:rsidRDefault="00841424" w:rsidP="009C1193">
      <w:pPr>
        <w:pStyle w:val="TextChar"/>
        <w:widowControl w:val="0"/>
        <w:spacing w:before="0"/>
        <w:ind w:left="567" w:hanging="567"/>
        <w:jc w:val="left"/>
        <w:rPr>
          <w:color w:val="000000"/>
          <w:sz w:val="22"/>
          <w:szCs w:val="22"/>
          <w:lang w:val="it-IT"/>
        </w:rPr>
      </w:pPr>
    </w:p>
    <w:p w14:paraId="5297A95B" w14:textId="6E915E8F" w:rsidR="00841424" w:rsidRPr="004A59B1" w:rsidRDefault="00841424" w:rsidP="009C1193">
      <w:pPr>
        <w:pStyle w:val="TextChar"/>
        <w:widowControl w:val="0"/>
        <w:spacing w:before="0"/>
        <w:jc w:val="left"/>
        <w:rPr>
          <w:color w:val="000000"/>
          <w:sz w:val="22"/>
          <w:szCs w:val="22"/>
          <w:lang w:val="it-IT"/>
        </w:rPr>
      </w:pPr>
      <w:r w:rsidRPr="004A59B1">
        <w:rPr>
          <w:color w:val="000000"/>
          <w:sz w:val="22"/>
          <w:szCs w:val="22"/>
          <w:lang w:val="it-IT"/>
        </w:rPr>
        <w:t>Pri zdravljenju KML ali GIST vam lahko zdravnik predpiše večji ali manjši odmerek, odvisno od tega, kako se odzivate na zdravljenje. Če je vaš dnevni odmerek 800 mg, morate vzeti 4</w:t>
      </w:r>
      <w:r w:rsidR="00DB4C0D">
        <w:rPr>
          <w:color w:val="000000"/>
          <w:sz w:val="22"/>
          <w:szCs w:val="22"/>
          <w:lang w:val="it-IT"/>
        </w:rPr>
        <w:t>00 mg</w:t>
      </w:r>
      <w:r w:rsidRPr="004A59B1">
        <w:rPr>
          <w:color w:val="000000"/>
          <w:sz w:val="22"/>
          <w:szCs w:val="22"/>
          <w:lang w:val="it-IT"/>
        </w:rPr>
        <w:t xml:space="preserve"> zjutraj in 4</w:t>
      </w:r>
      <w:r w:rsidR="00BF164B">
        <w:rPr>
          <w:color w:val="000000"/>
          <w:sz w:val="22"/>
          <w:szCs w:val="22"/>
          <w:lang w:val="it-IT"/>
        </w:rPr>
        <w:t>00 mg</w:t>
      </w:r>
      <w:r w:rsidRPr="004A59B1">
        <w:rPr>
          <w:color w:val="000000"/>
          <w:sz w:val="22"/>
          <w:szCs w:val="22"/>
          <w:lang w:val="it-IT"/>
        </w:rPr>
        <w:t xml:space="preserve"> zvečer.</w:t>
      </w:r>
    </w:p>
    <w:p w14:paraId="5297A95C" w14:textId="77777777" w:rsidR="00841424" w:rsidRPr="004A59B1" w:rsidRDefault="00841424" w:rsidP="009C1193">
      <w:pPr>
        <w:pStyle w:val="TextChar"/>
        <w:widowControl w:val="0"/>
        <w:spacing w:before="0"/>
        <w:jc w:val="left"/>
        <w:rPr>
          <w:color w:val="000000"/>
          <w:sz w:val="22"/>
          <w:szCs w:val="22"/>
          <w:lang w:val="it-IT"/>
        </w:rPr>
      </w:pPr>
    </w:p>
    <w:p w14:paraId="5297A95D" w14:textId="77777777" w:rsidR="00841424" w:rsidRPr="004A59B1" w:rsidRDefault="00841424" w:rsidP="009C1193">
      <w:pPr>
        <w:pStyle w:val="TextChar"/>
        <w:keepNext/>
        <w:widowControl w:val="0"/>
        <w:numPr>
          <w:ilvl w:val="0"/>
          <w:numId w:val="1"/>
        </w:numPr>
        <w:spacing w:before="0"/>
        <w:ind w:left="567" w:hanging="567"/>
        <w:jc w:val="left"/>
        <w:rPr>
          <w:color w:val="000000"/>
          <w:sz w:val="22"/>
          <w:szCs w:val="22"/>
          <w:lang w:val="nb-NO"/>
        </w:rPr>
      </w:pPr>
      <w:r w:rsidRPr="004A59B1">
        <w:rPr>
          <w:b/>
          <w:bCs/>
          <w:color w:val="000000"/>
          <w:sz w:val="22"/>
          <w:szCs w:val="22"/>
          <w:lang w:val="nb-NO"/>
        </w:rPr>
        <w:lastRenderedPageBreak/>
        <w:t>Če se zdravite zaradi Ph pozitivne ALL</w:t>
      </w:r>
      <w:r w:rsidRPr="004A59B1">
        <w:rPr>
          <w:b/>
          <w:color w:val="000000"/>
          <w:sz w:val="22"/>
          <w:szCs w:val="22"/>
          <w:lang w:val="nb-NO"/>
        </w:rPr>
        <w:t>:</w:t>
      </w:r>
    </w:p>
    <w:p w14:paraId="5297A95E" w14:textId="59E576DA" w:rsidR="00841424" w:rsidRPr="004A59B1" w:rsidRDefault="00841424" w:rsidP="009C1193">
      <w:pPr>
        <w:pStyle w:val="TextChar"/>
        <w:widowControl w:val="0"/>
        <w:spacing w:before="0"/>
        <w:ind w:left="567"/>
        <w:jc w:val="left"/>
        <w:rPr>
          <w:color w:val="000000"/>
          <w:sz w:val="22"/>
          <w:szCs w:val="22"/>
          <w:lang w:val="nb-NO"/>
        </w:rPr>
      </w:pPr>
      <w:r w:rsidRPr="004A59B1">
        <w:rPr>
          <w:color w:val="000000"/>
          <w:sz w:val="22"/>
          <w:szCs w:val="22"/>
          <w:lang w:val="nb-NO"/>
        </w:rPr>
        <w:t xml:space="preserve">Začetni odmerek je 600 mg, </w:t>
      </w:r>
      <w:r w:rsidR="00651793" w:rsidRPr="004A59B1">
        <w:rPr>
          <w:color w:val="000000"/>
          <w:sz w:val="22"/>
          <w:szCs w:val="22"/>
          <w:lang w:val="nb-NO"/>
        </w:rPr>
        <w:t>ki ga</w:t>
      </w:r>
      <w:r w:rsidRPr="004A59B1">
        <w:rPr>
          <w:color w:val="000000"/>
          <w:sz w:val="22"/>
          <w:szCs w:val="22"/>
          <w:lang w:val="nb-NO"/>
        </w:rPr>
        <w:t xml:space="preserve"> vzamete </w:t>
      </w:r>
      <w:r w:rsidRPr="004A59B1">
        <w:rPr>
          <w:b/>
          <w:bCs/>
          <w:color w:val="000000"/>
          <w:sz w:val="22"/>
          <w:szCs w:val="22"/>
          <w:lang w:val="nb-NO"/>
        </w:rPr>
        <w:t xml:space="preserve">enkrat </w:t>
      </w:r>
      <w:r w:rsidRPr="004A59B1">
        <w:rPr>
          <w:color w:val="000000"/>
          <w:sz w:val="22"/>
          <w:szCs w:val="22"/>
          <w:lang w:val="nb-NO"/>
        </w:rPr>
        <w:t>na dan.</w:t>
      </w:r>
    </w:p>
    <w:p w14:paraId="5297A95F" w14:textId="77777777" w:rsidR="00841424" w:rsidRPr="004A59B1" w:rsidRDefault="00841424" w:rsidP="009C1193">
      <w:pPr>
        <w:pStyle w:val="TextChar"/>
        <w:widowControl w:val="0"/>
        <w:spacing w:before="0"/>
        <w:jc w:val="left"/>
        <w:rPr>
          <w:color w:val="000000"/>
          <w:sz w:val="22"/>
          <w:szCs w:val="22"/>
          <w:lang w:val="nb-NO"/>
        </w:rPr>
      </w:pPr>
    </w:p>
    <w:p w14:paraId="5297A960" w14:textId="77777777" w:rsidR="00841424" w:rsidRPr="004A59B1" w:rsidRDefault="00841424" w:rsidP="009C1193">
      <w:pPr>
        <w:pStyle w:val="Listlevel1"/>
        <w:keepNext/>
        <w:widowControl w:val="0"/>
        <w:numPr>
          <w:ilvl w:val="0"/>
          <w:numId w:val="1"/>
        </w:numPr>
        <w:tabs>
          <w:tab w:val="left" w:pos="720"/>
        </w:tabs>
        <w:spacing w:before="0" w:after="0"/>
        <w:ind w:left="567" w:hanging="567"/>
        <w:rPr>
          <w:color w:val="000000"/>
          <w:sz w:val="22"/>
          <w:szCs w:val="22"/>
          <w:lang w:val="it-IT"/>
        </w:rPr>
      </w:pPr>
      <w:r w:rsidRPr="004A59B1">
        <w:rPr>
          <w:b/>
          <w:bCs/>
          <w:color w:val="000000"/>
          <w:sz w:val="22"/>
          <w:szCs w:val="22"/>
          <w:lang w:val="it-IT"/>
        </w:rPr>
        <w:t>Če se zdravite zaradi MDS/MPD</w:t>
      </w:r>
      <w:r w:rsidRPr="004A59B1">
        <w:rPr>
          <w:b/>
          <w:color w:val="000000"/>
          <w:sz w:val="22"/>
          <w:szCs w:val="22"/>
          <w:lang w:val="it-IT"/>
        </w:rPr>
        <w:t>:</w:t>
      </w:r>
    </w:p>
    <w:p w14:paraId="5297A961" w14:textId="4803EF3F" w:rsidR="00841424" w:rsidRPr="004A59B1" w:rsidRDefault="00841424" w:rsidP="009C1193">
      <w:pPr>
        <w:pStyle w:val="Listlevel1"/>
        <w:keepNext/>
        <w:widowControl w:val="0"/>
        <w:tabs>
          <w:tab w:val="left" w:pos="720"/>
        </w:tabs>
        <w:spacing w:before="0" w:after="0"/>
        <w:ind w:left="567" w:firstLine="0"/>
        <w:rPr>
          <w:color w:val="000000"/>
          <w:sz w:val="22"/>
          <w:szCs w:val="22"/>
          <w:lang w:val="it-IT"/>
        </w:rPr>
      </w:pPr>
      <w:r w:rsidRPr="004A59B1">
        <w:rPr>
          <w:color w:val="000000"/>
          <w:sz w:val="22"/>
          <w:szCs w:val="22"/>
          <w:lang w:val="it-IT"/>
        </w:rPr>
        <w:t xml:space="preserve">Začetni odmerek je 400 mg, </w:t>
      </w:r>
      <w:r w:rsidR="00651793" w:rsidRPr="004A59B1">
        <w:rPr>
          <w:color w:val="000000"/>
          <w:sz w:val="22"/>
          <w:szCs w:val="22"/>
          <w:lang w:val="it-IT"/>
        </w:rPr>
        <w:t>ki ga</w:t>
      </w:r>
      <w:r w:rsidRPr="004A59B1">
        <w:rPr>
          <w:color w:val="000000"/>
          <w:sz w:val="22"/>
          <w:szCs w:val="22"/>
          <w:lang w:val="it-IT"/>
        </w:rPr>
        <w:t xml:space="preserve"> vzamete </w:t>
      </w:r>
      <w:r w:rsidRPr="004A59B1">
        <w:rPr>
          <w:b/>
          <w:bCs/>
          <w:color w:val="000000"/>
          <w:sz w:val="22"/>
          <w:szCs w:val="22"/>
          <w:lang w:val="it-IT"/>
        </w:rPr>
        <w:t>enkrat</w:t>
      </w:r>
      <w:r w:rsidRPr="004A59B1">
        <w:rPr>
          <w:color w:val="000000"/>
          <w:sz w:val="22"/>
          <w:szCs w:val="22"/>
          <w:lang w:val="it-IT"/>
        </w:rPr>
        <w:t xml:space="preserve"> na dan.</w:t>
      </w:r>
    </w:p>
    <w:p w14:paraId="5297A962" w14:textId="77777777" w:rsidR="00841424" w:rsidRPr="004A59B1" w:rsidRDefault="00841424" w:rsidP="009C1193">
      <w:pPr>
        <w:pStyle w:val="Text"/>
        <w:widowControl w:val="0"/>
        <w:spacing w:before="0"/>
        <w:jc w:val="left"/>
        <w:rPr>
          <w:color w:val="000000"/>
          <w:sz w:val="22"/>
          <w:szCs w:val="22"/>
          <w:lang w:val="it-IT"/>
        </w:rPr>
      </w:pPr>
    </w:p>
    <w:p w14:paraId="5297A963" w14:textId="77777777" w:rsidR="00841424" w:rsidRPr="004A59B1" w:rsidRDefault="00841424" w:rsidP="009C1193">
      <w:pPr>
        <w:pStyle w:val="Listlevel2"/>
        <w:keepNext/>
        <w:widowControl w:val="0"/>
        <w:numPr>
          <w:ilvl w:val="0"/>
          <w:numId w:val="1"/>
        </w:numPr>
        <w:spacing w:before="0" w:after="0"/>
        <w:ind w:left="567" w:hanging="567"/>
        <w:rPr>
          <w:color w:val="000000"/>
          <w:sz w:val="22"/>
          <w:szCs w:val="22"/>
          <w:lang w:val="it-IT"/>
        </w:rPr>
      </w:pPr>
      <w:r w:rsidRPr="004A59B1">
        <w:rPr>
          <w:b/>
          <w:bCs/>
          <w:color w:val="000000"/>
          <w:sz w:val="22"/>
          <w:szCs w:val="22"/>
          <w:lang w:val="it-IT"/>
        </w:rPr>
        <w:t>Če se zdravite zaradi HES/CEL:</w:t>
      </w:r>
    </w:p>
    <w:p w14:paraId="5297A964" w14:textId="04150244" w:rsidR="00841424" w:rsidRPr="004A59B1" w:rsidRDefault="00841424" w:rsidP="009C1193">
      <w:pPr>
        <w:pStyle w:val="Listlevel2"/>
        <w:keepNext/>
        <w:widowControl w:val="0"/>
        <w:spacing w:before="0" w:after="0"/>
        <w:ind w:left="567" w:firstLine="0"/>
        <w:rPr>
          <w:color w:val="000000"/>
          <w:sz w:val="22"/>
          <w:szCs w:val="22"/>
          <w:lang w:val="it-IT"/>
        </w:rPr>
      </w:pPr>
      <w:r w:rsidRPr="004A59B1">
        <w:rPr>
          <w:color w:val="000000"/>
          <w:sz w:val="22"/>
          <w:szCs w:val="22"/>
          <w:lang w:val="it-IT"/>
        </w:rPr>
        <w:t xml:space="preserve">Začetni odmerek je 100 mg, </w:t>
      </w:r>
      <w:r w:rsidR="00651793" w:rsidRPr="004A59B1">
        <w:rPr>
          <w:color w:val="000000"/>
          <w:sz w:val="22"/>
          <w:szCs w:val="22"/>
          <w:lang w:val="it-IT"/>
        </w:rPr>
        <w:t>ki ga</w:t>
      </w:r>
      <w:r w:rsidRPr="004A59B1">
        <w:rPr>
          <w:color w:val="000000"/>
          <w:sz w:val="22"/>
          <w:szCs w:val="22"/>
          <w:lang w:val="it-IT"/>
        </w:rPr>
        <w:t xml:space="preserve"> vzamete </w:t>
      </w:r>
      <w:r w:rsidRPr="004A59B1">
        <w:rPr>
          <w:b/>
          <w:bCs/>
          <w:color w:val="000000"/>
          <w:sz w:val="22"/>
          <w:szCs w:val="22"/>
          <w:lang w:val="it-IT"/>
        </w:rPr>
        <w:t>enkrat</w:t>
      </w:r>
      <w:r w:rsidRPr="004A59B1">
        <w:rPr>
          <w:color w:val="000000"/>
          <w:sz w:val="22"/>
          <w:szCs w:val="22"/>
          <w:lang w:val="it-IT"/>
        </w:rPr>
        <w:t xml:space="preserve"> na dan. Vaš zdravnik se lahko odloči za </w:t>
      </w:r>
      <w:r w:rsidR="004D2942" w:rsidRPr="004A59B1">
        <w:rPr>
          <w:color w:val="000000"/>
          <w:sz w:val="22"/>
          <w:szCs w:val="22"/>
          <w:lang w:val="nb-NO"/>
        </w:rPr>
        <w:t>zvečanje</w:t>
      </w:r>
      <w:r w:rsidRPr="004A59B1">
        <w:rPr>
          <w:color w:val="000000"/>
          <w:sz w:val="22"/>
          <w:szCs w:val="22"/>
          <w:lang w:val="it-IT"/>
        </w:rPr>
        <w:t xml:space="preserve"> odmerka na 400 mg, </w:t>
      </w:r>
      <w:r w:rsidR="00651793" w:rsidRPr="004A59B1">
        <w:rPr>
          <w:color w:val="000000"/>
          <w:sz w:val="22"/>
          <w:szCs w:val="22"/>
          <w:lang w:val="it-IT"/>
        </w:rPr>
        <w:t>ki ga</w:t>
      </w:r>
      <w:r w:rsidRPr="004A59B1">
        <w:rPr>
          <w:color w:val="000000"/>
          <w:sz w:val="22"/>
          <w:szCs w:val="22"/>
          <w:lang w:val="it-IT"/>
        </w:rPr>
        <w:t xml:space="preserve"> vzamete </w:t>
      </w:r>
      <w:r w:rsidRPr="004A59B1">
        <w:rPr>
          <w:b/>
          <w:bCs/>
          <w:color w:val="000000"/>
          <w:sz w:val="22"/>
          <w:szCs w:val="22"/>
          <w:lang w:val="it-IT"/>
        </w:rPr>
        <w:t>enkrat</w:t>
      </w:r>
      <w:r w:rsidRPr="004A59B1">
        <w:rPr>
          <w:color w:val="000000"/>
          <w:sz w:val="22"/>
          <w:szCs w:val="22"/>
          <w:lang w:val="it-IT"/>
        </w:rPr>
        <w:t xml:space="preserve"> na dan, odvisno od vašega odziva na zdravljenje.</w:t>
      </w:r>
    </w:p>
    <w:p w14:paraId="5297A965" w14:textId="77777777" w:rsidR="00841424" w:rsidRPr="004A59B1" w:rsidRDefault="00841424" w:rsidP="009C1193">
      <w:pPr>
        <w:pStyle w:val="TextChar"/>
        <w:widowControl w:val="0"/>
        <w:spacing w:before="0"/>
        <w:jc w:val="left"/>
        <w:rPr>
          <w:color w:val="000000"/>
          <w:sz w:val="22"/>
          <w:szCs w:val="22"/>
          <w:lang w:val="it-IT"/>
        </w:rPr>
      </w:pPr>
    </w:p>
    <w:p w14:paraId="5297A966" w14:textId="77777777" w:rsidR="00841424" w:rsidRPr="004A59B1" w:rsidRDefault="00841424" w:rsidP="009C1193">
      <w:pPr>
        <w:pStyle w:val="TextChar"/>
        <w:keepNext/>
        <w:widowControl w:val="0"/>
        <w:spacing w:before="0"/>
        <w:jc w:val="left"/>
        <w:rPr>
          <w:b/>
          <w:bCs/>
          <w:color w:val="000000"/>
          <w:sz w:val="22"/>
          <w:szCs w:val="22"/>
          <w:lang w:val="it-IT"/>
        </w:rPr>
      </w:pPr>
      <w:r w:rsidRPr="004A59B1">
        <w:rPr>
          <w:color w:val="000000"/>
          <w:sz w:val="22"/>
          <w:szCs w:val="22"/>
          <w:lang w:val="it-IT"/>
        </w:rPr>
        <w:t>-</w:t>
      </w:r>
      <w:r w:rsidRPr="004A59B1">
        <w:rPr>
          <w:color w:val="000000"/>
          <w:sz w:val="22"/>
          <w:szCs w:val="22"/>
          <w:lang w:val="it-IT"/>
        </w:rPr>
        <w:tab/>
      </w:r>
      <w:r w:rsidRPr="004A59B1">
        <w:rPr>
          <w:b/>
          <w:bCs/>
          <w:color w:val="000000"/>
          <w:sz w:val="22"/>
          <w:szCs w:val="22"/>
          <w:lang w:val="it-IT"/>
        </w:rPr>
        <w:t>Če se zdravite zaradi DFSP:</w:t>
      </w:r>
    </w:p>
    <w:p w14:paraId="5297A967" w14:textId="400C40AC" w:rsidR="00841424" w:rsidRPr="004A59B1" w:rsidRDefault="00841424" w:rsidP="009C1193">
      <w:pPr>
        <w:pStyle w:val="TextChar"/>
        <w:widowControl w:val="0"/>
        <w:spacing w:before="0"/>
        <w:ind w:left="567"/>
        <w:jc w:val="left"/>
        <w:rPr>
          <w:color w:val="000000"/>
          <w:sz w:val="22"/>
          <w:szCs w:val="22"/>
          <w:lang w:val="it-IT"/>
        </w:rPr>
      </w:pPr>
      <w:r w:rsidRPr="004A59B1">
        <w:rPr>
          <w:color w:val="000000"/>
          <w:sz w:val="22"/>
          <w:szCs w:val="22"/>
          <w:lang w:val="it-IT"/>
        </w:rPr>
        <w:t xml:space="preserve">Odmerek je 800 mg na dan, </w:t>
      </w:r>
      <w:r w:rsidR="00651793" w:rsidRPr="004A59B1">
        <w:rPr>
          <w:color w:val="000000"/>
          <w:sz w:val="22"/>
          <w:szCs w:val="22"/>
          <w:lang w:val="it-IT"/>
        </w:rPr>
        <w:t>ki ga</w:t>
      </w:r>
      <w:r w:rsidRPr="004A59B1">
        <w:rPr>
          <w:color w:val="000000"/>
          <w:sz w:val="22"/>
          <w:szCs w:val="22"/>
          <w:lang w:val="it-IT"/>
        </w:rPr>
        <w:t xml:space="preserve"> vzamete kot 4</w:t>
      </w:r>
      <w:r w:rsidR="00055577">
        <w:rPr>
          <w:color w:val="000000"/>
          <w:sz w:val="22"/>
          <w:szCs w:val="22"/>
          <w:lang w:val="it-IT"/>
        </w:rPr>
        <w:t>00 mg</w:t>
      </w:r>
      <w:r w:rsidRPr="004A59B1">
        <w:rPr>
          <w:color w:val="000000"/>
          <w:sz w:val="22"/>
          <w:szCs w:val="22"/>
          <w:lang w:val="it-IT"/>
        </w:rPr>
        <w:t xml:space="preserve"> zjutraj in 4</w:t>
      </w:r>
      <w:r w:rsidR="00055577">
        <w:rPr>
          <w:color w:val="000000"/>
          <w:sz w:val="22"/>
          <w:szCs w:val="22"/>
          <w:lang w:val="it-IT"/>
        </w:rPr>
        <w:t>00 mg</w:t>
      </w:r>
      <w:r w:rsidRPr="004A59B1">
        <w:rPr>
          <w:color w:val="000000"/>
          <w:sz w:val="22"/>
          <w:szCs w:val="22"/>
          <w:lang w:val="it-IT"/>
        </w:rPr>
        <w:t xml:space="preserve"> zvečer.</w:t>
      </w:r>
    </w:p>
    <w:p w14:paraId="5297A968" w14:textId="03DD814B" w:rsidR="00841424" w:rsidRDefault="00841424" w:rsidP="009C1193">
      <w:pPr>
        <w:pStyle w:val="TextChar"/>
        <w:widowControl w:val="0"/>
        <w:spacing w:before="0"/>
        <w:jc w:val="left"/>
        <w:rPr>
          <w:color w:val="000000"/>
          <w:sz w:val="22"/>
          <w:szCs w:val="22"/>
          <w:lang w:val="it-IT"/>
        </w:rPr>
      </w:pPr>
    </w:p>
    <w:p w14:paraId="63B5C866" w14:textId="61913E0E" w:rsidR="00055577" w:rsidRDefault="00055577" w:rsidP="009C1193">
      <w:pPr>
        <w:pStyle w:val="TextChar"/>
        <w:widowControl w:val="0"/>
        <w:spacing w:before="0"/>
        <w:jc w:val="left"/>
        <w:rPr>
          <w:color w:val="000000"/>
          <w:sz w:val="22"/>
          <w:szCs w:val="22"/>
          <w:lang w:val="it-IT"/>
        </w:rPr>
      </w:pPr>
      <w:r>
        <w:rPr>
          <w:color w:val="000000"/>
          <w:sz w:val="22"/>
          <w:szCs w:val="22"/>
          <w:lang w:val="it-IT"/>
        </w:rPr>
        <w:t>Odmerek 400 mg lahko vzamete kot 1 tableto po 400 mg ali 4</w:t>
      </w:r>
      <w:r w:rsidR="003B6568">
        <w:rPr>
          <w:color w:val="000000"/>
          <w:sz w:val="22"/>
          <w:szCs w:val="22"/>
          <w:lang w:val="it-IT"/>
        </w:rPr>
        <w:t> </w:t>
      </w:r>
      <w:r>
        <w:rPr>
          <w:color w:val="000000"/>
          <w:sz w:val="22"/>
          <w:szCs w:val="22"/>
          <w:lang w:val="it-IT"/>
        </w:rPr>
        <w:t>tablete po 100 mg.</w:t>
      </w:r>
    </w:p>
    <w:p w14:paraId="32813EA4" w14:textId="68B3AAF1" w:rsidR="00055577" w:rsidRDefault="00055577" w:rsidP="009C1193">
      <w:pPr>
        <w:pStyle w:val="TextChar"/>
        <w:widowControl w:val="0"/>
        <w:spacing w:before="0"/>
        <w:jc w:val="left"/>
        <w:rPr>
          <w:color w:val="000000"/>
          <w:sz w:val="22"/>
          <w:szCs w:val="22"/>
          <w:lang w:val="it-IT"/>
        </w:rPr>
      </w:pPr>
      <w:r>
        <w:rPr>
          <w:color w:val="000000"/>
          <w:sz w:val="22"/>
          <w:szCs w:val="22"/>
          <w:lang w:val="it-IT"/>
        </w:rPr>
        <w:t>Odmerek 600 mg lahko vzamete kot 1 tableto po 400 mg in 2</w:t>
      </w:r>
      <w:r w:rsidR="003B6568">
        <w:rPr>
          <w:color w:val="000000"/>
          <w:sz w:val="22"/>
          <w:szCs w:val="22"/>
          <w:lang w:val="it-IT"/>
        </w:rPr>
        <w:t> </w:t>
      </w:r>
      <w:r>
        <w:rPr>
          <w:color w:val="000000"/>
          <w:sz w:val="22"/>
          <w:szCs w:val="22"/>
          <w:lang w:val="it-IT"/>
        </w:rPr>
        <w:t>tableti po 100 mg.</w:t>
      </w:r>
    </w:p>
    <w:p w14:paraId="17F32BCE" w14:textId="77777777" w:rsidR="00055577" w:rsidRPr="004A59B1" w:rsidRDefault="00055577" w:rsidP="009C1193">
      <w:pPr>
        <w:pStyle w:val="TextChar"/>
        <w:widowControl w:val="0"/>
        <w:spacing w:before="0"/>
        <w:jc w:val="left"/>
        <w:rPr>
          <w:color w:val="000000"/>
          <w:sz w:val="22"/>
          <w:szCs w:val="22"/>
          <w:lang w:val="it-IT"/>
        </w:rPr>
      </w:pPr>
    </w:p>
    <w:p w14:paraId="5297A969" w14:textId="77777777" w:rsidR="00841424" w:rsidRPr="004A59B1" w:rsidRDefault="00841424" w:rsidP="009C1193">
      <w:pPr>
        <w:pStyle w:val="TextChar"/>
        <w:keepNext/>
        <w:widowControl w:val="0"/>
        <w:spacing w:before="0"/>
        <w:jc w:val="left"/>
        <w:rPr>
          <w:b/>
          <w:bCs/>
          <w:color w:val="000000"/>
          <w:sz w:val="22"/>
          <w:szCs w:val="22"/>
          <w:lang w:val="it-IT"/>
        </w:rPr>
      </w:pPr>
      <w:r w:rsidRPr="004A59B1">
        <w:rPr>
          <w:b/>
          <w:bCs/>
          <w:color w:val="000000"/>
          <w:sz w:val="22"/>
          <w:szCs w:val="22"/>
          <w:lang w:val="it-IT"/>
        </w:rPr>
        <w:t>Uporaba pri otrocih</w:t>
      </w:r>
      <w:r w:rsidR="00A265DB" w:rsidRPr="004A59B1">
        <w:rPr>
          <w:b/>
          <w:bCs/>
          <w:color w:val="000000"/>
          <w:sz w:val="22"/>
          <w:szCs w:val="22"/>
          <w:lang w:val="it-IT"/>
        </w:rPr>
        <w:t xml:space="preserve"> in mladostnikih</w:t>
      </w:r>
    </w:p>
    <w:p w14:paraId="5297A96A" w14:textId="77777777" w:rsidR="00841424" w:rsidRPr="004A59B1" w:rsidRDefault="00841424" w:rsidP="009C1193">
      <w:pPr>
        <w:pStyle w:val="TextChar"/>
        <w:widowControl w:val="0"/>
        <w:spacing w:before="0"/>
        <w:jc w:val="left"/>
        <w:rPr>
          <w:color w:val="000000"/>
          <w:sz w:val="22"/>
          <w:szCs w:val="22"/>
          <w:lang w:val="it-IT"/>
        </w:rPr>
      </w:pPr>
      <w:r w:rsidRPr="004A59B1">
        <w:rPr>
          <w:color w:val="000000"/>
          <w:sz w:val="22"/>
          <w:szCs w:val="22"/>
          <w:lang w:val="it-IT"/>
        </w:rPr>
        <w:t>Zdravnik vam bo povedal, koliko tablet zdravila Glivec dajte svojemu otroku. Potrebna količina zdravila Glivec bo odvisna od otrokovega stanja, telesne mase in višine. Celotni dnevni odmerek pri otrocih ne sme preseči 800 mg</w:t>
      </w:r>
      <w:r w:rsidR="00394D56" w:rsidRPr="004A59B1">
        <w:rPr>
          <w:color w:val="000000"/>
          <w:sz w:val="22"/>
          <w:szCs w:val="22"/>
          <w:lang w:val="it-IT"/>
        </w:rPr>
        <w:t xml:space="preserve"> pri zdravljenju KML in 600 mg pri zdravljenju Ph pozitivne ALL</w:t>
      </w:r>
      <w:r w:rsidRPr="004A59B1">
        <w:rPr>
          <w:color w:val="000000"/>
          <w:sz w:val="22"/>
          <w:szCs w:val="22"/>
          <w:lang w:val="it-IT"/>
        </w:rPr>
        <w:t>. Otrok lahko zdravilo vzame v enem samem dnevnem odmerku ali pa lahko dnevni odmerek razdelimo na dva dela (polovico damo otroku zjutraj, polovico pa zvečer).</w:t>
      </w:r>
    </w:p>
    <w:p w14:paraId="5297A96B" w14:textId="77777777" w:rsidR="00841424" w:rsidRPr="004A59B1" w:rsidRDefault="00841424" w:rsidP="009C1193">
      <w:pPr>
        <w:pStyle w:val="Heading2"/>
        <w:keepNext w:val="0"/>
        <w:widowControl w:val="0"/>
        <w:spacing w:before="0" w:after="0" w:line="240" w:lineRule="auto"/>
        <w:rPr>
          <w:rFonts w:ascii="Times New Roman" w:hAnsi="Times New Roman"/>
          <w:b w:val="0"/>
          <w:i w:val="0"/>
          <w:color w:val="000000"/>
          <w:sz w:val="22"/>
          <w:szCs w:val="22"/>
          <w:lang w:val="it-IT"/>
        </w:rPr>
      </w:pPr>
    </w:p>
    <w:p w14:paraId="5297A96C" w14:textId="77777777" w:rsidR="00841424" w:rsidRPr="004A59B1" w:rsidRDefault="00841424" w:rsidP="009C1193">
      <w:pPr>
        <w:pStyle w:val="TextChar"/>
        <w:keepNext/>
        <w:widowControl w:val="0"/>
        <w:spacing w:before="0"/>
        <w:jc w:val="left"/>
        <w:rPr>
          <w:b/>
          <w:color w:val="000000"/>
          <w:sz w:val="22"/>
          <w:szCs w:val="22"/>
          <w:lang w:val="it-IT"/>
        </w:rPr>
      </w:pPr>
      <w:r w:rsidRPr="004A59B1">
        <w:rPr>
          <w:b/>
          <w:color w:val="000000"/>
          <w:sz w:val="22"/>
          <w:szCs w:val="22"/>
          <w:lang w:val="it-IT"/>
        </w:rPr>
        <w:t>Kdaj in kako jemati zdravilo Glivec</w:t>
      </w:r>
    </w:p>
    <w:p w14:paraId="5297A96D" w14:textId="77777777" w:rsidR="00841424" w:rsidRPr="004A59B1" w:rsidRDefault="00841424" w:rsidP="009C1193">
      <w:pPr>
        <w:pStyle w:val="TextChar"/>
        <w:widowControl w:val="0"/>
        <w:spacing w:before="0"/>
        <w:ind w:left="567" w:hanging="567"/>
        <w:jc w:val="left"/>
        <w:rPr>
          <w:bCs/>
          <w:color w:val="000000"/>
          <w:sz w:val="22"/>
          <w:szCs w:val="22"/>
          <w:lang w:val="it-IT"/>
        </w:rPr>
      </w:pPr>
      <w:r w:rsidRPr="004A59B1">
        <w:rPr>
          <w:b/>
          <w:color w:val="000000"/>
          <w:sz w:val="22"/>
          <w:szCs w:val="22"/>
          <w:lang w:val="it-IT"/>
        </w:rPr>
        <w:t>-</w:t>
      </w:r>
      <w:r w:rsidRPr="004A59B1">
        <w:rPr>
          <w:b/>
          <w:color w:val="000000"/>
          <w:sz w:val="22"/>
          <w:szCs w:val="22"/>
          <w:lang w:val="it-IT"/>
        </w:rPr>
        <w:tab/>
        <w:t xml:space="preserve">Zdravilo Glivec vzemite z obrokom hrane. </w:t>
      </w:r>
      <w:r w:rsidRPr="004A59B1">
        <w:rPr>
          <w:bCs/>
          <w:color w:val="000000"/>
          <w:sz w:val="22"/>
          <w:szCs w:val="22"/>
          <w:lang w:val="it-IT"/>
        </w:rPr>
        <w:t>Tako boste laže preprečili težave z</w:t>
      </w:r>
      <w:r w:rsidRPr="004A59B1">
        <w:rPr>
          <w:b/>
          <w:color w:val="000000"/>
          <w:sz w:val="22"/>
          <w:szCs w:val="22"/>
          <w:lang w:val="it-IT"/>
        </w:rPr>
        <w:t xml:space="preserve"> </w:t>
      </w:r>
      <w:r w:rsidRPr="004A59B1">
        <w:rPr>
          <w:bCs/>
          <w:color w:val="000000"/>
          <w:sz w:val="22"/>
          <w:szCs w:val="22"/>
          <w:lang w:val="it-IT"/>
        </w:rPr>
        <w:t>želodcem, do katerih pride pri jemanju zdravila Glivec.</w:t>
      </w:r>
    </w:p>
    <w:p w14:paraId="5297A96E" w14:textId="77777777" w:rsidR="00841424" w:rsidRPr="004A59B1" w:rsidRDefault="00841424" w:rsidP="009C1193">
      <w:pPr>
        <w:pStyle w:val="TextChar"/>
        <w:widowControl w:val="0"/>
        <w:spacing w:before="0"/>
        <w:jc w:val="left"/>
        <w:rPr>
          <w:b/>
          <w:color w:val="000000"/>
          <w:sz w:val="22"/>
          <w:szCs w:val="22"/>
          <w:lang w:val="it-IT"/>
        </w:rPr>
      </w:pPr>
      <w:r w:rsidRPr="004A59B1">
        <w:rPr>
          <w:b/>
          <w:color w:val="000000"/>
          <w:sz w:val="22"/>
          <w:szCs w:val="22"/>
          <w:lang w:val="it-IT"/>
        </w:rPr>
        <w:t>-</w:t>
      </w:r>
      <w:r w:rsidRPr="004A59B1">
        <w:rPr>
          <w:b/>
          <w:color w:val="000000"/>
          <w:sz w:val="22"/>
          <w:szCs w:val="22"/>
          <w:lang w:val="it-IT"/>
        </w:rPr>
        <w:tab/>
        <w:t>Tablete pogoltnite cele z velikim kozarcem vode.</w:t>
      </w:r>
    </w:p>
    <w:p w14:paraId="5297A96F" w14:textId="77777777" w:rsidR="00841424" w:rsidRPr="004A59B1" w:rsidRDefault="00841424" w:rsidP="009C1193">
      <w:pPr>
        <w:pStyle w:val="TextChar"/>
        <w:widowControl w:val="0"/>
        <w:spacing w:before="0"/>
        <w:jc w:val="left"/>
        <w:rPr>
          <w:color w:val="000000"/>
          <w:sz w:val="22"/>
          <w:szCs w:val="22"/>
          <w:lang w:val="it-IT"/>
        </w:rPr>
      </w:pPr>
    </w:p>
    <w:p w14:paraId="5297A970" w14:textId="77777777" w:rsidR="00841424" w:rsidRPr="004A59B1" w:rsidRDefault="00841424" w:rsidP="009C1193">
      <w:pPr>
        <w:pStyle w:val="TextChar"/>
        <w:keepNext/>
        <w:widowControl w:val="0"/>
        <w:spacing w:before="0"/>
        <w:jc w:val="left"/>
        <w:rPr>
          <w:color w:val="000000"/>
          <w:sz w:val="22"/>
          <w:szCs w:val="22"/>
          <w:lang w:val="it-IT"/>
        </w:rPr>
      </w:pPr>
      <w:r w:rsidRPr="004A59B1">
        <w:rPr>
          <w:color w:val="000000"/>
          <w:sz w:val="22"/>
          <w:szCs w:val="22"/>
          <w:lang w:val="it-IT"/>
        </w:rPr>
        <w:t>Če ne morete pogoltniti tablet, jih lahko raztopite v kozarcu navadne vode ali jabolčnega soka:</w:t>
      </w:r>
    </w:p>
    <w:p w14:paraId="5297A971" w14:textId="3119DE00" w:rsidR="00841424" w:rsidRPr="004A59B1" w:rsidRDefault="00841424" w:rsidP="009C1193">
      <w:pPr>
        <w:pStyle w:val="TextChar"/>
        <w:widowControl w:val="0"/>
        <w:numPr>
          <w:ilvl w:val="0"/>
          <w:numId w:val="11"/>
        </w:numPr>
        <w:tabs>
          <w:tab w:val="clear" w:pos="720"/>
        </w:tabs>
        <w:spacing w:before="0"/>
        <w:ind w:left="567" w:hanging="567"/>
        <w:jc w:val="left"/>
        <w:rPr>
          <w:color w:val="000000"/>
          <w:sz w:val="22"/>
          <w:szCs w:val="22"/>
          <w:lang w:val="it-IT"/>
        </w:rPr>
      </w:pPr>
      <w:r w:rsidRPr="004A59B1">
        <w:rPr>
          <w:color w:val="000000"/>
          <w:sz w:val="22"/>
          <w:szCs w:val="22"/>
          <w:lang w:val="it-IT"/>
        </w:rPr>
        <w:t xml:space="preserve">Za vsako tableto po 100 mg potrebujete približno 50 ml </w:t>
      </w:r>
      <w:r w:rsidR="006E6F48">
        <w:rPr>
          <w:color w:val="000000"/>
          <w:sz w:val="22"/>
          <w:szCs w:val="22"/>
          <w:lang w:val="it-IT"/>
        </w:rPr>
        <w:t>oziroma za vsako tableto po 400 mg približno 200 ml vode ali jabolčnega soka</w:t>
      </w:r>
      <w:r w:rsidRPr="004A59B1">
        <w:rPr>
          <w:color w:val="000000"/>
          <w:sz w:val="22"/>
          <w:szCs w:val="22"/>
          <w:lang w:val="it-IT"/>
        </w:rPr>
        <w:t>.</w:t>
      </w:r>
    </w:p>
    <w:p w14:paraId="5297A972" w14:textId="77777777" w:rsidR="00841424" w:rsidRPr="004A59B1" w:rsidRDefault="00841424" w:rsidP="009C1193">
      <w:pPr>
        <w:pStyle w:val="TextChar"/>
        <w:widowControl w:val="0"/>
        <w:numPr>
          <w:ilvl w:val="0"/>
          <w:numId w:val="11"/>
        </w:numPr>
        <w:tabs>
          <w:tab w:val="clear" w:pos="720"/>
        </w:tabs>
        <w:spacing w:before="0"/>
        <w:ind w:left="567" w:hanging="567"/>
        <w:jc w:val="left"/>
        <w:rPr>
          <w:color w:val="000000"/>
          <w:sz w:val="22"/>
          <w:szCs w:val="22"/>
          <w:lang w:val="it-IT"/>
        </w:rPr>
      </w:pPr>
      <w:r w:rsidRPr="004A59B1">
        <w:rPr>
          <w:color w:val="000000"/>
          <w:sz w:val="22"/>
          <w:szCs w:val="22"/>
          <w:lang w:val="it-IT"/>
        </w:rPr>
        <w:t>Mešajte z žlico, dokler se tablete popolnoma ne raztopijo.</w:t>
      </w:r>
    </w:p>
    <w:p w14:paraId="5297A973" w14:textId="77777777" w:rsidR="00841424" w:rsidRPr="004A59B1" w:rsidRDefault="00841424" w:rsidP="009C1193">
      <w:pPr>
        <w:pStyle w:val="TextChar"/>
        <w:widowControl w:val="0"/>
        <w:numPr>
          <w:ilvl w:val="0"/>
          <w:numId w:val="11"/>
        </w:numPr>
        <w:tabs>
          <w:tab w:val="clear" w:pos="720"/>
        </w:tabs>
        <w:spacing w:before="0"/>
        <w:ind w:left="567" w:hanging="567"/>
        <w:jc w:val="left"/>
        <w:rPr>
          <w:color w:val="000000"/>
          <w:sz w:val="22"/>
          <w:szCs w:val="22"/>
          <w:lang w:val="es-ES"/>
        </w:rPr>
      </w:pPr>
      <w:r w:rsidRPr="004A59B1">
        <w:rPr>
          <w:color w:val="000000"/>
          <w:sz w:val="22"/>
          <w:szCs w:val="22"/>
          <w:lang w:val="es-ES"/>
        </w:rPr>
        <w:t>Ko se tableta raztopi, takoj popijte celotno vsebino kozarca. Sledove raztopljenih tablet lahko pustite v kozarcu.</w:t>
      </w:r>
    </w:p>
    <w:p w14:paraId="5297A974" w14:textId="77777777" w:rsidR="00841424" w:rsidRPr="004A59B1" w:rsidRDefault="00841424" w:rsidP="009C1193">
      <w:pPr>
        <w:pStyle w:val="TextChar"/>
        <w:widowControl w:val="0"/>
        <w:spacing w:before="0"/>
        <w:jc w:val="left"/>
        <w:rPr>
          <w:i/>
          <w:color w:val="000000"/>
          <w:sz w:val="22"/>
          <w:szCs w:val="22"/>
          <w:lang w:val="es-ES"/>
        </w:rPr>
      </w:pPr>
    </w:p>
    <w:p w14:paraId="5297A975" w14:textId="77777777" w:rsidR="00841424" w:rsidRPr="004A59B1" w:rsidRDefault="00841424" w:rsidP="009C1193">
      <w:pPr>
        <w:pStyle w:val="Heading2"/>
        <w:widowControl w:val="0"/>
        <w:spacing w:before="0" w:after="0" w:line="240" w:lineRule="auto"/>
        <w:rPr>
          <w:rFonts w:ascii="Times New Roman" w:hAnsi="Times New Roman"/>
          <w:i w:val="0"/>
          <w:color w:val="000000"/>
          <w:sz w:val="22"/>
          <w:szCs w:val="22"/>
          <w:lang w:val="es-ES"/>
        </w:rPr>
      </w:pPr>
      <w:r w:rsidRPr="004A59B1">
        <w:rPr>
          <w:rFonts w:ascii="Times New Roman" w:hAnsi="Times New Roman"/>
          <w:i w:val="0"/>
          <w:color w:val="000000"/>
          <w:sz w:val="22"/>
          <w:szCs w:val="22"/>
          <w:lang w:val="es-ES"/>
        </w:rPr>
        <w:t>Koliko časa jemati zdravilo</w:t>
      </w:r>
      <w:r w:rsidRPr="004A59B1">
        <w:rPr>
          <w:rFonts w:ascii="Times New Roman" w:hAnsi="Times New Roman"/>
          <w:b w:val="0"/>
          <w:color w:val="000000"/>
          <w:sz w:val="22"/>
          <w:szCs w:val="22"/>
          <w:lang w:val="es-ES"/>
        </w:rPr>
        <w:t xml:space="preserve"> </w:t>
      </w:r>
      <w:r w:rsidRPr="004A59B1">
        <w:rPr>
          <w:rFonts w:ascii="Times New Roman" w:hAnsi="Times New Roman"/>
          <w:i w:val="0"/>
          <w:color w:val="000000"/>
          <w:sz w:val="22"/>
          <w:szCs w:val="22"/>
          <w:lang w:val="es-ES"/>
        </w:rPr>
        <w:t>Glivec</w:t>
      </w:r>
    </w:p>
    <w:p w14:paraId="5297A976" w14:textId="77777777" w:rsidR="00841424" w:rsidRPr="004A59B1" w:rsidRDefault="00841424" w:rsidP="009C1193">
      <w:pPr>
        <w:pStyle w:val="TextChar"/>
        <w:widowControl w:val="0"/>
        <w:spacing w:before="0"/>
        <w:jc w:val="left"/>
        <w:rPr>
          <w:color w:val="000000"/>
          <w:sz w:val="22"/>
          <w:szCs w:val="22"/>
          <w:lang w:val="es-ES"/>
        </w:rPr>
      </w:pPr>
      <w:r w:rsidRPr="004A59B1">
        <w:rPr>
          <w:color w:val="000000"/>
          <w:sz w:val="22"/>
          <w:szCs w:val="22"/>
          <w:lang w:val="es-ES"/>
        </w:rPr>
        <w:t>Zdravilo Glivec jemljite vsak dan, dokler vam zdravnik ne naroči, da ga prenehate jemati.</w:t>
      </w:r>
    </w:p>
    <w:p w14:paraId="5297A977" w14:textId="77777777" w:rsidR="00841424" w:rsidRPr="004A59B1" w:rsidRDefault="00841424" w:rsidP="009C1193">
      <w:pPr>
        <w:pStyle w:val="TextChar"/>
        <w:widowControl w:val="0"/>
        <w:spacing w:before="0"/>
        <w:jc w:val="left"/>
        <w:rPr>
          <w:color w:val="000000"/>
          <w:sz w:val="22"/>
          <w:szCs w:val="22"/>
          <w:lang w:val="es-ES"/>
        </w:rPr>
      </w:pPr>
    </w:p>
    <w:p w14:paraId="5297A978" w14:textId="77777777" w:rsidR="00841424" w:rsidRPr="004A59B1" w:rsidRDefault="00841424" w:rsidP="009C1193">
      <w:pPr>
        <w:pStyle w:val="Heading2"/>
        <w:widowControl w:val="0"/>
        <w:spacing w:before="0" w:after="0" w:line="240" w:lineRule="auto"/>
        <w:rPr>
          <w:rFonts w:ascii="Times New Roman" w:hAnsi="Times New Roman"/>
          <w:i w:val="0"/>
          <w:color w:val="000000"/>
          <w:sz w:val="22"/>
          <w:szCs w:val="22"/>
          <w:lang w:val="es-ES"/>
        </w:rPr>
      </w:pPr>
      <w:r w:rsidRPr="004A59B1">
        <w:rPr>
          <w:rFonts w:ascii="Times New Roman" w:hAnsi="Times New Roman"/>
          <w:i w:val="0"/>
          <w:color w:val="000000"/>
          <w:sz w:val="22"/>
          <w:szCs w:val="22"/>
          <w:lang w:val="es-ES"/>
        </w:rPr>
        <w:t>Če ste vzeli večji odmerek zdravila Glivec, kot bi smeli</w:t>
      </w:r>
    </w:p>
    <w:p w14:paraId="5297A979" w14:textId="77777777" w:rsidR="00841424" w:rsidRPr="004A59B1" w:rsidRDefault="00841424" w:rsidP="009C1193">
      <w:pPr>
        <w:pStyle w:val="TextChar"/>
        <w:widowControl w:val="0"/>
        <w:spacing w:before="0"/>
        <w:jc w:val="left"/>
        <w:rPr>
          <w:color w:val="000000"/>
          <w:sz w:val="22"/>
          <w:szCs w:val="22"/>
          <w:lang w:val="es-ES"/>
        </w:rPr>
      </w:pPr>
      <w:r w:rsidRPr="004A59B1">
        <w:rPr>
          <w:color w:val="000000"/>
          <w:sz w:val="22"/>
          <w:szCs w:val="22"/>
          <w:lang w:val="es-ES"/>
        </w:rPr>
        <w:t xml:space="preserve">Če ste pomotoma vzeli preveč tablet, se </w:t>
      </w:r>
      <w:r w:rsidRPr="004A59B1">
        <w:rPr>
          <w:b/>
          <w:color w:val="000000"/>
          <w:sz w:val="22"/>
          <w:szCs w:val="22"/>
          <w:lang w:val="es-ES"/>
        </w:rPr>
        <w:t>nemudoma</w:t>
      </w:r>
      <w:r w:rsidRPr="004A59B1">
        <w:rPr>
          <w:color w:val="000000"/>
          <w:sz w:val="22"/>
          <w:szCs w:val="22"/>
          <w:lang w:val="es-ES"/>
        </w:rPr>
        <w:t xml:space="preserve"> posvetujte s svojim zdravnikom. Mogoče boste potrebovali medicinsko pomoč. Škatlo zdravil vzemite s seboj.</w:t>
      </w:r>
    </w:p>
    <w:p w14:paraId="5297A97A" w14:textId="77777777" w:rsidR="00841424" w:rsidRPr="004A59B1" w:rsidRDefault="00841424" w:rsidP="009C1193">
      <w:pPr>
        <w:widowControl w:val="0"/>
        <w:numPr>
          <w:ilvl w:val="12"/>
          <w:numId w:val="0"/>
        </w:numPr>
        <w:tabs>
          <w:tab w:val="clear" w:pos="567"/>
        </w:tabs>
        <w:spacing w:line="240" w:lineRule="auto"/>
        <w:ind w:right="-2"/>
        <w:rPr>
          <w:color w:val="000000"/>
          <w:szCs w:val="22"/>
          <w:lang w:val="es-ES"/>
        </w:rPr>
      </w:pPr>
    </w:p>
    <w:p w14:paraId="5297A97B" w14:textId="77777777" w:rsidR="00841424" w:rsidRPr="004A59B1" w:rsidRDefault="00841424" w:rsidP="009C1193">
      <w:pPr>
        <w:keepNext/>
        <w:widowControl w:val="0"/>
        <w:numPr>
          <w:ilvl w:val="12"/>
          <w:numId w:val="0"/>
        </w:numPr>
        <w:tabs>
          <w:tab w:val="clear" w:pos="567"/>
        </w:tabs>
        <w:spacing w:line="240" w:lineRule="auto"/>
        <w:ind w:right="-2"/>
        <w:rPr>
          <w:color w:val="000000"/>
          <w:szCs w:val="22"/>
          <w:lang w:val="it-IT"/>
        </w:rPr>
      </w:pPr>
      <w:r w:rsidRPr="004A59B1">
        <w:rPr>
          <w:b/>
          <w:color w:val="000000"/>
          <w:szCs w:val="22"/>
          <w:lang w:val="it-IT"/>
        </w:rPr>
        <w:t>Če ste pozabili vzeti zdravilo Glivec</w:t>
      </w:r>
    </w:p>
    <w:p w14:paraId="5297A97C" w14:textId="77777777" w:rsidR="00841424" w:rsidRPr="004A59B1" w:rsidRDefault="00841424" w:rsidP="009C1193">
      <w:pPr>
        <w:widowControl w:val="0"/>
        <w:numPr>
          <w:ilvl w:val="0"/>
          <w:numId w:val="1"/>
        </w:numPr>
        <w:tabs>
          <w:tab w:val="clear" w:pos="567"/>
        </w:tabs>
        <w:spacing w:line="240" w:lineRule="auto"/>
        <w:ind w:left="567" w:right="-2" w:hanging="567"/>
        <w:rPr>
          <w:color w:val="000000"/>
          <w:szCs w:val="22"/>
          <w:lang w:val="it-IT"/>
        </w:rPr>
      </w:pPr>
      <w:r w:rsidRPr="004A59B1">
        <w:rPr>
          <w:color w:val="000000"/>
          <w:szCs w:val="22"/>
          <w:lang w:val="it-IT"/>
        </w:rPr>
        <w:t>Če pozabite vzeti odmerek, ga vzemite takoj, ko se spomnite. Če je že skoraj čas za naslednji odmerek, izpustite pozabljeni odmerek.</w:t>
      </w:r>
    </w:p>
    <w:p w14:paraId="5297A97D" w14:textId="77777777" w:rsidR="00841424" w:rsidRPr="004A59B1" w:rsidRDefault="00841424" w:rsidP="009C1193">
      <w:pPr>
        <w:widowControl w:val="0"/>
        <w:numPr>
          <w:ilvl w:val="0"/>
          <w:numId w:val="1"/>
        </w:numPr>
        <w:tabs>
          <w:tab w:val="clear" w:pos="567"/>
        </w:tabs>
        <w:spacing w:line="240" w:lineRule="auto"/>
        <w:ind w:left="567" w:right="-2" w:hanging="567"/>
        <w:rPr>
          <w:color w:val="000000"/>
          <w:szCs w:val="22"/>
          <w:lang w:val="pl-PL"/>
        </w:rPr>
      </w:pPr>
      <w:r w:rsidRPr="004A59B1">
        <w:rPr>
          <w:color w:val="000000"/>
          <w:szCs w:val="22"/>
          <w:lang w:val="pl-PL"/>
        </w:rPr>
        <w:t>Nato nadaljujte z jemanjem zdravila po običajnem razporedu.</w:t>
      </w:r>
    </w:p>
    <w:p w14:paraId="5297A97E" w14:textId="77777777" w:rsidR="00841424" w:rsidRPr="004A59B1" w:rsidRDefault="00841424" w:rsidP="009C1193">
      <w:pPr>
        <w:widowControl w:val="0"/>
        <w:numPr>
          <w:ilvl w:val="0"/>
          <w:numId w:val="1"/>
        </w:numPr>
        <w:tabs>
          <w:tab w:val="clear" w:pos="567"/>
        </w:tabs>
        <w:spacing w:line="240" w:lineRule="auto"/>
        <w:ind w:left="567" w:right="-2" w:hanging="567"/>
        <w:rPr>
          <w:color w:val="000000"/>
          <w:szCs w:val="22"/>
          <w:lang w:val="pl-PL"/>
        </w:rPr>
      </w:pPr>
      <w:r w:rsidRPr="004A59B1">
        <w:rPr>
          <w:color w:val="000000"/>
          <w:szCs w:val="22"/>
          <w:lang w:val="pl-PL"/>
        </w:rPr>
        <w:t>Ne vzemite dvojnega odmerka, če ste pozabili vzeti prejšnji odmerek.</w:t>
      </w:r>
    </w:p>
    <w:p w14:paraId="5297A97F" w14:textId="77777777" w:rsidR="00841424" w:rsidRPr="004A59B1" w:rsidRDefault="00841424" w:rsidP="009C1193">
      <w:pPr>
        <w:widowControl w:val="0"/>
        <w:numPr>
          <w:ilvl w:val="12"/>
          <w:numId w:val="0"/>
        </w:numPr>
        <w:tabs>
          <w:tab w:val="clear" w:pos="567"/>
        </w:tabs>
        <w:spacing w:line="240" w:lineRule="auto"/>
        <w:ind w:right="-2"/>
        <w:rPr>
          <w:color w:val="000000"/>
          <w:szCs w:val="22"/>
          <w:lang w:val="pl-PL"/>
        </w:rPr>
      </w:pPr>
    </w:p>
    <w:p w14:paraId="5297A980" w14:textId="77777777" w:rsidR="00841424" w:rsidRPr="004A59B1" w:rsidRDefault="00841424" w:rsidP="009C1193">
      <w:pPr>
        <w:widowControl w:val="0"/>
        <w:numPr>
          <w:ilvl w:val="12"/>
          <w:numId w:val="0"/>
        </w:numPr>
        <w:tabs>
          <w:tab w:val="clear" w:pos="567"/>
        </w:tabs>
        <w:spacing w:line="240" w:lineRule="auto"/>
        <w:ind w:right="-2"/>
        <w:rPr>
          <w:color w:val="000000"/>
          <w:szCs w:val="22"/>
          <w:lang w:val="pl-PL"/>
        </w:rPr>
      </w:pPr>
      <w:r w:rsidRPr="004A59B1">
        <w:rPr>
          <w:color w:val="000000"/>
          <w:szCs w:val="22"/>
          <w:lang w:val="pl-PL"/>
        </w:rPr>
        <w:t xml:space="preserve">Če imate dodatna vprašanja o uporabi zdravila, se posvetujte </w:t>
      </w:r>
      <w:r w:rsidR="009A41C9" w:rsidRPr="004A59B1">
        <w:rPr>
          <w:color w:val="000000"/>
          <w:szCs w:val="22"/>
          <w:lang w:val="pt-PT"/>
        </w:rPr>
        <w:t>z</w:t>
      </w:r>
      <w:r w:rsidRPr="004A59B1">
        <w:rPr>
          <w:color w:val="000000"/>
          <w:szCs w:val="22"/>
          <w:lang w:val="pl-PL"/>
        </w:rPr>
        <w:t xml:space="preserve"> zdravnikom</w:t>
      </w:r>
      <w:r w:rsidR="00A265DB" w:rsidRPr="004A59B1">
        <w:rPr>
          <w:color w:val="000000"/>
          <w:szCs w:val="22"/>
          <w:lang w:val="pl-PL"/>
        </w:rPr>
        <w:t>,</w:t>
      </w:r>
      <w:r w:rsidRPr="004A59B1">
        <w:rPr>
          <w:color w:val="000000"/>
          <w:szCs w:val="22"/>
          <w:lang w:val="pl-PL"/>
        </w:rPr>
        <w:t xml:space="preserve"> farmacevtom</w:t>
      </w:r>
      <w:r w:rsidR="00A265DB" w:rsidRPr="004A59B1">
        <w:rPr>
          <w:color w:val="000000"/>
          <w:szCs w:val="22"/>
          <w:lang w:val="pl-PL"/>
        </w:rPr>
        <w:t xml:space="preserve"> ali medicinsko sestro</w:t>
      </w:r>
      <w:r w:rsidRPr="004A59B1">
        <w:rPr>
          <w:color w:val="000000"/>
          <w:szCs w:val="22"/>
          <w:lang w:val="pl-PL"/>
        </w:rPr>
        <w:t>.</w:t>
      </w:r>
    </w:p>
    <w:p w14:paraId="5297A981" w14:textId="77777777" w:rsidR="00841424" w:rsidRPr="004A59B1" w:rsidRDefault="00841424" w:rsidP="009C1193">
      <w:pPr>
        <w:widowControl w:val="0"/>
        <w:numPr>
          <w:ilvl w:val="12"/>
          <w:numId w:val="0"/>
        </w:numPr>
        <w:tabs>
          <w:tab w:val="clear" w:pos="567"/>
        </w:tabs>
        <w:spacing w:line="240" w:lineRule="auto"/>
        <w:ind w:right="-2"/>
        <w:rPr>
          <w:color w:val="000000"/>
          <w:szCs w:val="22"/>
          <w:lang w:val="pl-PL"/>
        </w:rPr>
      </w:pPr>
    </w:p>
    <w:p w14:paraId="5297A982" w14:textId="77777777" w:rsidR="00841424" w:rsidRPr="004A59B1" w:rsidRDefault="00841424" w:rsidP="009C1193">
      <w:pPr>
        <w:widowControl w:val="0"/>
        <w:numPr>
          <w:ilvl w:val="12"/>
          <w:numId w:val="0"/>
        </w:numPr>
        <w:tabs>
          <w:tab w:val="clear" w:pos="567"/>
        </w:tabs>
        <w:spacing w:line="240" w:lineRule="auto"/>
        <w:ind w:right="-2"/>
        <w:rPr>
          <w:color w:val="000000"/>
          <w:szCs w:val="22"/>
          <w:lang w:val="pl-PL"/>
        </w:rPr>
      </w:pPr>
    </w:p>
    <w:p w14:paraId="5297A983" w14:textId="77777777" w:rsidR="00FF48C2" w:rsidRPr="004A59B1" w:rsidRDefault="00FF48C2" w:rsidP="009C1193">
      <w:pPr>
        <w:keepNext/>
        <w:widowControl w:val="0"/>
        <w:numPr>
          <w:ilvl w:val="12"/>
          <w:numId w:val="0"/>
        </w:numPr>
        <w:tabs>
          <w:tab w:val="clear" w:pos="567"/>
        </w:tabs>
        <w:spacing w:line="240" w:lineRule="auto"/>
        <w:ind w:left="567" w:right="-2" w:hanging="567"/>
        <w:rPr>
          <w:b/>
          <w:color w:val="000000"/>
          <w:szCs w:val="22"/>
          <w:lang w:val="pl-PL"/>
        </w:rPr>
      </w:pPr>
      <w:r w:rsidRPr="004A59B1">
        <w:rPr>
          <w:b/>
          <w:color w:val="000000"/>
          <w:szCs w:val="22"/>
          <w:lang w:val="pl-PL"/>
        </w:rPr>
        <w:t>4.</w:t>
      </w:r>
      <w:r w:rsidRPr="004A59B1">
        <w:rPr>
          <w:b/>
          <w:color w:val="000000"/>
          <w:szCs w:val="22"/>
          <w:lang w:val="pl-PL"/>
        </w:rPr>
        <w:tab/>
        <w:t>Možni neželeni učinki</w:t>
      </w:r>
    </w:p>
    <w:p w14:paraId="5297A984" w14:textId="77777777" w:rsidR="00FF48C2" w:rsidRPr="004A59B1" w:rsidRDefault="00FF48C2" w:rsidP="009C1193">
      <w:pPr>
        <w:pStyle w:val="TextChar"/>
        <w:keepNext/>
        <w:widowControl w:val="0"/>
        <w:spacing w:before="0"/>
        <w:jc w:val="left"/>
        <w:rPr>
          <w:color w:val="000000"/>
          <w:sz w:val="22"/>
          <w:szCs w:val="22"/>
          <w:lang w:val="pl-PL"/>
        </w:rPr>
      </w:pPr>
    </w:p>
    <w:p w14:paraId="5297A985" w14:textId="77777777" w:rsidR="00FF48C2" w:rsidRPr="004A59B1" w:rsidRDefault="00FF48C2" w:rsidP="009C1193">
      <w:pPr>
        <w:pStyle w:val="TextChar"/>
        <w:widowControl w:val="0"/>
        <w:spacing w:before="0"/>
        <w:jc w:val="left"/>
        <w:rPr>
          <w:color w:val="000000"/>
          <w:sz w:val="22"/>
          <w:szCs w:val="22"/>
          <w:lang w:val="pl-PL"/>
        </w:rPr>
      </w:pPr>
      <w:r w:rsidRPr="004A59B1">
        <w:rPr>
          <w:color w:val="000000"/>
          <w:sz w:val="22"/>
          <w:szCs w:val="22"/>
          <w:lang w:val="pl-PL"/>
        </w:rPr>
        <w:t>Kot vsa zdravila ima lahko tudi to zdravilo neželene učinke, ki pa se ne pojavijo pri vseh bolnikih. Navadno so blagi do zmerni.</w:t>
      </w:r>
    </w:p>
    <w:p w14:paraId="5297A986" w14:textId="77777777" w:rsidR="00FF48C2" w:rsidRPr="004A59B1" w:rsidRDefault="00FF48C2" w:rsidP="009C1193">
      <w:pPr>
        <w:pStyle w:val="Text"/>
        <w:widowControl w:val="0"/>
        <w:spacing w:before="0"/>
        <w:jc w:val="left"/>
        <w:rPr>
          <w:color w:val="000000"/>
          <w:sz w:val="22"/>
          <w:szCs w:val="22"/>
          <w:lang w:val="pl-PL"/>
        </w:rPr>
      </w:pPr>
    </w:p>
    <w:p w14:paraId="5297A987" w14:textId="77777777" w:rsidR="00FF48C2" w:rsidRPr="004A59B1" w:rsidRDefault="00FF48C2" w:rsidP="009C1193">
      <w:pPr>
        <w:pStyle w:val="Heading4"/>
        <w:widowControl w:val="0"/>
        <w:spacing w:line="240" w:lineRule="auto"/>
        <w:rPr>
          <w:color w:val="000000"/>
          <w:lang w:val="fi-FI"/>
        </w:rPr>
      </w:pPr>
      <w:r w:rsidRPr="004A59B1">
        <w:rPr>
          <w:color w:val="000000"/>
          <w:lang w:val="fi-FI"/>
        </w:rPr>
        <w:t>Nekateri neželeni učinki so lahko resni. Če pride do katerega od naslednjih neželenih učinkov, takoj obvestite zdravnika:</w:t>
      </w:r>
    </w:p>
    <w:p w14:paraId="5297A988" w14:textId="77777777" w:rsidR="00FF48C2" w:rsidRPr="004A59B1" w:rsidRDefault="00FF48C2" w:rsidP="009C1193">
      <w:pPr>
        <w:pStyle w:val="TextChar"/>
        <w:keepNext/>
        <w:widowControl w:val="0"/>
        <w:spacing w:before="0"/>
        <w:jc w:val="left"/>
        <w:rPr>
          <w:color w:val="000000"/>
          <w:sz w:val="22"/>
          <w:szCs w:val="22"/>
          <w:lang w:val="fi-FI"/>
        </w:rPr>
      </w:pPr>
    </w:p>
    <w:p w14:paraId="5297A989" w14:textId="77777777" w:rsidR="00FF48C2" w:rsidRPr="004A59B1" w:rsidRDefault="00FF48C2" w:rsidP="009C1193">
      <w:pPr>
        <w:pStyle w:val="Heading4"/>
        <w:widowControl w:val="0"/>
        <w:spacing w:line="240" w:lineRule="auto"/>
        <w:jc w:val="left"/>
        <w:rPr>
          <w:b w:val="0"/>
          <w:noProof w:val="0"/>
          <w:color w:val="000000"/>
          <w:szCs w:val="22"/>
          <w:lang w:val="fi-FI"/>
        </w:rPr>
      </w:pPr>
      <w:r w:rsidRPr="004A59B1">
        <w:rPr>
          <w:noProof w:val="0"/>
          <w:color w:val="000000"/>
          <w:szCs w:val="22"/>
          <w:lang w:val="fi-FI"/>
        </w:rPr>
        <w:t xml:space="preserve">Zelo pogosti </w:t>
      </w:r>
      <w:r w:rsidRPr="004A59B1">
        <w:rPr>
          <w:b w:val="0"/>
          <w:noProof w:val="0"/>
          <w:color w:val="000000"/>
          <w:szCs w:val="22"/>
          <w:lang w:val="fi-FI"/>
        </w:rPr>
        <w:t>(pojavijo se lahko pri več kot 1 od 10 bolnikov)</w:t>
      </w:r>
      <w:r w:rsidRPr="004A59B1">
        <w:rPr>
          <w:noProof w:val="0"/>
          <w:color w:val="000000"/>
          <w:szCs w:val="22"/>
          <w:lang w:val="fi-FI"/>
        </w:rPr>
        <w:t xml:space="preserve"> ali pogosti </w:t>
      </w:r>
      <w:r w:rsidRPr="004A59B1">
        <w:rPr>
          <w:b w:val="0"/>
          <w:noProof w:val="0"/>
          <w:color w:val="000000"/>
          <w:szCs w:val="22"/>
          <w:lang w:val="fi-FI"/>
        </w:rPr>
        <w:t>(pojavijo se lahko pri največ 1 od 10 bolnikov):</w:t>
      </w:r>
    </w:p>
    <w:p w14:paraId="5297A98A" w14:textId="77777777" w:rsidR="00FF48C2" w:rsidRPr="004A59B1" w:rsidRDefault="00FF48C2" w:rsidP="009C1193">
      <w:pPr>
        <w:pStyle w:val="TextChar"/>
        <w:widowControl w:val="0"/>
        <w:numPr>
          <w:ilvl w:val="0"/>
          <w:numId w:val="7"/>
        </w:numPr>
        <w:tabs>
          <w:tab w:val="clear" w:pos="360"/>
        </w:tabs>
        <w:spacing w:before="0"/>
        <w:ind w:left="567" w:hanging="567"/>
        <w:jc w:val="left"/>
        <w:rPr>
          <w:color w:val="000000"/>
          <w:sz w:val="22"/>
          <w:szCs w:val="22"/>
          <w:lang w:val="sl-SI"/>
        </w:rPr>
      </w:pPr>
      <w:r w:rsidRPr="004A59B1">
        <w:rPr>
          <w:color w:val="000000"/>
          <w:sz w:val="22"/>
          <w:szCs w:val="22"/>
          <w:lang w:val="sl-SI"/>
        </w:rPr>
        <w:t>hitro pridobivanje telesne mase; zaradi zdravila Glivec</w:t>
      </w:r>
      <w:r w:rsidRPr="004A59B1">
        <w:rPr>
          <w:b/>
          <w:color w:val="000000"/>
          <w:sz w:val="22"/>
          <w:szCs w:val="22"/>
          <w:lang w:val="sl-SI"/>
        </w:rPr>
        <w:t xml:space="preserve"> </w:t>
      </w:r>
      <w:r w:rsidRPr="004A59B1">
        <w:rPr>
          <w:color w:val="000000"/>
          <w:sz w:val="22"/>
          <w:szCs w:val="22"/>
          <w:lang w:val="sl-SI"/>
        </w:rPr>
        <w:t>lahko</w:t>
      </w:r>
      <w:r w:rsidRPr="004A59B1">
        <w:rPr>
          <w:b/>
          <w:color w:val="000000"/>
          <w:sz w:val="22"/>
          <w:szCs w:val="22"/>
          <w:lang w:val="sl-SI"/>
        </w:rPr>
        <w:t xml:space="preserve"> </w:t>
      </w:r>
      <w:r w:rsidRPr="004A59B1">
        <w:rPr>
          <w:color w:val="000000"/>
          <w:sz w:val="22"/>
          <w:szCs w:val="22"/>
          <w:lang w:val="sl-SI"/>
        </w:rPr>
        <w:t>začne</w:t>
      </w:r>
      <w:r w:rsidRPr="004A59B1" w:rsidDel="00091FB6">
        <w:rPr>
          <w:color w:val="000000"/>
          <w:sz w:val="22"/>
          <w:szCs w:val="22"/>
          <w:lang w:val="sl-SI"/>
        </w:rPr>
        <w:t xml:space="preserve"> </w:t>
      </w:r>
      <w:r w:rsidRPr="004A59B1">
        <w:rPr>
          <w:color w:val="000000"/>
          <w:sz w:val="22"/>
          <w:szCs w:val="22"/>
          <w:lang w:val="sl-SI"/>
        </w:rPr>
        <w:t xml:space="preserve">vaše telo zadrževati vodo (pride do </w:t>
      </w:r>
      <w:r w:rsidR="00651793" w:rsidRPr="004A59B1">
        <w:rPr>
          <w:color w:val="000000"/>
          <w:sz w:val="22"/>
          <w:szCs w:val="22"/>
          <w:lang w:val="sl-SI"/>
        </w:rPr>
        <w:t>hudega</w:t>
      </w:r>
      <w:r w:rsidRPr="004A59B1">
        <w:rPr>
          <w:color w:val="000000"/>
          <w:sz w:val="22"/>
          <w:szCs w:val="22"/>
          <w:lang w:val="sl-SI"/>
        </w:rPr>
        <w:t xml:space="preserve"> zastajanja tekočine),</w:t>
      </w:r>
    </w:p>
    <w:p w14:paraId="5297A98B" w14:textId="77777777" w:rsidR="00FF48C2" w:rsidRPr="004A59B1" w:rsidRDefault="00FF48C2" w:rsidP="009C1193">
      <w:pPr>
        <w:pStyle w:val="TextChar"/>
        <w:widowControl w:val="0"/>
        <w:numPr>
          <w:ilvl w:val="0"/>
          <w:numId w:val="7"/>
        </w:numPr>
        <w:tabs>
          <w:tab w:val="clear" w:pos="360"/>
        </w:tabs>
        <w:spacing w:before="0"/>
        <w:ind w:left="567" w:hanging="567"/>
        <w:jc w:val="left"/>
        <w:rPr>
          <w:color w:val="000000"/>
          <w:sz w:val="22"/>
          <w:szCs w:val="22"/>
          <w:lang w:val="sl-SI"/>
        </w:rPr>
      </w:pPr>
      <w:r w:rsidRPr="004A59B1">
        <w:rPr>
          <w:color w:val="000000"/>
          <w:sz w:val="22"/>
          <w:szCs w:val="22"/>
          <w:lang w:val="sl-SI"/>
        </w:rPr>
        <w:t>znaki okužbe, na primer povišana telesna temperatura, huda mrzlica, vnetje žrela ali razjede po ustih: zdravilo Glivec vam lahko zmanjša število belih krvnih celic, zato lahko laže pride do okužbe,</w:t>
      </w:r>
    </w:p>
    <w:p w14:paraId="5297A98C" w14:textId="77777777" w:rsidR="00FF48C2" w:rsidRPr="004A59B1" w:rsidRDefault="00FF48C2" w:rsidP="009C1193">
      <w:pPr>
        <w:pStyle w:val="TextChar"/>
        <w:widowControl w:val="0"/>
        <w:numPr>
          <w:ilvl w:val="0"/>
          <w:numId w:val="8"/>
        </w:numPr>
        <w:tabs>
          <w:tab w:val="clear" w:pos="360"/>
        </w:tabs>
        <w:spacing w:before="0"/>
        <w:ind w:left="567" w:hanging="567"/>
        <w:jc w:val="left"/>
        <w:rPr>
          <w:color w:val="000000"/>
          <w:sz w:val="22"/>
          <w:szCs w:val="22"/>
          <w:lang w:val="sl-SI"/>
        </w:rPr>
      </w:pPr>
      <w:r w:rsidRPr="004A59B1">
        <w:rPr>
          <w:color w:val="000000"/>
          <w:sz w:val="22"/>
          <w:szCs w:val="22"/>
          <w:lang w:val="sl-SI"/>
        </w:rPr>
        <w:t>nepričakovana krvavitev ali modrica (ne da bi se prej poškodovali).</w:t>
      </w:r>
    </w:p>
    <w:p w14:paraId="5297A98D" w14:textId="77777777" w:rsidR="00FF48C2" w:rsidRPr="004A59B1" w:rsidRDefault="00FF48C2" w:rsidP="009C1193">
      <w:pPr>
        <w:pStyle w:val="TextChar"/>
        <w:widowControl w:val="0"/>
        <w:spacing w:before="0"/>
        <w:jc w:val="left"/>
        <w:rPr>
          <w:color w:val="000000"/>
          <w:sz w:val="22"/>
          <w:szCs w:val="22"/>
          <w:lang w:val="sl-SI"/>
        </w:rPr>
      </w:pPr>
    </w:p>
    <w:p w14:paraId="5297A98E" w14:textId="77777777" w:rsidR="00FF48C2" w:rsidRPr="004A59B1" w:rsidRDefault="00FF48C2" w:rsidP="009C1193">
      <w:pPr>
        <w:pStyle w:val="Heading4"/>
        <w:widowControl w:val="0"/>
        <w:spacing w:line="240" w:lineRule="auto"/>
        <w:jc w:val="left"/>
        <w:rPr>
          <w:color w:val="000000"/>
          <w:lang w:val="pt-PT"/>
        </w:rPr>
      </w:pPr>
      <w:r w:rsidRPr="004A59B1">
        <w:rPr>
          <w:color w:val="000000"/>
          <w:lang w:val="pt-PT"/>
        </w:rPr>
        <w:t xml:space="preserve">Občasni </w:t>
      </w:r>
      <w:r w:rsidRPr="004A59B1">
        <w:rPr>
          <w:b w:val="0"/>
          <w:noProof w:val="0"/>
          <w:color w:val="000000"/>
          <w:szCs w:val="22"/>
          <w:lang w:val="sl-SI"/>
        </w:rPr>
        <w:t xml:space="preserve">(pojavijo se lahko pri največ 1 od 100 bolnikov) </w:t>
      </w:r>
      <w:r w:rsidRPr="004A59B1">
        <w:rPr>
          <w:color w:val="000000"/>
          <w:lang w:val="pt-PT"/>
        </w:rPr>
        <w:t xml:space="preserve">ali redki </w:t>
      </w:r>
      <w:r w:rsidRPr="004A59B1">
        <w:rPr>
          <w:b w:val="0"/>
          <w:noProof w:val="0"/>
          <w:color w:val="000000"/>
          <w:szCs w:val="22"/>
          <w:lang w:val="sl-SI"/>
        </w:rPr>
        <w:t>(pojavijo se lahko pri največ 1 od 1.000 bolnikov):</w:t>
      </w:r>
    </w:p>
    <w:p w14:paraId="5297A98F" w14:textId="77777777" w:rsidR="00FF48C2" w:rsidRPr="004A59B1" w:rsidRDefault="00FF48C2" w:rsidP="009C1193">
      <w:pPr>
        <w:pStyle w:val="TextChar"/>
        <w:widowControl w:val="0"/>
        <w:numPr>
          <w:ilvl w:val="0"/>
          <w:numId w:val="6"/>
        </w:numPr>
        <w:tabs>
          <w:tab w:val="clear" w:pos="360"/>
        </w:tabs>
        <w:spacing w:before="0"/>
        <w:ind w:left="567" w:hanging="567"/>
        <w:jc w:val="left"/>
        <w:rPr>
          <w:color w:val="000000"/>
          <w:sz w:val="22"/>
          <w:szCs w:val="22"/>
          <w:lang w:val="pt-PT"/>
        </w:rPr>
      </w:pPr>
      <w:r w:rsidRPr="004A59B1">
        <w:rPr>
          <w:color w:val="000000"/>
          <w:sz w:val="22"/>
          <w:szCs w:val="22"/>
          <w:lang w:val="pt-PT"/>
        </w:rPr>
        <w:t xml:space="preserve">bolečine v </w:t>
      </w:r>
      <w:r w:rsidR="00651793" w:rsidRPr="004A59B1">
        <w:rPr>
          <w:color w:val="000000"/>
          <w:sz w:val="22"/>
          <w:szCs w:val="22"/>
          <w:lang w:val="pt-PT"/>
        </w:rPr>
        <w:t>prsnem košu</w:t>
      </w:r>
      <w:r w:rsidRPr="004A59B1">
        <w:rPr>
          <w:color w:val="000000"/>
          <w:sz w:val="22"/>
          <w:szCs w:val="22"/>
          <w:lang w:val="pt-PT"/>
        </w:rPr>
        <w:t>, neredno bitje srca (znaki težav s srcem),</w:t>
      </w:r>
    </w:p>
    <w:p w14:paraId="5297A990" w14:textId="77777777" w:rsidR="00FF48C2" w:rsidRPr="004A59B1" w:rsidRDefault="00FF48C2" w:rsidP="009C1193">
      <w:pPr>
        <w:pStyle w:val="Text"/>
        <w:widowControl w:val="0"/>
        <w:numPr>
          <w:ilvl w:val="0"/>
          <w:numId w:val="17"/>
        </w:numPr>
        <w:tabs>
          <w:tab w:val="clear" w:pos="360"/>
        </w:tabs>
        <w:spacing w:before="0"/>
        <w:ind w:left="567" w:hanging="567"/>
        <w:jc w:val="left"/>
        <w:rPr>
          <w:color w:val="000000"/>
          <w:sz w:val="22"/>
          <w:szCs w:val="22"/>
          <w:lang w:val="pt-PT"/>
        </w:rPr>
      </w:pPr>
      <w:r w:rsidRPr="004A59B1">
        <w:rPr>
          <w:color w:val="000000"/>
          <w:sz w:val="22"/>
          <w:szCs w:val="22"/>
          <w:lang w:val="pt-PT"/>
        </w:rPr>
        <w:t>kašelj, težave z dihanjem ali bolečine pri dihanju (znaki težav s pljuči),</w:t>
      </w:r>
    </w:p>
    <w:p w14:paraId="5297A991" w14:textId="77777777" w:rsidR="00FF48C2" w:rsidRPr="004A59B1" w:rsidRDefault="00FF48C2" w:rsidP="009C1193">
      <w:pPr>
        <w:pStyle w:val="Text"/>
        <w:widowControl w:val="0"/>
        <w:numPr>
          <w:ilvl w:val="0"/>
          <w:numId w:val="17"/>
        </w:numPr>
        <w:tabs>
          <w:tab w:val="clear" w:pos="360"/>
        </w:tabs>
        <w:spacing w:before="0"/>
        <w:ind w:left="567" w:hanging="567"/>
        <w:jc w:val="left"/>
        <w:rPr>
          <w:color w:val="000000"/>
          <w:sz w:val="22"/>
          <w:szCs w:val="22"/>
          <w:lang w:val="pt-PT"/>
        </w:rPr>
      </w:pPr>
      <w:r w:rsidRPr="004A59B1">
        <w:rPr>
          <w:color w:val="000000"/>
          <w:sz w:val="22"/>
          <w:szCs w:val="22"/>
          <w:lang w:val="pt-PT"/>
        </w:rPr>
        <w:t>stemnitev pred očmi, omotičnost ali izguba zavesti (znaki nizkega krvnega tlaka),</w:t>
      </w:r>
    </w:p>
    <w:p w14:paraId="5297A992" w14:textId="77777777" w:rsidR="00FF48C2" w:rsidRPr="004A59B1" w:rsidRDefault="00FF48C2" w:rsidP="009C1193">
      <w:pPr>
        <w:pStyle w:val="TextChar"/>
        <w:widowControl w:val="0"/>
        <w:numPr>
          <w:ilvl w:val="0"/>
          <w:numId w:val="6"/>
        </w:numPr>
        <w:tabs>
          <w:tab w:val="clear" w:pos="360"/>
        </w:tabs>
        <w:spacing w:before="0"/>
        <w:ind w:left="567" w:hanging="567"/>
        <w:jc w:val="left"/>
        <w:rPr>
          <w:color w:val="000000"/>
          <w:sz w:val="22"/>
          <w:szCs w:val="22"/>
          <w:lang w:val="pt-PT"/>
        </w:rPr>
      </w:pPr>
      <w:r w:rsidRPr="004A59B1">
        <w:rPr>
          <w:color w:val="000000"/>
          <w:sz w:val="22"/>
          <w:szCs w:val="22"/>
          <w:lang w:val="pt-PT"/>
        </w:rPr>
        <w:t>občutek slabosti s siljenjem na bruhanje (navzea) z izgubo apetita, temno obarvan urin, rumena koža ali oči (znaki težav z jetri),</w:t>
      </w:r>
    </w:p>
    <w:p w14:paraId="5297A993" w14:textId="77777777" w:rsidR="00FF48C2" w:rsidRPr="004A59B1" w:rsidRDefault="00FF48C2" w:rsidP="009C1193">
      <w:pPr>
        <w:pStyle w:val="TextChar"/>
        <w:widowControl w:val="0"/>
        <w:numPr>
          <w:ilvl w:val="0"/>
          <w:numId w:val="9"/>
        </w:numPr>
        <w:tabs>
          <w:tab w:val="clear" w:pos="360"/>
        </w:tabs>
        <w:spacing w:before="0"/>
        <w:ind w:left="567" w:hanging="567"/>
        <w:jc w:val="left"/>
        <w:rPr>
          <w:color w:val="000000"/>
          <w:sz w:val="22"/>
          <w:szCs w:val="22"/>
          <w:lang w:val="pt-PT"/>
        </w:rPr>
      </w:pPr>
      <w:r w:rsidRPr="004A59B1">
        <w:rPr>
          <w:color w:val="000000"/>
          <w:sz w:val="22"/>
          <w:szCs w:val="22"/>
          <w:lang w:val="pt-PT"/>
        </w:rPr>
        <w:t>izpuščaj, rdeča koža z mehurčki na ustnicah, očeh, koži ali v ustih, luščenje kože, povišana telesna temperatura, rdeče ali vijolične lise nad nivojem kože, srbenje, pekoč občutek, gnojni izpuščaj (znaki težav s kožo),</w:t>
      </w:r>
    </w:p>
    <w:p w14:paraId="5297A994" w14:textId="77777777" w:rsidR="00FF48C2" w:rsidRPr="004A59B1" w:rsidRDefault="00FF48C2" w:rsidP="009C1193">
      <w:pPr>
        <w:pStyle w:val="TextChar"/>
        <w:widowControl w:val="0"/>
        <w:numPr>
          <w:ilvl w:val="0"/>
          <w:numId w:val="9"/>
        </w:numPr>
        <w:tabs>
          <w:tab w:val="clear" w:pos="360"/>
        </w:tabs>
        <w:spacing w:before="0"/>
        <w:ind w:left="567" w:hanging="567"/>
        <w:jc w:val="left"/>
        <w:rPr>
          <w:color w:val="000000"/>
          <w:sz w:val="22"/>
          <w:szCs w:val="22"/>
          <w:lang w:val="pt-PT"/>
        </w:rPr>
      </w:pPr>
      <w:r w:rsidRPr="004A59B1">
        <w:rPr>
          <w:color w:val="000000"/>
          <w:sz w:val="22"/>
          <w:szCs w:val="22"/>
          <w:lang w:val="pt-PT"/>
        </w:rPr>
        <w:t>hude bolečine v trebuhu, kri v izbruhku, blatu ali urinu, črno blato (znaki bolezni prebavil),</w:t>
      </w:r>
    </w:p>
    <w:p w14:paraId="5297A995" w14:textId="77777777" w:rsidR="00FF48C2" w:rsidRPr="004A59B1" w:rsidRDefault="00FF48C2" w:rsidP="009C1193">
      <w:pPr>
        <w:pStyle w:val="TextChar"/>
        <w:widowControl w:val="0"/>
        <w:numPr>
          <w:ilvl w:val="0"/>
          <w:numId w:val="9"/>
        </w:numPr>
        <w:tabs>
          <w:tab w:val="clear" w:pos="360"/>
        </w:tabs>
        <w:spacing w:before="0"/>
        <w:ind w:left="567" w:hanging="567"/>
        <w:jc w:val="left"/>
        <w:rPr>
          <w:color w:val="000000"/>
          <w:sz w:val="22"/>
          <w:szCs w:val="22"/>
          <w:lang w:val="pt-PT"/>
        </w:rPr>
      </w:pPr>
      <w:r w:rsidRPr="004A59B1">
        <w:rPr>
          <w:color w:val="000000"/>
          <w:sz w:val="22"/>
          <w:szCs w:val="22"/>
          <w:lang w:val="pt-PT"/>
        </w:rPr>
        <w:t>zelo zmanjšano odvajanje urina, občutek žeje (znaki težav z ledvicami),</w:t>
      </w:r>
    </w:p>
    <w:p w14:paraId="5297A996" w14:textId="77777777" w:rsidR="00FF48C2" w:rsidRPr="004A59B1" w:rsidRDefault="00FF48C2" w:rsidP="009C1193">
      <w:pPr>
        <w:pStyle w:val="TextChar"/>
        <w:widowControl w:val="0"/>
        <w:numPr>
          <w:ilvl w:val="0"/>
          <w:numId w:val="9"/>
        </w:numPr>
        <w:tabs>
          <w:tab w:val="clear" w:pos="360"/>
        </w:tabs>
        <w:spacing w:before="0"/>
        <w:ind w:left="567" w:hanging="567"/>
        <w:jc w:val="left"/>
        <w:rPr>
          <w:color w:val="000000"/>
          <w:sz w:val="22"/>
          <w:szCs w:val="22"/>
          <w:lang w:val="pt-PT"/>
        </w:rPr>
      </w:pPr>
      <w:r w:rsidRPr="004A59B1">
        <w:rPr>
          <w:color w:val="000000"/>
          <w:sz w:val="22"/>
          <w:szCs w:val="22"/>
          <w:lang w:val="pt-PT"/>
        </w:rPr>
        <w:t>občutek slabosti s siljenjem na bruhanje (navzea) z drisko, in bruhanjem, bolečine v trebuhu ali povišana telesna temperatura (znaki težav s črevesjem),</w:t>
      </w:r>
    </w:p>
    <w:p w14:paraId="5297A997" w14:textId="77777777" w:rsidR="00FF48C2" w:rsidRPr="004A59B1" w:rsidRDefault="00FF48C2" w:rsidP="009C1193">
      <w:pPr>
        <w:pStyle w:val="TextChar"/>
        <w:widowControl w:val="0"/>
        <w:numPr>
          <w:ilvl w:val="0"/>
          <w:numId w:val="9"/>
        </w:numPr>
        <w:tabs>
          <w:tab w:val="clear" w:pos="360"/>
        </w:tabs>
        <w:spacing w:before="0"/>
        <w:ind w:left="567" w:hanging="567"/>
        <w:jc w:val="left"/>
        <w:rPr>
          <w:color w:val="000000"/>
          <w:sz w:val="22"/>
          <w:szCs w:val="22"/>
          <w:lang w:val="pt-PT"/>
        </w:rPr>
      </w:pPr>
      <w:r w:rsidRPr="004A59B1">
        <w:rPr>
          <w:color w:val="000000"/>
          <w:sz w:val="22"/>
          <w:szCs w:val="22"/>
          <w:lang w:val="pt-PT"/>
        </w:rPr>
        <w:t>hud glavobol, oslabelost ali ohromelost okončin ali obraza, težave pri govoru, nenadna izguba zavesti (znaki težav z živčevjem, kot sta krvavitev ali otekanje v lobanjski votlini/možganih),</w:t>
      </w:r>
    </w:p>
    <w:p w14:paraId="5297A998" w14:textId="77777777" w:rsidR="00FF48C2" w:rsidRPr="004A59B1" w:rsidRDefault="00FF48C2" w:rsidP="009C1193">
      <w:pPr>
        <w:pStyle w:val="TextChar"/>
        <w:widowControl w:val="0"/>
        <w:numPr>
          <w:ilvl w:val="0"/>
          <w:numId w:val="9"/>
        </w:numPr>
        <w:tabs>
          <w:tab w:val="clear" w:pos="360"/>
        </w:tabs>
        <w:spacing w:before="0"/>
        <w:ind w:left="567" w:hanging="567"/>
        <w:jc w:val="left"/>
        <w:rPr>
          <w:color w:val="000000"/>
          <w:sz w:val="22"/>
          <w:szCs w:val="22"/>
          <w:lang w:val="pt-PT"/>
        </w:rPr>
      </w:pPr>
      <w:r w:rsidRPr="004A59B1">
        <w:rPr>
          <w:color w:val="000000"/>
          <w:sz w:val="22"/>
          <w:szCs w:val="22"/>
          <w:lang w:val="pt-PT"/>
        </w:rPr>
        <w:t>bledica, občutek utrujenosti in zasoplost in temen urin (znaki pomanjkanja rdečih krvničk),</w:t>
      </w:r>
    </w:p>
    <w:p w14:paraId="5297A999" w14:textId="77777777" w:rsidR="00FF48C2" w:rsidRPr="004A59B1" w:rsidRDefault="00FF48C2" w:rsidP="009C1193">
      <w:pPr>
        <w:pStyle w:val="TextChar"/>
        <w:widowControl w:val="0"/>
        <w:numPr>
          <w:ilvl w:val="0"/>
          <w:numId w:val="9"/>
        </w:numPr>
        <w:tabs>
          <w:tab w:val="clear" w:pos="360"/>
        </w:tabs>
        <w:spacing w:before="0"/>
        <w:ind w:left="567" w:hanging="567"/>
        <w:jc w:val="left"/>
        <w:rPr>
          <w:color w:val="000000"/>
          <w:sz w:val="22"/>
          <w:szCs w:val="22"/>
          <w:lang w:val="pt-BR"/>
        </w:rPr>
      </w:pPr>
      <w:r w:rsidRPr="004A59B1">
        <w:rPr>
          <w:color w:val="000000"/>
          <w:sz w:val="22"/>
          <w:szCs w:val="22"/>
          <w:lang w:val="pt-BR"/>
        </w:rPr>
        <w:t>bolečine v očeh ali poslabšanje vida, očesna krvavitev,</w:t>
      </w:r>
    </w:p>
    <w:p w14:paraId="5297A99A" w14:textId="77777777" w:rsidR="00FF48C2" w:rsidRPr="004A59B1" w:rsidRDefault="00FF48C2" w:rsidP="009C1193">
      <w:pPr>
        <w:pStyle w:val="TextChar"/>
        <w:widowControl w:val="0"/>
        <w:numPr>
          <w:ilvl w:val="0"/>
          <w:numId w:val="9"/>
        </w:numPr>
        <w:tabs>
          <w:tab w:val="clear" w:pos="360"/>
        </w:tabs>
        <w:spacing w:before="0"/>
        <w:ind w:left="567" w:hanging="567"/>
        <w:jc w:val="left"/>
        <w:rPr>
          <w:color w:val="000000"/>
          <w:sz w:val="22"/>
          <w:szCs w:val="22"/>
          <w:lang w:val="da-DK"/>
        </w:rPr>
      </w:pPr>
      <w:r w:rsidRPr="004A59B1">
        <w:rPr>
          <w:color w:val="000000"/>
          <w:sz w:val="22"/>
          <w:szCs w:val="22"/>
          <w:lang w:val="it-IT"/>
        </w:rPr>
        <w:t>bolečine v kolkih ali težave pri hoji,</w:t>
      </w:r>
    </w:p>
    <w:p w14:paraId="5297A99B" w14:textId="77777777" w:rsidR="00FF48C2" w:rsidRPr="004A59B1" w:rsidRDefault="00FF48C2" w:rsidP="009C1193">
      <w:pPr>
        <w:pStyle w:val="TextChar"/>
        <w:widowControl w:val="0"/>
        <w:numPr>
          <w:ilvl w:val="0"/>
          <w:numId w:val="9"/>
        </w:numPr>
        <w:tabs>
          <w:tab w:val="clear" w:pos="360"/>
        </w:tabs>
        <w:spacing w:before="0"/>
        <w:ind w:left="567" w:hanging="567"/>
        <w:jc w:val="left"/>
        <w:rPr>
          <w:color w:val="000000"/>
          <w:sz w:val="22"/>
          <w:szCs w:val="22"/>
          <w:lang w:val="da-DK"/>
        </w:rPr>
      </w:pPr>
      <w:r w:rsidRPr="004A59B1">
        <w:rPr>
          <w:color w:val="000000"/>
          <w:sz w:val="22"/>
          <w:szCs w:val="22"/>
          <w:lang w:val="da-DK"/>
        </w:rPr>
        <w:t>otrpli ali hladni prsti (znaki Raynaudovega sindroma),</w:t>
      </w:r>
    </w:p>
    <w:p w14:paraId="5297A99C" w14:textId="77777777" w:rsidR="00FF48C2" w:rsidRPr="004A59B1" w:rsidRDefault="00FF48C2" w:rsidP="009C1193">
      <w:pPr>
        <w:pStyle w:val="TextChar"/>
        <w:widowControl w:val="0"/>
        <w:numPr>
          <w:ilvl w:val="0"/>
          <w:numId w:val="9"/>
        </w:numPr>
        <w:tabs>
          <w:tab w:val="clear" w:pos="360"/>
        </w:tabs>
        <w:spacing w:before="0"/>
        <w:ind w:left="567" w:hanging="567"/>
        <w:jc w:val="left"/>
        <w:rPr>
          <w:color w:val="000000"/>
          <w:sz w:val="22"/>
          <w:szCs w:val="22"/>
          <w:lang w:val="da-DK"/>
        </w:rPr>
      </w:pPr>
      <w:r w:rsidRPr="004A59B1">
        <w:rPr>
          <w:color w:val="000000"/>
          <w:sz w:val="22"/>
          <w:szCs w:val="22"/>
          <w:lang w:val="da-DK"/>
        </w:rPr>
        <w:t>nenadna oteklina in pordelost kože (znaki kožne okužbe z imenom flegmona (celulitis),</w:t>
      </w:r>
    </w:p>
    <w:p w14:paraId="5297A99D" w14:textId="77777777" w:rsidR="00FF48C2" w:rsidRPr="004A59B1" w:rsidRDefault="00FF48C2" w:rsidP="009C1193">
      <w:pPr>
        <w:pStyle w:val="TextChar"/>
        <w:widowControl w:val="0"/>
        <w:numPr>
          <w:ilvl w:val="0"/>
          <w:numId w:val="9"/>
        </w:numPr>
        <w:tabs>
          <w:tab w:val="clear" w:pos="360"/>
        </w:tabs>
        <w:spacing w:before="0"/>
        <w:ind w:left="567" w:hanging="567"/>
        <w:jc w:val="left"/>
        <w:rPr>
          <w:color w:val="000000"/>
          <w:sz w:val="22"/>
          <w:szCs w:val="22"/>
          <w:lang w:val="es-ES"/>
        </w:rPr>
      </w:pPr>
      <w:r w:rsidRPr="004A59B1">
        <w:rPr>
          <w:color w:val="000000"/>
          <w:sz w:val="22"/>
          <w:szCs w:val="22"/>
          <w:lang w:val="es-ES"/>
        </w:rPr>
        <w:t>težave s sluhom,</w:t>
      </w:r>
    </w:p>
    <w:p w14:paraId="5297A99E" w14:textId="77777777" w:rsidR="00FF48C2" w:rsidRPr="004A59B1" w:rsidRDefault="00FF48C2" w:rsidP="009C1193">
      <w:pPr>
        <w:pStyle w:val="Listlevel1"/>
        <w:widowControl w:val="0"/>
        <w:numPr>
          <w:ilvl w:val="0"/>
          <w:numId w:val="9"/>
        </w:numPr>
        <w:tabs>
          <w:tab w:val="clear" w:pos="360"/>
          <w:tab w:val="num" w:pos="567"/>
        </w:tabs>
        <w:spacing w:before="0" w:after="0"/>
        <w:ind w:left="567" w:hanging="567"/>
        <w:rPr>
          <w:bCs/>
          <w:color w:val="000000"/>
          <w:sz w:val="22"/>
          <w:szCs w:val="22"/>
          <w:lang w:val="es-ES"/>
        </w:rPr>
      </w:pPr>
      <w:r w:rsidRPr="004A59B1">
        <w:rPr>
          <w:bCs/>
          <w:color w:val="000000"/>
          <w:sz w:val="22"/>
          <w:szCs w:val="22"/>
          <w:lang w:val="es-ES"/>
        </w:rPr>
        <w:t>oslabelost mišic in mišični spazmi z nepravilnim ritmom bitja srca (znaki spremenjenih vrednosti kalija v krvi),</w:t>
      </w:r>
    </w:p>
    <w:p w14:paraId="5297A99F" w14:textId="77777777" w:rsidR="00FF48C2" w:rsidRPr="004A59B1" w:rsidRDefault="00FF48C2" w:rsidP="009C1193">
      <w:pPr>
        <w:pStyle w:val="Listlevel1"/>
        <w:widowControl w:val="0"/>
        <w:numPr>
          <w:ilvl w:val="0"/>
          <w:numId w:val="9"/>
        </w:numPr>
        <w:tabs>
          <w:tab w:val="clear" w:pos="360"/>
          <w:tab w:val="num" w:pos="567"/>
        </w:tabs>
        <w:spacing w:before="0" w:after="0"/>
        <w:ind w:left="567" w:hanging="567"/>
        <w:rPr>
          <w:bCs/>
          <w:color w:val="000000"/>
          <w:sz w:val="22"/>
          <w:szCs w:val="22"/>
          <w:lang w:val="en-GB"/>
        </w:rPr>
      </w:pPr>
      <w:r w:rsidRPr="004A59B1">
        <w:rPr>
          <w:bCs/>
          <w:color w:val="000000"/>
          <w:sz w:val="22"/>
          <w:szCs w:val="22"/>
          <w:lang w:val="es-ES"/>
        </w:rPr>
        <w:t>modrice,</w:t>
      </w:r>
    </w:p>
    <w:p w14:paraId="5297A9A0" w14:textId="77777777" w:rsidR="00FF48C2" w:rsidRPr="004A59B1" w:rsidRDefault="00FF48C2" w:rsidP="009C1193">
      <w:pPr>
        <w:pStyle w:val="Listlevel1"/>
        <w:widowControl w:val="0"/>
        <w:numPr>
          <w:ilvl w:val="0"/>
          <w:numId w:val="9"/>
        </w:numPr>
        <w:tabs>
          <w:tab w:val="clear" w:pos="360"/>
          <w:tab w:val="num" w:pos="567"/>
        </w:tabs>
        <w:spacing w:before="0" w:after="0"/>
        <w:ind w:left="567" w:hanging="567"/>
        <w:rPr>
          <w:bCs/>
          <w:color w:val="000000"/>
          <w:sz w:val="22"/>
          <w:szCs w:val="22"/>
          <w:lang w:val="en-GB"/>
        </w:rPr>
      </w:pPr>
      <w:r w:rsidRPr="004A59B1">
        <w:rPr>
          <w:bCs/>
          <w:color w:val="000000"/>
          <w:sz w:val="22"/>
          <w:szCs w:val="22"/>
          <w:lang w:val="en-GB"/>
        </w:rPr>
        <w:t>bolečine v želodcu z občutkom slabosti s siljenjem na bruhanje (navzea),</w:t>
      </w:r>
    </w:p>
    <w:p w14:paraId="5297A9A1" w14:textId="77777777" w:rsidR="00FF48C2" w:rsidRPr="004A59B1" w:rsidRDefault="00FF48C2" w:rsidP="009C1193">
      <w:pPr>
        <w:pStyle w:val="Listlevel1"/>
        <w:widowControl w:val="0"/>
        <w:numPr>
          <w:ilvl w:val="0"/>
          <w:numId w:val="9"/>
        </w:numPr>
        <w:tabs>
          <w:tab w:val="clear" w:pos="360"/>
          <w:tab w:val="num" w:pos="567"/>
        </w:tabs>
        <w:spacing w:before="0" w:after="0"/>
        <w:ind w:left="567" w:hanging="567"/>
        <w:rPr>
          <w:bCs/>
          <w:color w:val="000000"/>
          <w:sz w:val="22"/>
          <w:szCs w:val="22"/>
          <w:lang w:val="en-GB"/>
        </w:rPr>
      </w:pPr>
      <w:r w:rsidRPr="004A59B1">
        <w:rPr>
          <w:bCs/>
          <w:color w:val="000000"/>
          <w:sz w:val="22"/>
          <w:szCs w:val="22"/>
          <w:lang w:val="en-GB"/>
        </w:rPr>
        <w:t>mišični spazmi z vročino, rdeče-rjavo obarvan urin, boleče ali oslabele mišice (znaki težav z mišicami),</w:t>
      </w:r>
    </w:p>
    <w:p w14:paraId="5297A9A2" w14:textId="77777777" w:rsidR="00FF48C2" w:rsidRPr="004A59B1" w:rsidRDefault="00FF48C2" w:rsidP="009C1193">
      <w:pPr>
        <w:pStyle w:val="Listlevel1"/>
        <w:widowControl w:val="0"/>
        <w:numPr>
          <w:ilvl w:val="0"/>
          <w:numId w:val="9"/>
        </w:numPr>
        <w:tabs>
          <w:tab w:val="clear" w:pos="360"/>
          <w:tab w:val="num" w:pos="567"/>
        </w:tabs>
        <w:spacing w:before="0" w:after="0"/>
        <w:ind w:left="567" w:hanging="567"/>
        <w:rPr>
          <w:bCs/>
          <w:color w:val="000000"/>
          <w:sz w:val="22"/>
          <w:szCs w:val="22"/>
          <w:lang w:val="en-GB"/>
        </w:rPr>
      </w:pPr>
      <w:r w:rsidRPr="004A59B1">
        <w:rPr>
          <w:bCs/>
          <w:color w:val="000000"/>
          <w:sz w:val="22"/>
          <w:szCs w:val="22"/>
          <w:lang w:val="en-GB"/>
        </w:rPr>
        <w:t>bolečine v medenici, včasih z občutkom slabosti s siljenjem na bruhanje in bruhanjem, z nepričakovano krvavitvijo iz nožnice, omotičnost ali izguba zavesti zaradi nizkega krvnega tlaka (znaki težav z jajčniki ali maternico),</w:t>
      </w:r>
    </w:p>
    <w:p w14:paraId="5297A9A3" w14:textId="77777777" w:rsidR="00236FDE" w:rsidRDefault="00FF48C2" w:rsidP="009C1193">
      <w:pPr>
        <w:pStyle w:val="Listlevel1"/>
        <w:widowControl w:val="0"/>
        <w:numPr>
          <w:ilvl w:val="0"/>
          <w:numId w:val="9"/>
        </w:numPr>
        <w:tabs>
          <w:tab w:val="clear" w:pos="360"/>
          <w:tab w:val="num" w:pos="567"/>
        </w:tabs>
        <w:spacing w:before="0" w:after="0"/>
        <w:ind w:left="567" w:hanging="567"/>
        <w:rPr>
          <w:bCs/>
          <w:color w:val="000000"/>
          <w:sz w:val="22"/>
          <w:szCs w:val="22"/>
          <w:lang w:val="en-GB"/>
        </w:rPr>
      </w:pPr>
      <w:r w:rsidRPr="004A59B1">
        <w:rPr>
          <w:bCs/>
          <w:color w:val="000000"/>
          <w:sz w:val="22"/>
          <w:szCs w:val="22"/>
          <w:lang w:val="en-GB"/>
        </w:rPr>
        <w:t xml:space="preserve">občutek slabosti s siljenjem na bruhanje (navzea), zadihanost, neredno bitje srca, moten urin, utrujenost in/ali bolečine v sklepih skupaj z nenormalnimi izvidi laboratorijskih preiskav (na primer z visokimi vrednostmi kalija, sečne kisline in </w:t>
      </w:r>
      <w:r w:rsidR="00FA362D" w:rsidRPr="004A59B1">
        <w:rPr>
          <w:bCs/>
          <w:color w:val="000000"/>
          <w:sz w:val="22"/>
          <w:szCs w:val="22"/>
          <w:lang w:val="en-GB"/>
        </w:rPr>
        <w:t>kalcija</w:t>
      </w:r>
      <w:r w:rsidRPr="004A59B1">
        <w:rPr>
          <w:bCs/>
          <w:color w:val="000000"/>
          <w:sz w:val="22"/>
          <w:szCs w:val="22"/>
          <w:lang w:val="en-GB"/>
        </w:rPr>
        <w:t xml:space="preserve"> ter nizko vrednostjo </w:t>
      </w:r>
      <w:r w:rsidR="00FA362D" w:rsidRPr="004A59B1">
        <w:rPr>
          <w:bCs/>
          <w:color w:val="000000"/>
          <w:sz w:val="22"/>
          <w:szCs w:val="22"/>
          <w:lang w:val="en-GB"/>
        </w:rPr>
        <w:t>fosforja</w:t>
      </w:r>
      <w:r w:rsidRPr="004A59B1">
        <w:rPr>
          <w:bCs/>
          <w:color w:val="000000"/>
          <w:sz w:val="22"/>
          <w:szCs w:val="22"/>
          <w:lang w:val="en-GB"/>
        </w:rPr>
        <w:t xml:space="preserve"> v krvi)</w:t>
      </w:r>
      <w:r w:rsidR="00236FDE">
        <w:rPr>
          <w:bCs/>
          <w:color w:val="000000"/>
          <w:sz w:val="22"/>
          <w:szCs w:val="22"/>
          <w:lang w:val="en-GB"/>
        </w:rPr>
        <w:t>,</w:t>
      </w:r>
    </w:p>
    <w:p w14:paraId="5297A9A4" w14:textId="77777777" w:rsidR="00FF48C2" w:rsidRPr="004A59B1" w:rsidRDefault="00236FDE" w:rsidP="009C1193">
      <w:pPr>
        <w:pStyle w:val="Listlevel1"/>
        <w:widowControl w:val="0"/>
        <w:numPr>
          <w:ilvl w:val="0"/>
          <w:numId w:val="9"/>
        </w:numPr>
        <w:tabs>
          <w:tab w:val="clear" w:pos="360"/>
          <w:tab w:val="num" w:pos="567"/>
        </w:tabs>
        <w:spacing w:before="0" w:after="0"/>
        <w:ind w:left="567" w:hanging="567"/>
        <w:rPr>
          <w:bCs/>
          <w:color w:val="000000"/>
          <w:sz w:val="22"/>
          <w:szCs w:val="22"/>
          <w:lang w:val="en-GB"/>
        </w:rPr>
      </w:pPr>
      <w:r>
        <w:rPr>
          <w:bCs/>
          <w:color w:val="000000"/>
          <w:sz w:val="22"/>
          <w:szCs w:val="22"/>
          <w:lang w:val="en-GB"/>
        </w:rPr>
        <w:t>krvni strdki v majhnih krvnih žilah (trombotična mikroangiopatija)</w:t>
      </w:r>
      <w:r w:rsidR="00FF48C2" w:rsidRPr="004A59B1">
        <w:rPr>
          <w:bCs/>
          <w:color w:val="000000"/>
          <w:sz w:val="22"/>
          <w:szCs w:val="22"/>
          <w:lang w:val="en-GB"/>
        </w:rPr>
        <w:t>.</w:t>
      </w:r>
    </w:p>
    <w:p w14:paraId="5297A9A5" w14:textId="77777777" w:rsidR="001B5619" w:rsidRPr="004A59B1" w:rsidRDefault="001B5619" w:rsidP="009C1193">
      <w:pPr>
        <w:pStyle w:val="Listlevel1"/>
        <w:widowControl w:val="0"/>
        <w:spacing w:before="0" w:after="0"/>
        <w:ind w:left="0" w:firstLine="0"/>
        <w:rPr>
          <w:color w:val="000000"/>
          <w:sz w:val="22"/>
          <w:szCs w:val="22"/>
          <w:lang w:val="en-GB"/>
        </w:rPr>
      </w:pPr>
    </w:p>
    <w:p w14:paraId="5297A9A6" w14:textId="77777777" w:rsidR="001B5619" w:rsidRPr="004A59B1" w:rsidRDefault="001B5619" w:rsidP="009C1193">
      <w:pPr>
        <w:pStyle w:val="Listlevel1"/>
        <w:keepNext/>
        <w:widowControl w:val="0"/>
        <w:spacing w:before="0" w:after="0"/>
        <w:ind w:left="0" w:firstLine="0"/>
        <w:rPr>
          <w:color w:val="000000"/>
          <w:sz w:val="22"/>
          <w:szCs w:val="22"/>
          <w:lang w:val="en-GB"/>
        </w:rPr>
      </w:pPr>
      <w:r w:rsidRPr="004A59B1">
        <w:rPr>
          <w:b/>
          <w:bCs/>
          <w:color w:val="000000"/>
          <w:sz w:val="22"/>
          <w:szCs w:val="22"/>
          <w:lang w:val="fi-FI"/>
        </w:rPr>
        <w:t>Pogostnost neznana</w:t>
      </w:r>
      <w:r w:rsidR="002F714A" w:rsidRPr="004A59B1">
        <w:rPr>
          <w:b/>
          <w:bCs/>
          <w:color w:val="000000"/>
          <w:sz w:val="22"/>
          <w:szCs w:val="22"/>
          <w:lang w:val="fi-FI"/>
        </w:rPr>
        <w:t xml:space="preserve"> </w:t>
      </w:r>
      <w:r w:rsidR="002F714A" w:rsidRPr="004A59B1">
        <w:rPr>
          <w:bCs/>
          <w:color w:val="000000"/>
          <w:sz w:val="22"/>
          <w:szCs w:val="22"/>
          <w:lang w:val="fi-FI"/>
        </w:rPr>
        <w:t>(pogostnosti iz razpoložljivih podatkov ni mogoče oceniti)</w:t>
      </w:r>
      <w:r w:rsidR="00A428B6" w:rsidRPr="004A59B1">
        <w:rPr>
          <w:bCs/>
          <w:color w:val="000000"/>
          <w:sz w:val="22"/>
          <w:szCs w:val="22"/>
          <w:lang w:val="fi-FI"/>
        </w:rPr>
        <w:t>:</w:t>
      </w:r>
    </w:p>
    <w:p w14:paraId="5297A9A7" w14:textId="77777777" w:rsidR="009914E7" w:rsidRDefault="001B5619" w:rsidP="009C1193">
      <w:pPr>
        <w:pStyle w:val="Listlevel1"/>
        <w:widowControl w:val="0"/>
        <w:numPr>
          <w:ilvl w:val="0"/>
          <w:numId w:val="9"/>
        </w:numPr>
        <w:tabs>
          <w:tab w:val="clear" w:pos="360"/>
          <w:tab w:val="num" w:pos="567"/>
        </w:tabs>
        <w:spacing w:before="0" w:after="0"/>
        <w:ind w:left="567" w:hanging="567"/>
        <w:rPr>
          <w:color w:val="000000"/>
          <w:sz w:val="22"/>
          <w:szCs w:val="22"/>
          <w:lang w:val="en-GB"/>
        </w:rPr>
      </w:pPr>
      <w:r w:rsidRPr="004A59B1">
        <w:rPr>
          <w:color w:val="000000"/>
          <w:sz w:val="22"/>
          <w:szCs w:val="22"/>
          <w:lang w:val="en-GB"/>
        </w:rPr>
        <w:t xml:space="preserve">kombinacija </w:t>
      </w:r>
      <w:r w:rsidR="00651793" w:rsidRPr="004A59B1">
        <w:rPr>
          <w:color w:val="000000"/>
          <w:sz w:val="22"/>
          <w:szCs w:val="22"/>
          <w:lang w:val="en-GB"/>
        </w:rPr>
        <w:t xml:space="preserve">hudo </w:t>
      </w:r>
      <w:r w:rsidRPr="004A59B1">
        <w:rPr>
          <w:color w:val="000000"/>
          <w:sz w:val="22"/>
          <w:szCs w:val="22"/>
          <w:lang w:val="en-GB"/>
        </w:rPr>
        <w:t>razširjenega hudega izpuščaja, slabosti</w:t>
      </w:r>
      <w:r w:rsidR="00041DBD" w:rsidRPr="004A59B1">
        <w:rPr>
          <w:color w:val="000000"/>
          <w:sz w:val="22"/>
          <w:szCs w:val="22"/>
          <w:lang w:val="en-GB"/>
        </w:rPr>
        <w:t xml:space="preserve"> s siljenjem na bruhanje</w:t>
      </w:r>
      <w:r w:rsidRPr="004A59B1">
        <w:rPr>
          <w:color w:val="000000"/>
          <w:sz w:val="22"/>
          <w:szCs w:val="22"/>
          <w:lang w:val="en-GB"/>
        </w:rPr>
        <w:t>, povišane telesne temperature, visoke vrednosti nekaterih vrst belih krvnih celic ali rumene obarvanosti kože ali oči (znaka zlatenice) z zasoplostjo, bolečino/neugodjem v prs</w:t>
      </w:r>
      <w:r w:rsidR="00041DBD" w:rsidRPr="004A59B1">
        <w:rPr>
          <w:color w:val="000000"/>
          <w:sz w:val="22"/>
          <w:szCs w:val="22"/>
          <w:lang w:val="en-GB"/>
        </w:rPr>
        <w:t>nem košu</w:t>
      </w:r>
      <w:r w:rsidRPr="004A59B1">
        <w:rPr>
          <w:color w:val="000000"/>
          <w:sz w:val="22"/>
          <w:szCs w:val="22"/>
          <w:lang w:val="en-GB"/>
        </w:rPr>
        <w:t xml:space="preserve">, izrazito zmanjšanim izločanjem urina in žejo </w:t>
      </w:r>
      <w:r w:rsidR="006C19A6" w:rsidRPr="004A59B1">
        <w:rPr>
          <w:color w:val="000000"/>
          <w:sz w:val="22"/>
          <w:szCs w:val="22"/>
          <w:lang w:val="en-GB"/>
        </w:rPr>
        <w:t>i</w:t>
      </w:r>
      <w:r w:rsidR="00041DBD" w:rsidRPr="004A59B1">
        <w:rPr>
          <w:color w:val="000000"/>
          <w:sz w:val="22"/>
          <w:szCs w:val="22"/>
          <w:lang w:val="en-GB"/>
        </w:rPr>
        <w:t>td.</w:t>
      </w:r>
      <w:r w:rsidR="006C19A6" w:rsidRPr="004A59B1">
        <w:rPr>
          <w:color w:val="000000"/>
          <w:sz w:val="22"/>
          <w:szCs w:val="22"/>
          <w:lang w:val="en-GB"/>
        </w:rPr>
        <w:t xml:space="preserve"> </w:t>
      </w:r>
      <w:r w:rsidRPr="004A59B1">
        <w:rPr>
          <w:color w:val="000000"/>
          <w:sz w:val="22"/>
          <w:szCs w:val="22"/>
          <w:lang w:val="en-GB"/>
        </w:rPr>
        <w:t>(znaki alergijske reakcije na zdravljenje)</w:t>
      </w:r>
      <w:r w:rsidR="009914E7">
        <w:rPr>
          <w:color w:val="000000"/>
          <w:sz w:val="22"/>
          <w:szCs w:val="22"/>
          <w:lang w:val="en-GB"/>
        </w:rPr>
        <w:t>,</w:t>
      </w:r>
    </w:p>
    <w:p w14:paraId="5297A9A8" w14:textId="77777777" w:rsidR="00E93466" w:rsidRDefault="009914E7" w:rsidP="009C1193">
      <w:pPr>
        <w:pStyle w:val="Listlevel1"/>
        <w:widowControl w:val="0"/>
        <w:numPr>
          <w:ilvl w:val="0"/>
          <w:numId w:val="9"/>
        </w:numPr>
        <w:tabs>
          <w:tab w:val="clear" w:pos="360"/>
          <w:tab w:val="num" w:pos="567"/>
        </w:tabs>
        <w:spacing w:before="0" w:after="0"/>
        <w:ind w:left="567" w:hanging="567"/>
        <w:rPr>
          <w:color w:val="000000"/>
          <w:sz w:val="22"/>
          <w:szCs w:val="22"/>
          <w:lang w:val="en-GB"/>
        </w:rPr>
      </w:pPr>
      <w:r>
        <w:rPr>
          <w:color w:val="000000"/>
          <w:sz w:val="22"/>
          <w:szCs w:val="22"/>
          <w:lang w:val="en-GB"/>
        </w:rPr>
        <w:lastRenderedPageBreak/>
        <w:t>kronična ledvi</w:t>
      </w:r>
      <w:r w:rsidR="00F107AE">
        <w:rPr>
          <w:color w:val="000000"/>
          <w:sz w:val="22"/>
          <w:szCs w:val="22"/>
          <w:lang w:val="en-GB"/>
        </w:rPr>
        <w:t>čna bolezen</w:t>
      </w:r>
      <w:r w:rsidR="00E93466">
        <w:rPr>
          <w:color w:val="000000"/>
          <w:sz w:val="22"/>
          <w:szCs w:val="22"/>
          <w:lang w:val="en-GB"/>
        </w:rPr>
        <w:t>,</w:t>
      </w:r>
    </w:p>
    <w:p w14:paraId="5297A9A9" w14:textId="77777777" w:rsidR="001B5619" w:rsidRPr="004A59B1" w:rsidRDefault="00E93466" w:rsidP="009C1193">
      <w:pPr>
        <w:pStyle w:val="Listlevel1"/>
        <w:widowControl w:val="0"/>
        <w:numPr>
          <w:ilvl w:val="0"/>
          <w:numId w:val="9"/>
        </w:numPr>
        <w:tabs>
          <w:tab w:val="clear" w:pos="360"/>
          <w:tab w:val="num" w:pos="567"/>
        </w:tabs>
        <w:spacing w:before="0" w:after="0"/>
        <w:ind w:left="567" w:hanging="567"/>
        <w:rPr>
          <w:color w:val="000000"/>
          <w:sz w:val="22"/>
          <w:szCs w:val="22"/>
          <w:lang w:val="en-GB"/>
        </w:rPr>
      </w:pPr>
      <w:r>
        <w:rPr>
          <w:color w:val="000000"/>
          <w:sz w:val="22"/>
          <w:szCs w:val="22"/>
          <w:lang w:val="en-GB"/>
        </w:rPr>
        <w:t>p</w:t>
      </w:r>
      <w:r w:rsidRPr="00AC42B3">
        <w:rPr>
          <w:color w:val="000000"/>
          <w:sz w:val="22"/>
          <w:szCs w:val="22"/>
          <w:lang w:val="en-GB"/>
        </w:rPr>
        <w:t>onovitev (reaktivacija) okužbe s hepatitisom B, če ste imeli hepatitis B v preteklosti (okužba jeter).</w:t>
      </w:r>
    </w:p>
    <w:p w14:paraId="5297A9AA" w14:textId="77777777" w:rsidR="001B5619" w:rsidRPr="004A59B1" w:rsidRDefault="001B5619" w:rsidP="009C1193">
      <w:pPr>
        <w:pStyle w:val="Listlevel1"/>
        <w:widowControl w:val="0"/>
        <w:spacing w:before="0" w:after="0"/>
        <w:ind w:left="0" w:firstLine="0"/>
        <w:rPr>
          <w:color w:val="000000"/>
          <w:sz w:val="22"/>
          <w:szCs w:val="22"/>
          <w:lang w:val="en-GB"/>
        </w:rPr>
      </w:pPr>
    </w:p>
    <w:p w14:paraId="5297A9AB" w14:textId="77777777" w:rsidR="00FF48C2" w:rsidRPr="004A59B1" w:rsidRDefault="00FF48C2" w:rsidP="009C1193">
      <w:pPr>
        <w:pStyle w:val="Listlevel1"/>
        <w:widowControl w:val="0"/>
        <w:spacing w:before="0" w:after="0"/>
        <w:ind w:left="0" w:firstLine="0"/>
        <w:rPr>
          <w:color w:val="000000"/>
          <w:sz w:val="22"/>
          <w:szCs w:val="22"/>
          <w:lang w:val="en-GB"/>
        </w:rPr>
      </w:pPr>
      <w:r w:rsidRPr="004A59B1">
        <w:rPr>
          <w:color w:val="000000"/>
          <w:sz w:val="22"/>
          <w:szCs w:val="22"/>
          <w:lang w:val="en-GB"/>
        </w:rPr>
        <w:t xml:space="preserve">Če opazite katerega od zgoraj navedenih neželenih učinkov, </w:t>
      </w:r>
      <w:r w:rsidRPr="004A59B1">
        <w:rPr>
          <w:b/>
          <w:color w:val="000000"/>
          <w:sz w:val="22"/>
          <w:szCs w:val="22"/>
          <w:lang w:val="en-GB"/>
        </w:rPr>
        <w:t>nemudoma obvestite zdravnika</w:t>
      </w:r>
      <w:r w:rsidRPr="004A59B1">
        <w:rPr>
          <w:color w:val="000000"/>
          <w:sz w:val="22"/>
          <w:szCs w:val="22"/>
          <w:lang w:val="en-GB"/>
        </w:rPr>
        <w:t>.</w:t>
      </w:r>
    </w:p>
    <w:p w14:paraId="5297A9AC" w14:textId="77777777" w:rsidR="00FF48C2" w:rsidRPr="004A59B1" w:rsidRDefault="00FF48C2" w:rsidP="009C1193">
      <w:pPr>
        <w:pStyle w:val="TextChar"/>
        <w:widowControl w:val="0"/>
        <w:spacing w:before="0"/>
        <w:jc w:val="left"/>
        <w:rPr>
          <w:color w:val="000000"/>
          <w:sz w:val="22"/>
          <w:szCs w:val="22"/>
          <w:lang w:val="en-GB"/>
        </w:rPr>
      </w:pPr>
    </w:p>
    <w:p w14:paraId="5297A9AD" w14:textId="77777777" w:rsidR="00FF48C2" w:rsidRPr="004A59B1" w:rsidRDefault="00FF48C2" w:rsidP="009C1193">
      <w:pPr>
        <w:pStyle w:val="TextChar"/>
        <w:keepNext/>
        <w:widowControl w:val="0"/>
        <w:spacing w:before="0"/>
        <w:jc w:val="left"/>
        <w:rPr>
          <w:b/>
          <w:bCs/>
          <w:color w:val="000000"/>
          <w:sz w:val="22"/>
          <w:szCs w:val="22"/>
          <w:lang w:val="en-GB"/>
        </w:rPr>
      </w:pPr>
      <w:r w:rsidRPr="004A59B1">
        <w:rPr>
          <w:b/>
          <w:bCs/>
          <w:color w:val="000000"/>
          <w:sz w:val="22"/>
          <w:szCs w:val="22"/>
          <w:lang w:val="en-GB"/>
        </w:rPr>
        <w:t>Drugi neželeni učinki lahko vključujejo:</w:t>
      </w:r>
    </w:p>
    <w:p w14:paraId="5297A9AE" w14:textId="77777777" w:rsidR="00FF48C2" w:rsidRPr="004A59B1" w:rsidRDefault="00FF48C2" w:rsidP="009C1193">
      <w:pPr>
        <w:pStyle w:val="TextChar"/>
        <w:keepNext/>
        <w:widowControl w:val="0"/>
        <w:spacing w:before="0"/>
        <w:jc w:val="left"/>
        <w:rPr>
          <w:color w:val="000000"/>
          <w:sz w:val="22"/>
          <w:szCs w:val="22"/>
          <w:lang w:val="en-GB"/>
        </w:rPr>
      </w:pPr>
    </w:p>
    <w:p w14:paraId="5297A9AF" w14:textId="77777777" w:rsidR="00FF48C2" w:rsidRPr="004A59B1" w:rsidRDefault="00FF48C2" w:rsidP="009C1193">
      <w:pPr>
        <w:pStyle w:val="TextChar"/>
        <w:keepNext/>
        <w:widowControl w:val="0"/>
        <w:spacing w:before="0"/>
        <w:jc w:val="left"/>
        <w:rPr>
          <w:bCs/>
          <w:color w:val="000000"/>
          <w:sz w:val="22"/>
          <w:szCs w:val="22"/>
          <w:lang w:val="en-GB"/>
        </w:rPr>
      </w:pPr>
      <w:r w:rsidRPr="004A59B1">
        <w:rPr>
          <w:b/>
          <w:bCs/>
          <w:color w:val="000000"/>
          <w:sz w:val="22"/>
          <w:szCs w:val="22"/>
          <w:lang w:val="en-GB"/>
        </w:rPr>
        <w:t>Zelo pogosti</w:t>
      </w:r>
      <w:r w:rsidRPr="004A59B1">
        <w:rPr>
          <w:bCs/>
          <w:color w:val="000000"/>
          <w:sz w:val="22"/>
          <w:szCs w:val="22"/>
          <w:lang w:val="en-GB"/>
        </w:rPr>
        <w:t xml:space="preserve"> </w:t>
      </w:r>
      <w:r w:rsidRPr="004A59B1">
        <w:rPr>
          <w:color w:val="000000"/>
          <w:sz w:val="22"/>
          <w:szCs w:val="22"/>
          <w:lang w:val="en-GB"/>
        </w:rPr>
        <w:t>(</w:t>
      </w:r>
      <w:r w:rsidRPr="004A59B1">
        <w:rPr>
          <w:color w:val="000000"/>
          <w:sz w:val="22"/>
          <w:szCs w:val="22"/>
          <w:lang w:val="fi-FI"/>
        </w:rPr>
        <w:t>pojavijo se lahko pri več kot 1 od 10 bolnikov</w:t>
      </w:r>
      <w:r w:rsidRPr="004A59B1">
        <w:rPr>
          <w:color w:val="000000"/>
          <w:szCs w:val="22"/>
          <w:lang w:val="en-GB"/>
        </w:rPr>
        <w:t>)</w:t>
      </w:r>
      <w:r w:rsidRPr="004A59B1">
        <w:rPr>
          <w:bCs/>
          <w:color w:val="000000"/>
          <w:sz w:val="22"/>
          <w:szCs w:val="22"/>
          <w:lang w:val="en-GB"/>
        </w:rPr>
        <w:t>:</w:t>
      </w:r>
    </w:p>
    <w:p w14:paraId="5297A9B0" w14:textId="77777777" w:rsidR="00FF48C2" w:rsidRPr="004A59B1" w:rsidRDefault="00FF48C2" w:rsidP="009C1193">
      <w:pPr>
        <w:pStyle w:val="Text"/>
        <w:widowControl w:val="0"/>
        <w:numPr>
          <w:ilvl w:val="0"/>
          <w:numId w:val="45"/>
        </w:numPr>
        <w:tabs>
          <w:tab w:val="clear" w:pos="357"/>
          <w:tab w:val="num" w:pos="567"/>
        </w:tabs>
        <w:spacing w:before="0"/>
        <w:ind w:left="567" w:hanging="567"/>
        <w:jc w:val="left"/>
        <w:rPr>
          <w:color w:val="000000"/>
          <w:sz w:val="22"/>
          <w:szCs w:val="22"/>
          <w:lang w:val="en-GB"/>
        </w:rPr>
      </w:pPr>
      <w:r w:rsidRPr="004A59B1">
        <w:rPr>
          <w:color w:val="000000"/>
          <w:sz w:val="22"/>
          <w:szCs w:val="22"/>
          <w:lang w:val="en-GB"/>
        </w:rPr>
        <w:t>glavobol ali občutek utrujenosti,</w:t>
      </w:r>
    </w:p>
    <w:p w14:paraId="5297A9B1" w14:textId="77777777" w:rsidR="00FF48C2" w:rsidRPr="004A59B1" w:rsidRDefault="00FF48C2" w:rsidP="009C1193">
      <w:pPr>
        <w:pStyle w:val="Text"/>
        <w:widowControl w:val="0"/>
        <w:numPr>
          <w:ilvl w:val="0"/>
          <w:numId w:val="44"/>
        </w:numPr>
        <w:tabs>
          <w:tab w:val="clear" w:pos="717"/>
          <w:tab w:val="num" w:pos="567"/>
        </w:tabs>
        <w:spacing w:before="0"/>
        <w:ind w:left="567" w:hanging="567"/>
        <w:jc w:val="left"/>
        <w:rPr>
          <w:color w:val="000000"/>
          <w:sz w:val="22"/>
          <w:szCs w:val="22"/>
          <w:lang w:val="en-GB"/>
        </w:rPr>
      </w:pPr>
      <w:r w:rsidRPr="004A59B1">
        <w:rPr>
          <w:color w:val="000000"/>
          <w:sz w:val="22"/>
          <w:szCs w:val="22"/>
          <w:lang w:val="en-GB"/>
        </w:rPr>
        <w:t>občutek slabosti s siljenjem na bruhanje (navzea), bruhanje, driska ali prebavne težave,</w:t>
      </w:r>
    </w:p>
    <w:p w14:paraId="5297A9B2" w14:textId="77777777" w:rsidR="00FF48C2" w:rsidRPr="004A59B1" w:rsidRDefault="00FF48C2" w:rsidP="009C1193">
      <w:pPr>
        <w:pStyle w:val="Text"/>
        <w:widowControl w:val="0"/>
        <w:numPr>
          <w:ilvl w:val="0"/>
          <w:numId w:val="44"/>
        </w:numPr>
        <w:tabs>
          <w:tab w:val="clear" w:pos="717"/>
          <w:tab w:val="num" w:pos="567"/>
        </w:tabs>
        <w:spacing w:before="0"/>
        <w:ind w:left="567" w:hanging="567"/>
        <w:jc w:val="left"/>
        <w:rPr>
          <w:color w:val="000000"/>
          <w:sz w:val="22"/>
          <w:szCs w:val="22"/>
          <w:lang w:val="en-GB"/>
        </w:rPr>
      </w:pPr>
      <w:r w:rsidRPr="004A59B1">
        <w:rPr>
          <w:color w:val="000000"/>
          <w:sz w:val="22"/>
          <w:szCs w:val="22"/>
          <w:lang w:val="en-GB"/>
        </w:rPr>
        <w:t>izpuščaj,</w:t>
      </w:r>
    </w:p>
    <w:p w14:paraId="5297A9B3" w14:textId="77777777" w:rsidR="00FF48C2" w:rsidRPr="004A59B1" w:rsidRDefault="00FF48C2" w:rsidP="009C1193">
      <w:pPr>
        <w:pStyle w:val="Text"/>
        <w:widowControl w:val="0"/>
        <w:numPr>
          <w:ilvl w:val="0"/>
          <w:numId w:val="44"/>
        </w:numPr>
        <w:tabs>
          <w:tab w:val="clear" w:pos="717"/>
          <w:tab w:val="num" w:pos="567"/>
        </w:tabs>
        <w:spacing w:before="0"/>
        <w:ind w:left="567" w:hanging="567"/>
        <w:jc w:val="left"/>
        <w:rPr>
          <w:color w:val="000000"/>
          <w:sz w:val="22"/>
          <w:szCs w:val="22"/>
          <w:lang w:val="en-GB"/>
        </w:rPr>
      </w:pPr>
      <w:r w:rsidRPr="004A59B1">
        <w:rPr>
          <w:bCs/>
          <w:color w:val="000000"/>
          <w:sz w:val="22"/>
          <w:szCs w:val="22"/>
          <w:lang w:val="en-GB"/>
        </w:rPr>
        <w:t>mišični krči ali bolečine v sklepih, mišicah ali kosteh</w:t>
      </w:r>
      <w:r w:rsidR="00820D0C">
        <w:rPr>
          <w:bCs/>
          <w:color w:val="000000"/>
          <w:sz w:val="22"/>
          <w:szCs w:val="22"/>
          <w:lang w:val="en-GB"/>
        </w:rPr>
        <w:t xml:space="preserve"> v obdobju, ko se zdravite z zdravilom Glivec ali po prenehanju jemanja zdravila,</w:t>
      </w:r>
    </w:p>
    <w:p w14:paraId="5297A9B4" w14:textId="77777777" w:rsidR="00FF48C2" w:rsidRPr="004A59B1" w:rsidRDefault="00FF48C2" w:rsidP="009C1193">
      <w:pPr>
        <w:pStyle w:val="Text"/>
        <w:widowControl w:val="0"/>
        <w:numPr>
          <w:ilvl w:val="0"/>
          <w:numId w:val="44"/>
        </w:numPr>
        <w:tabs>
          <w:tab w:val="clear" w:pos="717"/>
          <w:tab w:val="num" w:pos="567"/>
        </w:tabs>
        <w:spacing w:before="0"/>
        <w:ind w:left="567" w:hanging="567"/>
        <w:jc w:val="left"/>
        <w:rPr>
          <w:color w:val="000000"/>
          <w:sz w:val="22"/>
          <w:szCs w:val="22"/>
          <w:lang w:val="en-GB"/>
        </w:rPr>
      </w:pPr>
      <w:r w:rsidRPr="004A59B1">
        <w:rPr>
          <w:color w:val="000000"/>
          <w:sz w:val="22"/>
          <w:szCs w:val="22"/>
          <w:lang w:val="en-GB"/>
        </w:rPr>
        <w:t>otekanje, na primer otekline okrog gležnjev ali oči,</w:t>
      </w:r>
    </w:p>
    <w:p w14:paraId="5297A9B5" w14:textId="77777777" w:rsidR="00FF48C2" w:rsidRPr="004A59B1" w:rsidRDefault="00FF48C2" w:rsidP="009C1193">
      <w:pPr>
        <w:pStyle w:val="TextChar"/>
        <w:widowControl w:val="0"/>
        <w:numPr>
          <w:ilvl w:val="0"/>
          <w:numId w:val="44"/>
        </w:numPr>
        <w:tabs>
          <w:tab w:val="num" w:pos="567"/>
        </w:tabs>
        <w:spacing w:before="0"/>
        <w:ind w:left="567" w:hanging="567"/>
        <w:jc w:val="left"/>
        <w:rPr>
          <w:bCs/>
          <w:color w:val="000000"/>
          <w:sz w:val="22"/>
          <w:szCs w:val="22"/>
          <w:lang w:val="es-ES"/>
        </w:rPr>
      </w:pPr>
      <w:r w:rsidRPr="004A59B1">
        <w:rPr>
          <w:color w:val="000000"/>
          <w:sz w:val="22"/>
          <w:szCs w:val="22"/>
          <w:lang w:val="en-GB"/>
        </w:rPr>
        <w:t>povečanje telesne mase.</w:t>
      </w:r>
    </w:p>
    <w:p w14:paraId="5297A9B6" w14:textId="77777777" w:rsidR="00651793" w:rsidRPr="004A59B1" w:rsidRDefault="00651793" w:rsidP="009C1193">
      <w:pPr>
        <w:pStyle w:val="TextChar"/>
        <w:widowControl w:val="0"/>
        <w:spacing w:before="0"/>
        <w:jc w:val="left"/>
        <w:rPr>
          <w:sz w:val="22"/>
          <w:szCs w:val="22"/>
          <w:lang w:val="sl-SI"/>
        </w:rPr>
      </w:pPr>
      <w:r w:rsidRPr="004A59B1">
        <w:rPr>
          <w:sz w:val="22"/>
          <w:szCs w:val="22"/>
          <w:lang w:val="sl-SI"/>
        </w:rPr>
        <w:t xml:space="preserve">Če se pri vas kateri od zgoraj navedenih neželenih učinkov pojavi v hujši obliki, </w:t>
      </w:r>
      <w:r w:rsidRPr="004A59B1">
        <w:rPr>
          <w:b/>
          <w:sz w:val="22"/>
          <w:szCs w:val="22"/>
          <w:lang w:val="sl-SI"/>
        </w:rPr>
        <w:t>obvestite zdravnika</w:t>
      </w:r>
      <w:r w:rsidRPr="004A59B1">
        <w:rPr>
          <w:sz w:val="22"/>
          <w:szCs w:val="22"/>
          <w:lang w:val="sl-SI"/>
        </w:rPr>
        <w:t>.</w:t>
      </w:r>
    </w:p>
    <w:p w14:paraId="5297A9B7" w14:textId="77777777" w:rsidR="00FF48C2" w:rsidRPr="004A59B1" w:rsidRDefault="00FF48C2" w:rsidP="009C1193">
      <w:pPr>
        <w:pStyle w:val="TextChar"/>
        <w:widowControl w:val="0"/>
        <w:spacing w:before="0"/>
        <w:jc w:val="left"/>
        <w:rPr>
          <w:color w:val="000000"/>
          <w:sz w:val="22"/>
          <w:szCs w:val="22"/>
          <w:lang w:val="sl-SI"/>
        </w:rPr>
      </w:pPr>
    </w:p>
    <w:p w14:paraId="5297A9B8" w14:textId="77777777" w:rsidR="00FF48C2" w:rsidRPr="00226F17" w:rsidRDefault="00FF48C2" w:rsidP="009C1193">
      <w:pPr>
        <w:pStyle w:val="TextChar"/>
        <w:keepNext/>
        <w:widowControl w:val="0"/>
        <w:spacing w:before="0"/>
        <w:jc w:val="left"/>
        <w:rPr>
          <w:bCs/>
          <w:color w:val="000000"/>
          <w:sz w:val="22"/>
          <w:szCs w:val="22"/>
          <w:lang w:val="sl-SI"/>
        </w:rPr>
      </w:pPr>
      <w:r w:rsidRPr="00226F17">
        <w:rPr>
          <w:b/>
          <w:bCs/>
          <w:color w:val="000000"/>
          <w:sz w:val="22"/>
          <w:szCs w:val="22"/>
          <w:lang w:val="sl-SI"/>
        </w:rPr>
        <w:t>Pogosti</w:t>
      </w:r>
      <w:r w:rsidRPr="00226F17">
        <w:rPr>
          <w:bCs/>
          <w:color w:val="000000"/>
          <w:sz w:val="22"/>
          <w:szCs w:val="22"/>
          <w:lang w:val="sl-SI"/>
        </w:rPr>
        <w:t xml:space="preserve"> </w:t>
      </w:r>
      <w:r w:rsidRPr="004A59B1">
        <w:rPr>
          <w:color w:val="000000"/>
          <w:sz w:val="22"/>
          <w:szCs w:val="22"/>
          <w:lang w:val="fi-FI"/>
        </w:rPr>
        <w:t>(pojavijo se lahko pri največ 1 od 10 bolnikov)</w:t>
      </w:r>
      <w:r w:rsidRPr="00226F17">
        <w:rPr>
          <w:bCs/>
          <w:color w:val="000000"/>
          <w:sz w:val="22"/>
          <w:szCs w:val="22"/>
          <w:lang w:val="sl-SI"/>
        </w:rPr>
        <w:t>:</w:t>
      </w:r>
    </w:p>
    <w:p w14:paraId="5297A9B9" w14:textId="77777777" w:rsidR="00FF48C2" w:rsidRPr="00226F17" w:rsidRDefault="00FF48C2" w:rsidP="009C1193">
      <w:pPr>
        <w:pStyle w:val="Text"/>
        <w:widowControl w:val="0"/>
        <w:numPr>
          <w:ilvl w:val="0"/>
          <w:numId w:val="47"/>
        </w:numPr>
        <w:tabs>
          <w:tab w:val="clear" w:pos="357"/>
        </w:tabs>
        <w:spacing w:before="0"/>
        <w:ind w:left="567" w:hanging="567"/>
        <w:jc w:val="left"/>
        <w:rPr>
          <w:color w:val="000000"/>
          <w:sz w:val="22"/>
          <w:szCs w:val="22"/>
          <w:lang w:val="sl-SI"/>
        </w:rPr>
      </w:pPr>
      <w:r w:rsidRPr="00226F17">
        <w:rPr>
          <w:color w:val="000000"/>
          <w:sz w:val="22"/>
          <w:szCs w:val="22"/>
          <w:lang w:val="sl-SI"/>
        </w:rPr>
        <w:t>izguba apetita, zmanjšanje telesne mase ali moten občutek za okus,</w:t>
      </w:r>
    </w:p>
    <w:p w14:paraId="5297A9BA" w14:textId="77777777" w:rsidR="00FF48C2" w:rsidRPr="004A59B1" w:rsidRDefault="00FF48C2" w:rsidP="009C1193">
      <w:pPr>
        <w:pStyle w:val="Text"/>
        <w:widowControl w:val="0"/>
        <w:numPr>
          <w:ilvl w:val="0"/>
          <w:numId w:val="46"/>
        </w:numPr>
        <w:tabs>
          <w:tab w:val="clear" w:pos="717"/>
          <w:tab w:val="num" w:pos="567"/>
        </w:tabs>
        <w:spacing w:before="0"/>
        <w:ind w:left="567" w:hanging="567"/>
        <w:jc w:val="left"/>
        <w:rPr>
          <w:color w:val="000000"/>
          <w:sz w:val="22"/>
          <w:szCs w:val="22"/>
          <w:lang w:val="en-GB"/>
        </w:rPr>
      </w:pPr>
      <w:r w:rsidRPr="004A59B1">
        <w:rPr>
          <w:color w:val="000000"/>
          <w:sz w:val="22"/>
          <w:szCs w:val="22"/>
          <w:lang w:val="en-GB"/>
        </w:rPr>
        <w:t>občutek omotičnosti ali šibkosti,</w:t>
      </w:r>
    </w:p>
    <w:p w14:paraId="5297A9BB" w14:textId="77777777" w:rsidR="00FF48C2" w:rsidRPr="004A59B1" w:rsidRDefault="00FF48C2" w:rsidP="009C1193">
      <w:pPr>
        <w:pStyle w:val="Text"/>
        <w:widowControl w:val="0"/>
        <w:numPr>
          <w:ilvl w:val="0"/>
          <w:numId w:val="46"/>
        </w:numPr>
        <w:tabs>
          <w:tab w:val="clear" w:pos="717"/>
          <w:tab w:val="num" w:pos="567"/>
        </w:tabs>
        <w:spacing w:before="0"/>
        <w:ind w:left="567" w:hanging="567"/>
        <w:jc w:val="left"/>
        <w:rPr>
          <w:color w:val="000000"/>
          <w:sz w:val="22"/>
          <w:szCs w:val="22"/>
          <w:lang w:val="en-GB"/>
        </w:rPr>
      </w:pPr>
      <w:r w:rsidRPr="004A59B1">
        <w:rPr>
          <w:color w:val="000000"/>
          <w:sz w:val="22"/>
          <w:szCs w:val="22"/>
          <w:lang w:val="en-GB"/>
        </w:rPr>
        <w:t>težave s spanjem (nespečnost),</w:t>
      </w:r>
    </w:p>
    <w:p w14:paraId="5297A9BC" w14:textId="77777777" w:rsidR="00FF48C2" w:rsidRPr="004A59B1" w:rsidRDefault="00FF48C2" w:rsidP="009C1193">
      <w:pPr>
        <w:pStyle w:val="Text"/>
        <w:widowControl w:val="0"/>
        <w:numPr>
          <w:ilvl w:val="0"/>
          <w:numId w:val="46"/>
        </w:numPr>
        <w:tabs>
          <w:tab w:val="clear" w:pos="717"/>
          <w:tab w:val="num" w:pos="567"/>
        </w:tabs>
        <w:spacing w:before="0"/>
        <w:ind w:left="567" w:hanging="567"/>
        <w:jc w:val="left"/>
        <w:rPr>
          <w:color w:val="000000"/>
          <w:sz w:val="22"/>
          <w:szCs w:val="22"/>
          <w:lang w:val="en-GB"/>
        </w:rPr>
      </w:pPr>
      <w:r w:rsidRPr="004A59B1">
        <w:rPr>
          <w:color w:val="000000"/>
          <w:sz w:val="22"/>
          <w:szCs w:val="22"/>
          <w:lang w:val="en-GB"/>
        </w:rPr>
        <w:t>izcedek iz oči s srbenjem, rdečino in otekanjem (vnetje očesne veznice), prekomerno solzenje ali zamegljen vid,</w:t>
      </w:r>
    </w:p>
    <w:p w14:paraId="5297A9BD" w14:textId="77777777" w:rsidR="00FF48C2" w:rsidRPr="004A59B1" w:rsidRDefault="00FF48C2" w:rsidP="009C1193">
      <w:pPr>
        <w:pStyle w:val="Text"/>
        <w:widowControl w:val="0"/>
        <w:numPr>
          <w:ilvl w:val="0"/>
          <w:numId w:val="46"/>
        </w:numPr>
        <w:tabs>
          <w:tab w:val="clear" w:pos="717"/>
          <w:tab w:val="num" w:pos="567"/>
        </w:tabs>
        <w:spacing w:before="0"/>
        <w:ind w:left="567" w:hanging="567"/>
        <w:jc w:val="left"/>
        <w:rPr>
          <w:color w:val="000000"/>
          <w:sz w:val="22"/>
          <w:szCs w:val="22"/>
          <w:lang w:val="en-GB"/>
        </w:rPr>
      </w:pPr>
      <w:r w:rsidRPr="004A59B1">
        <w:rPr>
          <w:color w:val="000000"/>
          <w:sz w:val="22"/>
          <w:szCs w:val="22"/>
          <w:lang w:val="en-GB"/>
        </w:rPr>
        <w:t>krvavitve iz nosu,</w:t>
      </w:r>
    </w:p>
    <w:p w14:paraId="5297A9BE" w14:textId="77777777" w:rsidR="00FF48C2" w:rsidRPr="004A59B1" w:rsidRDefault="00FF48C2" w:rsidP="009C1193">
      <w:pPr>
        <w:pStyle w:val="Text"/>
        <w:widowControl w:val="0"/>
        <w:numPr>
          <w:ilvl w:val="0"/>
          <w:numId w:val="46"/>
        </w:numPr>
        <w:tabs>
          <w:tab w:val="clear" w:pos="717"/>
          <w:tab w:val="num" w:pos="567"/>
        </w:tabs>
        <w:spacing w:before="0"/>
        <w:ind w:left="567" w:hanging="567"/>
        <w:jc w:val="left"/>
        <w:rPr>
          <w:color w:val="000000"/>
          <w:sz w:val="22"/>
          <w:szCs w:val="22"/>
          <w:lang w:val="it-IT"/>
        </w:rPr>
      </w:pPr>
      <w:r w:rsidRPr="004A59B1">
        <w:rPr>
          <w:color w:val="000000"/>
          <w:sz w:val="22"/>
          <w:szCs w:val="22"/>
          <w:lang w:val="it-IT"/>
        </w:rPr>
        <w:t>bolečine v trebuhu ali napihnjen trebuh, vetrovi, zgaga ali zapeka,</w:t>
      </w:r>
    </w:p>
    <w:p w14:paraId="5297A9BF" w14:textId="77777777" w:rsidR="00FF48C2" w:rsidRPr="004A59B1" w:rsidRDefault="00FF48C2" w:rsidP="009C1193">
      <w:pPr>
        <w:pStyle w:val="Text"/>
        <w:widowControl w:val="0"/>
        <w:numPr>
          <w:ilvl w:val="0"/>
          <w:numId w:val="46"/>
        </w:numPr>
        <w:tabs>
          <w:tab w:val="clear" w:pos="717"/>
          <w:tab w:val="num" w:pos="567"/>
        </w:tabs>
        <w:spacing w:before="0"/>
        <w:ind w:left="567" w:hanging="567"/>
        <w:jc w:val="left"/>
        <w:rPr>
          <w:color w:val="000000"/>
          <w:sz w:val="22"/>
          <w:szCs w:val="22"/>
          <w:lang w:val="en-GB"/>
        </w:rPr>
      </w:pPr>
      <w:r w:rsidRPr="004A59B1">
        <w:rPr>
          <w:color w:val="000000"/>
          <w:sz w:val="22"/>
          <w:szCs w:val="22"/>
          <w:lang w:val="en-GB"/>
        </w:rPr>
        <w:t>srbenje</w:t>
      </w:r>
    </w:p>
    <w:p w14:paraId="5297A9C0" w14:textId="77777777" w:rsidR="00FF48C2" w:rsidRPr="004A59B1" w:rsidRDefault="00FF48C2" w:rsidP="009C1193">
      <w:pPr>
        <w:pStyle w:val="Text"/>
        <w:widowControl w:val="0"/>
        <w:numPr>
          <w:ilvl w:val="0"/>
          <w:numId w:val="46"/>
        </w:numPr>
        <w:tabs>
          <w:tab w:val="clear" w:pos="717"/>
          <w:tab w:val="num" w:pos="567"/>
        </w:tabs>
        <w:spacing w:before="0"/>
        <w:ind w:left="567" w:hanging="567"/>
        <w:jc w:val="left"/>
        <w:rPr>
          <w:color w:val="000000"/>
          <w:sz w:val="22"/>
          <w:szCs w:val="22"/>
          <w:lang w:val="es-ES"/>
        </w:rPr>
      </w:pPr>
      <w:r w:rsidRPr="004A59B1">
        <w:rPr>
          <w:color w:val="000000"/>
          <w:sz w:val="22"/>
          <w:szCs w:val="22"/>
          <w:lang w:val="es-ES"/>
        </w:rPr>
        <w:t>neobičajno izpadanje ali tanjšanje las,</w:t>
      </w:r>
    </w:p>
    <w:p w14:paraId="5297A9C1" w14:textId="77777777" w:rsidR="00FF48C2" w:rsidRPr="004A59B1" w:rsidRDefault="00FF48C2" w:rsidP="009C1193">
      <w:pPr>
        <w:pStyle w:val="Text"/>
        <w:widowControl w:val="0"/>
        <w:numPr>
          <w:ilvl w:val="0"/>
          <w:numId w:val="46"/>
        </w:numPr>
        <w:tabs>
          <w:tab w:val="clear" w:pos="717"/>
          <w:tab w:val="num" w:pos="567"/>
        </w:tabs>
        <w:spacing w:before="0"/>
        <w:ind w:left="567" w:hanging="567"/>
        <w:jc w:val="left"/>
        <w:rPr>
          <w:color w:val="000000"/>
          <w:sz w:val="22"/>
          <w:szCs w:val="22"/>
          <w:lang w:val="en-GB"/>
        </w:rPr>
      </w:pPr>
      <w:r w:rsidRPr="004A59B1">
        <w:rPr>
          <w:color w:val="000000"/>
          <w:sz w:val="22"/>
          <w:szCs w:val="22"/>
          <w:lang w:val="en-GB"/>
        </w:rPr>
        <w:t>odrevenelost dlani ali stopal,</w:t>
      </w:r>
    </w:p>
    <w:p w14:paraId="5297A9C2" w14:textId="77777777" w:rsidR="00FF48C2" w:rsidRPr="004A59B1" w:rsidRDefault="00FF48C2" w:rsidP="009C1193">
      <w:pPr>
        <w:pStyle w:val="Text"/>
        <w:widowControl w:val="0"/>
        <w:numPr>
          <w:ilvl w:val="0"/>
          <w:numId w:val="46"/>
        </w:numPr>
        <w:tabs>
          <w:tab w:val="clear" w:pos="717"/>
          <w:tab w:val="num" w:pos="567"/>
        </w:tabs>
        <w:spacing w:before="0"/>
        <w:ind w:left="567" w:hanging="567"/>
        <w:jc w:val="left"/>
        <w:rPr>
          <w:color w:val="000000"/>
          <w:sz w:val="22"/>
          <w:szCs w:val="22"/>
          <w:lang w:val="en-GB"/>
        </w:rPr>
      </w:pPr>
      <w:r w:rsidRPr="004A59B1">
        <w:rPr>
          <w:color w:val="000000"/>
          <w:sz w:val="22"/>
          <w:szCs w:val="22"/>
          <w:lang w:val="en-GB"/>
        </w:rPr>
        <w:t>razjede po ustih,</w:t>
      </w:r>
    </w:p>
    <w:p w14:paraId="5297A9C3" w14:textId="77777777" w:rsidR="00FF48C2" w:rsidRPr="004A59B1" w:rsidRDefault="00FF48C2" w:rsidP="009C1193">
      <w:pPr>
        <w:pStyle w:val="Text"/>
        <w:widowControl w:val="0"/>
        <w:numPr>
          <w:ilvl w:val="0"/>
          <w:numId w:val="46"/>
        </w:numPr>
        <w:tabs>
          <w:tab w:val="clear" w:pos="717"/>
          <w:tab w:val="num" w:pos="567"/>
        </w:tabs>
        <w:spacing w:before="0"/>
        <w:ind w:left="567" w:hanging="567"/>
        <w:jc w:val="left"/>
        <w:rPr>
          <w:color w:val="000000"/>
          <w:sz w:val="22"/>
          <w:szCs w:val="22"/>
          <w:lang w:val="pl-PL"/>
        </w:rPr>
      </w:pPr>
      <w:r w:rsidRPr="004A59B1">
        <w:rPr>
          <w:color w:val="000000"/>
          <w:sz w:val="22"/>
          <w:szCs w:val="22"/>
          <w:lang w:val="pl-PL"/>
        </w:rPr>
        <w:t>bolečine v sklepih z otekanjem.</w:t>
      </w:r>
    </w:p>
    <w:p w14:paraId="5297A9C4" w14:textId="77777777" w:rsidR="00FF48C2" w:rsidRPr="004A59B1" w:rsidRDefault="00FF48C2" w:rsidP="009C1193">
      <w:pPr>
        <w:pStyle w:val="Text"/>
        <w:widowControl w:val="0"/>
        <w:numPr>
          <w:ilvl w:val="0"/>
          <w:numId w:val="45"/>
        </w:numPr>
        <w:tabs>
          <w:tab w:val="clear" w:pos="357"/>
          <w:tab w:val="num" w:pos="567"/>
        </w:tabs>
        <w:spacing w:before="0"/>
        <w:ind w:left="567" w:hanging="567"/>
        <w:jc w:val="left"/>
        <w:rPr>
          <w:color w:val="000000"/>
          <w:sz w:val="22"/>
          <w:szCs w:val="22"/>
          <w:lang w:val="fi-FI"/>
        </w:rPr>
      </w:pPr>
      <w:r w:rsidRPr="004A59B1">
        <w:rPr>
          <w:color w:val="000000"/>
          <w:sz w:val="22"/>
          <w:szCs w:val="22"/>
          <w:lang w:val="fi-FI"/>
        </w:rPr>
        <w:t>suha usta, suha koža ali suhe oči,</w:t>
      </w:r>
    </w:p>
    <w:p w14:paraId="5297A9C5" w14:textId="77777777" w:rsidR="00FF48C2" w:rsidRPr="004A59B1" w:rsidRDefault="00FF48C2" w:rsidP="009C1193">
      <w:pPr>
        <w:pStyle w:val="Text"/>
        <w:widowControl w:val="0"/>
        <w:numPr>
          <w:ilvl w:val="0"/>
          <w:numId w:val="45"/>
        </w:numPr>
        <w:tabs>
          <w:tab w:val="clear" w:pos="357"/>
          <w:tab w:val="num" w:pos="567"/>
        </w:tabs>
        <w:spacing w:before="0"/>
        <w:ind w:left="567" w:hanging="567"/>
        <w:jc w:val="left"/>
        <w:rPr>
          <w:color w:val="000000"/>
          <w:sz w:val="22"/>
          <w:szCs w:val="22"/>
          <w:lang w:val="fi-FI"/>
        </w:rPr>
      </w:pPr>
      <w:r w:rsidRPr="004A59B1">
        <w:rPr>
          <w:color w:val="000000"/>
          <w:sz w:val="22"/>
          <w:szCs w:val="22"/>
          <w:lang w:val="fi-FI"/>
        </w:rPr>
        <w:t>zmanjšana ali povečana občutljivost kože,</w:t>
      </w:r>
    </w:p>
    <w:p w14:paraId="5297A9C6" w14:textId="77777777" w:rsidR="00FF48C2" w:rsidRPr="004A59B1" w:rsidRDefault="00FF48C2" w:rsidP="009C1193">
      <w:pPr>
        <w:pStyle w:val="Text"/>
        <w:widowControl w:val="0"/>
        <w:numPr>
          <w:ilvl w:val="0"/>
          <w:numId w:val="45"/>
        </w:numPr>
        <w:tabs>
          <w:tab w:val="clear" w:pos="357"/>
          <w:tab w:val="num" w:pos="567"/>
        </w:tabs>
        <w:spacing w:before="0"/>
        <w:ind w:left="567" w:hanging="567"/>
        <w:jc w:val="left"/>
        <w:rPr>
          <w:color w:val="000000"/>
          <w:sz w:val="22"/>
          <w:szCs w:val="22"/>
          <w:lang w:val="fi-FI"/>
        </w:rPr>
      </w:pPr>
      <w:r w:rsidRPr="004A59B1">
        <w:rPr>
          <w:color w:val="000000"/>
          <w:sz w:val="22"/>
          <w:szCs w:val="22"/>
          <w:lang w:val="fi-FI"/>
        </w:rPr>
        <w:t>navali vročine, mrazenje ali nočno znojenje.</w:t>
      </w:r>
    </w:p>
    <w:p w14:paraId="5297A9C7" w14:textId="77777777" w:rsidR="00FF48C2" w:rsidRPr="004A59B1" w:rsidRDefault="00FF48C2" w:rsidP="009C1193">
      <w:pPr>
        <w:pStyle w:val="TextChar"/>
        <w:widowControl w:val="0"/>
        <w:spacing w:before="0"/>
        <w:jc w:val="left"/>
        <w:rPr>
          <w:color w:val="000000"/>
          <w:sz w:val="22"/>
          <w:szCs w:val="22"/>
          <w:lang w:val="fi-FI"/>
        </w:rPr>
      </w:pPr>
      <w:r w:rsidRPr="004A59B1">
        <w:rPr>
          <w:color w:val="000000"/>
          <w:sz w:val="22"/>
          <w:szCs w:val="22"/>
          <w:lang w:val="fi-FI"/>
        </w:rPr>
        <w:t xml:space="preserve">Če imate </w:t>
      </w:r>
      <w:r w:rsidR="00651793" w:rsidRPr="004A59B1">
        <w:rPr>
          <w:color w:val="000000"/>
          <w:sz w:val="22"/>
          <w:szCs w:val="22"/>
          <w:lang w:val="fi-FI"/>
        </w:rPr>
        <w:t xml:space="preserve">hudo </w:t>
      </w:r>
      <w:r w:rsidRPr="004A59B1">
        <w:rPr>
          <w:color w:val="000000"/>
          <w:sz w:val="22"/>
          <w:szCs w:val="22"/>
          <w:lang w:val="fi-FI"/>
        </w:rPr>
        <w:t xml:space="preserve">obliko katerega od zgoraj navedenih učinkov, </w:t>
      </w:r>
      <w:r w:rsidRPr="004A59B1">
        <w:rPr>
          <w:b/>
          <w:color w:val="000000"/>
          <w:sz w:val="22"/>
          <w:szCs w:val="22"/>
          <w:lang w:val="fi-FI"/>
        </w:rPr>
        <w:t>obvestite zdravnika</w:t>
      </w:r>
      <w:r w:rsidRPr="004A59B1">
        <w:rPr>
          <w:color w:val="000000"/>
          <w:sz w:val="22"/>
          <w:szCs w:val="22"/>
          <w:lang w:val="fi-FI"/>
        </w:rPr>
        <w:t>.</w:t>
      </w:r>
    </w:p>
    <w:p w14:paraId="5297A9C8" w14:textId="77777777" w:rsidR="00FF48C2" w:rsidRPr="004A59B1" w:rsidRDefault="00FF48C2" w:rsidP="009C1193">
      <w:pPr>
        <w:pStyle w:val="Text"/>
        <w:widowControl w:val="0"/>
        <w:spacing w:before="0"/>
        <w:jc w:val="left"/>
        <w:rPr>
          <w:color w:val="000000"/>
          <w:sz w:val="22"/>
          <w:szCs w:val="22"/>
          <w:lang w:val="fi-FI"/>
        </w:rPr>
      </w:pPr>
    </w:p>
    <w:p w14:paraId="5297A9C9" w14:textId="77777777" w:rsidR="00FF48C2" w:rsidRPr="004A59B1" w:rsidRDefault="00FF48C2" w:rsidP="009C1193">
      <w:pPr>
        <w:pStyle w:val="Text"/>
        <w:keepNext/>
        <w:widowControl w:val="0"/>
        <w:spacing w:before="0"/>
        <w:jc w:val="left"/>
        <w:rPr>
          <w:bCs/>
          <w:color w:val="000000"/>
          <w:sz w:val="22"/>
          <w:szCs w:val="22"/>
          <w:lang w:val="fi-FI"/>
        </w:rPr>
      </w:pPr>
      <w:r w:rsidRPr="004A59B1">
        <w:rPr>
          <w:b/>
          <w:bCs/>
          <w:color w:val="000000"/>
          <w:sz w:val="22"/>
          <w:szCs w:val="22"/>
          <w:lang w:val="fi-FI"/>
        </w:rPr>
        <w:t>Pogostnost neznana</w:t>
      </w:r>
      <w:r w:rsidRPr="004A59B1">
        <w:rPr>
          <w:bCs/>
          <w:color w:val="000000"/>
          <w:sz w:val="22"/>
          <w:szCs w:val="22"/>
          <w:lang w:val="fi-FI"/>
        </w:rPr>
        <w:t xml:space="preserve"> (pogostnosti iz razpoložljivih podatkov ni mogoče oceniti):</w:t>
      </w:r>
    </w:p>
    <w:p w14:paraId="5297A9CA" w14:textId="77777777" w:rsidR="00FF48C2" w:rsidRDefault="00FF48C2" w:rsidP="009C1193">
      <w:pPr>
        <w:pStyle w:val="Text"/>
        <w:widowControl w:val="0"/>
        <w:numPr>
          <w:ilvl w:val="0"/>
          <w:numId w:val="48"/>
        </w:numPr>
        <w:tabs>
          <w:tab w:val="clear" w:pos="357"/>
          <w:tab w:val="num" w:pos="567"/>
        </w:tabs>
        <w:spacing w:before="0"/>
        <w:ind w:left="567" w:hanging="567"/>
        <w:jc w:val="left"/>
        <w:rPr>
          <w:color w:val="000000"/>
          <w:sz w:val="22"/>
          <w:szCs w:val="22"/>
          <w:lang w:val="fi-FI"/>
        </w:rPr>
      </w:pPr>
      <w:r w:rsidRPr="004A59B1">
        <w:rPr>
          <w:color w:val="000000"/>
          <w:sz w:val="22"/>
          <w:szCs w:val="22"/>
          <w:lang w:val="fi-FI"/>
        </w:rPr>
        <w:t>rdečina in/ali otekanje dlani in podplatov, lahko z občutkom mravljinčenja in s pekočo bolečino,</w:t>
      </w:r>
    </w:p>
    <w:p w14:paraId="5297A9CB" w14:textId="77777777" w:rsidR="00187761" w:rsidRPr="004A59B1" w:rsidRDefault="00187761" w:rsidP="009C1193">
      <w:pPr>
        <w:pStyle w:val="Text"/>
        <w:widowControl w:val="0"/>
        <w:numPr>
          <w:ilvl w:val="0"/>
          <w:numId w:val="48"/>
        </w:numPr>
        <w:tabs>
          <w:tab w:val="clear" w:pos="357"/>
          <w:tab w:val="num" w:pos="567"/>
        </w:tabs>
        <w:spacing w:before="0"/>
        <w:ind w:left="567" w:hanging="567"/>
        <w:jc w:val="left"/>
        <w:rPr>
          <w:color w:val="000000"/>
          <w:sz w:val="22"/>
          <w:szCs w:val="22"/>
          <w:lang w:val="fi-FI"/>
        </w:rPr>
      </w:pPr>
      <w:r>
        <w:rPr>
          <w:color w:val="000000"/>
          <w:sz w:val="22"/>
          <w:szCs w:val="22"/>
          <w:lang w:val="fi-FI"/>
        </w:rPr>
        <w:t>boleče spremembe na koži z ali brez nastanka mehurjev,</w:t>
      </w:r>
    </w:p>
    <w:p w14:paraId="5297A9CC" w14:textId="77777777" w:rsidR="00FF48C2" w:rsidRPr="004A59B1" w:rsidRDefault="00FF48C2" w:rsidP="009C1193">
      <w:pPr>
        <w:pStyle w:val="Text"/>
        <w:widowControl w:val="0"/>
        <w:numPr>
          <w:ilvl w:val="0"/>
          <w:numId w:val="48"/>
        </w:numPr>
        <w:tabs>
          <w:tab w:val="clear" w:pos="357"/>
        </w:tabs>
        <w:spacing w:before="0"/>
        <w:ind w:left="567" w:hanging="567"/>
        <w:jc w:val="left"/>
        <w:rPr>
          <w:color w:val="000000"/>
          <w:sz w:val="22"/>
          <w:szCs w:val="22"/>
          <w:lang w:val="sv-SE"/>
        </w:rPr>
      </w:pPr>
      <w:r w:rsidRPr="004A59B1">
        <w:rPr>
          <w:color w:val="000000"/>
          <w:sz w:val="22"/>
          <w:szCs w:val="22"/>
          <w:lang w:val="sv-SE"/>
        </w:rPr>
        <w:t>upočasnjena rast pri otrocih in mladostnikih.</w:t>
      </w:r>
    </w:p>
    <w:p w14:paraId="5297A9CD" w14:textId="77777777" w:rsidR="00FF48C2" w:rsidRPr="004A59B1" w:rsidRDefault="00FF48C2" w:rsidP="009C1193">
      <w:pPr>
        <w:pStyle w:val="TextChar"/>
        <w:widowControl w:val="0"/>
        <w:spacing w:before="0"/>
        <w:jc w:val="left"/>
        <w:rPr>
          <w:color w:val="000000"/>
          <w:sz w:val="22"/>
          <w:szCs w:val="22"/>
          <w:lang w:val="sv-SE"/>
        </w:rPr>
      </w:pPr>
      <w:r w:rsidRPr="004A59B1">
        <w:rPr>
          <w:color w:val="000000"/>
          <w:sz w:val="22"/>
          <w:szCs w:val="22"/>
          <w:lang w:val="sv-SE"/>
        </w:rPr>
        <w:t xml:space="preserve">Če imate </w:t>
      </w:r>
      <w:r w:rsidR="00651793" w:rsidRPr="004A59B1">
        <w:rPr>
          <w:color w:val="000000"/>
          <w:sz w:val="22"/>
          <w:szCs w:val="22"/>
          <w:lang w:val="sv-SE"/>
        </w:rPr>
        <w:t xml:space="preserve">hudo </w:t>
      </w:r>
      <w:r w:rsidRPr="004A59B1">
        <w:rPr>
          <w:color w:val="000000"/>
          <w:sz w:val="22"/>
          <w:szCs w:val="22"/>
          <w:lang w:val="sv-SE"/>
        </w:rPr>
        <w:t xml:space="preserve">obliko katerega od zgoraj navedenih učinkov, </w:t>
      </w:r>
      <w:r w:rsidRPr="004A59B1">
        <w:rPr>
          <w:b/>
          <w:color w:val="000000"/>
          <w:sz w:val="22"/>
          <w:szCs w:val="22"/>
          <w:lang w:val="sv-SE"/>
        </w:rPr>
        <w:t>obvestite zdravnika</w:t>
      </w:r>
      <w:r w:rsidRPr="004A59B1">
        <w:rPr>
          <w:color w:val="000000"/>
          <w:sz w:val="22"/>
          <w:szCs w:val="22"/>
          <w:lang w:val="sv-SE"/>
        </w:rPr>
        <w:t>.</w:t>
      </w:r>
    </w:p>
    <w:p w14:paraId="5297A9CE" w14:textId="77777777" w:rsidR="00FF48C2" w:rsidRPr="004A59B1" w:rsidRDefault="00FF48C2" w:rsidP="009C1193">
      <w:pPr>
        <w:pStyle w:val="TextChar"/>
        <w:widowControl w:val="0"/>
        <w:spacing w:before="0"/>
        <w:jc w:val="left"/>
        <w:rPr>
          <w:color w:val="000000"/>
          <w:sz w:val="22"/>
          <w:szCs w:val="22"/>
          <w:lang w:val="sv-SE"/>
        </w:rPr>
      </w:pPr>
    </w:p>
    <w:p w14:paraId="5297A9CF" w14:textId="77777777" w:rsidR="00FF48C2" w:rsidRPr="004A59B1" w:rsidRDefault="00FF48C2" w:rsidP="009C1193">
      <w:pPr>
        <w:keepNext/>
        <w:widowControl w:val="0"/>
        <w:numPr>
          <w:ilvl w:val="12"/>
          <w:numId w:val="0"/>
        </w:numPr>
        <w:outlineLvl w:val="0"/>
        <w:rPr>
          <w:b/>
          <w:szCs w:val="22"/>
          <w:lang w:val="sv-SE"/>
        </w:rPr>
      </w:pPr>
      <w:r w:rsidRPr="004A59B1">
        <w:rPr>
          <w:b/>
          <w:szCs w:val="22"/>
          <w:lang w:val="sv-SE"/>
        </w:rPr>
        <w:t>Poročanje o neželenih učinkih</w:t>
      </w:r>
    </w:p>
    <w:p w14:paraId="5297A9D0" w14:textId="77777777" w:rsidR="00FF48C2" w:rsidRPr="004A59B1" w:rsidRDefault="00FF48C2" w:rsidP="009C1193">
      <w:pPr>
        <w:widowControl w:val="0"/>
        <w:rPr>
          <w:szCs w:val="22"/>
          <w:lang w:val="sv-SE"/>
        </w:rPr>
      </w:pPr>
      <w:r w:rsidRPr="004A59B1">
        <w:rPr>
          <w:szCs w:val="22"/>
          <w:lang w:val="sv-SE"/>
        </w:rPr>
        <w:t>Če opazite kater</w:t>
      </w:r>
      <w:r w:rsidR="004F2C52">
        <w:rPr>
          <w:szCs w:val="22"/>
          <w:lang w:val="sv-SE"/>
        </w:rPr>
        <w:t>ega</w:t>
      </w:r>
      <w:r w:rsidRPr="004A59B1">
        <w:rPr>
          <w:szCs w:val="22"/>
          <w:lang w:val="sv-SE"/>
        </w:rPr>
        <w:t xml:space="preserve"> koli </w:t>
      </w:r>
      <w:r w:rsidR="004F2C52">
        <w:rPr>
          <w:szCs w:val="22"/>
          <w:lang w:val="sv-SE"/>
        </w:rPr>
        <w:t xml:space="preserve">izmed </w:t>
      </w:r>
      <w:r w:rsidRPr="004A59B1">
        <w:rPr>
          <w:szCs w:val="22"/>
          <w:lang w:val="sv-SE"/>
        </w:rPr>
        <w:t>neželeni učink</w:t>
      </w:r>
      <w:r w:rsidR="004F2C52">
        <w:rPr>
          <w:szCs w:val="22"/>
          <w:lang w:val="sv-SE"/>
        </w:rPr>
        <w:t>ov</w:t>
      </w:r>
      <w:r w:rsidRPr="004A59B1">
        <w:rPr>
          <w:szCs w:val="22"/>
          <w:lang w:val="sv-SE"/>
        </w:rPr>
        <w:t xml:space="preserve">, se posvetujte z zdravnikom, farmacevtom ali medicinsko sestro. Posvetujte se tudi, če opazite neželene učinke, ki niso navedeni v tem navodilu. O neželenih učinkih lahko poročate tudi neposredno </w:t>
      </w:r>
      <w:r w:rsidRPr="00B24401">
        <w:rPr>
          <w:szCs w:val="22"/>
          <w:lang w:val="sv-SE"/>
        </w:rPr>
        <w:t xml:space="preserve">na </w:t>
      </w:r>
      <w:r w:rsidRPr="004A59B1">
        <w:rPr>
          <w:szCs w:val="22"/>
          <w:shd w:val="pct15" w:color="auto" w:fill="auto"/>
          <w:lang w:val="sv-SE"/>
        </w:rPr>
        <w:t xml:space="preserve">nacionalni center za poročanje, ki je naveden v </w:t>
      </w:r>
      <w:hyperlink r:id="rId17" w:history="1">
        <w:r w:rsidRPr="004A59B1">
          <w:rPr>
            <w:rStyle w:val="Hyperlink"/>
            <w:noProof/>
            <w:szCs w:val="22"/>
            <w:shd w:val="pct15" w:color="auto" w:fill="auto"/>
            <w:lang w:val="sl-SI"/>
          </w:rPr>
          <w:t>Prilogi V</w:t>
        </w:r>
      </w:hyperlink>
      <w:r w:rsidRPr="004A59B1">
        <w:rPr>
          <w:color w:val="008000"/>
          <w:szCs w:val="22"/>
          <w:lang w:val="sv-SE"/>
        </w:rPr>
        <w:t>.</w:t>
      </w:r>
      <w:r w:rsidRPr="004A59B1">
        <w:rPr>
          <w:szCs w:val="22"/>
          <w:lang w:val="sv-SE"/>
        </w:rPr>
        <w:t xml:space="preserve"> S tem, ko poročate o neželenih učinkih, lahko prispevate k zagotovitvi več informacij o varnosti tega zdravila.</w:t>
      </w:r>
    </w:p>
    <w:p w14:paraId="5297A9D1" w14:textId="77777777" w:rsidR="00FF48C2" w:rsidRPr="004A59B1" w:rsidRDefault="00FF48C2" w:rsidP="009C1193">
      <w:pPr>
        <w:widowControl w:val="0"/>
        <w:numPr>
          <w:ilvl w:val="12"/>
          <w:numId w:val="0"/>
        </w:numPr>
        <w:tabs>
          <w:tab w:val="clear" w:pos="567"/>
        </w:tabs>
        <w:spacing w:line="240" w:lineRule="auto"/>
        <w:ind w:right="-2"/>
        <w:rPr>
          <w:color w:val="000000"/>
          <w:szCs w:val="22"/>
          <w:lang w:val="sv-SE"/>
        </w:rPr>
      </w:pPr>
    </w:p>
    <w:p w14:paraId="5297A9D2" w14:textId="77777777" w:rsidR="00FF48C2" w:rsidRPr="004A59B1" w:rsidRDefault="00FF48C2" w:rsidP="009C1193">
      <w:pPr>
        <w:widowControl w:val="0"/>
        <w:numPr>
          <w:ilvl w:val="12"/>
          <w:numId w:val="0"/>
        </w:numPr>
        <w:tabs>
          <w:tab w:val="clear" w:pos="567"/>
        </w:tabs>
        <w:spacing w:line="240" w:lineRule="auto"/>
        <w:ind w:right="-2"/>
        <w:rPr>
          <w:color w:val="000000"/>
          <w:szCs w:val="22"/>
          <w:lang w:val="sv-SE"/>
        </w:rPr>
      </w:pPr>
    </w:p>
    <w:p w14:paraId="5297A9D3" w14:textId="77777777" w:rsidR="007B1033" w:rsidRPr="004A59B1" w:rsidRDefault="007B1033" w:rsidP="009C1193">
      <w:pPr>
        <w:keepNext/>
        <w:widowControl w:val="0"/>
        <w:numPr>
          <w:ilvl w:val="12"/>
          <w:numId w:val="0"/>
        </w:numPr>
        <w:tabs>
          <w:tab w:val="clear" w:pos="567"/>
        </w:tabs>
        <w:spacing w:line="240" w:lineRule="auto"/>
        <w:ind w:left="567" w:right="-2" w:hanging="567"/>
        <w:rPr>
          <w:color w:val="000000"/>
          <w:szCs w:val="22"/>
          <w:lang w:val="sv-SE"/>
        </w:rPr>
      </w:pPr>
      <w:r w:rsidRPr="004A59B1">
        <w:rPr>
          <w:b/>
          <w:color w:val="000000"/>
          <w:szCs w:val="22"/>
          <w:lang w:val="sv-SE"/>
        </w:rPr>
        <w:t>5.</w:t>
      </w:r>
      <w:r w:rsidRPr="004A59B1">
        <w:rPr>
          <w:b/>
          <w:color w:val="000000"/>
          <w:szCs w:val="22"/>
          <w:lang w:val="sv-SE"/>
        </w:rPr>
        <w:tab/>
        <w:t>Shranjevanje zdravila Glivec</w:t>
      </w:r>
    </w:p>
    <w:p w14:paraId="5297A9D4" w14:textId="77777777" w:rsidR="007B1033" w:rsidRPr="004A59B1" w:rsidRDefault="007B1033" w:rsidP="009C1193">
      <w:pPr>
        <w:keepNext/>
        <w:widowControl w:val="0"/>
        <w:numPr>
          <w:ilvl w:val="12"/>
          <w:numId w:val="0"/>
        </w:numPr>
        <w:tabs>
          <w:tab w:val="clear" w:pos="567"/>
        </w:tabs>
        <w:spacing w:line="240" w:lineRule="auto"/>
        <w:ind w:right="-2"/>
        <w:rPr>
          <w:color w:val="000000"/>
          <w:szCs w:val="22"/>
          <w:lang w:val="sv-SE"/>
        </w:rPr>
      </w:pPr>
    </w:p>
    <w:p w14:paraId="5297A9D5" w14:textId="77777777" w:rsidR="007B1033" w:rsidRPr="004A59B1" w:rsidRDefault="007B1033" w:rsidP="005B2939">
      <w:pPr>
        <w:widowControl w:val="0"/>
        <w:numPr>
          <w:ilvl w:val="0"/>
          <w:numId w:val="10"/>
        </w:numPr>
        <w:tabs>
          <w:tab w:val="clear" w:pos="360"/>
          <w:tab w:val="clear" w:pos="567"/>
        </w:tabs>
        <w:spacing w:line="240" w:lineRule="auto"/>
        <w:ind w:left="567" w:hanging="567"/>
        <w:rPr>
          <w:color w:val="000000"/>
          <w:szCs w:val="22"/>
        </w:rPr>
      </w:pPr>
      <w:r w:rsidRPr="004A59B1">
        <w:rPr>
          <w:color w:val="000000"/>
          <w:szCs w:val="22"/>
        </w:rPr>
        <w:t>Zdravilo shranjujte nedosegljivo otrokom!</w:t>
      </w:r>
    </w:p>
    <w:p w14:paraId="5297A9D6" w14:textId="77777777" w:rsidR="007B1033" w:rsidRPr="004A59B1" w:rsidRDefault="007B1033" w:rsidP="005B2939">
      <w:pPr>
        <w:pStyle w:val="TextChar"/>
        <w:widowControl w:val="0"/>
        <w:numPr>
          <w:ilvl w:val="0"/>
          <w:numId w:val="5"/>
        </w:numPr>
        <w:tabs>
          <w:tab w:val="clear" w:pos="360"/>
          <w:tab w:val="num" w:pos="567"/>
        </w:tabs>
        <w:spacing w:before="0"/>
        <w:ind w:left="567" w:hanging="567"/>
        <w:jc w:val="left"/>
        <w:rPr>
          <w:color w:val="000000"/>
          <w:sz w:val="22"/>
          <w:szCs w:val="22"/>
          <w:lang w:val="en-GB"/>
        </w:rPr>
      </w:pPr>
      <w:r w:rsidRPr="004A59B1">
        <w:rPr>
          <w:color w:val="000000"/>
          <w:sz w:val="22"/>
          <w:szCs w:val="22"/>
        </w:rPr>
        <w:t>Tega zdravila ne smete uporabljati po datumu izteka roka uporabnosti, ki je naveden na škatli</w:t>
      </w:r>
      <w:r w:rsidR="00187761">
        <w:rPr>
          <w:color w:val="000000"/>
          <w:sz w:val="22"/>
          <w:szCs w:val="22"/>
        </w:rPr>
        <w:t xml:space="preserve"> poleg oznake EXP</w:t>
      </w:r>
      <w:r w:rsidRPr="004A59B1">
        <w:rPr>
          <w:color w:val="000000"/>
          <w:sz w:val="22"/>
          <w:szCs w:val="22"/>
          <w:lang w:val="en-GB"/>
        </w:rPr>
        <w:t>.</w:t>
      </w:r>
    </w:p>
    <w:p w14:paraId="5297A9D7" w14:textId="77777777" w:rsidR="007B1033" w:rsidRPr="004A59B1" w:rsidRDefault="007B1033" w:rsidP="005B2939">
      <w:pPr>
        <w:pStyle w:val="TextChar"/>
        <w:widowControl w:val="0"/>
        <w:numPr>
          <w:ilvl w:val="0"/>
          <w:numId w:val="5"/>
        </w:numPr>
        <w:tabs>
          <w:tab w:val="clear" w:pos="360"/>
          <w:tab w:val="num" w:pos="567"/>
        </w:tabs>
        <w:spacing w:before="0"/>
        <w:ind w:left="567" w:hanging="567"/>
        <w:jc w:val="left"/>
        <w:rPr>
          <w:color w:val="000000"/>
          <w:sz w:val="22"/>
          <w:szCs w:val="22"/>
          <w:lang w:val="it-IT"/>
        </w:rPr>
      </w:pPr>
      <w:r w:rsidRPr="004A59B1">
        <w:rPr>
          <w:color w:val="000000"/>
          <w:sz w:val="22"/>
          <w:szCs w:val="22"/>
          <w:lang w:val="it-IT"/>
        </w:rPr>
        <w:lastRenderedPageBreak/>
        <w:t>Shranjujte pri temperaturi do 30 </w:t>
      </w:r>
      <w:r w:rsidRPr="004A59B1">
        <w:rPr>
          <w:color w:val="000000"/>
          <w:sz w:val="22"/>
          <w:szCs w:val="22"/>
        </w:rPr>
        <w:sym w:font="Symbol" w:char="F0B0"/>
      </w:r>
      <w:r w:rsidRPr="004A59B1">
        <w:rPr>
          <w:color w:val="000000"/>
          <w:sz w:val="22"/>
          <w:szCs w:val="22"/>
          <w:lang w:val="it-IT"/>
        </w:rPr>
        <w:t>C.</w:t>
      </w:r>
    </w:p>
    <w:p w14:paraId="5297A9D8" w14:textId="77777777" w:rsidR="007B1033" w:rsidRPr="004A59B1" w:rsidRDefault="007B1033" w:rsidP="005B2939">
      <w:pPr>
        <w:pStyle w:val="TextChar"/>
        <w:widowControl w:val="0"/>
        <w:numPr>
          <w:ilvl w:val="0"/>
          <w:numId w:val="5"/>
        </w:numPr>
        <w:tabs>
          <w:tab w:val="clear" w:pos="360"/>
          <w:tab w:val="num" w:pos="567"/>
        </w:tabs>
        <w:spacing w:before="0"/>
        <w:ind w:left="567" w:hanging="567"/>
        <w:jc w:val="left"/>
        <w:rPr>
          <w:color w:val="000000"/>
          <w:sz w:val="22"/>
          <w:szCs w:val="22"/>
          <w:lang w:val="it-IT"/>
        </w:rPr>
      </w:pPr>
      <w:r w:rsidRPr="004A59B1">
        <w:rPr>
          <w:color w:val="000000"/>
          <w:sz w:val="22"/>
          <w:szCs w:val="22"/>
          <w:lang w:val="it-IT"/>
        </w:rPr>
        <w:t>Shranjujte v originalni ovojnini</w:t>
      </w:r>
      <w:r w:rsidRPr="004A59B1">
        <w:rPr>
          <w:noProof/>
          <w:color w:val="000000"/>
          <w:sz w:val="22"/>
          <w:szCs w:val="22"/>
          <w:lang w:val="sl-SI"/>
        </w:rPr>
        <w:t xml:space="preserve"> za zagotovitev zaščite pred vlago</w:t>
      </w:r>
      <w:r w:rsidRPr="004A59B1">
        <w:rPr>
          <w:color w:val="000000"/>
          <w:sz w:val="22"/>
          <w:szCs w:val="22"/>
          <w:lang w:val="it-IT"/>
        </w:rPr>
        <w:t>.</w:t>
      </w:r>
    </w:p>
    <w:p w14:paraId="5297A9D9" w14:textId="77777777" w:rsidR="007B1033" w:rsidRPr="004A59B1" w:rsidRDefault="007B1033" w:rsidP="005B2939">
      <w:pPr>
        <w:pStyle w:val="TextChar"/>
        <w:widowControl w:val="0"/>
        <w:numPr>
          <w:ilvl w:val="0"/>
          <w:numId w:val="5"/>
        </w:numPr>
        <w:tabs>
          <w:tab w:val="clear" w:pos="360"/>
          <w:tab w:val="num" w:pos="567"/>
        </w:tabs>
        <w:spacing w:before="0"/>
        <w:ind w:left="567" w:hanging="567"/>
        <w:jc w:val="left"/>
        <w:rPr>
          <w:color w:val="000000"/>
          <w:sz w:val="22"/>
          <w:szCs w:val="22"/>
          <w:lang w:val="it-IT"/>
        </w:rPr>
      </w:pPr>
      <w:r w:rsidRPr="004A59B1">
        <w:rPr>
          <w:color w:val="000000"/>
          <w:sz w:val="22"/>
          <w:szCs w:val="22"/>
          <w:lang w:val="it-IT"/>
        </w:rPr>
        <w:t>Ne uporabite škatle, če je poškodovana ali kaže znake, da je bila že odprta.</w:t>
      </w:r>
    </w:p>
    <w:p w14:paraId="5297A9DA" w14:textId="77777777" w:rsidR="00BB317C" w:rsidRPr="004A59B1" w:rsidRDefault="00BB317C" w:rsidP="005B2939">
      <w:pPr>
        <w:pStyle w:val="TextChar"/>
        <w:widowControl w:val="0"/>
        <w:numPr>
          <w:ilvl w:val="0"/>
          <w:numId w:val="5"/>
        </w:numPr>
        <w:tabs>
          <w:tab w:val="clear" w:pos="360"/>
          <w:tab w:val="num" w:pos="567"/>
        </w:tabs>
        <w:spacing w:before="0"/>
        <w:ind w:left="567" w:hanging="567"/>
        <w:jc w:val="left"/>
        <w:rPr>
          <w:color w:val="000000"/>
          <w:sz w:val="22"/>
          <w:szCs w:val="22"/>
          <w:lang w:val="it-IT"/>
        </w:rPr>
      </w:pPr>
      <w:r w:rsidRPr="004A59B1">
        <w:rPr>
          <w:color w:val="000000"/>
          <w:sz w:val="22"/>
          <w:szCs w:val="22"/>
          <w:lang w:val="it-IT"/>
        </w:rPr>
        <w:t>Zdravila ne smete odvreči v odpadne vode ali med gospodinjske odpadke. O načinu odstranjevanja zdravila, ki ga ne uporabljate več, se posvetujte s farmacevtom. Taki ukrepi pomagajo varovati okolje.</w:t>
      </w:r>
    </w:p>
    <w:p w14:paraId="5297A9DB" w14:textId="77777777" w:rsidR="007B1033" w:rsidRPr="004A59B1" w:rsidRDefault="007B1033" w:rsidP="009C1193">
      <w:pPr>
        <w:widowControl w:val="0"/>
        <w:numPr>
          <w:ilvl w:val="12"/>
          <w:numId w:val="0"/>
        </w:numPr>
        <w:tabs>
          <w:tab w:val="clear" w:pos="567"/>
        </w:tabs>
        <w:spacing w:line="240" w:lineRule="auto"/>
        <w:ind w:right="-2"/>
        <w:rPr>
          <w:color w:val="000000"/>
          <w:szCs w:val="22"/>
          <w:lang w:val="it-IT"/>
        </w:rPr>
      </w:pPr>
    </w:p>
    <w:p w14:paraId="5297A9DC" w14:textId="77777777" w:rsidR="007B1033" w:rsidRPr="004A59B1" w:rsidRDefault="007B1033" w:rsidP="009C1193">
      <w:pPr>
        <w:widowControl w:val="0"/>
        <w:numPr>
          <w:ilvl w:val="12"/>
          <w:numId w:val="0"/>
        </w:numPr>
        <w:tabs>
          <w:tab w:val="clear" w:pos="567"/>
        </w:tabs>
        <w:spacing w:line="240" w:lineRule="auto"/>
        <w:ind w:right="-2"/>
        <w:rPr>
          <w:color w:val="000000"/>
          <w:szCs w:val="22"/>
          <w:lang w:val="it-IT"/>
        </w:rPr>
      </w:pPr>
    </w:p>
    <w:p w14:paraId="5297A9DD" w14:textId="77777777" w:rsidR="00841424" w:rsidRPr="004A59B1" w:rsidRDefault="00841424" w:rsidP="009C1193">
      <w:pPr>
        <w:keepNext/>
        <w:widowControl w:val="0"/>
        <w:numPr>
          <w:ilvl w:val="12"/>
          <w:numId w:val="0"/>
        </w:numPr>
        <w:tabs>
          <w:tab w:val="clear" w:pos="567"/>
        </w:tabs>
        <w:spacing w:line="240" w:lineRule="auto"/>
        <w:rPr>
          <w:caps/>
          <w:color w:val="000000"/>
          <w:szCs w:val="22"/>
          <w:lang w:val="da-DK"/>
        </w:rPr>
      </w:pPr>
      <w:r w:rsidRPr="004A59B1">
        <w:rPr>
          <w:b/>
          <w:caps/>
          <w:color w:val="000000"/>
          <w:szCs w:val="22"/>
          <w:lang w:val="da-DK"/>
        </w:rPr>
        <w:t>6.</w:t>
      </w:r>
      <w:r w:rsidRPr="004A59B1">
        <w:rPr>
          <w:b/>
          <w:caps/>
          <w:color w:val="000000"/>
          <w:szCs w:val="22"/>
          <w:lang w:val="da-DK"/>
        </w:rPr>
        <w:tab/>
      </w:r>
      <w:r w:rsidR="00A265DB" w:rsidRPr="004A59B1">
        <w:rPr>
          <w:b/>
          <w:color w:val="000000"/>
          <w:szCs w:val="22"/>
          <w:lang w:val="da-DK"/>
        </w:rPr>
        <w:t>Vsebina pakiranja in dodatne informacije</w:t>
      </w:r>
    </w:p>
    <w:p w14:paraId="5297A9DE" w14:textId="77777777" w:rsidR="00841424" w:rsidRPr="004A59B1" w:rsidRDefault="00841424" w:rsidP="009C1193">
      <w:pPr>
        <w:keepNext/>
        <w:widowControl w:val="0"/>
        <w:numPr>
          <w:ilvl w:val="12"/>
          <w:numId w:val="0"/>
        </w:numPr>
        <w:tabs>
          <w:tab w:val="clear" w:pos="567"/>
        </w:tabs>
        <w:spacing w:line="240" w:lineRule="auto"/>
        <w:rPr>
          <w:bCs/>
          <w:color w:val="000000"/>
          <w:szCs w:val="22"/>
          <w:lang w:val="da-DK"/>
        </w:rPr>
      </w:pPr>
    </w:p>
    <w:p w14:paraId="5297A9DF" w14:textId="77777777" w:rsidR="00841424" w:rsidRPr="004A59B1" w:rsidRDefault="00841424" w:rsidP="009C1193">
      <w:pPr>
        <w:keepNext/>
        <w:widowControl w:val="0"/>
        <w:numPr>
          <w:ilvl w:val="12"/>
          <w:numId w:val="0"/>
        </w:numPr>
        <w:tabs>
          <w:tab w:val="clear" w:pos="567"/>
        </w:tabs>
        <w:spacing w:line="240" w:lineRule="auto"/>
        <w:rPr>
          <w:b/>
          <w:bCs/>
          <w:color w:val="000000"/>
          <w:szCs w:val="22"/>
          <w:lang w:val="da-DK"/>
        </w:rPr>
      </w:pPr>
      <w:r w:rsidRPr="004A59B1">
        <w:rPr>
          <w:b/>
          <w:bCs/>
          <w:color w:val="000000"/>
          <w:szCs w:val="22"/>
          <w:lang w:val="da-DK"/>
        </w:rPr>
        <w:t>Kaj vsebuje zdravilo Glivec</w:t>
      </w:r>
    </w:p>
    <w:p w14:paraId="24977F90" w14:textId="77777777" w:rsidR="00547217" w:rsidRDefault="005C5CA7" w:rsidP="009C1193">
      <w:pPr>
        <w:keepNext/>
        <w:widowControl w:val="0"/>
        <w:numPr>
          <w:ilvl w:val="0"/>
          <w:numId w:val="1"/>
        </w:numPr>
        <w:tabs>
          <w:tab w:val="clear" w:pos="567"/>
        </w:tabs>
        <w:spacing w:line="240" w:lineRule="auto"/>
        <w:ind w:left="567" w:hanging="567"/>
        <w:rPr>
          <w:color w:val="000000"/>
          <w:szCs w:val="22"/>
          <w:lang w:val="da-DK"/>
        </w:rPr>
      </w:pPr>
      <w:r>
        <w:rPr>
          <w:color w:val="000000"/>
          <w:szCs w:val="22"/>
          <w:lang w:val="da-DK"/>
        </w:rPr>
        <w:t>U</w:t>
      </w:r>
      <w:r w:rsidR="00841424" w:rsidRPr="004A59B1">
        <w:rPr>
          <w:color w:val="000000"/>
          <w:szCs w:val="22"/>
          <w:lang w:val="da-DK"/>
        </w:rPr>
        <w:t>činkovina je imatinibijev mesilat.</w:t>
      </w:r>
    </w:p>
    <w:p w14:paraId="5297A9E0" w14:textId="486685D5" w:rsidR="00841424" w:rsidRDefault="00841424" w:rsidP="002227FB">
      <w:pPr>
        <w:keepNext/>
        <w:widowControl w:val="0"/>
        <w:numPr>
          <w:ilvl w:val="0"/>
          <w:numId w:val="1"/>
        </w:numPr>
        <w:tabs>
          <w:tab w:val="clear" w:pos="567"/>
        </w:tabs>
        <w:spacing w:line="240" w:lineRule="auto"/>
        <w:ind w:left="1134" w:hanging="567"/>
        <w:rPr>
          <w:color w:val="000000"/>
          <w:szCs w:val="22"/>
          <w:lang w:val="da-DK"/>
        </w:rPr>
      </w:pPr>
      <w:r w:rsidRPr="004A59B1">
        <w:rPr>
          <w:color w:val="000000"/>
          <w:szCs w:val="22"/>
          <w:lang w:val="da-DK"/>
        </w:rPr>
        <w:t xml:space="preserve">Ena </w:t>
      </w:r>
      <w:r w:rsidR="00547217">
        <w:rPr>
          <w:color w:val="000000"/>
          <w:szCs w:val="22"/>
          <w:lang w:val="da-DK"/>
        </w:rPr>
        <w:t>100</w:t>
      </w:r>
      <w:r w:rsidR="00BA5318">
        <w:rPr>
          <w:color w:val="000000"/>
          <w:szCs w:val="22"/>
          <w:lang w:val="da-DK"/>
        </w:rPr>
        <w:t>-</w:t>
      </w:r>
      <w:r w:rsidR="00547217">
        <w:rPr>
          <w:color w:val="000000"/>
          <w:szCs w:val="22"/>
          <w:lang w:val="da-DK"/>
        </w:rPr>
        <w:t>m</w:t>
      </w:r>
      <w:r w:rsidR="00BA5318">
        <w:rPr>
          <w:color w:val="000000"/>
          <w:szCs w:val="22"/>
          <w:lang w:val="da-DK"/>
        </w:rPr>
        <w:t>iligramska</w:t>
      </w:r>
      <w:r w:rsidR="00547217">
        <w:rPr>
          <w:color w:val="000000"/>
          <w:szCs w:val="22"/>
          <w:lang w:val="da-DK"/>
        </w:rPr>
        <w:t xml:space="preserve"> </w:t>
      </w:r>
      <w:r w:rsidRPr="004A59B1">
        <w:rPr>
          <w:color w:val="000000"/>
          <w:szCs w:val="22"/>
          <w:lang w:val="da-DK"/>
        </w:rPr>
        <w:t xml:space="preserve">tableta zdravila Glivec vsebuje 100 mg imatiniba </w:t>
      </w:r>
      <w:r w:rsidR="00A265DB" w:rsidRPr="004A59B1">
        <w:rPr>
          <w:color w:val="000000"/>
          <w:szCs w:val="22"/>
          <w:lang w:val="da-DK"/>
        </w:rPr>
        <w:t xml:space="preserve">(v obliki </w:t>
      </w:r>
      <w:r w:rsidRPr="004A59B1">
        <w:rPr>
          <w:color w:val="000000"/>
          <w:szCs w:val="22"/>
          <w:lang w:val="da-DK"/>
        </w:rPr>
        <w:t>mesilata</w:t>
      </w:r>
      <w:r w:rsidR="00A265DB" w:rsidRPr="004A59B1">
        <w:rPr>
          <w:color w:val="000000"/>
          <w:szCs w:val="22"/>
          <w:lang w:val="da-DK"/>
        </w:rPr>
        <w:t>)</w:t>
      </w:r>
      <w:r w:rsidRPr="004A59B1">
        <w:rPr>
          <w:color w:val="000000"/>
          <w:szCs w:val="22"/>
          <w:lang w:val="da-DK"/>
        </w:rPr>
        <w:t>.</w:t>
      </w:r>
    </w:p>
    <w:p w14:paraId="056375DB" w14:textId="5B448CCD" w:rsidR="00547217" w:rsidRPr="004A59B1" w:rsidRDefault="00547217" w:rsidP="002227FB">
      <w:pPr>
        <w:keepNext/>
        <w:widowControl w:val="0"/>
        <w:numPr>
          <w:ilvl w:val="0"/>
          <w:numId w:val="1"/>
        </w:numPr>
        <w:tabs>
          <w:tab w:val="clear" w:pos="567"/>
        </w:tabs>
        <w:spacing w:line="240" w:lineRule="auto"/>
        <w:ind w:left="1134" w:hanging="567"/>
        <w:rPr>
          <w:color w:val="000000"/>
          <w:szCs w:val="22"/>
          <w:lang w:val="da-DK"/>
        </w:rPr>
      </w:pPr>
      <w:r w:rsidRPr="004A59B1">
        <w:rPr>
          <w:color w:val="000000"/>
          <w:szCs w:val="22"/>
          <w:lang w:val="da-DK"/>
        </w:rPr>
        <w:t xml:space="preserve">Ena </w:t>
      </w:r>
      <w:r>
        <w:rPr>
          <w:color w:val="000000"/>
          <w:szCs w:val="22"/>
          <w:lang w:val="da-DK"/>
        </w:rPr>
        <w:t>400</w:t>
      </w:r>
      <w:r w:rsidR="00BA5318">
        <w:rPr>
          <w:color w:val="000000"/>
          <w:szCs w:val="22"/>
          <w:lang w:val="da-DK"/>
        </w:rPr>
        <w:t>-</w:t>
      </w:r>
      <w:r>
        <w:rPr>
          <w:color w:val="000000"/>
          <w:szCs w:val="22"/>
          <w:lang w:val="da-DK"/>
        </w:rPr>
        <w:t>m</w:t>
      </w:r>
      <w:r w:rsidR="00BA5318">
        <w:rPr>
          <w:color w:val="000000"/>
          <w:szCs w:val="22"/>
          <w:lang w:val="da-DK"/>
        </w:rPr>
        <w:t>iligramska</w:t>
      </w:r>
      <w:r>
        <w:rPr>
          <w:color w:val="000000"/>
          <w:szCs w:val="22"/>
          <w:lang w:val="da-DK"/>
        </w:rPr>
        <w:t xml:space="preserve"> </w:t>
      </w:r>
      <w:r w:rsidRPr="004A59B1">
        <w:rPr>
          <w:color w:val="000000"/>
          <w:szCs w:val="22"/>
          <w:lang w:val="da-DK"/>
        </w:rPr>
        <w:t>t</w:t>
      </w:r>
      <w:r>
        <w:rPr>
          <w:color w:val="000000"/>
          <w:szCs w:val="22"/>
          <w:lang w:val="da-DK"/>
        </w:rPr>
        <w:t>ableta zdravila Glivec vsebuje 4</w:t>
      </w:r>
      <w:r w:rsidRPr="004A59B1">
        <w:rPr>
          <w:color w:val="000000"/>
          <w:szCs w:val="22"/>
          <w:lang w:val="da-DK"/>
        </w:rPr>
        <w:t>00 mg imatiniba (v obliki mesilata).</w:t>
      </w:r>
    </w:p>
    <w:p w14:paraId="5297A9E1" w14:textId="77777777" w:rsidR="00841424" w:rsidRPr="004A59B1" w:rsidRDefault="00A265DB" w:rsidP="009C1193">
      <w:pPr>
        <w:widowControl w:val="0"/>
        <w:numPr>
          <w:ilvl w:val="0"/>
          <w:numId w:val="1"/>
        </w:numPr>
        <w:tabs>
          <w:tab w:val="clear" w:pos="567"/>
        </w:tabs>
        <w:spacing w:line="240" w:lineRule="auto"/>
        <w:ind w:left="567" w:right="-2" w:hanging="567"/>
        <w:rPr>
          <w:color w:val="000000"/>
          <w:szCs w:val="22"/>
          <w:lang w:val="da-DK"/>
        </w:rPr>
      </w:pPr>
      <w:r w:rsidRPr="004A59B1">
        <w:rPr>
          <w:color w:val="000000"/>
          <w:szCs w:val="22"/>
          <w:lang w:val="da-DK"/>
        </w:rPr>
        <w:t>Druge sestavine zdravila</w:t>
      </w:r>
      <w:r w:rsidR="00841424" w:rsidRPr="004A59B1">
        <w:rPr>
          <w:color w:val="000000"/>
          <w:szCs w:val="22"/>
          <w:lang w:val="da-DK"/>
        </w:rPr>
        <w:t xml:space="preserve"> so mikrokristalna celuloza, krospovidon, hipromeloza, magnezijev stearat in brezvoden koloidni silicijev dioksid.</w:t>
      </w:r>
    </w:p>
    <w:p w14:paraId="5297A9E2" w14:textId="77777777" w:rsidR="00841424" w:rsidRPr="004A59B1" w:rsidRDefault="00841424" w:rsidP="009C1193">
      <w:pPr>
        <w:widowControl w:val="0"/>
        <w:numPr>
          <w:ilvl w:val="0"/>
          <w:numId w:val="1"/>
        </w:numPr>
        <w:tabs>
          <w:tab w:val="clear" w:pos="567"/>
        </w:tabs>
        <w:spacing w:line="240" w:lineRule="auto"/>
        <w:ind w:left="567" w:right="-2" w:hanging="567"/>
        <w:rPr>
          <w:color w:val="000000"/>
          <w:szCs w:val="22"/>
          <w:lang w:val="da-DK"/>
        </w:rPr>
      </w:pPr>
      <w:r w:rsidRPr="004A59B1">
        <w:rPr>
          <w:color w:val="000000"/>
          <w:szCs w:val="22"/>
          <w:lang w:val="da-DK"/>
        </w:rPr>
        <w:t>Obloga tablete je iz rdečega železovega oksida (E172), rumenega železovega oksida (E172), makrogola, smukca in hipromeloze.</w:t>
      </w:r>
    </w:p>
    <w:p w14:paraId="5297A9E3" w14:textId="77777777" w:rsidR="00841424" w:rsidRPr="004A59B1" w:rsidRDefault="00841424" w:rsidP="009C1193">
      <w:pPr>
        <w:widowControl w:val="0"/>
        <w:tabs>
          <w:tab w:val="clear" w:pos="567"/>
        </w:tabs>
        <w:spacing w:line="240" w:lineRule="auto"/>
        <w:ind w:right="-2"/>
        <w:rPr>
          <w:color w:val="000000"/>
          <w:szCs w:val="22"/>
          <w:lang w:val="da-DK"/>
        </w:rPr>
      </w:pPr>
    </w:p>
    <w:p w14:paraId="5297A9E4" w14:textId="77777777" w:rsidR="00841424" w:rsidRPr="004A59B1" w:rsidRDefault="00841424" w:rsidP="009C1193">
      <w:pPr>
        <w:keepNext/>
        <w:widowControl w:val="0"/>
        <w:numPr>
          <w:ilvl w:val="12"/>
          <w:numId w:val="0"/>
        </w:numPr>
        <w:tabs>
          <w:tab w:val="clear" w:pos="567"/>
        </w:tabs>
        <w:spacing w:line="240" w:lineRule="auto"/>
        <w:ind w:right="-2"/>
        <w:rPr>
          <w:b/>
          <w:bCs/>
          <w:color w:val="000000"/>
          <w:szCs w:val="22"/>
          <w:lang w:val="da-DK"/>
        </w:rPr>
      </w:pPr>
      <w:r w:rsidRPr="004A59B1">
        <w:rPr>
          <w:b/>
          <w:bCs/>
          <w:color w:val="000000"/>
          <w:szCs w:val="22"/>
          <w:lang w:val="da-DK"/>
        </w:rPr>
        <w:t>Izgled zdravila Glivec in vsebina pakiranja</w:t>
      </w:r>
    </w:p>
    <w:p w14:paraId="5297A9E5" w14:textId="512A109F" w:rsidR="00841424" w:rsidRDefault="00841424" w:rsidP="009C1193">
      <w:pPr>
        <w:widowControl w:val="0"/>
        <w:tabs>
          <w:tab w:val="clear" w:pos="567"/>
        </w:tabs>
        <w:spacing w:line="240" w:lineRule="auto"/>
        <w:rPr>
          <w:color w:val="000000"/>
          <w:szCs w:val="22"/>
          <w:lang w:val="pl-PL"/>
        </w:rPr>
      </w:pPr>
      <w:r w:rsidRPr="004A59B1">
        <w:rPr>
          <w:color w:val="000000"/>
          <w:szCs w:val="22"/>
          <w:lang w:val="da-DK"/>
        </w:rPr>
        <w:t xml:space="preserve">Glivec 100 mg filmsko obložene tablete so zelo temno rumene do rjavkastooranžne okrogle tablete. </w:t>
      </w:r>
      <w:r w:rsidRPr="004A59B1">
        <w:rPr>
          <w:color w:val="000000"/>
          <w:szCs w:val="22"/>
          <w:lang w:val="pl-PL"/>
        </w:rPr>
        <w:t>Na eni strani imajo oznako “NVR”, na drugi pa oznako “SA” in zarezo.</w:t>
      </w:r>
    </w:p>
    <w:p w14:paraId="16A0F448" w14:textId="77777777" w:rsidR="00D010A3" w:rsidRPr="004A59B1" w:rsidRDefault="00D010A3" w:rsidP="00D010A3">
      <w:pPr>
        <w:widowControl w:val="0"/>
        <w:tabs>
          <w:tab w:val="clear" w:pos="567"/>
        </w:tabs>
        <w:spacing w:line="240" w:lineRule="auto"/>
        <w:rPr>
          <w:color w:val="000000"/>
          <w:szCs w:val="22"/>
          <w:lang w:val="da-DK"/>
        </w:rPr>
      </w:pPr>
      <w:r w:rsidRPr="004A59B1">
        <w:rPr>
          <w:color w:val="000000"/>
          <w:szCs w:val="22"/>
          <w:lang w:val="da-DK"/>
        </w:rPr>
        <w:t>Glivec 400 mg filmsko obložene tablete so zelo temno rumene do rjavkastooranžne ovalne tablete.</w:t>
      </w:r>
    </w:p>
    <w:p w14:paraId="55CC8DA2" w14:textId="2029226F" w:rsidR="00D010A3" w:rsidRPr="004A59B1" w:rsidRDefault="00D010A3" w:rsidP="009C1193">
      <w:pPr>
        <w:widowControl w:val="0"/>
        <w:tabs>
          <w:tab w:val="clear" w:pos="567"/>
        </w:tabs>
        <w:spacing w:line="240" w:lineRule="auto"/>
        <w:rPr>
          <w:color w:val="000000"/>
          <w:szCs w:val="22"/>
          <w:lang w:val="pl-PL"/>
        </w:rPr>
      </w:pPr>
      <w:r w:rsidRPr="004A59B1">
        <w:rPr>
          <w:color w:val="000000"/>
          <w:szCs w:val="22"/>
          <w:lang w:val="da-DK"/>
        </w:rPr>
        <w:t>Na eni strani imajo oznako “glivec”.</w:t>
      </w:r>
    </w:p>
    <w:p w14:paraId="5297A9E6" w14:textId="77777777" w:rsidR="00841424" w:rsidRPr="004A59B1" w:rsidRDefault="00841424" w:rsidP="009C1193">
      <w:pPr>
        <w:widowControl w:val="0"/>
        <w:numPr>
          <w:ilvl w:val="12"/>
          <w:numId w:val="0"/>
        </w:numPr>
        <w:tabs>
          <w:tab w:val="clear" w:pos="567"/>
        </w:tabs>
        <w:spacing w:line="240" w:lineRule="auto"/>
        <w:ind w:right="-2"/>
        <w:rPr>
          <w:color w:val="000000"/>
          <w:szCs w:val="22"/>
          <w:u w:val="single"/>
          <w:lang w:val="pl-PL"/>
        </w:rPr>
      </w:pPr>
    </w:p>
    <w:p w14:paraId="1719F1E4" w14:textId="1A157BBF" w:rsidR="00D010A3" w:rsidRDefault="00D010A3" w:rsidP="009C1193">
      <w:pPr>
        <w:widowControl w:val="0"/>
        <w:numPr>
          <w:ilvl w:val="12"/>
          <w:numId w:val="0"/>
        </w:numPr>
        <w:tabs>
          <w:tab w:val="clear" w:pos="567"/>
        </w:tabs>
        <w:spacing w:line="240" w:lineRule="auto"/>
        <w:ind w:right="-2"/>
        <w:rPr>
          <w:color w:val="000000"/>
          <w:szCs w:val="22"/>
          <w:lang w:val="pl-PL"/>
        </w:rPr>
      </w:pPr>
      <w:r w:rsidRPr="004A59B1">
        <w:rPr>
          <w:color w:val="000000"/>
          <w:szCs w:val="22"/>
          <w:lang w:val="da-DK"/>
        </w:rPr>
        <w:t xml:space="preserve">Glivec 100 mg filmsko obložene tablete </w:t>
      </w:r>
      <w:r>
        <w:rPr>
          <w:color w:val="000000"/>
          <w:szCs w:val="22"/>
          <w:lang w:val="da-DK"/>
        </w:rPr>
        <w:t xml:space="preserve"> so </w:t>
      </w:r>
      <w:r>
        <w:rPr>
          <w:color w:val="000000"/>
          <w:szCs w:val="22"/>
          <w:lang w:val="pl-PL"/>
        </w:rPr>
        <w:t>n</w:t>
      </w:r>
      <w:r w:rsidR="00841424" w:rsidRPr="004A59B1">
        <w:rPr>
          <w:color w:val="000000"/>
          <w:szCs w:val="22"/>
          <w:lang w:val="pl-PL"/>
        </w:rPr>
        <w:t>a tržišču v škatlah po 20, 60, 120 ali 180 tablet</w:t>
      </w:r>
      <w:r>
        <w:rPr>
          <w:color w:val="000000"/>
          <w:szCs w:val="22"/>
          <w:lang w:val="pl-PL"/>
        </w:rPr>
        <w:t>.</w:t>
      </w:r>
      <w:r w:rsidR="00841424" w:rsidRPr="004A59B1">
        <w:rPr>
          <w:color w:val="000000"/>
          <w:szCs w:val="22"/>
          <w:lang w:val="pl-PL"/>
        </w:rPr>
        <w:t xml:space="preserve"> </w:t>
      </w:r>
      <w:r w:rsidRPr="004A59B1">
        <w:rPr>
          <w:color w:val="000000"/>
          <w:szCs w:val="22"/>
          <w:lang w:val="da-DK"/>
        </w:rPr>
        <w:t xml:space="preserve">Glivec 400 mg filmsko obložene </w:t>
      </w:r>
      <w:r>
        <w:rPr>
          <w:color w:val="000000"/>
          <w:szCs w:val="22"/>
          <w:lang w:val="da-DK"/>
        </w:rPr>
        <w:t xml:space="preserve">tablete so </w:t>
      </w:r>
      <w:r>
        <w:rPr>
          <w:color w:val="000000"/>
          <w:szCs w:val="22"/>
          <w:lang w:val="pl-PL"/>
        </w:rPr>
        <w:t>n</w:t>
      </w:r>
      <w:r w:rsidRPr="004A59B1">
        <w:rPr>
          <w:color w:val="000000"/>
          <w:szCs w:val="22"/>
          <w:lang w:val="pl-PL"/>
        </w:rPr>
        <w:t xml:space="preserve">a tržišču </w:t>
      </w:r>
      <w:r>
        <w:rPr>
          <w:color w:val="000000"/>
          <w:szCs w:val="22"/>
          <w:lang w:val="pl-PL"/>
        </w:rPr>
        <w:t>v škatlah po 10, 3</w:t>
      </w:r>
      <w:r w:rsidRPr="004A59B1">
        <w:rPr>
          <w:color w:val="000000"/>
          <w:szCs w:val="22"/>
          <w:lang w:val="pl-PL"/>
        </w:rPr>
        <w:t>0</w:t>
      </w:r>
      <w:r>
        <w:rPr>
          <w:color w:val="000000"/>
          <w:szCs w:val="22"/>
          <w:lang w:val="pl-PL"/>
        </w:rPr>
        <w:t xml:space="preserve"> ali 9</w:t>
      </w:r>
      <w:r w:rsidRPr="004A59B1">
        <w:rPr>
          <w:color w:val="000000"/>
          <w:szCs w:val="22"/>
          <w:lang w:val="pl-PL"/>
        </w:rPr>
        <w:t>0 tablet</w:t>
      </w:r>
      <w:r>
        <w:rPr>
          <w:color w:val="000000"/>
          <w:szCs w:val="22"/>
          <w:lang w:val="pl-PL"/>
        </w:rPr>
        <w:t>.</w:t>
      </w:r>
    </w:p>
    <w:p w14:paraId="5297A9E7" w14:textId="45391B90" w:rsidR="00841424" w:rsidRPr="004A59B1" w:rsidRDefault="00D010A3" w:rsidP="009C1193">
      <w:pPr>
        <w:widowControl w:val="0"/>
        <w:numPr>
          <w:ilvl w:val="12"/>
          <w:numId w:val="0"/>
        </w:numPr>
        <w:tabs>
          <w:tab w:val="clear" w:pos="567"/>
        </w:tabs>
        <w:spacing w:line="240" w:lineRule="auto"/>
        <w:ind w:right="-2"/>
        <w:rPr>
          <w:color w:val="000000"/>
          <w:szCs w:val="22"/>
          <w:lang w:val="pl-PL"/>
        </w:rPr>
      </w:pPr>
      <w:r>
        <w:rPr>
          <w:color w:val="000000"/>
          <w:szCs w:val="22"/>
          <w:lang w:val="pl-PL"/>
        </w:rPr>
        <w:t>M</w:t>
      </w:r>
      <w:r w:rsidR="00841424" w:rsidRPr="004A59B1">
        <w:rPr>
          <w:color w:val="000000"/>
          <w:szCs w:val="22"/>
          <w:lang w:val="pl-PL"/>
        </w:rPr>
        <w:t>ožno</w:t>
      </w:r>
      <w:r>
        <w:rPr>
          <w:color w:val="000000"/>
          <w:szCs w:val="22"/>
          <w:lang w:val="pl-PL"/>
        </w:rPr>
        <w:t xml:space="preserve"> je</w:t>
      </w:r>
      <w:r w:rsidR="00841424" w:rsidRPr="004A59B1">
        <w:rPr>
          <w:color w:val="000000"/>
          <w:szCs w:val="22"/>
          <w:lang w:val="pl-PL"/>
        </w:rPr>
        <w:t>, da na trgu ni vseh navedenih pakiranj.</w:t>
      </w:r>
    </w:p>
    <w:p w14:paraId="5297A9E8" w14:textId="77777777" w:rsidR="00841424" w:rsidRPr="00BD5EB8" w:rsidRDefault="00841424" w:rsidP="009C1193">
      <w:pPr>
        <w:widowControl w:val="0"/>
        <w:numPr>
          <w:ilvl w:val="12"/>
          <w:numId w:val="0"/>
        </w:numPr>
        <w:tabs>
          <w:tab w:val="clear" w:pos="567"/>
        </w:tabs>
        <w:spacing w:line="240" w:lineRule="auto"/>
        <w:ind w:right="-2"/>
        <w:rPr>
          <w:szCs w:val="22"/>
          <w:u w:val="single"/>
          <w:lang w:val="pl-PL"/>
        </w:rPr>
      </w:pPr>
    </w:p>
    <w:p w14:paraId="5297A9E9" w14:textId="77777777" w:rsidR="00841424" w:rsidRPr="00BD5EB8" w:rsidRDefault="00841424" w:rsidP="009C1193">
      <w:pPr>
        <w:keepNext/>
        <w:widowControl w:val="0"/>
        <w:numPr>
          <w:ilvl w:val="12"/>
          <w:numId w:val="0"/>
        </w:numPr>
        <w:tabs>
          <w:tab w:val="clear" w:pos="567"/>
        </w:tabs>
        <w:spacing w:line="240" w:lineRule="auto"/>
        <w:ind w:right="-2"/>
        <w:rPr>
          <w:b/>
          <w:szCs w:val="22"/>
          <w:lang w:val="pl-PL"/>
        </w:rPr>
      </w:pPr>
      <w:r w:rsidRPr="00BD5EB8">
        <w:rPr>
          <w:b/>
          <w:szCs w:val="22"/>
          <w:lang w:val="pl-PL"/>
        </w:rPr>
        <w:t>Imetnik dovoljenja za promet z zdravilom</w:t>
      </w:r>
    </w:p>
    <w:p w14:paraId="5297A9EA" w14:textId="77777777" w:rsidR="00841424" w:rsidRPr="00BD5EB8" w:rsidRDefault="00841424" w:rsidP="009C1193">
      <w:pPr>
        <w:pStyle w:val="EndnoteText"/>
        <w:keepNext/>
        <w:widowControl w:val="0"/>
        <w:tabs>
          <w:tab w:val="clear" w:pos="567"/>
        </w:tabs>
        <w:rPr>
          <w:szCs w:val="22"/>
        </w:rPr>
      </w:pPr>
      <w:r w:rsidRPr="00BD5EB8">
        <w:rPr>
          <w:szCs w:val="22"/>
        </w:rPr>
        <w:t>Novartis Europharm Limited</w:t>
      </w:r>
    </w:p>
    <w:p w14:paraId="5297A9EB" w14:textId="77777777" w:rsidR="001A1DF7" w:rsidRPr="00BD5EB8" w:rsidRDefault="001A1DF7" w:rsidP="009C1193">
      <w:pPr>
        <w:keepNext/>
        <w:widowControl w:val="0"/>
        <w:spacing w:line="240" w:lineRule="auto"/>
        <w:rPr>
          <w:szCs w:val="22"/>
        </w:rPr>
      </w:pPr>
      <w:r w:rsidRPr="00BD5EB8">
        <w:rPr>
          <w:szCs w:val="22"/>
        </w:rPr>
        <w:t>Vista Building</w:t>
      </w:r>
    </w:p>
    <w:p w14:paraId="5297A9EC" w14:textId="77777777" w:rsidR="001A1DF7" w:rsidRPr="00BD5EB8" w:rsidRDefault="001A1DF7" w:rsidP="009C1193">
      <w:pPr>
        <w:keepNext/>
        <w:widowControl w:val="0"/>
        <w:spacing w:line="240" w:lineRule="auto"/>
        <w:rPr>
          <w:szCs w:val="22"/>
        </w:rPr>
      </w:pPr>
      <w:r w:rsidRPr="00BD5EB8">
        <w:rPr>
          <w:szCs w:val="22"/>
        </w:rPr>
        <w:t>Elm Park, Merrion Road</w:t>
      </w:r>
    </w:p>
    <w:p w14:paraId="5297A9ED" w14:textId="77777777" w:rsidR="001A1DF7" w:rsidRPr="00BD5EB8" w:rsidRDefault="001A1DF7" w:rsidP="009C1193">
      <w:pPr>
        <w:keepNext/>
        <w:widowControl w:val="0"/>
        <w:spacing w:line="240" w:lineRule="auto"/>
        <w:rPr>
          <w:szCs w:val="22"/>
        </w:rPr>
      </w:pPr>
      <w:r w:rsidRPr="00BD5EB8">
        <w:rPr>
          <w:szCs w:val="22"/>
        </w:rPr>
        <w:t>Dublin 4</w:t>
      </w:r>
    </w:p>
    <w:p w14:paraId="5297A9EE" w14:textId="77777777" w:rsidR="001A1DF7" w:rsidRPr="00BD5EB8" w:rsidRDefault="001A1DF7" w:rsidP="009C1193">
      <w:pPr>
        <w:widowControl w:val="0"/>
        <w:spacing w:line="240" w:lineRule="auto"/>
        <w:rPr>
          <w:szCs w:val="22"/>
        </w:rPr>
      </w:pPr>
      <w:r w:rsidRPr="00BD5EB8">
        <w:rPr>
          <w:szCs w:val="22"/>
        </w:rPr>
        <w:t>Irska</w:t>
      </w:r>
    </w:p>
    <w:p w14:paraId="5297A9EF" w14:textId="77777777" w:rsidR="00841424" w:rsidRPr="00BD5EB8" w:rsidRDefault="00841424" w:rsidP="009C1193">
      <w:pPr>
        <w:pStyle w:val="TextChar"/>
        <w:widowControl w:val="0"/>
        <w:spacing w:before="0"/>
        <w:jc w:val="left"/>
        <w:rPr>
          <w:sz w:val="22"/>
          <w:szCs w:val="22"/>
          <w:lang w:val="es-ES"/>
        </w:rPr>
      </w:pPr>
    </w:p>
    <w:p w14:paraId="5297A9F0" w14:textId="77777777" w:rsidR="00841424" w:rsidRPr="00BD5EB8" w:rsidRDefault="00841424" w:rsidP="009C1193">
      <w:pPr>
        <w:pStyle w:val="Heading2"/>
        <w:widowControl w:val="0"/>
        <w:spacing w:before="0" w:after="0" w:line="240" w:lineRule="auto"/>
        <w:rPr>
          <w:rFonts w:ascii="Times New Roman" w:hAnsi="Times New Roman"/>
          <w:i w:val="0"/>
          <w:sz w:val="22"/>
          <w:szCs w:val="22"/>
          <w:lang w:val="es-ES"/>
        </w:rPr>
      </w:pPr>
      <w:r w:rsidRPr="00BD5EB8">
        <w:rPr>
          <w:rFonts w:ascii="Times New Roman" w:hAnsi="Times New Roman"/>
          <w:i w:val="0"/>
          <w:sz w:val="22"/>
          <w:szCs w:val="22"/>
          <w:lang w:val="es-ES"/>
        </w:rPr>
        <w:t>Izdelovalec</w:t>
      </w:r>
    </w:p>
    <w:p w14:paraId="5297A9F1" w14:textId="77777777" w:rsidR="00BD5EB8" w:rsidRPr="002905B8" w:rsidRDefault="00BD5EB8" w:rsidP="009C1193">
      <w:pPr>
        <w:keepNext/>
        <w:widowControl w:val="0"/>
        <w:tabs>
          <w:tab w:val="left" w:pos="7513"/>
        </w:tabs>
        <w:spacing w:line="240" w:lineRule="auto"/>
        <w:rPr>
          <w:szCs w:val="22"/>
          <w:lang w:val="fr-CH"/>
        </w:rPr>
      </w:pPr>
      <w:r w:rsidRPr="002905B8">
        <w:rPr>
          <w:szCs w:val="22"/>
          <w:lang w:val="fr-CH"/>
        </w:rPr>
        <w:t>Lek d.d, PE PROIZVODNJA LENDAVA</w:t>
      </w:r>
    </w:p>
    <w:p w14:paraId="5297A9F2" w14:textId="77777777" w:rsidR="00BD5EB8" w:rsidRPr="00BD5EB8" w:rsidRDefault="00BD5EB8" w:rsidP="009C1193">
      <w:pPr>
        <w:keepNext/>
        <w:widowControl w:val="0"/>
        <w:tabs>
          <w:tab w:val="left" w:pos="7513"/>
        </w:tabs>
        <w:spacing w:line="240" w:lineRule="auto"/>
        <w:rPr>
          <w:szCs w:val="22"/>
          <w:lang w:val="fr-CH"/>
        </w:rPr>
      </w:pPr>
      <w:r w:rsidRPr="00BD5EB8">
        <w:rPr>
          <w:szCs w:val="22"/>
          <w:lang w:val="fr-CH"/>
        </w:rPr>
        <w:t>Trimlini 2D</w:t>
      </w:r>
    </w:p>
    <w:p w14:paraId="5297A9F3" w14:textId="77777777" w:rsidR="00BD5EB8" w:rsidRPr="00BD5EB8" w:rsidRDefault="00BD5EB8" w:rsidP="009C1193">
      <w:pPr>
        <w:keepNext/>
        <w:widowControl w:val="0"/>
        <w:tabs>
          <w:tab w:val="left" w:pos="7513"/>
        </w:tabs>
        <w:spacing w:line="240" w:lineRule="auto"/>
        <w:rPr>
          <w:szCs w:val="22"/>
          <w:lang w:val="fr-CH"/>
        </w:rPr>
      </w:pPr>
      <w:r w:rsidRPr="00BD5EB8">
        <w:rPr>
          <w:szCs w:val="22"/>
          <w:lang w:val="fr-CH"/>
        </w:rPr>
        <w:t>Lendava, 9220</w:t>
      </w:r>
    </w:p>
    <w:p w14:paraId="5297A9F4" w14:textId="77777777" w:rsidR="00BD5EB8" w:rsidRPr="00BD5EB8" w:rsidRDefault="00BD5EB8" w:rsidP="009C1193">
      <w:pPr>
        <w:widowControl w:val="0"/>
        <w:tabs>
          <w:tab w:val="left" w:pos="7513"/>
        </w:tabs>
        <w:spacing w:line="240" w:lineRule="auto"/>
        <w:rPr>
          <w:szCs w:val="22"/>
          <w:lang w:val="fr-CH"/>
        </w:rPr>
      </w:pPr>
      <w:r w:rsidRPr="00BD5EB8">
        <w:rPr>
          <w:szCs w:val="22"/>
          <w:lang w:val="fr-CH"/>
        </w:rPr>
        <w:t>Slovenija</w:t>
      </w:r>
    </w:p>
    <w:p w14:paraId="5297A9F5" w14:textId="77777777" w:rsidR="00BD5EB8" w:rsidRPr="00BD5EB8" w:rsidRDefault="00BD5EB8" w:rsidP="009C1193">
      <w:pPr>
        <w:widowControl w:val="0"/>
        <w:tabs>
          <w:tab w:val="left" w:pos="7513"/>
        </w:tabs>
        <w:spacing w:line="240" w:lineRule="auto"/>
        <w:rPr>
          <w:szCs w:val="22"/>
          <w:lang w:val="fr-CH"/>
        </w:rPr>
      </w:pPr>
    </w:p>
    <w:p w14:paraId="5297A9F6" w14:textId="77777777" w:rsidR="00841424" w:rsidRPr="002905B8" w:rsidRDefault="00841424" w:rsidP="009C1193">
      <w:pPr>
        <w:keepNext/>
        <w:widowControl w:val="0"/>
        <w:spacing w:line="240" w:lineRule="auto"/>
        <w:rPr>
          <w:snapToGrid w:val="0"/>
          <w:szCs w:val="22"/>
          <w:shd w:val="pct15" w:color="auto" w:fill="auto"/>
          <w:lang w:val="fr-CH"/>
        </w:rPr>
      </w:pPr>
      <w:r w:rsidRPr="002905B8">
        <w:rPr>
          <w:snapToGrid w:val="0"/>
          <w:szCs w:val="22"/>
          <w:shd w:val="pct15" w:color="auto" w:fill="auto"/>
          <w:lang w:val="fr-CH"/>
        </w:rPr>
        <w:t>Novartis Pharma GmbH</w:t>
      </w:r>
    </w:p>
    <w:p w14:paraId="5297A9F7" w14:textId="77777777" w:rsidR="00841424" w:rsidRPr="003B6568" w:rsidRDefault="00841424" w:rsidP="009C1193">
      <w:pPr>
        <w:keepNext/>
        <w:widowControl w:val="0"/>
        <w:spacing w:line="240" w:lineRule="auto"/>
        <w:ind w:left="709" w:hanging="709"/>
        <w:rPr>
          <w:snapToGrid w:val="0"/>
          <w:szCs w:val="22"/>
          <w:shd w:val="pct15" w:color="auto" w:fill="auto"/>
        </w:rPr>
      </w:pPr>
      <w:r w:rsidRPr="003B6568">
        <w:rPr>
          <w:snapToGrid w:val="0"/>
          <w:szCs w:val="22"/>
          <w:shd w:val="pct15" w:color="auto" w:fill="auto"/>
        </w:rPr>
        <w:t>Roonstrasse 25</w:t>
      </w:r>
    </w:p>
    <w:p w14:paraId="5297A9F8" w14:textId="77777777" w:rsidR="00841424" w:rsidRPr="003B6568" w:rsidRDefault="00841424" w:rsidP="009C1193">
      <w:pPr>
        <w:keepNext/>
        <w:widowControl w:val="0"/>
        <w:spacing w:line="240" w:lineRule="auto"/>
        <w:ind w:left="709" w:hanging="709"/>
        <w:rPr>
          <w:snapToGrid w:val="0"/>
          <w:szCs w:val="22"/>
          <w:shd w:val="pct15" w:color="auto" w:fill="auto"/>
        </w:rPr>
      </w:pPr>
      <w:r w:rsidRPr="003B6568">
        <w:rPr>
          <w:snapToGrid w:val="0"/>
          <w:szCs w:val="22"/>
          <w:shd w:val="pct15" w:color="auto" w:fill="auto"/>
        </w:rPr>
        <w:t>D-90429 Nürnberg</w:t>
      </w:r>
    </w:p>
    <w:p w14:paraId="5297A9F9" w14:textId="77777777" w:rsidR="00841424" w:rsidRPr="003B6568" w:rsidRDefault="00841424" w:rsidP="009C1193">
      <w:pPr>
        <w:pStyle w:val="EndnoteText"/>
        <w:widowControl w:val="0"/>
        <w:numPr>
          <w:ilvl w:val="12"/>
          <w:numId w:val="0"/>
        </w:numPr>
        <w:tabs>
          <w:tab w:val="clear" w:pos="567"/>
        </w:tabs>
        <w:rPr>
          <w:snapToGrid w:val="0"/>
          <w:szCs w:val="22"/>
          <w:shd w:val="pct15" w:color="auto" w:fill="auto"/>
        </w:rPr>
      </w:pPr>
      <w:r w:rsidRPr="003B6568">
        <w:rPr>
          <w:snapToGrid w:val="0"/>
          <w:szCs w:val="22"/>
          <w:shd w:val="pct15" w:color="auto" w:fill="auto"/>
        </w:rPr>
        <w:t>Nemčija</w:t>
      </w:r>
    </w:p>
    <w:p w14:paraId="5297A9FA" w14:textId="77777777" w:rsidR="00841424" w:rsidRPr="003B6568" w:rsidRDefault="00841424" w:rsidP="009C1193">
      <w:pPr>
        <w:widowControl w:val="0"/>
        <w:numPr>
          <w:ilvl w:val="12"/>
          <w:numId w:val="0"/>
        </w:numPr>
        <w:tabs>
          <w:tab w:val="clear" w:pos="567"/>
        </w:tabs>
        <w:spacing w:line="240" w:lineRule="auto"/>
        <w:ind w:right="-2"/>
        <w:rPr>
          <w:szCs w:val="22"/>
        </w:rPr>
      </w:pPr>
    </w:p>
    <w:p w14:paraId="5297A9FB" w14:textId="77777777" w:rsidR="00841424" w:rsidRPr="003B6568" w:rsidRDefault="00841424" w:rsidP="002227FB">
      <w:pPr>
        <w:keepNext/>
        <w:keepLines/>
        <w:widowControl w:val="0"/>
        <w:numPr>
          <w:ilvl w:val="12"/>
          <w:numId w:val="0"/>
        </w:numPr>
        <w:tabs>
          <w:tab w:val="clear" w:pos="567"/>
        </w:tabs>
        <w:spacing w:line="240" w:lineRule="auto"/>
        <w:ind w:right="-2"/>
        <w:rPr>
          <w:color w:val="000000"/>
          <w:szCs w:val="22"/>
        </w:rPr>
      </w:pPr>
      <w:r w:rsidRPr="003B6568">
        <w:rPr>
          <w:color w:val="000000"/>
          <w:szCs w:val="22"/>
        </w:rPr>
        <w:t>Za vse morebitne nadaljnje informacije o tem zdravilu se lahko obrnete na predstavništvo imetnika dovoljenja za promet z zdravilom:</w:t>
      </w:r>
    </w:p>
    <w:p w14:paraId="5297A9FC" w14:textId="77777777" w:rsidR="0087411B" w:rsidRPr="003B6568" w:rsidRDefault="0087411B" w:rsidP="002227FB">
      <w:pPr>
        <w:keepNext/>
        <w:keepLines/>
        <w:widowControl w:val="0"/>
        <w:tabs>
          <w:tab w:val="clear" w:pos="567"/>
        </w:tabs>
        <w:spacing w:line="240" w:lineRule="auto"/>
        <w:ind w:right="-449"/>
        <w:rPr>
          <w:color w:val="000000"/>
          <w:szCs w:val="22"/>
        </w:rPr>
      </w:pPr>
    </w:p>
    <w:tbl>
      <w:tblPr>
        <w:tblW w:w="9300" w:type="dxa"/>
        <w:tblLayout w:type="fixed"/>
        <w:tblLook w:val="0000" w:firstRow="0" w:lastRow="0" w:firstColumn="0" w:lastColumn="0" w:noHBand="0" w:noVBand="0"/>
      </w:tblPr>
      <w:tblGrid>
        <w:gridCol w:w="4650"/>
        <w:gridCol w:w="4650"/>
      </w:tblGrid>
      <w:tr w:rsidR="0087411B" w:rsidRPr="0017492F" w14:paraId="5297AA05" w14:textId="77777777" w:rsidTr="006C100D">
        <w:trPr>
          <w:cantSplit/>
        </w:trPr>
        <w:tc>
          <w:tcPr>
            <w:tcW w:w="4650" w:type="dxa"/>
          </w:tcPr>
          <w:p w14:paraId="5297A9FD" w14:textId="77777777" w:rsidR="0087411B" w:rsidRPr="004A59B1" w:rsidRDefault="0087411B" w:rsidP="009C1193">
            <w:pPr>
              <w:widowControl w:val="0"/>
              <w:rPr>
                <w:b/>
                <w:color w:val="000000"/>
                <w:szCs w:val="22"/>
                <w:lang w:val="fr-FR"/>
              </w:rPr>
            </w:pPr>
            <w:r w:rsidRPr="004A59B1">
              <w:rPr>
                <w:b/>
                <w:color w:val="000000"/>
                <w:szCs w:val="22"/>
                <w:lang w:val="fr-FR"/>
              </w:rPr>
              <w:t>België/Belgique/Belgien</w:t>
            </w:r>
          </w:p>
          <w:p w14:paraId="5297A9FE" w14:textId="77777777" w:rsidR="0087411B" w:rsidRPr="004A59B1" w:rsidRDefault="0087411B" w:rsidP="009C1193">
            <w:pPr>
              <w:widowControl w:val="0"/>
              <w:rPr>
                <w:color w:val="000000"/>
                <w:szCs w:val="22"/>
                <w:lang w:val="fr-FR"/>
              </w:rPr>
            </w:pPr>
            <w:r w:rsidRPr="004A59B1">
              <w:rPr>
                <w:color w:val="000000"/>
                <w:szCs w:val="22"/>
                <w:lang w:val="fr-FR"/>
              </w:rPr>
              <w:t>Novartis Pharma N.V.</w:t>
            </w:r>
          </w:p>
          <w:p w14:paraId="5297A9FF" w14:textId="77777777" w:rsidR="0087411B" w:rsidRPr="004A59B1" w:rsidRDefault="0087411B" w:rsidP="009C1193">
            <w:pPr>
              <w:widowControl w:val="0"/>
              <w:rPr>
                <w:color w:val="000000"/>
                <w:szCs w:val="22"/>
              </w:rPr>
            </w:pPr>
            <w:r w:rsidRPr="004A59B1">
              <w:rPr>
                <w:color w:val="000000"/>
                <w:szCs w:val="22"/>
              </w:rPr>
              <w:t>Tél/Tel: +32 2 246 16 11</w:t>
            </w:r>
          </w:p>
          <w:p w14:paraId="5297AA00" w14:textId="77777777" w:rsidR="0087411B" w:rsidRPr="004A59B1" w:rsidRDefault="0087411B" w:rsidP="009C1193">
            <w:pPr>
              <w:widowControl w:val="0"/>
              <w:rPr>
                <w:b/>
                <w:color w:val="000000"/>
                <w:szCs w:val="22"/>
              </w:rPr>
            </w:pPr>
          </w:p>
        </w:tc>
        <w:tc>
          <w:tcPr>
            <w:tcW w:w="4650" w:type="dxa"/>
          </w:tcPr>
          <w:p w14:paraId="5297AA01" w14:textId="77777777" w:rsidR="0087411B" w:rsidRPr="00CF0249" w:rsidRDefault="0087411B" w:rsidP="009C1193">
            <w:pPr>
              <w:widowControl w:val="0"/>
              <w:rPr>
                <w:b/>
                <w:color w:val="000000"/>
                <w:szCs w:val="22"/>
                <w:lang w:val="es-ES"/>
              </w:rPr>
            </w:pPr>
            <w:r w:rsidRPr="00CF0249">
              <w:rPr>
                <w:b/>
                <w:color w:val="000000"/>
                <w:szCs w:val="22"/>
                <w:lang w:val="es-ES"/>
              </w:rPr>
              <w:t>Lietuva</w:t>
            </w:r>
          </w:p>
          <w:p w14:paraId="5297AA02" w14:textId="3B320CE4" w:rsidR="0087411B" w:rsidRPr="0017492F" w:rsidRDefault="005E41E9" w:rsidP="009C1193">
            <w:pPr>
              <w:widowControl w:val="0"/>
              <w:rPr>
                <w:color w:val="000000"/>
                <w:szCs w:val="22"/>
                <w:lang w:val="es-ES"/>
              </w:rPr>
            </w:pPr>
            <w:r w:rsidRPr="0017492F">
              <w:rPr>
                <w:szCs w:val="22"/>
                <w:lang w:val="es-ES"/>
              </w:rPr>
              <w:t>SIA Novartis Baltics Lietuvos filialas</w:t>
            </w:r>
          </w:p>
          <w:p w14:paraId="5297AA03" w14:textId="77777777" w:rsidR="0087411B" w:rsidRPr="0017492F" w:rsidRDefault="0087411B" w:rsidP="009C1193">
            <w:pPr>
              <w:widowControl w:val="0"/>
              <w:rPr>
                <w:color w:val="000000"/>
                <w:szCs w:val="22"/>
                <w:lang w:val="es-ES"/>
              </w:rPr>
            </w:pPr>
            <w:r w:rsidRPr="0017492F">
              <w:rPr>
                <w:color w:val="000000"/>
                <w:szCs w:val="22"/>
                <w:lang w:val="es-ES"/>
              </w:rPr>
              <w:t>Tel: +370 5 269 16 50</w:t>
            </w:r>
          </w:p>
          <w:p w14:paraId="5297AA04" w14:textId="77777777" w:rsidR="0087411B" w:rsidRPr="0017492F" w:rsidRDefault="0087411B" w:rsidP="009C1193">
            <w:pPr>
              <w:widowControl w:val="0"/>
              <w:rPr>
                <w:color w:val="000000"/>
                <w:szCs w:val="22"/>
                <w:lang w:val="es-ES"/>
              </w:rPr>
            </w:pPr>
          </w:p>
        </w:tc>
      </w:tr>
      <w:tr w:rsidR="0087411B" w:rsidRPr="004A59B1" w14:paraId="5297AA0E" w14:textId="77777777" w:rsidTr="006C100D">
        <w:trPr>
          <w:cantSplit/>
        </w:trPr>
        <w:tc>
          <w:tcPr>
            <w:tcW w:w="4650" w:type="dxa"/>
          </w:tcPr>
          <w:p w14:paraId="5297AA06" w14:textId="77777777" w:rsidR="0087411B" w:rsidRPr="003F2EE1" w:rsidRDefault="0087411B" w:rsidP="009C1193">
            <w:pPr>
              <w:widowControl w:val="0"/>
              <w:rPr>
                <w:b/>
                <w:noProof/>
                <w:color w:val="000000"/>
                <w:szCs w:val="22"/>
                <w:lang w:val="es-ES"/>
              </w:rPr>
            </w:pPr>
            <w:r w:rsidRPr="004A59B1">
              <w:rPr>
                <w:b/>
                <w:noProof/>
                <w:color w:val="000000"/>
                <w:szCs w:val="22"/>
              </w:rPr>
              <w:lastRenderedPageBreak/>
              <w:t>България</w:t>
            </w:r>
          </w:p>
          <w:p w14:paraId="5297AA07" w14:textId="77777777" w:rsidR="0087411B" w:rsidRPr="003F2EE1" w:rsidRDefault="007B5D24" w:rsidP="009C1193">
            <w:pPr>
              <w:widowControl w:val="0"/>
              <w:rPr>
                <w:noProof/>
                <w:color w:val="000000"/>
                <w:szCs w:val="22"/>
                <w:lang w:val="es-ES"/>
              </w:rPr>
            </w:pPr>
            <w:r w:rsidRPr="003F2EE1">
              <w:rPr>
                <w:szCs w:val="22"/>
                <w:lang w:val="es-ES"/>
              </w:rPr>
              <w:t>Novartis Bulgaria EOOD</w:t>
            </w:r>
          </w:p>
          <w:p w14:paraId="5297AA08" w14:textId="77777777" w:rsidR="0087411B" w:rsidRPr="003F2EE1" w:rsidRDefault="0087411B" w:rsidP="009C1193">
            <w:pPr>
              <w:widowControl w:val="0"/>
              <w:rPr>
                <w:noProof/>
                <w:color w:val="000000"/>
                <w:szCs w:val="22"/>
                <w:lang w:val="es-ES"/>
              </w:rPr>
            </w:pPr>
            <w:r w:rsidRPr="004A59B1">
              <w:rPr>
                <w:noProof/>
                <w:color w:val="000000"/>
                <w:szCs w:val="22"/>
              </w:rPr>
              <w:t>Тел</w:t>
            </w:r>
            <w:r w:rsidRPr="003F2EE1">
              <w:rPr>
                <w:noProof/>
                <w:color w:val="000000"/>
                <w:szCs w:val="22"/>
                <w:lang w:val="es-ES"/>
              </w:rPr>
              <w:t>.: +359 2 489 98 28</w:t>
            </w:r>
          </w:p>
          <w:p w14:paraId="5297AA09" w14:textId="77777777" w:rsidR="0087411B" w:rsidRPr="004A59B1" w:rsidRDefault="0087411B" w:rsidP="009C1193">
            <w:pPr>
              <w:widowControl w:val="0"/>
              <w:rPr>
                <w:b/>
                <w:color w:val="000000"/>
                <w:szCs w:val="22"/>
                <w:lang w:val="pt-BR"/>
              </w:rPr>
            </w:pPr>
          </w:p>
        </w:tc>
        <w:tc>
          <w:tcPr>
            <w:tcW w:w="4650" w:type="dxa"/>
          </w:tcPr>
          <w:p w14:paraId="5297AA0A" w14:textId="77777777" w:rsidR="0087411B" w:rsidRPr="004A59B1" w:rsidRDefault="0087411B" w:rsidP="009C1193">
            <w:pPr>
              <w:widowControl w:val="0"/>
              <w:rPr>
                <w:b/>
                <w:color w:val="000000"/>
                <w:szCs w:val="22"/>
                <w:lang w:val="de-CH"/>
              </w:rPr>
            </w:pPr>
            <w:r w:rsidRPr="004A59B1">
              <w:rPr>
                <w:b/>
                <w:color w:val="000000"/>
                <w:szCs w:val="22"/>
                <w:lang w:val="de-CH"/>
              </w:rPr>
              <w:t>Luxembourg/Luxemburg</w:t>
            </w:r>
          </w:p>
          <w:p w14:paraId="5297AA0B" w14:textId="77777777" w:rsidR="0087411B" w:rsidRPr="004A59B1" w:rsidRDefault="0087411B" w:rsidP="009C1193">
            <w:pPr>
              <w:widowControl w:val="0"/>
              <w:rPr>
                <w:color w:val="000000"/>
                <w:szCs w:val="22"/>
                <w:lang w:val="de-CH"/>
              </w:rPr>
            </w:pPr>
            <w:r w:rsidRPr="004A59B1">
              <w:rPr>
                <w:color w:val="000000"/>
                <w:szCs w:val="22"/>
                <w:lang w:val="de-CH"/>
              </w:rPr>
              <w:t>Novartis Pharma N.V.</w:t>
            </w:r>
          </w:p>
          <w:p w14:paraId="5297AA0C" w14:textId="77777777" w:rsidR="0087411B" w:rsidRPr="004A59B1" w:rsidRDefault="0087411B" w:rsidP="009C1193">
            <w:pPr>
              <w:widowControl w:val="0"/>
              <w:rPr>
                <w:color w:val="000000"/>
                <w:szCs w:val="22"/>
                <w:lang w:val="de-CH"/>
              </w:rPr>
            </w:pPr>
            <w:r w:rsidRPr="004A59B1">
              <w:rPr>
                <w:color w:val="000000"/>
                <w:szCs w:val="22"/>
                <w:lang w:val="de-CH"/>
              </w:rPr>
              <w:t>Tél/Tel: +32 2 246 16 11</w:t>
            </w:r>
          </w:p>
          <w:p w14:paraId="5297AA0D" w14:textId="77777777" w:rsidR="0087411B" w:rsidRPr="004A59B1" w:rsidRDefault="0087411B" w:rsidP="009C1193">
            <w:pPr>
              <w:widowControl w:val="0"/>
              <w:rPr>
                <w:color w:val="000000"/>
                <w:szCs w:val="22"/>
                <w:lang w:val="de-CH"/>
              </w:rPr>
            </w:pPr>
          </w:p>
        </w:tc>
      </w:tr>
      <w:tr w:rsidR="0087411B" w:rsidRPr="004A59B1" w14:paraId="5297AA16" w14:textId="77777777" w:rsidTr="006C100D">
        <w:trPr>
          <w:cantSplit/>
        </w:trPr>
        <w:tc>
          <w:tcPr>
            <w:tcW w:w="4650" w:type="dxa"/>
          </w:tcPr>
          <w:p w14:paraId="5297AA0F" w14:textId="77777777" w:rsidR="0087411B" w:rsidRPr="004A59B1" w:rsidRDefault="0087411B" w:rsidP="009C1193">
            <w:pPr>
              <w:widowControl w:val="0"/>
              <w:rPr>
                <w:b/>
                <w:color w:val="000000"/>
                <w:szCs w:val="22"/>
                <w:lang w:val="pt-BR"/>
              </w:rPr>
            </w:pPr>
            <w:r w:rsidRPr="004A59B1">
              <w:rPr>
                <w:b/>
                <w:color w:val="000000"/>
                <w:szCs w:val="22"/>
                <w:lang w:val="pt-BR"/>
              </w:rPr>
              <w:t>Česká republika</w:t>
            </w:r>
          </w:p>
          <w:p w14:paraId="5297AA10" w14:textId="77777777" w:rsidR="0087411B" w:rsidRPr="004A59B1" w:rsidRDefault="0087411B" w:rsidP="009C1193">
            <w:pPr>
              <w:widowControl w:val="0"/>
              <w:rPr>
                <w:color w:val="000000"/>
                <w:szCs w:val="22"/>
                <w:lang w:val="pt-BR"/>
              </w:rPr>
            </w:pPr>
            <w:r w:rsidRPr="004A59B1">
              <w:rPr>
                <w:color w:val="000000"/>
                <w:szCs w:val="22"/>
                <w:lang w:val="pt-BR"/>
              </w:rPr>
              <w:t>Novartis s.r.o.</w:t>
            </w:r>
          </w:p>
          <w:p w14:paraId="5297AA11" w14:textId="77777777" w:rsidR="0087411B" w:rsidRPr="004A59B1" w:rsidRDefault="0087411B" w:rsidP="009C1193">
            <w:pPr>
              <w:widowControl w:val="0"/>
              <w:rPr>
                <w:color w:val="000000"/>
                <w:szCs w:val="22"/>
              </w:rPr>
            </w:pPr>
            <w:r w:rsidRPr="004A59B1">
              <w:rPr>
                <w:color w:val="000000"/>
                <w:szCs w:val="22"/>
              </w:rPr>
              <w:t>Tel: +420 225 775 111</w:t>
            </w:r>
          </w:p>
          <w:p w14:paraId="5297AA12" w14:textId="77777777" w:rsidR="0087411B" w:rsidRPr="004A59B1" w:rsidRDefault="0087411B" w:rsidP="009C1193">
            <w:pPr>
              <w:widowControl w:val="0"/>
              <w:rPr>
                <w:b/>
                <w:color w:val="000000"/>
                <w:szCs w:val="22"/>
              </w:rPr>
            </w:pPr>
          </w:p>
        </w:tc>
        <w:tc>
          <w:tcPr>
            <w:tcW w:w="4650" w:type="dxa"/>
          </w:tcPr>
          <w:p w14:paraId="5297AA13" w14:textId="77777777" w:rsidR="0087411B" w:rsidRPr="004A59B1" w:rsidRDefault="0087411B" w:rsidP="009C1193">
            <w:pPr>
              <w:widowControl w:val="0"/>
              <w:rPr>
                <w:b/>
                <w:color w:val="000000"/>
                <w:szCs w:val="22"/>
                <w:lang w:val="pt-BR"/>
              </w:rPr>
            </w:pPr>
            <w:r w:rsidRPr="004A59B1">
              <w:rPr>
                <w:b/>
                <w:color w:val="000000"/>
                <w:szCs w:val="22"/>
                <w:lang w:val="pt-BR"/>
              </w:rPr>
              <w:t>Magyarország</w:t>
            </w:r>
          </w:p>
          <w:p w14:paraId="5297AA14" w14:textId="77777777" w:rsidR="0087411B" w:rsidRPr="004A59B1" w:rsidRDefault="0087411B" w:rsidP="009C1193">
            <w:pPr>
              <w:widowControl w:val="0"/>
              <w:rPr>
                <w:color w:val="000000"/>
                <w:szCs w:val="22"/>
                <w:lang w:val="pt-BR"/>
              </w:rPr>
            </w:pPr>
            <w:r w:rsidRPr="004A59B1">
              <w:rPr>
                <w:color w:val="000000"/>
                <w:szCs w:val="22"/>
                <w:lang w:val="pt-BR"/>
              </w:rPr>
              <w:t>Novartis Hungária Kft.</w:t>
            </w:r>
          </w:p>
          <w:p w14:paraId="5297AA15" w14:textId="77777777" w:rsidR="0087411B" w:rsidRPr="004A59B1" w:rsidRDefault="0087411B" w:rsidP="009C1193">
            <w:pPr>
              <w:widowControl w:val="0"/>
              <w:rPr>
                <w:color w:val="000000"/>
                <w:szCs w:val="22"/>
                <w:lang w:val="pt-BR"/>
              </w:rPr>
            </w:pPr>
            <w:r w:rsidRPr="004A59B1">
              <w:rPr>
                <w:color w:val="000000"/>
                <w:szCs w:val="22"/>
                <w:lang w:val="pt-BR"/>
              </w:rPr>
              <w:t>Tel.: +36 1 457 65 00</w:t>
            </w:r>
          </w:p>
        </w:tc>
      </w:tr>
      <w:tr w:rsidR="0087411B" w:rsidRPr="004A59B1" w14:paraId="5297AA1E" w14:textId="77777777" w:rsidTr="006C100D">
        <w:trPr>
          <w:cantSplit/>
        </w:trPr>
        <w:tc>
          <w:tcPr>
            <w:tcW w:w="4650" w:type="dxa"/>
          </w:tcPr>
          <w:p w14:paraId="5297AA17" w14:textId="77777777" w:rsidR="0087411B" w:rsidRPr="004A59B1" w:rsidRDefault="0087411B" w:rsidP="009C1193">
            <w:pPr>
              <w:widowControl w:val="0"/>
              <w:rPr>
                <w:b/>
                <w:color w:val="000000"/>
                <w:szCs w:val="22"/>
                <w:lang w:val="en-US"/>
              </w:rPr>
            </w:pPr>
            <w:r w:rsidRPr="004A59B1">
              <w:rPr>
                <w:b/>
                <w:color w:val="000000"/>
                <w:szCs w:val="22"/>
                <w:lang w:val="en-US"/>
              </w:rPr>
              <w:t>Danmark</w:t>
            </w:r>
          </w:p>
          <w:p w14:paraId="5297AA18" w14:textId="77777777" w:rsidR="0087411B" w:rsidRPr="004A59B1" w:rsidRDefault="0087411B" w:rsidP="009C1193">
            <w:pPr>
              <w:widowControl w:val="0"/>
              <w:rPr>
                <w:color w:val="000000"/>
                <w:szCs w:val="22"/>
                <w:lang w:val="en-US"/>
              </w:rPr>
            </w:pPr>
            <w:r w:rsidRPr="004A59B1">
              <w:rPr>
                <w:color w:val="000000"/>
                <w:szCs w:val="22"/>
                <w:lang w:val="en-US"/>
              </w:rPr>
              <w:t>Novartis Healthcare A/S</w:t>
            </w:r>
          </w:p>
          <w:p w14:paraId="5297AA19" w14:textId="77777777" w:rsidR="0087411B" w:rsidRPr="004A59B1" w:rsidRDefault="0087411B" w:rsidP="009C1193">
            <w:pPr>
              <w:widowControl w:val="0"/>
              <w:rPr>
                <w:color w:val="000000"/>
                <w:szCs w:val="22"/>
                <w:lang w:val="en-US"/>
              </w:rPr>
            </w:pPr>
            <w:r w:rsidRPr="004A59B1">
              <w:rPr>
                <w:color w:val="000000"/>
                <w:szCs w:val="22"/>
                <w:lang w:val="en-US"/>
              </w:rPr>
              <w:t>Tlf: +45 39 16 84 00</w:t>
            </w:r>
          </w:p>
          <w:p w14:paraId="5297AA1A" w14:textId="77777777" w:rsidR="0087411B" w:rsidRPr="004A59B1" w:rsidRDefault="0087411B" w:rsidP="009C1193">
            <w:pPr>
              <w:widowControl w:val="0"/>
              <w:rPr>
                <w:b/>
                <w:color w:val="000000"/>
                <w:szCs w:val="22"/>
                <w:lang w:val="en-US"/>
              </w:rPr>
            </w:pPr>
          </w:p>
        </w:tc>
        <w:tc>
          <w:tcPr>
            <w:tcW w:w="4650" w:type="dxa"/>
          </w:tcPr>
          <w:p w14:paraId="5297AA1B" w14:textId="77777777" w:rsidR="0087411B" w:rsidRPr="004A59B1" w:rsidRDefault="0087411B" w:rsidP="009C1193">
            <w:pPr>
              <w:widowControl w:val="0"/>
              <w:rPr>
                <w:b/>
                <w:color w:val="000000"/>
                <w:szCs w:val="22"/>
                <w:lang w:val="pt-BR"/>
              </w:rPr>
            </w:pPr>
            <w:r w:rsidRPr="004A59B1">
              <w:rPr>
                <w:b/>
                <w:color w:val="000000"/>
                <w:szCs w:val="22"/>
                <w:lang w:val="pt-BR"/>
              </w:rPr>
              <w:t>Malta</w:t>
            </w:r>
          </w:p>
          <w:p w14:paraId="5297AA1C" w14:textId="77777777" w:rsidR="0087411B" w:rsidRPr="004A59B1" w:rsidRDefault="0087411B" w:rsidP="009C1193">
            <w:pPr>
              <w:widowControl w:val="0"/>
              <w:rPr>
                <w:color w:val="000000"/>
                <w:szCs w:val="22"/>
                <w:lang w:val="pt-BR"/>
              </w:rPr>
            </w:pPr>
            <w:r w:rsidRPr="004A59B1">
              <w:rPr>
                <w:color w:val="000000"/>
                <w:szCs w:val="22"/>
                <w:lang w:val="pt-BR"/>
              </w:rPr>
              <w:t>Novartis Pharma Services Inc.</w:t>
            </w:r>
          </w:p>
          <w:p w14:paraId="5297AA1D" w14:textId="77777777" w:rsidR="0087411B" w:rsidRPr="004A59B1" w:rsidRDefault="0087411B" w:rsidP="009C1193">
            <w:pPr>
              <w:widowControl w:val="0"/>
              <w:rPr>
                <w:color w:val="000000"/>
                <w:szCs w:val="22"/>
              </w:rPr>
            </w:pPr>
            <w:r w:rsidRPr="004A59B1">
              <w:rPr>
                <w:color w:val="000000"/>
                <w:szCs w:val="22"/>
              </w:rPr>
              <w:t>Tel: +356 2122 2872</w:t>
            </w:r>
          </w:p>
        </w:tc>
      </w:tr>
      <w:tr w:rsidR="0087411B" w:rsidRPr="004A59B1" w14:paraId="5297AA26" w14:textId="77777777" w:rsidTr="006C100D">
        <w:trPr>
          <w:cantSplit/>
        </w:trPr>
        <w:tc>
          <w:tcPr>
            <w:tcW w:w="4650" w:type="dxa"/>
          </w:tcPr>
          <w:p w14:paraId="5297AA1F" w14:textId="77777777" w:rsidR="0087411B" w:rsidRPr="004A59B1" w:rsidRDefault="0087411B" w:rsidP="009C1193">
            <w:pPr>
              <w:widowControl w:val="0"/>
              <w:rPr>
                <w:b/>
                <w:color w:val="000000"/>
                <w:szCs w:val="22"/>
                <w:lang w:val="de-CH"/>
              </w:rPr>
            </w:pPr>
            <w:r w:rsidRPr="004A59B1">
              <w:rPr>
                <w:b/>
                <w:color w:val="000000"/>
                <w:szCs w:val="22"/>
                <w:lang w:val="de-CH"/>
              </w:rPr>
              <w:t>Deutschland</w:t>
            </w:r>
          </w:p>
          <w:p w14:paraId="5297AA20" w14:textId="77777777" w:rsidR="0087411B" w:rsidRPr="004A59B1" w:rsidRDefault="0087411B" w:rsidP="009C1193">
            <w:pPr>
              <w:widowControl w:val="0"/>
              <w:rPr>
                <w:color w:val="000000"/>
                <w:szCs w:val="22"/>
                <w:lang w:val="de-CH"/>
              </w:rPr>
            </w:pPr>
            <w:r w:rsidRPr="004A59B1">
              <w:rPr>
                <w:color w:val="000000"/>
                <w:szCs w:val="22"/>
                <w:lang w:val="de-CH"/>
              </w:rPr>
              <w:t>Novartis Pharma GmbH</w:t>
            </w:r>
          </w:p>
          <w:p w14:paraId="5297AA21" w14:textId="77777777" w:rsidR="0087411B" w:rsidRPr="004A59B1" w:rsidRDefault="0087411B" w:rsidP="009C1193">
            <w:pPr>
              <w:widowControl w:val="0"/>
              <w:rPr>
                <w:color w:val="000000"/>
                <w:szCs w:val="22"/>
                <w:lang w:val="de-CH"/>
              </w:rPr>
            </w:pPr>
            <w:r w:rsidRPr="004A59B1">
              <w:rPr>
                <w:color w:val="000000"/>
                <w:szCs w:val="22"/>
                <w:lang w:val="de-CH"/>
              </w:rPr>
              <w:t>Tel: +49 911 273 0</w:t>
            </w:r>
          </w:p>
          <w:p w14:paraId="5297AA22" w14:textId="77777777" w:rsidR="0087411B" w:rsidRPr="004A59B1" w:rsidRDefault="0087411B" w:rsidP="009C1193">
            <w:pPr>
              <w:widowControl w:val="0"/>
              <w:rPr>
                <w:b/>
                <w:color w:val="000000"/>
                <w:szCs w:val="22"/>
                <w:lang w:val="de-CH"/>
              </w:rPr>
            </w:pPr>
          </w:p>
        </w:tc>
        <w:tc>
          <w:tcPr>
            <w:tcW w:w="4650" w:type="dxa"/>
          </w:tcPr>
          <w:p w14:paraId="5297AA23" w14:textId="77777777" w:rsidR="0087411B" w:rsidRPr="004A59B1" w:rsidRDefault="0087411B" w:rsidP="009C1193">
            <w:pPr>
              <w:widowControl w:val="0"/>
              <w:rPr>
                <w:b/>
                <w:color w:val="000000"/>
                <w:szCs w:val="22"/>
                <w:lang w:val="de-CH"/>
              </w:rPr>
            </w:pPr>
            <w:r w:rsidRPr="004A59B1">
              <w:rPr>
                <w:b/>
                <w:color w:val="000000"/>
                <w:szCs w:val="22"/>
                <w:lang w:val="de-CH"/>
              </w:rPr>
              <w:t>Nederland</w:t>
            </w:r>
          </w:p>
          <w:p w14:paraId="5297AA24" w14:textId="77777777" w:rsidR="0087411B" w:rsidRPr="004A59B1" w:rsidRDefault="0087411B" w:rsidP="009C1193">
            <w:pPr>
              <w:widowControl w:val="0"/>
              <w:rPr>
                <w:color w:val="000000"/>
                <w:szCs w:val="22"/>
                <w:lang w:val="de-CH"/>
              </w:rPr>
            </w:pPr>
            <w:r w:rsidRPr="004A59B1">
              <w:rPr>
                <w:color w:val="000000"/>
                <w:szCs w:val="22"/>
                <w:lang w:val="de-CH"/>
              </w:rPr>
              <w:t>Novartis Pharma B.V.</w:t>
            </w:r>
          </w:p>
          <w:p w14:paraId="5297AA25" w14:textId="0A256278" w:rsidR="0087411B" w:rsidRPr="003F2EE1" w:rsidRDefault="0087411B" w:rsidP="00B2245E">
            <w:pPr>
              <w:widowControl w:val="0"/>
              <w:rPr>
                <w:color w:val="000000"/>
                <w:szCs w:val="22"/>
                <w:lang w:val="de-CH"/>
              </w:rPr>
            </w:pPr>
            <w:r w:rsidRPr="003F2EE1">
              <w:rPr>
                <w:color w:val="000000"/>
                <w:szCs w:val="22"/>
                <w:lang w:val="de-CH"/>
              </w:rPr>
              <w:t xml:space="preserve">Tel: +31 </w:t>
            </w:r>
            <w:r w:rsidR="00B2245E">
              <w:rPr>
                <w:color w:val="000000"/>
                <w:szCs w:val="22"/>
                <w:lang w:val="de-CH"/>
              </w:rPr>
              <w:t>88 04 52</w:t>
            </w:r>
            <w:r w:rsidRPr="003F2EE1">
              <w:rPr>
                <w:color w:val="000000"/>
                <w:szCs w:val="22"/>
                <w:lang w:val="de-CH"/>
              </w:rPr>
              <w:t xml:space="preserve"> </w:t>
            </w:r>
            <w:r w:rsidR="009A41C9" w:rsidRPr="003F2EE1">
              <w:rPr>
                <w:color w:val="000000"/>
                <w:szCs w:val="22"/>
                <w:lang w:val="de-CH"/>
              </w:rPr>
              <w:t>555</w:t>
            </w:r>
          </w:p>
        </w:tc>
      </w:tr>
      <w:tr w:rsidR="0087411B" w:rsidRPr="004A59B1" w14:paraId="5297AA2E" w14:textId="77777777" w:rsidTr="006C100D">
        <w:trPr>
          <w:cantSplit/>
        </w:trPr>
        <w:tc>
          <w:tcPr>
            <w:tcW w:w="4650" w:type="dxa"/>
          </w:tcPr>
          <w:p w14:paraId="5297AA27" w14:textId="77777777" w:rsidR="0087411B" w:rsidRPr="0017492F" w:rsidRDefault="0087411B" w:rsidP="009C1193">
            <w:pPr>
              <w:widowControl w:val="0"/>
              <w:rPr>
                <w:b/>
                <w:color w:val="000000"/>
                <w:szCs w:val="22"/>
                <w:lang w:val="it-IT"/>
              </w:rPr>
            </w:pPr>
            <w:r w:rsidRPr="0017492F">
              <w:rPr>
                <w:b/>
                <w:color w:val="000000"/>
                <w:szCs w:val="22"/>
                <w:lang w:val="it-IT"/>
              </w:rPr>
              <w:t>Eesti</w:t>
            </w:r>
          </w:p>
          <w:p w14:paraId="5297AA28" w14:textId="77777777" w:rsidR="0087411B" w:rsidRPr="0017492F" w:rsidRDefault="005E41E9" w:rsidP="009C1193">
            <w:pPr>
              <w:widowControl w:val="0"/>
              <w:rPr>
                <w:color w:val="000000"/>
                <w:szCs w:val="22"/>
                <w:lang w:val="it-IT"/>
              </w:rPr>
            </w:pPr>
            <w:r w:rsidRPr="0017492F">
              <w:rPr>
                <w:szCs w:val="22"/>
                <w:lang w:val="it-IT"/>
              </w:rPr>
              <w:t>SIA Novartis Baltics Eesti filiaal</w:t>
            </w:r>
          </w:p>
          <w:p w14:paraId="5297AA29" w14:textId="77777777" w:rsidR="0087411B" w:rsidRPr="004A59B1" w:rsidRDefault="0087411B" w:rsidP="009C1193">
            <w:pPr>
              <w:widowControl w:val="0"/>
              <w:rPr>
                <w:color w:val="000000"/>
                <w:szCs w:val="22"/>
              </w:rPr>
            </w:pPr>
            <w:r w:rsidRPr="004A59B1">
              <w:rPr>
                <w:color w:val="000000"/>
                <w:szCs w:val="22"/>
              </w:rPr>
              <w:t>Tel: +372 66 30 810</w:t>
            </w:r>
          </w:p>
          <w:p w14:paraId="5297AA2A" w14:textId="77777777" w:rsidR="0087411B" w:rsidRPr="004A59B1" w:rsidRDefault="0087411B" w:rsidP="009C1193">
            <w:pPr>
              <w:widowControl w:val="0"/>
              <w:rPr>
                <w:b/>
                <w:color w:val="000000"/>
                <w:szCs w:val="22"/>
              </w:rPr>
            </w:pPr>
          </w:p>
        </w:tc>
        <w:tc>
          <w:tcPr>
            <w:tcW w:w="4650" w:type="dxa"/>
          </w:tcPr>
          <w:p w14:paraId="5297AA2B" w14:textId="77777777" w:rsidR="0087411B" w:rsidRPr="004A59B1" w:rsidRDefault="0087411B" w:rsidP="009C1193">
            <w:pPr>
              <w:widowControl w:val="0"/>
              <w:rPr>
                <w:b/>
                <w:color w:val="000000"/>
                <w:szCs w:val="22"/>
                <w:lang w:val="pt-BR"/>
              </w:rPr>
            </w:pPr>
            <w:r w:rsidRPr="004A59B1">
              <w:rPr>
                <w:b/>
                <w:color w:val="000000"/>
                <w:szCs w:val="22"/>
                <w:lang w:val="pt-BR"/>
              </w:rPr>
              <w:t>Norge</w:t>
            </w:r>
          </w:p>
          <w:p w14:paraId="5297AA2C" w14:textId="77777777" w:rsidR="0087411B" w:rsidRPr="004A59B1" w:rsidRDefault="0087411B" w:rsidP="009C1193">
            <w:pPr>
              <w:widowControl w:val="0"/>
              <w:rPr>
                <w:color w:val="000000"/>
                <w:szCs w:val="22"/>
                <w:lang w:val="pt-BR"/>
              </w:rPr>
            </w:pPr>
            <w:r w:rsidRPr="004A59B1">
              <w:rPr>
                <w:color w:val="000000"/>
                <w:szCs w:val="22"/>
                <w:lang w:val="pt-BR"/>
              </w:rPr>
              <w:t>Novartis Norge AS</w:t>
            </w:r>
          </w:p>
          <w:p w14:paraId="5297AA2D" w14:textId="77777777" w:rsidR="0087411B" w:rsidRPr="004A59B1" w:rsidRDefault="0087411B" w:rsidP="009C1193">
            <w:pPr>
              <w:widowControl w:val="0"/>
              <w:rPr>
                <w:color w:val="000000"/>
                <w:szCs w:val="22"/>
                <w:lang w:val="pt-BR"/>
              </w:rPr>
            </w:pPr>
            <w:r w:rsidRPr="004A59B1">
              <w:rPr>
                <w:color w:val="000000"/>
                <w:szCs w:val="22"/>
                <w:lang w:val="pt-BR"/>
              </w:rPr>
              <w:t>Tlf: +47 23 05 20 00</w:t>
            </w:r>
          </w:p>
        </w:tc>
      </w:tr>
      <w:tr w:rsidR="0087411B" w:rsidRPr="003B6568" w14:paraId="5297AA36" w14:textId="77777777" w:rsidTr="006C100D">
        <w:trPr>
          <w:cantSplit/>
        </w:trPr>
        <w:tc>
          <w:tcPr>
            <w:tcW w:w="4650" w:type="dxa"/>
          </w:tcPr>
          <w:p w14:paraId="5297AA2F" w14:textId="77777777" w:rsidR="0087411B" w:rsidRPr="004A59B1" w:rsidRDefault="0087411B" w:rsidP="009C1193">
            <w:pPr>
              <w:widowControl w:val="0"/>
              <w:rPr>
                <w:b/>
                <w:color w:val="000000"/>
                <w:szCs w:val="22"/>
                <w:lang w:val="pt-BR"/>
              </w:rPr>
            </w:pPr>
            <w:r w:rsidRPr="004A59B1">
              <w:rPr>
                <w:b/>
                <w:color w:val="000000"/>
                <w:szCs w:val="22"/>
              </w:rPr>
              <w:t>Ελλάδα</w:t>
            </w:r>
          </w:p>
          <w:p w14:paraId="5297AA30" w14:textId="77777777" w:rsidR="0087411B" w:rsidRPr="004A59B1" w:rsidRDefault="0087411B" w:rsidP="009C1193">
            <w:pPr>
              <w:widowControl w:val="0"/>
              <w:rPr>
                <w:color w:val="000000"/>
                <w:szCs w:val="22"/>
                <w:lang w:val="pt-BR"/>
              </w:rPr>
            </w:pPr>
            <w:r w:rsidRPr="004A59B1">
              <w:rPr>
                <w:color w:val="000000"/>
                <w:szCs w:val="22"/>
                <w:lang w:val="pt-BR"/>
              </w:rPr>
              <w:t>Novartis (Hellas) A.E.B.E.</w:t>
            </w:r>
          </w:p>
          <w:p w14:paraId="5297AA31" w14:textId="77777777" w:rsidR="0087411B" w:rsidRPr="004A59B1" w:rsidRDefault="0087411B" w:rsidP="009C1193">
            <w:pPr>
              <w:widowControl w:val="0"/>
              <w:rPr>
                <w:color w:val="000000"/>
                <w:szCs w:val="22"/>
                <w:lang w:val="pt-BR"/>
              </w:rPr>
            </w:pPr>
            <w:r w:rsidRPr="004A59B1">
              <w:rPr>
                <w:color w:val="000000"/>
                <w:szCs w:val="22"/>
              </w:rPr>
              <w:t>Τηλ</w:t>
            </w:r>
            <w:r w:rsidRPr="004A59B1">
              <w:rPr>
                <w:color w:val="000000"/>
                <w:szCs w:val="22"/>
                <w:lang w:val="pt-BR"/>
              </w:rPr>
              <w:t>: +30 210 281 17 12</w:t>
            </w:r>
          </w:p>
          <w:p w14:paraId="5297AA32" w14:textId="77777777" w:rsidR="0087411B" w:rsidRPr="004A59B1" w:rsidRDefault="0087411B" w:rsidP="009C1193">
            <w:pPr>
              <w:widowControl w:val="0"/>
              <w:rPr>
                <w:b/>
                <w:color w:val="000000"/>
                <w:szCs w:val="22"/>
                <w:lang w:val="pt-BR"/>
              </w:rPr>
            </w:pPr>
          </w:p>
        </w:tc>
        <w:tc>
          <w:tcPr>
            <w:tcW w:w="4650" w:type="dxa"/>
          </w:tcPr>
          <w:p w14:paraId="5297AA33" w14:textId="77777777" w:rsidR="0087411B" w:rsidRPr="004A59B1" w:rsidRDefault="0087411B" w:rsidP="009C1193">
            <w:pPr>
              <w:widowControl w:val="0"/>
              <w:rPr>
                <w:b/>
                <w:color w:val="000000"/>
                <w:szCs w:val="22"/>
                <w:lang w:val="de-CH"/>
              </w:rPr>
            </w:pPr>
            <w:r w:rsidRPr="004A59B1">
              <w:rPr>
                <w:b/>
                <w:color w:val="000000"/>
                <w:szCs w:val="22"/>
                <w:lang w:val="de-CH"/>
              </w:rPr>
              <w:t>Österreich</w:t>
            </w:r>
          </w:p>
          <w:p w14:paraId="5297AA34" w14:textId="77777777" w:rsidR="0087411B" w:rsidRPr="004A59B1" w:rsidRDefault="0087411B" w:rsidP="009C1193">
            <w:pPr>
              <w:widowControl w:val="0"/>
              <w:rPr>
                <w:color w:val="000000"/>
                <w:szCs w:val="22"/>
                <w:lang w:val="de-CH"/>
              </w:rPr>
            </w:pPr>
            <w:r w:rsidRPr="004A59B1">
              <w:rPr>
                <w:color w:val="000000"/>
                <w:szCs w:val="22"/>
                <w:lang w:val="de-CH"/>
              </w:rPr>
              <w:t>Novartis Pharma GmbH</w:t>
            </w:r>
          </w:p>
          <w:p w14:paraId="5297AA35" w14:textId="77777777" w:rsidR="0087411B" w:rsidRPr="004A59B1" w:rsidRDefault="0087411B" w:rsidP="009C1193">
            <w:pPr>
              <w:widowControl w:val="0"/>
              <w:rPr>
                <w:color w:val="000000"/>
                <w:szCs w:val="22"/>
                <w:lang w:val="de-CH"/>
              </w:rPr>
            </w:pPr>
            <w:r w:rsidRPr="004A59B1">
              <w:rPr>
                <w:color w:val="000000"/>
                <w:szCs w:val="22"/>
                <w:lang w:val="de-CH"/>
              </w:rPr>
              <w:t>Tel: +43 1 86 6570</w:t>
            </w:r>
          </w:p>
        </w:tc>
      </w:tr>
      <w:tr w:rsidR="0087411B" w:rsidRPr="004A59B1" w14:paraId="5297AA3E" w14:textId="77777777" w:rsidTr="006C100D">
        <w:trPr>
          <w:cantSplit/>
        </w:trPr>
        <w:tc>
          <w:tcPr>
            <w:tcW w:w="4650" w:type="dxa"/>
          </w:tcPr>
          <w:p w14:paraId="5297AA37" w14:textId="77777777" w:rsidR="0087411B" w:rsidRPr="004A59B1" w:rsidRDefault="0087411B" w:rsidP="009C1193">
            <w:pPr>
              <w:widowControl w:val="0"/>
              <w:rPr>
                <w:b/>
                <w:color w:val="000000"/>
                <w:szCs w:val="22"/>
                <w:lang w:val="pt-BR"/>
              </w:rPr>
            </w:pPr>
            <w:r w:rsidRPr="004A59B1">
              <w:rPr>
                <w:b/>
                <w:color w:val="000000"/>
                <w:szCs w:val="22"/>
                <w:lang w:val="pt-BR"/>
              </w:rPr>
              <w:t>España</w:t>
            </w:r>
          </w:p>
          <w:p w14:paraId="5297AA38" w14:textId="77777777" w:rsidR="0087411B" w:rsidRPr="004A59B1" w:rsidRDefault="0087411B" w:rsidP="009C1193">
            <w:pPr>
              <w:widowControl w:val="0"/>
              <w:rPr>
                <w:color w:val="000000"/>
                <w:szCs w:val="22"/>
                <w:lang w:val="pt-BR"/>
              </w:rPr>
            </w:pPr>
            <w:r w:rsidRPr="004A59B1">
              <w:rPr>
                <w:color w:val="000000"/>
                <w:szCs w:val="22"/>
                <w:lang w:val="pt-BR"/>
              </w:rPr>
              <w:t>Novartis Farmacéutica, S.A.</w:t>
            </w:r>
          </w:p>
          <w:p w14:paraId="5297AA39" w14:textId="77777777" w:rsidR="0087411B" w:rsidRPr="004A59B1" w:rsidRDefault="0087411B" w:rsidP="009C1193">
            <w:pPr>
              <w:widowControl w:val="0"/>
              <w:rPr>
                <w:color w:val="000000"/>
                <w:szCs w:val="22"/>
              </w:rPr>
            </w:pPr>
            <w:r w:rsidRPr="004A59B1">
              <w:rPr>
                <w:color w:val="000000"/>
                <w:szCs w:val="22"/>
              </w:rPr>
              <w:t>Tel: +34 93 306 42 00</w:t>
            </w:r>
          </w:p>
          <w:p w14:paraId="5297AA3A" w14:textId="77777777" w:rsidR="0087411B" w:rsidRPr="004A59B1" w:rsidRDefault="0087411B" w:rsidP="009C1193">
            <w:pPr>
              <w:widowControl w:val="0"/>
              <w:rPr>
                <w:b/>
                <w:color w:val="000000"/>
                <w:szCs w:val="22"/>
              </w:rPr>
            </w:pPr>
          </w:p>
        </w:tc>
        <w:tc>
          <w:tcPr>
            <w:tcW w:w="4650" w:type="dxa"/>
          </w:tcPr>
          <w:p w14:paraId="5297AA3B" w14:textId="77777777" w:rsidR="0087411B" w:rsidRPr="004A59B1" w:rsidRDefault="0087411B" w:rsidP="009C1193">
            <w:pPr>
              <w:widowControl w:val="0"/>
              <w:rPr>
                <w:b/>
                <w:color w:val="000000"/>
                <w:szCs w:val="22"/>
                <w:lang w:val="pt-BR"/>
              </w:rPr>
            </w:pPr>
            <w:r w:rsidRPr="004A59B1">
              <w:rPr>
                <w:b/>
                <w:color w:val="000000"/>
                <w:szCs w:val="22"/>
                <w:lang w:val="pt-BR"/>
              </w:rPr>
              <w:t>Polska</w:t>
            </w:r>
          </w:p>
          <w:p w14:paraId="5297AA3C" w14:textId="77777777" w:rsidR="0087411B" w:rsidRPr="004A59B1" w:rsidRDefault="0087411B" w:rsidP="009C1193">
            <w:pPr>
              <w:widowControl w:val="0"/>
              <w:rPr>
                <w:color w:val="000000"/>
                <w:szCs w:val="22"/>
                <w:lang w:val="pt-BR"/>
              </w:rPr>
            </w:pPr>
            <w:r w:rsidRPr="004A59B1">
              <w:rPr>
                <w:color w:val="000000"/>
                <w:szCs w:val="22"/>
                <w:lang w:val="pt-BR"/>
              </w:rPr>
              <w:t>Novartis Poland Sp. z o.o.</w:t>
            </w:r>
          </w:p>
          <w:p w14:paraId="5297AA3D" w14:textId="77777777" w:rsidR="0087411B" w:rsidRPr="004A59B1" w:rsidRDefault="0087411B" w:rsidP="009C1193">
            <w:pPr>
              <w:widowControl w:val="0"/>
              <w:rPr>
                <w:color w:val="000000"/>
                <w:szCs w:val="22"/>
                <w:lang w:val="pt-BR"/>
              </w:rPr>
            </w:pPr>
            <w:r w:rsidRPr="004A59B1">
              <w:rPr>
                <w:color w:val="000000"/>
                <w:szCs w:val="22"/>
                <w:lang w:val="pt-BR"/>
              </w:rPr>
              <w:t xml:space="preserve">Tel.: +48 22 </w:t>
            </w:r>
            <w:r w:rsidRPr="004A59B1">
              <w:rPr>
                <w:szCs w:val="22"/>
              </w:rPr>
              <w:t>375 4888</w:t>
            </w:r>
          </w:p>
        </w:tc>
      </w:tr>
      <w:tr w:rsidR="0087411B" w:rsidRPr="004A59B1" w14:paraId="5297AA46" w14:textId="77777777" w:rsidTr="006C100D">
        <w:trPr>
          <w:cantSplit/>
        </w:trPr>
        <w:tc>
          <w:tcPr>
            <w:tcW w:w="4650" w:type="dxa"/>
          </w:tcPr>
          <w:p w14:paraId="5297AA3F" w14:textId="77777777" w:rsidR="0087411B" w:rsidRPr="004A59B1" w:rsidRDefault="0087411B" w:rsidP="009C1193">
            <w:pPr>
              <w:widowControl w:val="0"/>
              <w:rPr>
                <w:b/>
                <w:color w:val="000000"/>
                <w:szCs w:val="22"/>
                <w:lang w:val="fr-FR"/>
              </w:rPr>
            </w:pPr>
            <w:r w:rsidRPr="004A59B1">
              <w:rPr>
                <w:b/>
                <w:color w:val="000000"/>
                <w:szCs w:val="22"/>
                <w:lang w:val="fr-FR"/>
              </w:rPr>
              <w:t>France</w:t>
            </w:r>
          </w:p>
          <w:p w14:paraId="5297AA40" w14:textId="77777777" w:rsidR="0087411B" w:rsidRPr="004A59B1" w:rsidRDefault="0087411B" w:rsidP="009C1193">
            <w:pPr>
              <w:widowControl w:val="0"/>
              <w:rPr>
                <w:color w:val="000000"/>
                <w:szCs w:val="22"/>
                <w:lang w:val="fr-FR"/>
              </w:rPr>
            </w:pPr>
            <w:r w:rsidRPr="004A59B1">
              <w:rPr>
                <w:color w:val="000000"/>
                <w:szCs w:val="22"/>
                <w:lang w:val="fr-FR"/>
              </w:rPr>
              <w:t>Novartis Pharma S.A.S.</w:t>
            </w:r>
          </w:p>
          <w:p w14:paraId="5297AA41" w14:textId="77777777" w:rsidR="0087411B" w:rsidRPr="004A59B1" w:rsidRDefault="0087411B" w:rsidP="009C1193">
            <w:pPr>
              <w:widowControl w:val="0"/>
              <w:rPr>
                <w:color w:val="000000"/>
                <w:szCs w:val="22"/>
                <w:lang w:val="fr-FR"/>
              </w:rPr>
            </w:pPr>
            <w:r w:rsidRPr="004A59B1">
              <w:rPr>
                <w:color w:val="000000"/>
                <w:szCs w:val="22"/>
                <w:lang w:val="fr-FR"/>
              </w:rPr>
              <w:t>Tél: +33 1 55 47 66 00</w:t>
            </w:r>
          </w:p>
          <w:p w14:paraId="5297AA42" w14:textId="77777777" w:rsidR="0087411B" w:rsidRPr="004A59B1" w:rsidRDefault="0087411B" w:rsidP="009C1193">
            <w:pPr>
              <w:widowControl w:val="0"/>
              <w:rPr>
                <w:b/>
                <w:color w:val="000000"/>
                <w:szCs w:val="22"/>
                <w:lang w:val="fr-FR"/>
              </w:rPr>
            </w:pPr>
          </w:p>
        </w:tc>
        <w:tc>
          <w:tcPr>
            <w:tcW w:w="4650" w:type="dxa"/>
          </w:tcPr>
          <w:p w14:paraId="5297AA43" w14:textId="77777777" w:rsidR="0087411B" w:rsidRPr="004A59B1" w:rsidRDefault="0087411B" w:rsidP="009C1193">
            <w:pPr>
              <w:widowControl w:val="0"/>
              <w:rPr>
                <w:b/>
                <w:color w:val="000000"/>
                <w:szCs w:val="22"/>
                <w:lang w:val="pt-BR"/>
              </w:rPr>
            </w:pPr>
            <w:r w:rsidRPr="004A59B1">
              <w:rPr>
                <w:b/>
                <w:color w:val="000000"/>
                <w:szCs w:val="22"/>
                <w:lang w:val="pt-BR"/>
              </w:rPr>
              <w:t>Portugal</w:t>
            </w:r>
          </w:p>
          <w:p w14:paraId="5297AA44" w14:textId="77777777" w:rsidR="0087411B" w:rsidRPr="004A59B1" w:rsidRDefault="0087411B" w:rsidP="009C1193">
            <w:pPr>
              <w:widowControl w:val="0"/>
              <w:rPr>
                <w:color w:val="000000"/>
                <w:szCs w:val="22"/>
                <w:lang w:val="pt-BR"/>
              </w:rPr>
            </w:pPr>
            <w:r w:rsidRPr="004A59B1">
              <w:rPr>
                <w:color w:val="000000"/>
                <w:szCs w:val="22"/>
                <w:lang w:val="pt-BR"/>
              </w:rPr>
              <w:t>Novartis Farma - Produtos Farmacêuticos, S.A.</w:t>
            </w:r>
          </w:p>
          <w:p w14:paraId="5297AA45" w14:textId="77777777" w:rsidR="0087411B" w:rsidRPr="004A59B1" w:rsidRDefault="0087411B" w:rsidP="009C1193">
            <w:pPr>
              <w:widowControl w:val="0"/>
              <w:rPr>
                <w:color w:val="000000"/>
                <w:szCs w:val="22"/>
              </w:rPr>
            </w:pPr>
            <w:r w:rsidRPr="004A59B1">
              <w:rPr>
                <w:color w:val="000000"/>
                <w:szCs w:val="22"/>
              </w:rPr>
              <w:t>Tel: +351 21 000 8600</w:t>
            </w:r>
          </w:p>
        </w:tc>
      </w:tr>
      <w:tr w:rsidR="0087411B" w:rsidRPr="004A59B1" w14:paraId="5297AA4E" w14:textId="77777777" w:rsidTr="006C100D">
        <w:trPr>
          <w:cantSplit/>
        </w:trPr>
        <w:tc>
          <w:tcPr>
            <w:tcW w:w="4650" w:type="dxa"/>
          </w:tcPr>
          <w:p w14:paraId="5297AA47" w14:textId="77777777" w:rsidR="0087411B" w:rsidRPr="003F2EE1" w:rsidRDefault="0087411B" w:rsidP="009C1193">
            <w:pPr>
              <w:widowControl w:val="0"/>
              <w:rPr>
                <w:rFonts w:eastAsia="PMingLiU"/>
                <w:b/>
                <w:szCs w:val="22"/>
                <w:lang w:val="de-CH"/>
              </w:rPr>
            </w:pPr>
            <w:r w:rsidRPr="003F2EE1">
              <w:rPr>
                <w:rFonts w:eastAsia="PMingLiU"/>
                <w:b/>
                <w:szCs w:val="22"/>
                <w:lang w:val="de-CH"/>
              </w:rPr>
              <w:t>Hrvatska</w:t>
            </w:r>
          </w:p>
          <w:p w14:paraId="5297AA48" w14:textId="77777777" w:rsidR="0087411B" w:rsidRPr="003F2EE1" w:rsidRDefault="0087411B" w:rsidP="009C1193">
            <w:pPr>
              <w:widowControl w:val="0"/>
              <w:rPr>
                <w:szCs w:val="22"/>
                <w:lang w:val="de-CH"/>
              </w:rPr>
            </w:pPr>
            <w:r w:rsidRPr="003F2EE1">
              <w:rPr>
                <w:szCs w:val="22"/>
                <w:lang w:val="de-CH"/>
              </w:rPr>
              <w:t>Novartis Hrvatska d.o.o.</w:t>
            </w:r>
          </w:p>
          <w:p w14:paraId="5297AA49" w14:textId="77777777" w:rsidR="0087411B" w:rsidRPr="004A59B1" w:rsidRDefault="0087411B" w:rsidP="009C1193">
            <w:pPr>
              <w:widowControl w:val="0"/>
              <w:rPr>
                <w:szCs w:val="22"/>
              </w:rPr>
            </w:pPr>
            <w:r w:rsidRPr="004A59B1">
              <w:rPr>
                <w:szCs w:val="22"/>
              </w:rPr>
              <w:t>Tel. +385 1 6274 220</w:t>
            </w:r>
          </w:p>
          <w:p w14:paraId="5297AA4A" w14:textId="77777777" w:rsidR="0087411B" w:rsidRPr="004A59B1" w:rsidRDefault="0087411B" w:rsidP="009C1193">
            <w:pPr>
              <w:widowControl w:val="0"/>
              <w:rPr>
                <w:b/>
                <w:color w:val="000000"/>
                <w:szCs w:val="22"/>
                <w:lang w:val="fr-FR"/>
              </w:rPr>
            </w:pPr>
          </w:p>
        </w:tc>
        <w:tc>
          <w:tcPr>
            <w:tcW w:w="4650" w:type="dxa"/>
          </w:tcPr>
          <w:p w14:paraId="5297AA4B" w14:textId="77777777" w:rsidR="0087411B" w:rsidRPr="004A59B1" w:rsidRDefault="0087411B" w:rsidP="009C1193">
            <w:pPr>
              <w:widowControl w:val="0"/>
              <w:rPr>
                <w:b/>
                <w:noProof/>
                <w:color w:val="000000"/>
                <w:szCs w:val="22"/>
                <w:lang w:val="it-IT"/>
              </w:rPr>
            </w:pPr>
            <w:r w:rsidRPr="004A59B1">
              <w:rPr>
                <w:b/>
                <w:noProof/>
                <w:color w:val="000000"/>
                <w:szCs w:val="22"/>
                <w:lang w:val="it-IT"/>
              </w:rPr>
              <w:t>România</w:t>
            </w:r>
          </w:p>
          <w:p w14:paraId="5297AA4C" w14:textId="77777777" w:rsidR="0087411B" w:rsidRPr="004A59B1" w:rsidRDefault="0087411B" w:rsidP="009C1193">
            <w:pPr>
              <w:widowControl w:val="0"/>
              <w:rPr>
                <w:noProof/>
                <w:color w:val="000000"/>
                <w:szCs w:val="22"/>
                <w:lang w:val="it-IT"/>
              </w:rPr>
            </w:pPr>
            <w:r w:rsidRPr="004A59B1">
              <w:rPr>
                <w:noProof/>
                <w:color w:val="000000"/>
                <w:szCs w:val="22"/>
                <w:lang w:val="it-IT"/>
              </w:rPr>
              <w:t xml:space="preserve">Novartis Pharma Services </w:t>
            </w:r>
            <w:r w:rsidRPr="003F2EE1">
              <w:rPr>
                <w:color w:val="2F2F2F"/>
                <w:szCs w:val="22"/>
                <w:lang w:val="fr-CH"/>
              </w:rPr>
              <w:t>Romania SRL</w:t>
            </w:r>
          </w:p>
          <w:p w14:paraId="5297AA4D" w14:textId="77777777" w:rsidR="0087411B" w:rsidRPr="004A59B1" w:rsidRDefault="0087411B" w:rsidP="009C1193">
            <w:pPr>
              <w:widowControl w:val="0"/>
              <w:rPr>
                <w:color w:val="000000"/>
                <w:szCs w:val="22"/>
              </w:rPr>
            </w:pPr>
            <w:r w:rsidRPr="004A59B1">
              <w:rPr>
                <w:noProof/>
                <w:color w:val="000000"/>
                <w:szCs w:val="22"/>
                <w:lang w:val="it-IT"/>
              </w:rPr>
              <w:t>Tel: +40 21 31299 01</w:t>
            </w:r>
          </w:p>
        </w:tc>
      </w:tr>
      <w:tr w:rsidR="0087411B" w:rsidRPr="004A59B1" w14:paraId="5297AA56" w14:textId="77777777" w:rsidTr="006C100D">
        <w:trPr>
          <w:cantSplit/>
        </w:trPr>
        <w:tc>
          <w:tcPr>
            <w:tcW w:w="4650" w:type="dxa"/>
          </w:tcPr>
          <w:p w14:paraId="5297AA4F" w14:textId="77777777" w:rsidR="0087411B" w:rsidRPr="004A59B1" w:rsidRDefault="0087411B" w:rsidP="009C1193">
            <w:pPr>
              <w:widowControl w:val="0"/>
              <w:rPr>
                <w:b/>
                <w:color w:val="000000"/>
                <w:szCs w:val="22"/>
                <w:lang w:val="en-US"/>
              </w:rPr>
            </w:pPr>
            <w:r w:rsidRPr="004A59B1">
              <w:rPr>
                <w:b/>
                <w:color w:val="000000"/>
                <w:szCs w:val="22"/>
                <w:lang w:val="en-US"/>
              </w:rPr>
              <w:t>Ireland</w:t>
            </w:r>
          </w:p>
          <w:p w14:paraId="5297AA50" w14:textId="77777777" w:rsidR="0087411B" w:rsidRPr="004A59B1" w:rsidRDefault="0087411B" w:rsidP="009C1193">
            <w:pPr>
              <w:widowControl w:val="0"/>
              <w:rPr>
                <w:color w:val="000000"/>
                <w:szCs w:val="22"/>
                <w:lang w:val="en-US"/>
              </w:rPr>
            </w:pPr>
            <w:r w:rsidRPr="004A59B1">
              <w:rPr>
                <w:color w:val="000000"/>
                <w:szCs w:val="22"/>
                <w:lang w:val="en-US"/>
              </w:rPr>
              <w:t>Novartis Ireland Limited</w:t>
            </w:r>
          </w:p>
          <w:p w14:paraId="5297AA51" w14:textId="77777777" w:rsidR="0087411B" w:rsidRPr="004A59B1" w:rsidRDefault="0087411B" w:rsidP="009C1193">
            <w:pPr>
              <w:widowControl w:val="0"/>
              <w:rPr>
                <w:color w:val="000000"/>
                <w:szCs w:val="22"/>
                <w:lang w:val="en-US"/>
              </w:rPr>
            </w:pPr>
            <w:r w:rsidRPr="004A59B1">
              <w:rPr>
                <w:color w:val="000000"/>
                <w:szCs w:val="22"/>
                <w:lang w:val="en-US"/>
              </w:rPr>
              <w:t>Tel: +353 1 260 12 55</w:t>
            </w:r>
          </w:p>
          <w:p w14:paraId="5297AA52" w14:textId="77777777" w:rsidR="0087411B" w:rsidRPr="004A59B1" w:rsidRDefault="0087411B" w:rsidP="009C1193">
            <w:pPr>
              <w:widowControl w:val="0"/>
              <w:rPr>
                <w:b/>
                <w:color w:val="000000"/>
                <w:szCs w:val="22"/>
                <w:lang w:val="en-US"/>
              </w:rPr>
            </w:pPr>
          </w:p>
        </w:tc>
        <w:tc>
          <w:tcPr>
            <w:tcW w:w="4650" w:type="dxa"/>
          </w:tcPr>
          <w:p w14:paraId="5297AA53" w14:textId="77777777" w:rsidR="0087411B" w:rsidRPr="004A59B1" w:rsidRDefault="0087411B" w:rsidP="009C1193">
            <w:pPr>
              <w:widowControl w:val="0"/>
              <w:rPr>
                <w:b/>
                <w:color w:val="000000"/>
                <w:szCs w:val="22"/>
                <w:lang w:val="fr-FR"/>
              </w:rPr>
            </w:pPr>
            <w:r w:rsidRPr="004A59B1">
              <w:rPr>
                <w:b/>
                <w:color w:val="000000"/>
                <w:szCs w:val="22"/>
                <w:lang w:val="fr-FR"/>
              </w:rPr>
              <w:t>Slovenija</w:t>
            </w:r>
          </w:p>
          <w:p w14:paraId="5297AA54" w14:textId="77777777" w:rsidR="0087411B" w:rsidRPr="004A59B1" w:rsidRDefault="0087411B" w:rsidP="009C1193">
            <w:pPr>
              <w:widowControl w:val="0"/>
              <w:rPr>
                <w:color w:val="000000"/>
                <w:szCs w:val="22"/>
                <w:lang w:val="fr-FR"/>
              </w:rPr>
            </w:pPr>
            <w:r w:rsidRPr="004A59B1">
              <w:rPr>
                <w:color w:val="000000"/>
                <w:szCs w:val="22"/>
                <w:lang w:val="fr-FR"/>
              </w:rPr>
              <w:t>Novartis Pharma Services Inc.</w:t>
            </w:r>
          </w:p>
          <w:p w14:paraId="5297AA55" w14:textId="77777777" w:rsidR="0087411B" w:rsidRPr="004A59B1" w:rsidRDefault="0087411B" w:rsidP="009C1193">
            <w:pPr>
              <w:widowControl w:val="0"/>
              <w:rPr>
                <w:color w:val="000000"/>
                <w:szCs w:val="22"/>
                <w:lang w:val="fr-FR"/>
              </w:rPr>
            </w:pPr>
            <w:r w:rsidRPr="004A59B1">
              <w:rPr>
                <w:color w:val="000000"/>
                <w:szCs w:val="22"/>
                <w:lang w:val="fr-FR"/>
              </w:rPr>
              <w:t>Tel: +386 1 300 75 50</w:t>
            </w:r>
          </w:p>
        </w:tc>
      </w:tr>
      <w:tr w:rsidR="0087411B" w:rsidRPr="004A59B1" w14:paraId="5297AA5F" w14:textId="77777777" w:rsidTr="006C100D">
        <w:trPr>
          <w:cantSplit/>
        </w:trPr>
        <w:tc>
          <w:tcPr>
            <w:tcW w:w="4650" w:type="dxa"/>
          </w:tcPr>
          <w:p w14:paraId="5297AA57" w14:textId="77777777" w:rsidR="0087411B" w:rsidRPr="004A59B1" w:rsidRDefault="0087411B" w:rsidP="009C1193">
            <w:pPr>
              <w:widowControl w:val="0"/>
              <w:rPr>
                <w:b/>
                <w:color w:val="000000"/>
                <w:szCs w:val="22"/>
              </w:rPr>
            </w:pPr>
            <w:r w:rsidRPr="004A59B1">
              <w:rPr>
                <w:b/>
                <w:color w:val="000000"/>
                <w:szCs w:val="22"/>
              </w:rPr>
              <w:t>Ísland</w:t>
            </w:r>
          </w:p>
          <w:p w14:paraId="5297AA58" w14:textId="77777777" w:rsidR="0087411B" w:rsidRPr="004A59B1" w:rsidRDefault="0087411B" w:rsidP="009C1193">
            <w:pPr>
              <w:widowControl w:val="0"/>
              <w:rPr>
                <w:color w:val="000000"/>
                <w:szCs w:val="22"/>
              </w:rPr>
            </w:pPr>
            <w:r w:rsidRPr="004A59B1">
              <w:rPr>
                <w:color w:val="000000"/>
                <w:szCs w:val="22"/>
              </w:rPr>
              <w:t>Vistor hf.</w:t>
            </w:r>
          </w:p>
          <w:p w14:paraId="5297AA59" w14:textId="77777777" w:rsidR="0087411B" w:rsidRPr="004A59B1" w:rsidRDefault="0087411B" w:rsidP="009C1193">
            <w:pPr>
              <w:widowControl w:val="0"/>
              <w:rPr>
                <w:color w:val="000000"/>
                <w:szCs w:val="22"/>
              </w:rPr>
            </w:pPr>
            <w:r w:rsidRPr="004A59B1">
              <w:rPr>
                <w:noProof/>
                <w:color w:val="000000"/>
                <w:szCs w:val="22"/>
                <w:lang w:val="it-IT"/>
              </w:rPr>
              <w:t>S</w:t>
            </w:r>
            <w:r w:rsidRPr="004A59B1">
              <w:rPr>
                <w:noProof/>
                <w:color w:val="000000"/>
                <w:szCs w:val="22"/>
                <w:lang w:val="cs-CZ"/>
              </w:rPr>
              <w:t>í</w:t>
            </w:r>
            <w:r w:rsidRPr="004A59B1">
              <w:rPr>
                <w:noProof/>
                <w:color w:val="000000"/>
                <w:szCs w:val="22"/>
                <w:lang w:val="it-IT"/>
              </w:rPr>
              <w:t>mi</w:t>
            </w:r>
            <w:r w:rsidRPr="004A59B1">
              <w:rPr>
                <w:color w:val="000000"/>
                <w:szCs w:val="22"/>
              </w:rPr>
              <w:t>: +354 535 7000</w:t>
            </w:r>
          </w:p>
          <w:p w14:paraId="5297AA5A" w14:textId="77777777" w:rsidR="0087411B" w:rsidRPr="004A59B1" w:rsidRDefault="0087411B" w:rsidP="009C1193">
            <w:pPr>
              <w:widowControl w:val="0"/>
              <w:rPr>
                <w:b/>
                <w:color w:val="000000"/>
                <w:szCs w:val="22"/>
              </w:rPr>
            </w:pPr>
          </w:p>
        </w:tc>
        <w:tc>
          <w:tcPr>
            <w:tcW w:w="4650" w:type="dxa"/>
          </w:tcPr>
          <w:p w14:paraId="5297AA5B" w14:textId="77777777" w:rsidR="0087411B" w:rsidRPr="004A59B1" w:rsidRDefault="0087411B" w:rsidP="009C1193">
            <w:pPr>
              <w:widowControl w:val="0"/>
              <w:rPr>
                <w:b/>
                <w:color w:val="000000"/>
                <w:szCs w:val="22"/>
                <w:lang w:val="pt-BR"/>
              </w:rPr>
            </w:pPr>
            <w:r w:rsidRPr="004A59B1">
              <w:rPr>
                <w:b/>
                <w:color w:val="000000"/>
                <w:szCs w:val="22"/>
                <w:lang w:val="pt-BR"/>
              </w:rPr>
              <w:t>Slovenská republika</w:t>
            </w:r>
          </w:p>
          <w:p w14:paraId="5297AA5C" w14:textId="77777777" w:rsidR="0087411B" w:rsidRPr="004A59B1" w:rsidRDefault="0087411B" w:rsidP="009C1193">
            <w:pPr>
              <w:widowControl w:val="0"/>
              <w:rPr>
                <w:color w:val="000000"/>
                <w:szCs w:val="22"/>
                <w:lang w:val="pt-BR"/>
              </w:rPr>
            </w:pPr>
            <w:r w:rsidRPr="004A59B1">
              <w:rPr>
                <w:color w:val="000000"/>
                <w:szCs w:val="22"/>
                <w:lang w:val="pt-BR"/>
              </w:rPr>
              <w:t>Novartis Slovakia s.r.o.</w:t>
            </w:r>
          </w:p>
          <w:p w14:paraId="5297AA5D" w14:textId="77777777" w:rsidR="0087411B" w:rsidRPr="004A59B1" w:rsidRDefault="0087411B" w:rsidP="009C1193">
            <w:pPr>
              <w:widowControl w:val="0"/>
              <w:rPr>
                <w:color w:val="000000"/>
                <w:szCs w:val="22"/>
              </w:rPr>
            </w:pPr>
            <w:r w:rsidRPr="004A59B1">
              <w:rPr>
                <w:color w:val="000000"/>
                <w:szCs w:val="22"/>
              </w:rPr>
              <w:t>Tel: +421 2 5542 5439</w:t>
            </w:r>
          </w:p>
          <w:p w14:paraId="5297AA5E" w14:textId="77777777" w:rsidR="0087411B" w:rsidRPr="004A59B1" w:rsidRDefault="0087411B" w:rsidP="009C1193">
            <w:pPr>
              <w:widowControl w:val="0"/>
              <w:rPr>
                <w:color w:val="000000"/>
                <w:szCs w:val="22"/>
              </w:rPr>
            </w:pPr>
          </w:p>
        </w:tc>
      </w:tr>
      <w:tr w:rsidR="0087411B" w:rsidRPr="003B6568" w14:paraId="5297AA67" w14:textId="77777777" w:rsidTr="006C100D">
        <w:trPr>
          <w:cantSplit/>
        </w:trPr>
        <w:tc>
          <w:tcPr>
            <w:tcW w:w="4650" w:type="dxa"/>
          </w:tcPr>
          <w:p w14:paraId="5297AA60" w14:textId="77777777" w:rsidR="0087411B" w:rsidRPr="004A59B1" w:rsidRDefault="0087411B" w:rsidP="009C1193">
            <w:pPr>
              <w:widowControl w:val="0"/>
              <w:rPr>
                <w:b/>
                <w:color w:val="000000"/>
                <w:szCs w:val="22"/>
                <w:lang w:val="pt-BR"/>
              </w:rPr>
            </w:pPr>
            <w:r w:rsidRPr="004A59B1">
              <w:rPr>
                <w:b/>
                <w:color w:val="000000"/>
                <w:szCs w:val="22"/>
                <w:lang w:val="pt-BR"/>
              </w:rPr>
              <w:t>Italia</w:t>
            </w:r>
          </w:p>
          <w:p w14:paraId="5297AA61" w14:textId="77777777" w:rsidR="0087411B" w:rsidRPr="004A59B1" w:rsidRDefault="0087411B" w:rsidP="009C1193">
            <w:pPr>
              <w:widowControl w:val="0"/>
              <w:rPr>
                <w:color w:val="000000"/>
                <w:szCs w:val="22"/>
                <w:lang w:val="pt-BR"/>
              </w:rPr>
            </w:pPr>
            <w:r w:rsidRPr="004A59B1">
              <w:rPr>
                <w:color w:val="000000"/>
                <w:szCs w:val="22"/>
                <w:lang w:val="pt-BR"/>
              </w:rPr>
              <w:t>Novartis Farma S.p.A.</w:t>
            </w:r>
          </w:p>
          <w:p w14:paraId="5297AA62" w14:textId="77777777" w:rsidR="0087411B" w:rsidRPr="004A59B1" w:rsidRDefault="0087411B" w:rsidP="009C1193">
            <w:pPr>
              <w:widowControl w:val="0"/>
              <w:rPr>
                <w:b/>
                <w:color w:val="000000"/>
                <w:szCs w:val="22"/>
              </w:rPr>
            </w:pPr>
            <w:r w:rsidRPr="004A59B1">
              <w:rPr>
                <w:color w:val="000000"/>
                <w:szCs w:val="22"/>
              </w:rPr>
              <w:t>Tel: +39 02 96 54 1</w:t>
            </w:r>
          </w:p>
        </w:tc>
        <w:tc>
          <w:tcPr>
            <w:tcW w:w="4650" w:type="dxa"/>
          </w:tcPr>
          <w:p w14:paraId="5297AA63" w14:textId="77777777" w:rsidR="0087411B" w:rsidRPr="004A59B1" w:rsidRDefault="0087411B" w:rsidP="009C1193">
            <w:pPr>
              <w:widowControl w:val="0"/>
              <w:rPr>
                <w:b/>
                <w:color w:val="000000"/>
                <w:szCs w:val="22"/>
                <w:lang w:val="fr-FR"/>
              </w:rPr>
            </w:pPr>
            <w:r w:rsidRPr="004A59B1">
              <w:rPr>
                <w:b/>
                <w:color w:val="000000"/>
                <w:szCs w:val="22"/>
                <w:lang w:val="fr-FR"/>
              </w:rPr>
              <w:t>Suomi/Finland</w:t>
            </w:r>
          </w:p>
          <w:p w14:paraId="5297AA64" w14:textId="77777777" w:rsidR="0087411B" w:rsidRPr="004A59B1" w:rsidRDefault="0087411B" w:rsidP="009C1193">
            <w:pPr>
              <w:widowControl w:val="0"/>
              <w:rPr>
                <w:color w:val="000000"/>
                <w:szCs w:val="22"/>
                <w:lang w:val="fr-FR"/>
              </w:rPr>
            </w:pPr>
            <w:r w:rsidRPr="004A59B1">
              <w:rPr>
                <w:color w:val="000000"/>
                <w:szCs w:val="22"/>
                <w:lang w:val="fr-FR"/>
              </w:rPr>
              <w:t>Novartis Finland Oy</w:t>
            </w:r>
          </w:p>
          <w:p w14:paraId="5297AA65" w14:textId="77777777" w:rsidR="0087411B" w:rsidRPr="004A59B1" w:rsidRDefault="0087411B" w:rsidP="009C1193">
            <w:pPr>
              <w:widowControl w:val="0"/>
              <w:rPr>
                <w:color w:val="000000"/>
                <w:szCs w:val="22"/>
                <w:lang w:val="fr-FR"/>
              </w:rPr>
            </w:pPr>
            <w:r w:rsidRPr="004A59B1">
              <w:rPr>
                <w:color w:val="000000"/>
                <w:szCs w:val="22"/>
                <w:lang w:val="fr-FR"/>
              </w:rPr>
              <w:t xml:space="preserve">Puh/Tel: </w:t>
            </w:r>
            <w:r w:rsidRPr="004A59B1">
              <w:rPr>
                <w:color w:val="000000"/>
                <w:szCs w:val="22"/>
                <w:lang w:val="de-CH" w:bidi="he-IL"/>
              </w:rPr>
              <w:t>+358 (0)10 6133 200</w:t>
            </w:r>
          </w:p>
          <w:p w14:paraId="5297AA66" w14:textId="77777777" w:rsidR="0087411B" w:rsidRPr="004A59B1" w:rsidRDefault="0087411B" w:rsidP="009C1193">
            <w:pPr>
              <w:widowControl w:val="0"/>
              <w:rPr>
                <w:color w:val="000000"/>
                <w:szCs w:val="22"/>
                <w:lang w:val="fr-FR"/>
              </w:rPr>
            </w:pPr>
          </w:p>
        </w:tc>
      </w:tr>
      <w:tr w:rsidR="0087411B" w:rsidRPr="003B6568" w14:paraId="5297AA70" w14:textId="77777777" w:rsidTr="006C100D">
        <w:trPr>
          <w:cantSplit/>
        </w:trPr>
        <w:tc>
          <w:tcPr>
            <w:tcW w:w="4650" w:type="dxa"/>
          </w:tcPr>
          <w:p w14:paraId="5297AA68" w14:textId="77777777" w:rsidR="0087411B" w:rsidRPr="004A59B1" w:rsidRDefault="0087411B" w:rsidP="009C1193">
            <w:pPr>
              <w:widowControl w:val="0"/>
              <w:rPr>
                <w:b/>
                <w:color w:val="000000"/>
                <w:szCs w:val="22"/>
                <w:lang w:val="fr-FR"/>
              </w:rPr>
            </w:pPr>
            <w:r w:rsidRPr="004A59B1">
              <w:rPr>
                <w:b/>
                <w:color w:val="000000"/>
                <w:szCs w:val="22"/>
              </w:rPr>
              <w:t>Κύπρος</w:t>
            </w:r>
          </w:p>
          <w:p w14:paraId="5297AA69" w14:textId="77777777" w:rsidR="0087411B" w:rsidRPr="004A59B1" w:rsidRDefault="0087411B" w:rsidP="009C1193">
            <w:pPr>
              <w:widowControl w:val="0"/>
              <w:rPr>
                <w:color w:val="000000"/>
                <w:szCs w:val="22"/>
                <w:lang w:val="fr-FR"/>
              </w:rPr>
            </w:pPr>
            <w:r w:rsidRPr="004A59B1">
              <w:rPr>
                <w:color w:val="000000"/>
                <w:szCs w:val="22"/>
                <w:lang w:val="fr-FR" w:bidi="he-IL"/>
              </w:rPr>
              <w:t>Novartis Pharma Services Inc.</w:t>
            </w:r>
          </w:p>
          <w:p w14:paraId="5297AA6A" w14:textId="77777777" w:rsidR="0087411B" w:rsidRPr="004A59B1" w:rsidRDefault="0087411B" w:rsidP="009C1193">
            <w:pPr>
              <w:widowControl w:val="0"/>
              <w:rPr>
                <w:color w:val="000000"/>
                <w:szCs w:val="22"/>
                <w:lang w:val="fr-FR"/>
              </w:rPr>
            </w:pPr>
            <w:r w:rsidRPr="004A59B1">
              <w:rPr>
                <w:color w:val="000000"/>
                <w:szCs w:val="22"/>
              </w:rPr>
              <w:t>Τηλ</w:t>
            </w:r>
            <w:r w:rsidRPr="004A59B1">
              <w:rPr>
                <w:color w:val="000000"/>
                <w:szCs w:val="22"/>
                <w:lang w:val="fr-FR"/>
              </w:rPr>
              <w:t>: +357 22 690 690</w:t>
            </w:r>
          </w:p>
          <w:p w14:paraId="5297AA6B" w14:textId="77777777" w:rsidR="0087411B" w:rsidRPr="004A59B1" w:rsidRDefault="0087411B" w:rsidP="009C1193">
            <w:pPr>
              <w:widowControl w:val="0"/>
              <w:rPr>
                <w:b/>
                <w:color w:val="000000"/>
                <w:szCs w:val="22"/>
                <w:lang w:val="fr-FR"/>
              </w:rPr>
            </w:pPr>
          </w:p>
        </w:tc>
        <w:tc>
          <w:tcPr>
            <w:tcW w:w="4650" w:type="dxa"/>
          </w:tcPr>
          <w:p w14:paraId="5297AA6C" w14:textId="77777777" w:rsidR="0087411B" w:rsidRPr="004A59B1" w:rsidRDefault="0087411B" w:rsidP="009C1193">
            <w:pPr>
              <w:widowControl w:val="0"/>
              <w:rPr>
                <w:b/>
                <w:color w:val="000000"/>
                <w:szCs w:val="22"/>
                <w:lang w:val="de-CH"/>
              </w:rPr>
            </w:pPr>
            <w:r w:rsidRPr="004A59B1">
              <w:rPr>
                <w:b/>
                <w:color w:val="000000"/>
                <w:szCs w:val="22"/>
                <w:lang w:val="de-CH"/>
              </w:rPr>
              <w:t>Sverige</w:t>
            </w:r>
          </w:p>
          <w:p w14:paraId="5297AA6D" w14:textId="77777777" w:rsidR="0087411B" w:rsidRPr="004A59B1" w:rsidRDefault="0087411B" w:rsidP="009C1193">
            <w:pPr>
              <w:widowControl w:val="0"/>
              <w:rPr>
                <w:color w:val="000000"/>
                <w:szCs w:val="22"/>
                <w:lang w:val="de-CH"/>
              </w:rPr>
            </w:pPr>
            <w:r w:rsidRPr="004A59B1">
              <w:rPr>
                <w:color w:val="000000"/>
                <w:szCs w:val="22"/>
                <w:lang w:val="de-CH"/>
              </w:rPr>
              <w:t>Novartis Sverige AB</w:t>
            </w:r>
          </w:p>
          <w:p w14:paraId="5297AA6E" w14:textId="77777777" w:rsidR="0087411B" w:rsidRPr="004A59B1" w:rsidRDefault="0087411B" w:rsidP="009C1193">
            <w:pPr>
              <w:widowControl w:val="0"/>
              <w:rPr>
                <w:color w:val="000000"/>
                <w:szCs w:val="22"/>
                <w:lang w:val="de-CH"/>
              </w:rPr>
            </w:pPr>
            <w:r w:rsidRPr="004A59B1">
              <w:rPr>
                <w:color w:val="000000"/>
                <w:szCs w:val="22"/>
                <w:lang w:val="de-CH"/>
              </w:rPr>
              <w:t>Tel: +46 8 732 32 00</w:t>
            </w:r>
          </w:p>
          <w:p w14:paraId="5297AA6F" w14:textId="77777777" w:rsidR="0087411B" w:rsidRPr="004A59B1" w:rsidRDefault="0087411B" w:rsidP="009C1193">
            <w:pPr>
              <w:widowControl w:val="0"/>
              <w:rPr>
                <w:color w:val="000000"/>
                <w:szCs w:val="22"/>
                <w:lang w:val="de-CH"/>
              </w:rPr>
            </w:pPr>
          </w:p>
        </w:tc>
      </w:tr>
      <w:tr w:rsidR="0087411B" w:rsidRPr="004A59B1" w14:paraId="5297AA79" w14:textId="77777777" w:rsidTr="006C100D">
        <w:trPr>
          <w:cantSplit/>
        </w:trPr>
        <w:tc>
          <w:tcPr>
            <w:tcW w:w="4650" w:type="dxa"/>
          </w:tcPr>
          <w:p w14:paraId="5297AA71" w14:textId="77777777" w:rsidR="0087411B" w:rsidRPr="000C1414" w:rsidRDefault="0087411B" w:rsidP="009C1193">
            <w:pPr>
              <w:widowControl w:val="0"/>
              <w:rPr>
                <w:b/>
                <w:color w:val="000000"/>
                <w:szCs w:val="22"/>
                <w:lang w:val="it-IT"/>
              </w:rPr>
            </w:pPr>
            <w:r w:rsidRPr="000C1414">
              <w:rPr>
                <w:b/>
                <w:color w:val="000000"/>
                <w:szCs w:val="22"/>
                <w:lang w:val="it-IT"/>
              </w:rPr>
              <w:t>Latvija</w:t>
            </w:r>
          </w:p>
          <w:p w14:paraId="5297AA72" w14:textId="32BA9F83" w:rsidR="0087411B" w:rsidRPr="000C1414" w:rsidRDefault="007B5D24" w:rsidP="009C1193">
            <w:pPr>
              <w:widowControl w:val="0"/>
              <w:rPr>
                <w:color w:val="000000"/>
                <w:szCs w:val="22"/>
                <w:lang w:val="it-IT"/>
              </w:rPr>
            </w:pPr>
            <w:r w:rsidRPr="0051657E">
              <w:rPr>
                <w:szCs w:val="22"/>
                <w:lang w:val="it-IT"/>
              </w:rPr>
              <w:t>SIA Novartis Baltics</w:t>
            </w:r>
          </w:p>
          <w:p w14:paraId="5297AA73" w14:textId="77777777" w:rsidR="0087411B" w:rsidRPr="000C1414" w:rsidRDefault="0087411B" w:rsidP="009C1193">
            <w:pPr>
              <w:widowControl w:val="0"/>
              <w:rPr>
                <w:color w:val="000000"/>
                <w:szCs w:val="22"/>
                <w:lang w:val="it-IT"/>
              </w:rPr>
            </w:pPr>
            <w:r w:rsidRPr="000C1414">
              <w:rPr>
                <w:color w:val="000000"/>
                <w:szCs w:val="22"/>
                <w:lang w:val="it-IT"/>
              </w:rPr>
              <w:t>Tel: +371 67 887 070</w:t>
            </w:r>
          </w:p>
          <w:p w14:paraId="5297AA74" w14:textId="77777777" w:rsidR="0087411B" w:rsidRPr="000C1414" w:rsidRDefault="0087411B" w:rsidP="009C1193">
            <w:pPr>
              <w:widowControl w:val="0"/>
              <w:rPr>
                <w:b/>
                <w:color w:val="000000"/>
                <w:szCs w:val="22"/>
                <w:lang w:val="it-IT"/>
              </w:rPr>
            </w:pPr>
          </w:p>
        </w:tc>
        <w:tc>
          <w:tcPr>
            <w:tcW w:w="4650" w:type="dxa"/>
          </w:tcPr>
          <w:p w14:paraId="5297AA75" w14:textId="77777777" w:rsidR="0087411B" w:rsidRPr="004A59B1" w:rsidRDefault="0087411B" w:rsidP="009C1193">
            <w:pPr>
              <w:widowControl w:val="0"/>
              <w:rPr>
                <w:b/>
                <w:color w:val="000000"/>
                <w:szCs w:val="22"/>
                <w:lang w:val="en-US"/>
              </w:rPr>
            </w:pPr>
            <w:r w:rsidRPr="004A59B1">
              <w:rPr>
                <w:b/>
                <w:color w:val="000000"/>
                <w:szCs w:val="22"/>
                <w:lang w:val="en-US"/>
              </w:rPr>
              <w:t>United Kingdom</w:t>
            </w:r>
          </w:p>
          <w:p w14:paraId="5297AA76" w14:textId="77777777" w:rsidR="0087411B" w:rsidRPr="004A59B1" w:rsidRDefault="0087411B" w:rsidP="009C1193">
            <w:pPr>
              <w:widowControl w:val="0"/>
              <w:rPr>
                <w:color w:val="000000"/>
                <w:szCs w:val="22"/>
                <w:lang w:val="en-US"/>
              </w:rPr>
            </w:pPr>
            <w:r w:rsidRPr="004A59B1">
              <w:rPr>
                <w:color w:val="000000"/>
                <w:szCs w:val="22"/>
                <w:lang w:val="en-US"/>
              </w:rPr>
              <w:t>Novartis Pharmaceuticals UK Ltd.</w:t>
            </w:r>
          </w:p>
          <w:p w14:paraId="5297AA77" w14:textId="77777777" w:rsidR="0087411B" w:rsidRPr="004A59B1" w:rsidRDefault="0087411B" w:rsidP="009C1193">
            <w:pPr>
              <w:widowControl w:val="0"/>
              <w:rPr>
                <w:color w:val="000000"/>
                <w:szCs w:val="22"/>
              </w:rPr>
            </w:pPr>
            <w:r w:rsidRPr="004A59B1">
              <w:rPr>
                <w:color w:val="000000"/>
                <w:szCs w:val="22"/>
              </w:rPr>
              <w:t>Tel: +44 1276 698370</w:t>
            </w:r>
          </w:p>
          <w:p w14:paraId="5297AA78" w14:textId="77777777" w:rsidR="0087411B" w:rsidRPr="004A59B1" w:rsidRDefault="0087411B" w:rsidP="009C1193">
            <w:pPr>
              <w:widowControl w:val="0"/>
              <w:rPr>
                <w:color w:val="000000"/>
                <w:szCs w:val="22"/>
              </w:rPr>
            </w:pPr>
          </w:p>
        </w:tc>
      </w:tr>
    </w:tbl>
    <w:p w14:paraId="5297AA7A" w14:textId="77777777" w:rsidR="0087411B" w:rsidRPr="004A59B1" w:rsidRDefault="0087411B" w:rsidP="009C1193">
      <w:pPr>
        <w:widowControl w:val="0"/>
        <w:tabs>
          <w:tab w:val="clear" w:pos="567"/>
        </w:tabs>
        <w:spacing w:line="240" w:lineRule="auto"/>
        <w:ind w:right="-449"/>
        <w:rPr>
          <w:color w:val="000000"/>
          <w:szCs w:val="22"/>
        </w:rPr>
      </w:pPr>
    </w:p>
    <w:p w14:paraId="5297AA7B" w14:textId="77777777" w:rsidR="00841424" w:rsidRPr="004A59B1" w:rsidRDefault="00841424" w:rsidP="009C1193">
      <w:pPr>
        <w:widowControl w:val="0"/>
        <w:numPr>
          <w:ilvl w:val="12"/>
          <w:numId w:val="0"/>
        </w:numPr>
        <w:tabs>
          <w:tab w:val="clear" w:pos="567"/>
        </w:tabs>
        <w:spacing w:line="240" w:lineRule="auto"/>
        <w:ind w:right="-2"/>
        <w:rPr>
          <w:b/>
          <w:color w:val="000000"/>
          <w:szCs w:val="22"/>
          <w:lang w:val="es-ES"/>
        </w:rPr>
      </w:pPr>
      <w:r w:rsidRPr="004A59B1">
        <w:rPr>
          <w:b/>
          <w:color w:val="000000"/>
          <w:szCs w:val="22"/>
          <w:lang w:val="es-ES"/>
        </w:rPr>
        <w:t xml:space="preserve">Navodilo je bilo </w:t>
      </w:r>
      <w:r w:rsidR="00A265DB" w:rsidRPr="004A59B1">
        <w:rPr>
          <w:b/>
          <w:color w:val="000000"/>
          <w:szCs w:val="22"/>
          <w:lang w:val="es-ES"/>
        </w:rPr>
        <w:t>nazadnje revidirano</w:t>
      </w:r>
    </w:p>
    <w:p w14:paraId="5297AA7C" w14:textId="77777777" w:rsidR="00841424" w:rsidRPr="004A59B1" w:rsidRDefault="00841424" w:rsidP="009C1193">
      <w:pPr>
        <w:widowControl w:val="0"/>
        <w:numPr>
          <w:ilvl w:val="12"/>
          <w:numId w:val="0"/>
        </w:numPr>
        <w:tabs>
          <w:tab w:val="clear" w:pos="567"/>
        </w:tabs>
        <w:spacing w:line="240" w:lineRule="auto"/>
        <w:ind w:right="-2"/>
        <w:rPr>
          <w:bCs/>
          <w:color w:val="000000"/>
          <w:szCs w:val="22"/>
          <w:lang w:val="es-ES"/>
        </w:rPr>
      </w:pPr>
    </w:p>
    <w:p w14:paraId="5297AA7D" w14:textId="77777777" w:rsidR="00A265DB" w:rsidRPr="004A59B1" w:rsidRDefault="00A265DB" w:rsidP="009C1193">
      <w:pPr>
        <w:pStyle w:val="Text"/>
        <w:keepNext/>
        <w:widowControl w:val="0"/>
        <w:tabs>
          <w:tab w:val="left" w:pos="567"/>
        </w:tabs>
        <w:spacing w:before="0"/>
        <w:jc w:val="left"/>
        <w:rPr>
          <w:b/>
          <w:color w:val="000000"/>
          <w:sz w:val="22"/>
          <w:szCs w:val="22"/>
          <w:lang w:val="pl-PL"/>
        </w:rPr>
      </w:pPr>
      <w:r w:rsidRPr="004A59B1">
        <w:rPr>
          <w:b/>
          <w:color w:val="000000"/>
          <w:sz w:val="22"/>
          <w:szCs w:val="22"/>
          <w:lang w:val="pl-PL"/>
        </w:rPr>
        <w:t>Drugi viri informacij</w:t>
      </w:r>
    </w:p>
    <w:p w14:paraId="5297AA7E" w14:textId="77777777" w:rsidR="00841424" w:rsidRPr="002227FB" w:rsidRDefault="00841424" w:rsidP="005B2939">
      <w:pPr>
        <w:pStyle w:val="Text"/>
        <w:widowControl w:val="0"/>
        <w:tabs>
          <w:tab w:val="left" w:pos="567"/>
        </w:tabs>
        <w:spacing w:before="0"/>
        <w:jc w:val="left"/>
        <w:rPr>
          <w:noProof/>
          <w:color w:val="000000"/>
          <w:sz w:val="22"/>
          <w:szCs w:val="22"/>
          <w:lang w:val="pl-PL"/>
        </w:rPr>
      </w:pPr>
      <w:r w:rsidRPr="004A59B1">
        <w:rPr>
          <w:color w:val="000000"/>
          <w:sz w:val="22"/>
          <w:szCs w:val="22"/>
          <w:lang w:val="pl-PL"/>
        </w:rPr>
        <w:t>Podrobne informacije o zdravilu so objavljene na spletni strani Evropske agencije za zdravila http://www.ema.europa.eu</w:t>
      </w:r>
      <w:r w:rsidR="009A41C9" w:rsidRPr="004A59B1">
        <w:rPr>
          <w:color w:val="000000"/>
          <w:sz w:val="22"/>
          <w:szCs w:val="22"/>
          <w:lang w:val="pl-PL"/>
        </w:rPr>
        <w:t>.</w:t>
      </w:r>
    </w:p>
    <w:p w14:paraId="5297AC13" w14:textId="77777777" w:rsidR="00BD5EB8" w:rsidRPr="003B6568" w:rsidRDefault="00BD5EB8" w:rsidP="009C1193">
      <w:pPr>
        <w:pStyle w:val="Text"/>
        <w:widowControl w:val="0"/>
        <w:tabs>
          <w:tab w:val="left" w:pos="567"/>
        </w:tabs>
        <w:spacing w:before="0"/>
        <w:jc w:val="left"/>
        <w:rPr>
          <w:color w:val="000000"/>
          <w:sz w:val="22"/>
          <w:szCs w:val="22"/>
          <w:lang w:val="es-ES"/>
        </w:rPr>
      </w:pPr>
    </w:p>
    <w:sectPr w:rsidR="00BD5EB8" w:rsidRPr="003B6568" w:rsidSect="005E71E3">
      <w:headerReference w:type="even" r:id="rId18"/>
      <w:headerReference w:type="default" r:id="rId19"/>
      <w:footerReference w:type="even" r:id="rId20"/>
      <w:footerReference w:type="default" r:id="rId21"/>
      <w:headerReference w:type="first" r:id="rId22"/>
      <w:footerReference w:type="first" r:id="rId23"/>
      <w:endnotePr>
        <w:numFmt w:val="decimal"/>
      </w:endnotePr>
      <w:pgSz w:w="11907" w:h="16840" w:code="9"/>
      <w:pgMar w:top="1134" w:right="1418" w:bottom="1134" w:left="1418" w:header="737" w:footer="73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7AC42" w14:textId="77777777" w:rsidR="00AD188A" w:rsidRDefault="00AD188A">
      <w:r>
        <w:separator/>
      </w:r>
    </w:p>
  </w:endnote>
  <w:endnote w:type="continuationSeparator" w:id="0">
    <w:p w14:paraId="5297AC43" w14:textId="77777777" w:rsidR="00AD188A" w:rsidRDefault="00AD1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Helv">
    <w:panose1 w:val="020B0604020202030204"/>
    <w:charset w:val="00"/>
    <w:family w:val="swiss"/>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9FD20" w14:textId="77777777" w:rsidR="006713BE" w:rsidRDefault="006713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7AC44" w14:textId="62CE4DE3" w:rsidR="00AD188A" w:rsidRPr="005E71E3" w:rsidRDefault="00AD188A">
    <w:pPr>
      <w:pStyle w:val="Footer"/>
      <w:tabs>
        <w:tab w:val="clear" w:pos="8930"/>
        <w:tab w:val="right" w:pos="8931"/>
      </w:tabs>
      <w:ind w:right="96"/>
      <w:jc w:val="center"/>
      <w:rPr>
        <w:rFonts w:ascii="Arial" w:hAnsi="Arial" w:cs="Arial"/>
      </w:rPr>
    </w:pPr>
    <w:r>
      <w:fldChar w:fldCharType="begin"/>
    </w:r>
    <w:r>
      <w:instrText xml:space="preserve"> EQ </w:instrText>
    </w:r>
    <w:r>
      <w:fldChar w:fldCharType="end"/>
    </w:r>
    <w:r w:rsidRPr="005E71E3">
      <w:rPr>
        <w:rStyle w:val="PageNumber"/>
        <w:rFonts w:ascii="Arial" w:hAnsi="Arial" w:cs="Arial"/>
      </w:rPr>
      <w:fldChar w:fldCharType="begin"/>
    </w:r>
    <w:r w:rsidRPr="005E71E3">
      <w:rPr>
        <w:rStyle w:val="PageNumber"/>
        <w:rFonts w:ascii="Arial" w:hAnsi="Arial" w:cs="Arial"/>
      </w:rPr>
      <w:instrText xml:space="preserve">PAGE  </w:instrText>
    </w:r>
    <w:r w:rsidRPr="005E71E3">
      <w:rPr>
        <w:rStyle w:val="PageNumber"/>
        <w:rFonts w:ascii="Arial" w:hAnsi="Arial" w:cs="Arial"/>
      </w:rPr>
      <w:fldChar w:fldCharType="separate"/>
    </w:r>
    <w:r w:rsidR="003B6568">
      <w:rPr>
        <w:rStyle w:val="PageNumber"/>
        <w:rFonts w:ascii="Arial" w:hAnsi="Arial" w:cs="Arial"/>
        <w:noProof/>
      </w:rPr>
      <w:t>103</w:t>
    </w:r>
    <w:r w:rsidRPr="005E71E3">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7AC45" w14:textId="77777777" w:rsidR="00AD188A" w:rsidRDefault="00AD188A" w:rsidP="00876B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297AC46" w14:textId="77777777" w:rsidR="00AD188A" w:rsidRDefault="00AD188A">
    <w:pPr>
      <w:pStyle w:val="Footer"/>
      <w:tabs>
        <w:tab w:val="clear" w:pos="8930"/>
        <w:tab w:val="right" w:pos="8931"/>
      </w:tabs>
      <w:ind w:right="96"/>
      <w:jc w:val="center"/>
    </w:pPr>
    <w:r>
      <w:fldChar w:fldCharType="begin"/>
    </w:r>
    <w:r>
      <w:instrText xml:space="preserve"> EQ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7AC40" w14:textId="77777777" w:rsidR="00AD188A" w:rsidRDefault="00AD188A">
      <w:r>
        <w:separator/>
      </w:r>
    </w:p>
  </w:footnote>
  <w:footnote w:type="continuationSeparator" w:id="0">
    <w:p w14:paraId="5297AC41" w14:textId="77777777" w:rsidR="00AD188A" w:rsidRDefault="00AD1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2F072" w14:textId="77777777" w:rsidR="006713BE" w:rsidRDefault="006713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60104" w14:textId="77777777" w:rsidR="006713BE" w:rsidRDefault="006713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21368" w14:textId="77777777" w:rsidR="006713BE" w:rsidRDefault="006713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AD26A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17353C1"/>
    <w:multiLevelType w:val="singleLevel"/>
    <w:tmpl w:val="D242D7CA"/>
    <w:lvl w:ilvl="0">
      <w:start w:val="1"/>
      <w:numFmt w:val="decimal"/>
      <w:lvlText w:val="%1."/>
      <w:lvlJc w:val="left"/>
      <w:pPr>
        <w:tabs>
          <w:tab w:val="num" w:pos="567"/>
        </w:tabs>
        <w:ind w:left="567" w:hanging="567"/>
      </w:pPr>
      <w:rPr>
        <w:rFonts w:hint="default"/>
      </w:rPr>
    </w:lvl>
  </w:abstractNum>
  <w:abstractNum w:abstractNumId="3" w15:restartNumberingAfterBreak="0">
    <w:nsid w:val="093C726E"/>
    <w:multiLevelType w:val="hybridMultilevel"/>
    <w:tmpl w:val="69D22A5A"/>
    <w:lvl w:ilvl="0" w:tplc="D242D7CA">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485E6A"/>
    <w:multiLevelType w:val="hybridMultilevel"/>
    <w:tmpl w:val="BF4C5E9A"/>
    <w:lvl w:ilvl="0" w:tplc="5DD064FC">
      <w:start w:val="1"/>
      <w:numFmt w:val="bullet"/>
      <w:lvlText w:val=""/>
      <w:lvlJc w:val="left"/>
      <w:pPr>
        <w:tabs>
          <w:tab w:val="num" w:pos="717"/>
        </w:tabs>
        <w:ind w:left="717" w:hanging="357"/>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A30B05"/>
    <w:multiLevelType w:val="hybridMultilevel"/>
    <w:tmpl w:val="06E8426C"/>
    <w:lvl w:ilvl="0" w:tplc="23443C8A">
      <w:start w:val="1"/>
      <w:numFmt w:val="bullet"/>
      <w:lvlText w:val=""/>
      <w:lvlJc w:val="left"/>
      <w:pPr>
        <w:tabs>
          <w:tab w:val="num" w:pos="357"/>
        </w:tabs>
        <w:ind w:left="357" w:hanging="35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3871A8"/>
    <w:multiLevelType w:val="hybridMultilevel"/>
    <w:tmpl w:val="2048E370"/>
    <w:lvl w:ilvl="0" w:tplc="D242D7CA">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4996CEC"/>
    <w:multiLevelType w:val="hybridMultilevel"/>
    <w:tmpl w:val="EF846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4B63C3C"/>
    <w:multiLevelType w:val="hybridMultilevel"/>
    <w:tmpl w:val="A30234D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E61B74"/>
    <w:multiLevelType w:val="hybridMultilevel"/>
    <w:tmpl w:val="B3E4ACC6"/>
    <w:lvl w:ilvl="0" w:tplc="D242D7CA">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B194161"/>
    <w:multiLevelType w:val="hybridMultilevel"/>
    <w:tmpl w:val="AA2ABDAA"/>
    <w:lvl w:ilvl="0" w:tplc="D242D7CA">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B264586"/>
    <w:multiLevelType w:val="hybridMultilevel"/>
    <w:tmpl w:val="BFC4467E"/>
    <w:lvl w:ilvl="0" w:tplc="D242D7CA">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E58453A"/>
    <w:multiLevelType w:val="singleLevel"/>
    <w:tmpl w:val="D242D7CA"/>
    <w:lvl w:ilvl="0">
      <w:start w:val="1"/>
      <w:numFmt w:val="decimal"/>
      <w:lvlText w:val="%1."/>
      <w:lvlJc w:val="left"/>
      <w:pPr>
        <w:tabs>
          <w:tab w:val="num" w:pos="567"/>
        </w:tabs>
        <w:ind w:left="567" w:hanging="567"/>
      </w:pPr>
      <w:rPr>
        <w:rFonts w:hint="default"/>
      </w:rPr>
    </w:lvl>
  </w:abstractNum>
  <w:abstractNum w:abstractNumId="14" w15:restartNumberingAfterBreak="0">
    <w:nsid w:val="2421383A"/>
    <w:multiLevelType w:val="hybridMultilevel"/>
    <w:tmpl w:val="6EEE0EE6"/>
    <w:lvl w:ilvl="0" w:tplc="9E5EE934">
      <w:start w:val="1"/>
      <w:numFmt w:val="bullet"/>
      <w:lvlText w:val=""/>
      <w:lvlJc w:val="left"/>
      <w:pPr>
        <w:tabs>
          <w:tab w:val="num" w:pos="360"/>
        </w:tabs>
        <w:ind w:left="360" w:hanging="360"/>
      </w:pPr>
      <w:rPr>
        <w:rFonts w:ascii="Symbol" w:hAnsi="Symbol" w:hint="default"/>
      </w:rPr>
    </w:lvl>
    <w:lvl w:ilvl="1" w:tplc="1DE897A6" w:tentative="1">
      <w:start w:val="1"/>
      <w:numFmt w:val="bullet"/>
      <w:lvlText w:val="o"/>
      <w:lvlJc w:val="left"/>
      <w:pPr>
        <w:tabs>
          <w:tab w:val="num" w:pos="1440"/>
        </w:tabs>
        <w:ind w:left="1440" w:hanging="360"/>
      </w:pPr>
      <w:rPr>
        <w:rFonts w:ascii="Courier New" w:hAnsi="Courier New" w:cs="Courier New" w:hint="default"/>
      </w:rPr>
    </w:lvl>
    <w:lvl w:ilvl="2" w:tplc="62F85FF2" w:tentative="1">
      <w:start w:val="1"/>
      <w:numFmt w:val="bullet"/>
      <w:lvlText w:val=""/>
      <w:lvlJc w:val="left"/>
      <w:pPr>
        <w:tabs>
          <w:tab w:val="num" w:pos="2160"/>
        </w:tabs>
        <w:ind w:left="2160" w:hanging="360"/>
      </w:pPr>
      <w:rPr>
        <w:rFonts w:ascii="Wingdings" w:hAnsi="Wingdings" w:hint="default"/>
      </w:rPr>
    </w:lvl>
    <w:lvl w:ilvl="3" w:tplc="1A3E333E" w:tentative="1">
      <w:start w:val="1"/>
      <w:numFmt w:val="bullet"/>
      <w:lvlText w:val=""/>
      <w:lvlJc w:val="left"/>
      <w:pPr>
        <w:tabs>
          <w:tab w:val="num" w:pos="2880"/>
        </w:tabs>
        <w:ind w:left="2880" w:hanging="360"/>
      </w:pPr>
      <w:rPr>
        <w:rFonts w:ascii="Symbol" w:hAnsi="Symbol" w:hint="default"/>
      </w:rPr>
    </w:lvl>
    <w:lvl w:ilvl="4" w:tplc="5AEA4846" w:tentative="1">
      <w:start w:val="1"/>
      <w:numFmt w:val="bullet"/>
      <w:lvlText w:val="o"/>
      <w:lvlJc w:val="left"/>
      <w:pPr>
        <w:tabs>
          <w:tab w:val="num" w:pos="3600"/>
        </w:tabs>
        <w:ind w:left="3600" w:hanging="360"/>
      </w:pPr>
      <w:rPr>
        <w:rFonts w:ascii="Courier New" w:hAnsi="Courier New" w:cs="Courier New" w:hint="default"/>
      </w:rPr>
    </w:lvl>
    <w:lvl w:ilvl="5" w:tplc="0B2ABC40" w:tentative="1">
      <w:start w:val="1"/>
      <w:numFmt w:val="bullet"/>
      <w:lvlText w:val=""/>
      <w:lvlJc w:val="left"/>
      <w:pPr>
        <w:tabs>
          <w:tab w:val="num" w:pos="4320"/>
        </w:tabs>
        <w:ind w:left="4320" w:hanging="360"/>
      </w:pPr>
      <w:rPr>
        <w:rFonts w:ascii="Wingdings" w:hAnsi="Wingdings" w:hint="default"/>
      </w:rPr>
    </w:lvl>
    <w:lvl w:ilvl="6" w:tplc="79063626" w:tentative="1">
      <w:start w:val="1"/>
      <w:numFmt w:val="bullet"/>
      <w:lvlText w:val=""/>
      <w:lvlJc w:val="left"/>
      <w:pPr>
        <w:tabs>
          <w:tab w:val="num" w:pos="5040"/>
        </w:tabs>
        <w:ind w:left="5040" w:hanging="360"/>
      </w:pPr>
      <w:rPr>
        <w:rFonts w:ascii="Symbol" w:hAnsi="Symbol" w:hint="default"/>
      </w:rPr>
    </w:lvl>
    <w:lvl w:ilvl="7" w:tplc="A246EDA2" w:tentative="1">
      <w:start w:val="1"/>
      <w:numFmt w:val="bullet"/>
      <w:lvlText w:val="o"/>
      <w:lvlJc w:val="left"/>
      <w:pPr>
        <w:tabs>
          <w:tab w:val="num" w:pos="5760"/>
        </w:tabs>
        <w:ind w:left="5760" w:hanging="360"/>
      </w:pPr>
      <w:rPr>
        <w:rFonts w:ascii="Courier New" w:hAnsi="Courier New" w:cs="Courier New" w:hint="default"/>
      </w:rPr>
    </w:lvl>
    <w:lvl w:ilvl="8" w:tplc="F4D8860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0C6610"/>
    <w:multiLevelType w:val="hybridMultilevel"/>
    <w:tmpl w:val="6ECC1928"/>
    <w:lvl w:ilvl="0" w:tplc="D242D7CA">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64441A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77A2C26"/>
    <w:multiLevelType w:val="hybridMultilevel"/>
    <w:tmpl w:val="DB804EF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281F7425"/>
    <w:multiLevelType w:val="hybridMultilevel"/>
    <w:tmpl w:val="05A6258A"/>
    <w:lvl w:ilvl="0" w:tplc="23443C8A">
      <w:start w:val="1"/>
      <w:numFmt w:val="bullet"/>
      <w:lvlText w:val=""/>
      <w:lvlJc w:val="left"/>
      <w:pPr>
        <w:tabs>
          <w:tab w:val="num" w:pos="924"/>
        </w:tabs>
        <w:ind w:left="924" w:hanging="357"/>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2EB63049"/>
    <w:multiLevelType w:val="hybridMultilevel"/>
    <w:tmpl w:val="1366A3C8"/>
    <w:lvl w:ilvl="0" w:tplc="BEAA04CE">
      <w:start w:val="1"/>
      <w:numFmt w:val="bullet"/>
      <w:lvlText w:val=""/>
      <w:lvlJc w:val="left"/>
      <w:pPr>
        <w:tabs>
          <w:tab w:val="num" w:pos="357"/>
        </w:tabs>
        <w:ind w:left="357" w:hanging="35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BD4C23"/>
    <w:multiLevelType w:val="hybridMultilevel"/>
    <w:tmpl w:val="22BE295E"/>
    <w:lvl w:ilvl="0" w:tplc="23443C8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0A151EC"/>
    <w:multiLevelType w:val="hybridMultilevel"/>
    <w:tmpl w:val="469AD224"/>
    <w:lvl w:ilvl="0" w:tplc="967A31DE">
      <w:start w:val="1"/>
      <w:numFmt w:val="decimal"/>
      <w:lvlText w:val="%1"/>
      <w:lvlJc w:val="left"/>
      <w:pPr>
        <w:tabs>
          <w:tab w:val="num" w:pos="357"/>
        </w:tabs>
        <w:ind w:left="357"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2244F74"/>
    <w:multiLevelType w:val="hybridMultilevel"/>
    <w:tmpl w:val="A30234D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58A2CD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D06447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F1139AE"/>
    <w:multiLevelType w:val="hybridMultilevel"/>
    <w:tmpl w:val="DD4C430E"/>
    <w:lvl w:ilvl="0" w:tplc="D242D7CA">
      <w:start w:val="1"/>
      <w:numFmt w:val="decimal"/>
      <w:lvlText w:val="%1."/>
      <w:lvlJc w:val="left"/>
      <w:pPr>
        <w:tabs>
          <w:tab w:val="num" w:pos="567"/>
        </w:tabs>
        <w:ind w:left="567" w:hanging="567"/>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6" w15:restartNumberingAfterBreak="0">
    <w:nsid w:val="3F183FD2"/>
    <w:multiLevelType w:val="hybridMultilevel"/>
    <w:tmpl w:val="25C0AD9C"/>
    <w:lvl w:ilvl="0" w:tplc="D242D7CA">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FEE5B4C"/>
    <w:multiLevelType w:val="hybridMultilevel"/>
    <w:tmpl w:val="8DE069A2"/>
    <w:lvl w:ilvl="0" w:tplc="B4D4A7CA">
      <w:start w:val="1"/>
      <w:numFmt w:val="bullet"/>
      <w:lvlText w:val=""/>
      <w:lvlJc w:val="left"/>
      <w:pPr>
        <w:tabs>
          <w:tab w:val="num" w:pos="357"/>
        </w:tabs>
        <w:ind w:left="357" w:hanging="35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2EB7C18"/>
    <w:multiLevelType w:val="hybridMultilevel"/>
    <w:tmpl w:val="FDC03E28"/>
    <w:lvl w:ilvl="0" w:tplc="D242D7CA">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43F7216"/>
    <w:multiLevelType w:val="hybridMultilevel"/>
    <w:tmpl w:val="0BAABB20"/>
    <w:lvl w:ilvl="0" w:tplc="D242D7CA">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54536F9"/>
    <w:multiLevelType w:val="singleLevel"/>
    <w:tmpl w:val="D242D7CA"/>
    <w:lvl w:ilvl="0">
      <w:start w:val="1"/>
      <w:numFmt w:val="decimal"/>
      <w:lvlText w:val="%1."/>
      <w:lvlJc w:val="left"/>
      <w:pPr>
        <w:tabs>
          <w:tab w:val="num" w:pos="567"/>
        </w:tabs>
        <w:ind w:left="567" w:hanging="567"/>
      </w:pPr>
      <w:rPr>
        <w:rFonts w:hint="default"/>
      </w:rPr>
    </w:lvl>
  </w:abstractNum>
  <w:abstractNum w:abstractNumId="31" w15:restartNumberingAfterBreak="0">
    <w:nsid w:val="477C11C9"/>
    <w:multiLevelType w:val="hybridMultilevel"/>
    <w:tmpl w:val="0BEA5AA0"/>
    <w:lvl w:ilvl="0" w:tplc="D242D7CA">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8814A28"/>
    <w:multiLevelType w:val="hybridMultilevel"/>
    <w:tmpl w:val="5E22CAB0"/>
    <w:lvl w:ilvl="0" w:tplc="1816508C">
      <w:start w:val="1"/>
      <w:numFmt w:val="bullet"/>
      <w:lvlText w:val=""/>
      <w:lvlJc w:val="left"/>
      <w:pPr>
        <w:tabs>
          <w:tab w:val="num" w:pos="360"/>
        </w:tabs>
        <w:ind w:left="360" w:hanging="360"/>
      </w:pPr>
      <w:rPr>
        <w:rFonts w:ascii="Symbol" w:hAnsi="Symbol" w:hint="default"/>
        <w:b w:val="0"/>
        <w:i w:val="0"/>
        <w:color w:val="000000"/>
        <w:sz w:val="22"/>
        <w:szCs w:val="22"/>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9D70DA6"/>
    <w:multiLevelType w:val="hybridMultilevel"/>
    <w:tmpl w:val="DD4C430E"/>
    <w:lvl w:ilvl="0" w:tplc="D242D7CA">
      <w:start w:val="1"/>
      <w:numFmt w:val="decimal"/>
      <w:lvlText w:val="%1."/>
      <w:lvlJc w:val="left"/>
      <w:pPr>
        <w:tabs>
          <w:tab w:val="num" w:pos="567"/>
        </w:tabs>
        <w:ind w:left="567" w:hanging="567"/>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34" w15:restartNumberingAfterBreak="0">
    <w:nsid w:val="4BE26A2B"/>
    <w:multiLevelType w:val="hybridMultilevel"/>
    <w:tmpl w:val="7A42C2A8"/>
    <w:lvl w:ilvl="0" w:tplc="D242D7CA">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4EE86303"/>
    <w:multiLevelType w:val="hybridMultilevel"/>
    <w:tmpl w:val="62E2F2B6"/>
    <w:lvl w:ilvl="0" w:tplc="D242D7CA">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F91209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1493631"/>
    <w:multiLevelType w:val="hybridMultilevel"/>
    <w:tmpl w:val="61AED0EA"/>
    <w:lvl w:ilvl="0" w:tplc="D242D7CA">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1BE3006"/>
    <w:multiLevelType w:val="hybridMultilevel"/>
    <w:tmpl w:val="9CD662A2"/>
    <w:lvl w:ilvl="0" w:tplc="FFFFFFFF">
      <w:start w:val="1"/>
      <w:numFmt w:val="bullet"/>
      <w:lvlText w:val="-"/>
      <w:legacy w:legacy="1" w:legacySpace="0" w:legacyIndent="360"/>
      <w:lvlJc w:val="left"/>
      <w:pPr>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526644C"/>
    <w:multiLevelType w:val="hybridMultilevel"/>
    <w:tmpl w:val="FF8E949E"/>
    <w:lvl w:ilvl="0" w:tplc="B4D4A7CA">
      <w:start w:val="1"/>
      <w:numFmt w:val="bullet"/>
      <w:lvlText w:val=""/>
      <w:lvlJc w:val="left"/>
      <w:pPr>
        <w:tabs>
          <w:tab w:val="num" w:pos="357"/>
        </w:tabs>
        <w:ind w:left="357" w:hanging="35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69F6437"/>
    <w:multiLevelType w:val="hybridMultilevel"/>
    <w:tmpl w:val="3B6AA434"/>
    <w:lvl w:ilvl="0" w:tplc="4CB2D9D4">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41" w15:restartNumberingAfterBreak="0">
    <w:nsid w:val="583537C2"/>
    <w:multiLevelType w:val="hybridMultilevel"/>
    <w:tmpl w:val="A6A4562A"/>
    <w:lvl w:ilvl="0" w:tplc="D242D7CA">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58EA4F49"/>
    <w:multiLevelType w:val="hybridMultilevel"/>
    <w:tmpl w:val="C8E21F88"/>
    <w:lvl w:ilvl="0" w:tplc="967A31DE">
      <w:start w:val="1"/>
      <w:numFmt w:val="decimal"/>
      <w:lvlText w:val="%1"/>
      <w:lvlJc w:val="left"/>
      <w:pPr>
        <w:tabs>
          <w:tab w:val="num" w:pos="357"/>
        </w:tabs>
        <w:ind w:left="357"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5C0149ED"/>
    <w:multiLevelType w:val="hybridMultilevel"/>
    <w:tmpl w:val="DA9C3F74"/>
    <w:lvl w:ilvl="0" w:tplc="42FC115A">
      <w:start w:val="1"/>
      <w:numFmt w:val="bullet"/>
      <w:lvlText w:val=""/>
      <w:lvlJc w:val="left"/>
      <w:pPr>
        <w:tabs>
          <w:tab w:val="num" w:pos="720"/>
        </w:tabs>
        <w:ind w:left="720" w:hanging="360"/>
      </w:pPr>
      <w:rPr>
        <w:rFonts w:ascii="Symbol" w:hAnsi="Symbol" w:hint="default"/>
      </w:rPr>
    </w:lvl>
    <w:lvl w:ilvl="1" w:tplc="F656E08E" w:tentative="1">
      <w:start w:val="1"/>
      <w:numFmt w:val="bullet"/>
      <w:lvlText w:val="o"/>
      <w:lvlJc w:val="left"/>
      <w:pPr>
        <w:tabs>
          <w:tab w:val="num" w:pos="1440"/>
        </w:tabs>
        <w:ind w:left="1440" w:hanging="360"/>
      </w:pPr>
      <w:rPr>
        <w:rFonts w:ascii="Courier New" w:hAnsi="Courier New" w:cs="Courier New" w:hint="default"/>
      </w:rPr>
    </w:lvl>
    <w:lvl w:ilvl="2" w:tplc="6D7EE2AC" w:tentative="1">
      <w:start w:val="1"/>
      <w:numFmt w:val="bullet"/>
      <w:lvlText w:val=""/>
      <w:lvlJc w:val="left"/>
      <w:pPr>
        <w:tabs>
          <w:tab w:val="num" w:pos="2160"/>
        </w:tabs>
        <w:ind w:left="2160" w:hanging="360"/>
      </w:pPr>
      <w:rPr>
        <w:rFonts w:ascii="Wingdings" w:hAnsi="Wingdings" w:hint="default"/>
      </w:rPr>
    </w:lvl>
    <w:lvl w:ilvl="3" w:tplc="A448EEDE" w:tentative="1">
      <w:start w:val="1"/>
      <w:numFmt w:val="bullet"/>
      <w:lvlText w:val=""/>
      <w:lvlJc w:val="left"/>
      <w:pPr>
        <w:tabs>
          <w:tab w:val="num" w:pos="2880"/>
        </w:tabs>
        <w:ind w:left="2880" w:hanging="360"/>
      </w:pPr>
      <w:rPr>
        <w:rFonts w:ascii="Symbol" w:hAnsi="Symbol" w:hint="default"/>
      </w:rPr>
    </w:lvl>
    <w:lvl w:ilvl="4" w:tplc="4306A68C" w:tentative="1">
      <w:start w:val="1"/>
      <w:numFmt w:val="bullet"/>
      <w:lvlText w:val="o"/>
      <w:lvlJc w:val="left"/>
      <w:pPr>
        <w:tabs>
          <w:tab w:val="num" w:pos="3600"/>
        </w:tabs>
        <w:ind w:left="3600" w:hanging="360"/>
      </w:pPr>
      <w:rPr>
        <w:rFonts w:ascii="Courier New" w:hAnsi="Courier New" w:cs="Courier New" w:hint="default"/>
      </w:rPr>
    </w:lvl>
    <w:lvl w:ilvl="5" w:tplc="FBE2A892" w:tentative="1">
      <w:start w:val="1"/>
      <w:numFmt w:val="bullet"/>
      <w:lvlText w:val=""/>
      <w:lvlJc w:val="left"/>
      <w:pPr>
        <w:tabs>
          <w:tab w:val="num" w:pos="4320"/>
        </w:tabs>
        <w:ind w:left="4320" w:hanging="360"/>
      </w:pPr>
      <w:rPr>
        <w:rFonts w:ascii="Wingdings" w:hAnsi="Wingdings" w:hint="default"/>
      </w:rPr>
    </w:lvl>
    <w:lvl w:ilvl="6" w:tplc="5BEE25C2" w:tentative="1">
      <w:start w:val="1"/>
      <w:numFmt w:val="bullet"/>
      <w:lvlText w:val=""/>
      <w:lvlJc w:val="left"/>
      <w:pPr>
        <w:tabs>
          <w:tab w:val="num" w:pos="5040"/>
        </w:tabs>
        <w:ind w:left="5040" w:hanging="360"/>
      </w:pPr>
      <w:rPr>
        <w:rFonts w:ascii="Symbol" w:hAnsi="Symbol" w:hint="default"/>
      </w:rPr>
    </w:lvl>
    <w:lvl w:ilvl="7" w:tplc="C6EE3E68" w:tentative="1">
      <w:start w:val="1"/>
      <w:numFmt w:val="bullet"/>
      <w:lvlText w:val="o"/>
      <w:lvlJc w:val="left"/>
      <w:pPr>
        <w:tabs>
          <w:tab w:val="num" w:pos="5760"/>
        </w:tabs>
        <w:ind w:left="5760" w:hanging="360"/>
      </w:pPr>
      <w:rPr>
        <w:rFonts w:ascii="Courier New" w:hAnsi="Courier New" w:cs="Courier New" w:hint="default"/>
      </w:rPr>
    </w:lvl>
    <w:lvl w:ilvl="8" w:tplc="94B09E0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F0B7F59"/>
    <w:multiLevelType w:val="hybridMultilevel"/>
    <w:tmpl w:val="B3601F50"/>
    <w:lvl w:ilvl="0" w:tplc="967A31DE">
      <w:start w:val="1"/>
      <w:numFmt w:val="decimal"/>
      <w:lvlText w:val="%1"/>
      <w:lvlJc w:val="left"/>
      <w:pPr>
        <w:tabs>
          <w:tab w:val="num" w:pos="357"/>
        </w:tabs>
        <w:ind w:left="357"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60FE3641"/>
    <w:multiLevelType w:val="singleLevel"/>
    <w:tmpl w:val="D242D7CA"/>
    <w:lvl w:ilvl="0">
      <w:start w:val="1"/>
      <w:numFmt w:val="decimal"/>
      <w:lvlText w:val="%1."/>
      <w:lvlJc w:val="left"/>
      <w:pPr>
        <w:tabs>
          <w:tab w:val="num" w:pos="567"/>
        </w:tabs>
        <w:ind w:left="567" w:hanging="567"/>
      </w:pPr>
      <w:rPr>
        <w:rFonts w:hint="default"/>
      </w:rPr>
    </w:lvl>
  </w:abstractNum>
  <w:abstractNum w:abstractNumId="46" w15:restartNumberingAfterBreak="0">
    <w:nsid w:val="63C70923"/>
    <w:multiLevelType w:val="hybridMultilevel"/>
    <w:tmpl w:val="6BE6AFD2"/>
    <w:lvl w:ilvl="0" w:tplc="0424000F">
      <w:start w:val="1"/>
      <w:numFmt w:val="decimal"/>
      <w:lvlText w:val="%1."/>
      <w:lvlJc w:val="left"/>
      <w:pPr>
        <w:tabs>
          <w:tab w:val="num" w:pos="1069"/>
        </w:tabs>
        <w:ind w:left="1069" w:hanging="360"/>
      </w:pPr>
    </w:lvl>
    <w:lvl w:ilvl="1" w:tplc="04240019" w:tentative="1">
      <w:start w:val="1"/>
      <w:numFmt w:val="lowerLetter"/>
      <w:lvlText w:val="%2."/>
      <w:lvlJc w:val="left"/>
      <w:pPr>
        <w:tabs>
          <w:tab w:val="num" w:pos="1080"/>
        </w:tabs>
        <w:ind w:left="1080" w:hanging="360"/>
      </w:pPr>
    </w:lvl>
    <w:lvl w:ilvl="2" w:tplc="0424001B" w:tentative="1">
      <w:start w:val="1"/>
      <w:numFmt w:val="lowerRoman"/>
      <w:lvlText w:val="%3."/>
      <w:lvlJc w:val="right"/>
      <w:pPr>
        <w:tabs>
          <w:tab w:val="num" w:pos="1800"/>
        </w:tabs>
        <w:ind w:left="1800" w:hanging="180"/>
      </w:pPr>
    </w:lvl>
    <w:lvl w:ilvl="3" w:tplc="0424000F" w:tentative="1">
      <w:start w:val="1"/>
      <w:numFmt w:val="decimal"/>
      <w:lvlText w:val="%4."/>
      <w:lvlJc w:val="left"/>
      <w:pPr>
        <w:tabs>
          <w:tab w:val="num" w:pos="2520"/>
        </w:tabs>
        <w:ind w:left="2520" w:hanging="360"/>
      </w:pPr>
    </w:lvl>
    <w:lvl w:ilvl="4" w:tplc="04240019" w:tentative="1">
      <w:start w:val="1"/>
      <w:numFmt w:val="lowerLetter"/>
      <w:lvlText w:val="%5."/>
      <w:lvlJc w:val="left"/>
      <w:pPr>
        <w:tabs>
          <w:tab w:val="num" w:pos="3240"/>
        </w:tabs>
        <w:ind w:left="3240" w:hanging="360"/>
      </w:pPr>
    </w:lvl>
    <w:lvl w:ilvl="5" w:tplc="0424001B" w:tentative="1">
      <w:start w:val="1"/>
      <w:numFmt w:val="lowerRoman"/>
      <w:lvlText w:val="%6."/>
      <w:lvlJc w:val="right"/>
      <w:pPr>
        <w:tabs>
          <w:tab w:val="num" w:pos="3960"/>
        </w:tabs>
        <w:ind w:left="3960" w:hanging="180"/>
      </w:pPr>
    </w:lvl>
    <w:lvl w:ilvl="6" w:tplc="0424000F" w:tentative="1">
      <w:start w:val="1"/>
      <w:numFmt w:val="decimal"/>
      <w:lvlText w:val="%7."/>
      <w:lvlJc w:val="left"/>
      <w:pPr>
        <w:tabs>
          <w:tab w:val="num" w:pos="4680"/>
        </w:tabs>
        <w:ind w:left="4680" w:hanging="360"/>
      </w:pPr>
    </w:lvl>
    <w:lvl w:ilvl="7" w:tplc="04240019" w:tentative="1">
      <w:start w:val="1"/>
      <w:numFmt w:val="lowerLetter"/>
      <w:lvlText w:val="%8."/>
      <w:lvlJc w:val="left"/>
      <w:pPr>
        <w:tabs>
          <w:tab w:val="num" w:pos="5400"/>
        </w:tabs>
        <w:ind w:left="5400" w:hanging="360"/>
      </w:pPr>
    </w:lvl>
    <w:lvl w:ilvl="8" w:tplc="0424001B" w:tentative="1">
      <w:start w:val="1"/>
      <w:numFmt w:val="lowerRoman"/>
      <w:lvlText w:val="%9."/>
      <w:lvlJc w:val="right"/>
      <w:pPr>
        <w:tabs>
          <w:tab w:val="num" w:pos="6120"/>
        </w:tabs>
        <w:ind w:left="6120" w:hanging="180"/>
      </w:pPr>
    </w:lvl>
  </w:abstractNum>
  <w:abstractNum w:abstractNumId="47" w15:restartNumberingAfterBreak="0">
    <w:nsid w:val="64C4016F"/>
    <w:multiLevelType w:val="hybridMultilevel"/>
    <w:tmpl w:val="6BE6AFD2"/>
    <w:lvl w:ilvl="0" w:tplc="0424000F">
      <w:start w:val="1"/>
      <w:numFmt w:val="decimal"/>
      <w:lvlText w:val="%1."/>
      <w:lvlJc w:val="left"/>
      <w:pPr>
        <w:tabs>
          <w:tab w:val="num" w:pos="1069"/>
        </w:tabs>
        <w:ind w:left="1069" w:hanging="360"/>
      </w:pPr>
    </w:lvl>
    <w:lvl w:ilvl="1" w:tplc="04240019" w:tentative="1">
      <w:start w:val="1"/>
      <w:numFmt w:val="lowerLetter"/>
      <w:lvlText w:val="%2."/>
      <w:lvlJc w:val="left"/>
      <w:pPr>
        <w:tabs>
          <w:tab w:val="num" w:pos="1080"/>
        </w:tabs>
        <w:ind w:left="1080" w:hanging="360"/>
      </w:pPr>
    </w:lvl>
    <w:lvl w:ilvl="2" w:tplc="0424001B" w:tentative="1">
      <w:start w:val="1"/>
      <w:numFmt w:val="lowerRoman"/>
      <w:lvlText w:val="%3."/>
      <w:lvlJc w:val="right"/>
      <w:pPr>
        <w:tabs>
          <w:tab w:val="num" w:pos="1800"/>
        </w:tabs>
        <w:ind w:left="1800" w:hanging="180"/>
      </w:pPr>
    </w:lvl>
    <w:lvl w:ilvl="3" w:tplc="0424000F" w:tentative="1">
      <w:start w:val="1"/>
      <w:numFmt w:val="decimal"/>
      <w:lvlText w:val="%4."/>
      <w:lvlJc w:val="left"/>
      <w:pPr>
        <w:tabs>
          <w:tab w:val="num" w:pos="2520"/>
        </w:tabs>
        <w:ind w:left="2520" w:hanging="360"/>
      </w:pPr>
    </w:lvl>
    <w:lvl w:ilvl="4" w:tplc="04240019" w:tentative="1">
      <w:start w:val="1"/>
      <w:numFmt w:val="lowerLetter"/>
      <w:lvlText w:val="%5."/>
      <w:lvlJc w:val="left"/>
      <w:pPr>
        <w:tabs>
          <w:tab w:val="num" w:pos="3240"/>
        </w:tabs>
        <w:ind w:left="3240" w:hanging="360"/>
      </w:pPr>
    </w:lvl>
    <w:lvl w:ilvl="5" w:tplc="0424001B" w:tentative="1">
      <w:start w:val="1"/>
      <w:numFmt w:val="lowerRoman"/>
      <w:lvlText w:val="%6."/>
      <w:lvlJc w:val="right"/>
      <w:pPr>
        <w:tabs>
          <w:tab w:val="num" w:pos="3960"/>
        </w:tabs>
        <w:ind w:left="3960" w:hanging="180"/>
      </w:pPr>
    </w:lvl>
    <w:lvl w:ilvl="6" w:tplc="0424000F" w:tentative="1">
      <w:start w:val="1"/>
      <w:numFmt w:val="decimal"/>
      <w:lvlText w:val="%7."/>
      <w:lvlJc w:val="left"/>
      <w:pPr>
        <w:tabs>
          <w:tab w:val="num" w:pos="4680"/>
        </w:tabs>
        <w:ind w:left="4680" w:hanging="360"/>
      </w:pPr>
    </w:lvl>
    <w:lvl w:ilvl="7" w:tplc="04240019" w:tentative="1">
      <w:start w:val="1"/>
      <w:numFmt w:val="lowerLetter"/>
      <w:lvlText w:val="%8."/>
      <w:lvlJc w:val="left"/>
      <w:pPr>
        <w:tabs>
          <w:tab w:val="num" w:pos="5400"/>
        </w:tabs>
        <w:ind w:left="5400" w:hanging="360"/>
      </w:pPr>
    </w:lvl>
    <w:lvl w:ilvl="8" w:tplc="0424001B" w:tentative="1">
      <w:start w:val="1"/>
      <w:numFmt w:val="lowerRoman"/>
      <w:lvlText w:val="%9."/>
      <w:lvlJc w:val="right"/>
      <w:pPr>
        <w:tabs>
          <w:tab w:val="num" w:pos="6120"/>
        </w:tabs>
        <w:ind w:left="6120" w:hanging="180"/>
      </w:pPr>
    </w:lvl>
  </w:abstractNum>
  <w:abstractNum w:abstractNumId="48" w15:restartNumberingAfterBreak="0">
    <w:nsid w:val="6992500D"/>
    <w:multiLevelType w:val="hybridMultilevel"/>
    <w:tmpl w:val="81086D0E"/>
    <w:lvl w:ilvl="0" w:tplc="D242D7CA">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6A1B4AD3"/>
    <w:multiLevelType w:val="hybridMultilevel"/>
    <w:tmpl w:val="A4829BF4"/>
    <w:lvl w:ilvl="0" w:tplc="D242D7CA">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6A906B5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1" w15:restartNumberingAfterBreak="0">
    <w:nsid w:val="6F9337D0"/>
    <w:multiLevelType w:val="hybridMultilevel"/>
    <w:tmpl w:val="C8B2FC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18A047F"/>
    <w:multiLevelType w:val="hybridMultilevel"/>
    <w:tmpl w:val="34A87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3682172"/>
    <w:multiLevelType w:val="hybridMultilevel"/>
    <w:tmpl w:val="9EA810F4"/>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3A13D0C"/>
    <w:multiLevelType w:val="hybridMultilevel"/>
    <w:tmpl w:val="C9E62438"/>
    <w:lvl w:ilvl="0" w:tplc="FFFFFFFF">
      <w:start w:val="1"/>
      <w:numFmt w:val="bullet"/>
      <w:lvlText w:val="-"/>
      <w:legacy w:legacy="1" w:legacySpace="0" w:legacyIndent="360"/>
      <w:lvlJc w:val="left"/>
      <w:pPr>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5B9119D"/>
    <w:multiLevelType w:val="hybridMultilevel"/>
    <w:tmpl w:val="E9AE3FB2"/>
    <w:lvl w:ilvl="0" w:tplc="D242D7CA">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77315203"/>
    <w:multiLevelType w:val="hybridMultilevel"/>
    <w:tmpl w:val="B346116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7" w15:restartNumberingAfterBreak="0">
    <w:nsid w:val="788E3B95"/>
    <w:multiLevelType w:val="hybridMultilevel"/>
    <w:tmpl w:val="FFD09080"/>
    <w:lvl w:ilvl="0" w:tplc="D242D7CA">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7EC77669"/>
    <w:multiLevelType w:val="hybridMultilevel"/>
    <w:tmpl w:val="BADACE8C"/>
    <w:lvl w:ilvl="0" w:tplc="5DD064FC">
      <w:start w:val="1"/>
      <w:numFmt w:val="bullet"/>
      <w:lvlText w:val=""/>
      <w:lvlJc w:val="left"/>
      <w:pPr>
        <w:tabs>
          <w:tab w:val="num" w:pos="717"/>
        </w:tabs>
        <w:ind w:left="717" w:hanging="357"/>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lvl>
    </w:lvlOverride>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30"/>
  </w:num>
  <w:num w:numId="4">
    <w:abstractNumId w:val="2"/>
  </w:num>
  <w:num w:numId="5">
    <w:abstractNumId w:val="23"/>
  </w:num>
  <w:num w:numId="6">
    <w:abstractNumId w:val="16"/>
  </w:num>
  <w:num w:numId="7">
    <w:abstractNumId w:val="50"/>
  </w:num>
  <w:num w:numId="8">
    <w:abstractNumId w:val="24"/>
  </w:num>
  <w:num w:numId="9">
    <w:abstractNumId w:val="36"/>
  </w:num>
  <w:num w:numId="10">
    <w:abstractNumId w:val="14"/>
  </w:num>
  <w:num w:numId="11">
    <w:abstractNumId w:val="43"/>
  </w:num>
  <w:num w:numId="12">
    <w:abstractNumId w:val="46"/>
  </w:num>
  <w:num w:numId="13">
    <w:abstractNumId w:val="53"/>
  </w:num>
  <w:num w:numId="14">
    <w:abstractNumId w:val="22"/>
  </w:num>
  <w:num w:numId="15">
    <w:abstractNumId w:val="56"/>
  </w:num>
  <w:num w:numId="16">
    <w:abstractNumId w:val="32"/>
  </w:num>
  <w:num w:numId="17">
    <w:abstractNumId w:val="1"/>
  </w:num>
  <w:num w:numId="18">
    <w:abstractNumId w:val="33"/>
  </w:num>
  <w:num w:numId="19">
    <w:abstractNumId w:val="40"/>
  </w:num>
  <w:num w:numId="20">
    <w:abstractNumId w:val="4"/>
  </w:num>
  <w:num w:numId="21">
    <w:abstractNumId w:val="57"/>
  </w:num>
  <w:num w:numId="22">
    <w:abstractNumId w:val="3"/>
  </w:num>
  <w:num w:numId="23">
    <w:abstractNumId w:val="35"/>
  </w:num>
  <w:num w:numId="24">
    <w:abstractNumId w:val="49"/>
  </w:num>
  <w:num w:numId="25">
    <w:abstractNumId w:val="28"/>
  </w:num>
  <w:num w:numId="26">
    <w:abstractNumId w:val="37"/>
  </w:num>
  <w:num w:numId="27">
    <w:abstractNumId w:val="44"/>
  </w:num>
  <w:num w:numId="28">
    <w:abstractNumId w:val="7"/>
  </w:num>
  <w:num w:numId="29">
    <w:abstractNumId w:val="55"/>
  </w:num>
  <w:num w:numId="30">
    <w:abstractNumId w:val="31"/>
  </w:num>
  <w:num w:numId="31">
    <w:abstractNumId w:val="34"/>
  </w:num>
  <w:num w:numId="32">
    <w:abstractNumId w:val="10"/>
  </w:num>
  <w:num w:numId="33">
    <w:abstractNumId w:val="12"/>
  </w:num>
  <w:num w:numId="34">
    <w:abstractNumId w:val="21"/>
  </w:num>
  <w:num w:numId="35">
    <w:abstractNumId w:val="41"/>
  </w:num>
  <w:num w:numId="36">
    <w:abstractNumId w:val="15"/>
  </w:num>
  <w:num w:numId="37">
    <w:abstractNumId w:val="11"/>
  </w:num>
  <w:num w:numId="38">
    <w:abstractNumId w:val="26"/>
  </w:num>
  <w:num w:numId="39">
    <w:abstractNumId w:val="48"/>
  </w:num>
  <w:num w:numId="40">
    <w:abstractNumId w:val="29"/>
  </w:num>
  <w:num w:numId="41">
    <w:abstractNumId w:val="42"/>
  </w:num>
  <w:num w:numId="42">
    <w:abstractNumId w:val="54"/>
  </w:num>
  <w:num w:numId="43">
    <w:abstractNumId w:val="38"/>
  </w:num>
  <w:num w:numId="44">
    <w:abstractNumId w:val="5"/>
  </w:num>
  <w:num w:numId="45">
    <w:abstractNumId w:val="39"/>
  </w:num>
  <w:num w:numId="46">
    <w:abstractNumId w:val="58"/>
  </w:num>
  <w:num w:numId="47">
    <w:abstractNumId w:val="27"/>
  </w:num>
  <w:num w:numId="48">
    <w:abstractNumId w:val="6"/>
  </w:num>
  <w:num w:numId="49">
    <w:abstractNumId w:val="0"/>
    <w:lvlOverride w:ilvl="0">
      <w:lvl w:ilvl="0">
        <w:start w:val="1"/>
        <w:numFmt w:val="bullet"/>
        <w:lvlText w:val="-"/>
        <w:legacy w:legacy="1" w:legacySpace="0" w:legacyIndent="360"/>
        <w:lvlJc w:val="left"/>
        <w:pPr>
          <w:ind w:left="360" w:hanging="360"/>
        </w:pPr>
      </w:lvl>
    </w:lvlOverride>
  </w:num>
  <w:num w:numId="50">
    <w:abstractNumId w:val="19"/>
  </w:num>
  <w:num w:numId="51">
    <w:abstractNumId w:val="18"/>
  </w:num>
  <w:num w:numId="52">
    <w:abstractNumId w:val="20"/>
  </w:num>
  <w:num w:numId="53">
    <w:abstractNumId w:val="52"/>
  </w:num>
  <w:num w:numId="54">
    <w:abstractNumId w:val="8"/>
  </w:num>
  <w:num w:numId="55">
    <w:abstractNumId w:val="25"/>
  </w:num>
  <w:num w:numId="56">
    <w:abstractNumId w:val="45"/>
  </w:num>
  <w:num w:numId="57">
    <w:abstractNumId w:val="17"/>
  </w:num>
  <w:num w:numId="58">
    <w:abstractNumId w:val="13"/>
  </w:num>
  <w:num w:numId="59">
    <w:abstractNumId w:val="47"/>
  </w:num>
  <w:num w:numId="60">
    <w:abstractNumId w:val="9"/>
  </w:num>
  <w:num w:numId="61">
    <w:abstractNumId w:val="51"/>
  </w:num>
  <w:num w:numId="62">
    <w:abstractNumId w:val="0"/>
    <w:lvlOverride w:ilvl="0">
      <w:lvl w:ilvl="0">
        <w:start w:val="1"/>
        <w:numFmt w:val="bullet"/>
        <w:lvlText w:val=""/>
        <w:lvlJc w:val="left"/>
        <w:pPr>
          <w:ind w:left="360" w:hanging="360"/>
        </w:pPr>
        <w:rPr>
          <w:rFonts w:ascii="Symbol" w:hAnsi="Symbol" w:hint="default"/>
        </w:rPr>
      </w:lvl>
    </w:lvlOverride>
  </w:num>
  <w:num w:numId="63">
    <w:abstractNumId w:val="5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it-IT" w:vendorID="64" w:dllVersion="6" w:nlCheck="1" w:checkStyle="0"/>
  <w:activeWritingStyle w:appName="MSWord" w:lang="en-GB" w:vendorID="64" w:dllVersion="6" w:nlCheck="1" w:checkStyle="1"/>
  <w:activeWritingStyle w:appName="MSWord" w:lang="en-US" w:vendorID="64" w:dllVersion="6" w:nlCheck="1" w:checkStyle="1"/>
  <w:activeWritingStyle w:appName="MSWord" w:lang="de-CH" w:vendorID="64" w:dllVersion="6" w:nlCheck="1" w:checkStyle="0"/>
  <w:activeWritingStyle w:appName="MSWord" w:lang="de-DE" w:vendorID="64" w:dllVersion="6" w:nlCheck="1" w:checkStyle="0"/>
  <w:activeWritingStyle w:appName="MSWord" w:lang="fr-FR" w:vendorID="64" w:dllVersion="6" w:nlCheck="1" w:checkStyle="0"/>
  <w:activeWritingStyle w:appName="MSWord" w:lang="es-ES" w:vendorID="64" w:dllVersion="6" w:nlCheck="1" w:checkStyle="0"/>
  <w:activeWritingStyle w:appName="MSWord" w:lang="da-DK" w:vendorID="64" w:dllVersion="6" w:nlCheck="1" w:checkStyle="0"/>
  <w:activeWritingStyle w:appName="MSWord" w:lang="pt-BR" w:vendorID="64" w:dllVersion="6" w:nlCheck="1" w:checkStyle="0"/>
  <w:activeWritingStyle w:appName="MSWord" w:lang="nb-NO" w:vendorID="64" w:dllVersion="6" w:nlCheck="1" w:checkStyle="0"/>
  <w:activeWritingStyle w:appName="MSWord" w:lang="pt-PT" w:vendorID="64" w:dllVersion="6" w:nlCheck="1" w:checkStyle="0"/>
  <w:activeWritingStyle w:appName="MSWord" w:lang="fi-FI" w:vendorID="64" w:dllVersion="6" w:nlCheck="1" w:checkStyle="0"/>
  <w:activeWritingStyle w:appName="MSWord" w:lang="nl-NL" w:vendorID="64" w:dllVersion="6" w:nlCheck="1" w:checkStyle="0"/>
  <w:activeWritingStyle w:appName="MSWord" w:lang="fr-CH" w:vendorID="64" w:dllVersion="6" w:nlCheck="1" w:checkStyle="0"/>
  <w:activeWritingStyle w:appName="MSWord" w:lang="en-GB" w:vendorID="64" w:dllVersion="0" w:nlCheck="1" w:checkStyle="0"/>
  <w:activeWritingStyle w:appName="MSWord" w:lang="it-IT" w:vendorID="64" w:dllVersion="0" w:nlCheck="1" w:checkStyle="0"/>
  <w:activeWritingStyle w:appName="MSWord" w:lang="en-US" w:vendorID="64" w:dllVersion="0" w:nlCheck="1" w:checkStyle="0"/>
  <w:activeWritingStyle w:appName="MSWord" w:lang="de-CH" w:vendorID="64" w:dllVersion="0" w:nlCheck="1" w:checkStyle="0"/>
  <w:activeWritingStyle w:appName="MSWord" w:lang="de-DE" w:vendorID="64" w:dllVersion="0" w:nlCheck="1" w:checkStyle="0"/>
  <w:activeWritingStyle w:appName="MSWord" w:lang="en-GB" w:vendorID="8" w:dllVersion="513" w:checkStyle="1"/>
  <w:activeWritingStyle w:appName="MSWord" w:lang="it-IT" w:vendorID="3" w:dllVersion="512" w:checkStyle="1"/>
  <w:activeWritingStyle w:appName="MSWord" w:lang="en-AU" w:vendorID="8" w:dllVersion="513" w:checkStyle="1"/>
  <w:activeWritingStyle w:appName="MSWord" w:lang="es-ES" w:vendorID="9" w:dllVersion="512" w:checkStyle="1"/>
  <w:activeWritingStyle w:appName="MSWord" w:lang="es-ES_tradnl" w:vendorID="9" w:dllVersion="512" w:checkStyle="1"/>
  <w:activeWritingStyle w:appName="MSWord" w:lang="en-US" w:vendorID="8" w:dllVersion="513" w:checkStyle="1"/>
  <w:activeWritingStyle w:appName="MSWord" w:lang="it-IT" w:vendorID="3" w:dllVersion="517" w:checkStyle="1"/>
  <w:activeWritingStyle w:appName="MSWord" w:lang="nb-NO" w:vendorID="22" w:dllVersion="513" w:checkStyle="1"/>
  <w:activeWritingStyle w:appName="MSWord" w:lang="da-DK" w:vendorID="22" w:dllVersion="513" w:checkStyle="1"/>
  <w:activeWritingStyle w:appName="MSWord" w:lang="pl-PL" w:vendorID="12" w:dllVersion="512" w:checkStyle="1"/>
  <w:activeWritingStyle w:appName="MSWord" w:lang="sv-SE" w:vendorID="22" w:dllVersion="513" w:checkStyle="1"/>
  <w:activeWritingStyle w:appName="MSWord" w:lang="pt-PT" w:vendorID="13" w:dllVersion="513" w:checkStyle="1"/>
  <w:activeWritingStyle w:appName="MSWord" w:lang="fi-FI" w:vendorID="22" w:dllVersion="513" w:checkStyle="1"/>
  <w:activeWritingStyle w:appName="MSWord" w:lang="pt-BR" w:vendorID="13" w:dllVersion="513" w:checkStyle="1"/>
  <w:activeWritingStyle w:appName="MSWord" w:lang="pt-PT" w:vendorID="75" w:dllVersion="513" w:checkStyle="1"/>
  <w:activeWritingStyle w:appName="MSWord" w:lang="nl-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displayHorizontalDrawingGridEvery w:val="0"/>
  <w:displayVerticalDrawingGridEvery w:val="0"/>
  <w:doNotUseMarginsForDrawingGridOrigin/>
  <w:noPunctuationKerning/>
  <w:characterSpacingControl w:val="doNotCompress"/>
  <w:hdrShapeDefaults>
    <o:shapedefaults v:ext="edit" spidmax="29697"/>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065DC7"/>
    <w:rsid w:val="00000DC3"/>
    <w:rsid w:val="00001B61"/>
    <w:rsid w:val="00001DE5"/>
    <w:rsid w:val="000028BE"/>
    <w:rsid w:val="00002CDD"/>
    <w:rsid w:val="00003CAD"/>
    <w:rsid w:val="0000446D"/>
    <w:rsid w:val="000062BB"/>
    <w:rsid w:val="00007B66"/>
    <w:rsid w:val="0001063B"/>
    <w:rsid w:val="00011E8A"/>
    <w:rsid w:val="00012651"/>
    <w:rsid w:val="0001293B"/>
    <w:rsid w:val="00013A50"/>
    <w:rsid w:val="0001422F"/>
    <w:rsid w:val="00014985"/>
    <w:rsid w:val="00017658"/>
    <w:rsid w:val="00017DAD"/>
    <w:rsid w:val="0002043E"/>
    <w:rsid w:val="00021208"/>
    <w:rsid w:val="000215E7"/>
    <w:rsid w:val="00021E46"/>
    <w:rsid w:val="000223D5"/>
    <w:rsid w:val="00022D15"/>
    <w:rsid w:val="00023632"/>
    <w:rsid w:val="00023B73"/>
    <w:rsid w:val="000240AE"/>
    <w:rsid w:val="0002474C"/>
    <w:rsid w:val="000265F4"/>
    <w:rsid w:val="000348F9"/>
    <w:rsid w:val="000370A9"/>
    <w:rsid w:val="00040963"/>
    <w:rsid w:val="0004099C"/>
    <w:rsid w:val="00041287"/>
    <w:rsid w:val="000414DC"/>
    <w:rsid w:val="00041DBD"/>
    <w:rsid w:val="000420E0"/>
    <w:rsid w:val="00042F15"/>
    <w:rsid w:val="00043C17"/>
    <w:rsid w:val="0004415D"/>
    <w:rsid w:val="00045A4D"/>
    <w:rsid w:val="00047913"/>
    <w:rsid w:val="00047E7B"/>
    <w:rsid w:val="000502AC"/>
    <w:rsid w:val="000505E3"/>
    <w:rsid w:val="0005108D"/>
    <w:rsid w:val="00051EAA"/>
    <w:rsid w:val="00052185"/>
    <w:rsid w:val="00052AAE"/>
    <w:rsid w:val="00052FA0"/>
    <w:rsid w:val="0005326A"/>
    <w:rsid w:val="00055407"/>
    <w:rsid w:val="00055577"/>
    <w:rsid w:val="00055A0E"/>
    <w:rsid w:val="00055CCE"/>
    <w:rsid w:val="00055EAA"/>
    <w:rsid w:val="00057566"/>
    <w:rsid w:val="000603AF"/>
    <w:rsid w:val="000604A7"/>
    <w:rsid w:val="00061BB3"/>
    <w:rsid w:val="00062434"/>
    <w:rsid w:val="000630F1"/>
    <w:rsid w:val="00065DC7"/>
    <w:rsid w:val="0006605C"/>
    <w:rsid w:val="00066CA4"/>
    <w:rsid w:val="000672A2"/>
    <w:rsid w:val="00067503"/>
    <w:rsid w:val="00067597"/>
    <w:rsid w:val="0006776F"/>
    <w:rsid w:val="00070951"/>
    <w:rsid w:val="000732E0"/>
    <w:rsid w:val="000733F1"/>
    <w:rsid w:val="00074182"/>
    <w:rsid w:val="000751F6"/>
    <w:rsid w:val="000759FA"/>
    <w:rsid w:val="000761FB"/>
    <w:rsid w:val="00077420"/>
    <w:rsid w:val="0008057F"/>
    <w:rsid w:val="00081242"/>
    <w:rsid w:val="00081447"/>
    <w:rsid w:val="00082E29"/>
    <w:rsid w:val="00083E4F"/>
    <w:rsid w:val="00084F17"/>
    <w:rsid w:val="00085168"/>
    <w:rsid w:val="00085914"/>
    <w:rsid w:val="00085B76"/>
    <w:rsid w:val="00086341"/>
    <w:rsid w:val="00086793"/>
    <w:rsid w:val="00087476"/>
    <w:rsid w:val="000879B7"/>
    <w:rsid w:val="000902B9"/>
    <w:rsid w:val="0009104B"/>
    <w:rsid w:val="00091FB6"/>
    <w:rsid w:val="000920A0"/>
    <w:rsid w:val="00092C17"/>
    <w:rsid w:val="00092DD7"/>
    <w:rsid w:val="000934A5"/>
    <w:rsid w:val="000941D5"/>
    <w:rsid w:val="00095F24"/>
    <w:rsid w:val="00096727"/>
    <w:rsid w:val="00096BA1"/>
    <w:rsid w:val="000A52BD"/>
    <w:rsid w:val="000A6242"/>
    <w:rsid w:val="000A62F4"/>
    <w:rsid w:val="000A683C"/>
    <w:rsid w:val="000A68B6"/>
    <w:rsid w:val="000A6F62"/>
    <w:rsid w:val="000B02B1"/>
    <w:rsid w:val="000B16ED"/>
    <w:rsid w:val="000B3630"/>
    <w:rsid w:val="000B594D"/>
    <w:rsid w:val="000B6E89"/>
    <w:rsid w:val="000B764C"/>
    <w:rsid w:val="000C1414"/>
    <w:rsid w:val="000C2056"/>
    <w:rsid w:val="000C22A7"/>
    <w:rsid w:val="000C2E42"/>
    <w:rsid w:val="000C2E66"/>
    <w:rsid w:val="000C2EE6"/>
    <w:rsid w:val="000C3973"/>
    <w:rsid w:val="000C4F2A"/>
    <w:rsid w:val="000C5259"/>
    <w:rsid w:val="000C6611"/>
    <w:rsid w:val="000C745A"/>
    <w:rsid w:val="000C7A01"/>
    <w:rsid w:val="000D08B2"/>
    <w:rsid w:val="000D0D2E"/>
    <w:rsid w:val="000D12DD"/>
    <w:rsid w:val="000D1C24"/>
    <w:rsid w:val="000D2516"/>
    <w:rsid w:val="000D2A0C"/>
    <w:rsid w:val="000D3824"/>
    <w:rsid w:val="000D4AAF"/>
    <w:rsid w:val="000D55F9"/>
    <w:rsid w:val="000D61F1"/>
    <w:rsid w:val="000D61F3"/>
    <w:rsid w:val="000D66E9"/>
    <w:rsid w:val="000D79CE"/>
    <w:rsid w:val="000D7F29"/>
    <w:rsid w:val="000E0FF0"/>
    <w:rsid w:val="000E1275"/>
    <w:rsid w:val="000E15F5"/>
    <w:rsid w:val="000E1C88"/>
    <w:rsid w:val="000E3748"/>
    <w:rsid w:val="000E4E08"/>
    <w:rsid w:val="000E627E"/>
    <w:rsid w:val="000E68B5"/>
    <w:rsid w:val="000F0543"/>
    <w:rsid w:val="000F0F51"/>
    <w:rsid w:val="000F13A3"/>
    <w:rsid w:val="000F3C8B"/>
    <w:rsid w:val="000F4021"/>
    <w:rsid w:val="000F44C4"/>
    <w:rsid w:val="000F4D37"/>
    <w:rsid w:val="000F6480"/>
    <w:rsid w:val="000F6CC9"/>
    <w:rsid w:val="000F71C7"/>
    <w:rsid w:val="0010098E"/>
    <w:rsid w:val="00101FAB"/>
    <w:rsid w:val="001055C6"/>
    <w:rsid w:val="00106423"/>
    <w:rsid w:val="00110656"/>
    <w:rsid w:val="00111A09"/>
    <w:rsid w:val="00111C00"/>
    <w:rsid w:val="00111F4B"/>
    <w:rsid w:val="00112883"/>
    <w:rsid w:val="00113358"/>
    <w:rsid w:val="0011392C"/>
    <w:rsid w:val="0011450D"/>
    <w:rsid w:val="001147D2"/>
    <w:rsid w:val="00115350"/>
    <w:rsid w:val="00116167"/>
    <w:rsid w:val="00116B92"/>
    <w:rsid w:val="00116FA2"/>
    <w:rsid w:val="001203F7"/>
    <w:rsid w:val="00121ECE"/>
    <w:rsid w:val="00122680"/>
    <w:rsid w:val="001253F8"/>
    <w:rsid w:val="00125E71"/>
    <w:rsid w:val="00125E97"/>
    <w:rsid w:val="0012699E"/>
    <w:rsid w:val="00126F97"/>
    <w:rsid w:val="00127059"/>
    <w:rsid w:val="00131420"/>
    <w:rsid w:val="0013549E"/>
    <w:rsid w:val="00135AB6"/>
    <w:rsid w:val="00136303"/>
    <w:rsid w:val="00137E20"/>
    <w:rsid w:val="00140F55"/>
    <w:rsid w:val="00141F66"/>
    <w:rsid w:val="001426FD"/>
    <w:rsid w:val="00142A00"/>
    <w:rsid w:val="00143905"/>
    <w:rsid w:val="0014436C"/>
    <w:rsid w:val="001446EE"/>
    <w:rsid w:val="0014674A"/>
    <w:rsid w:val="001471B1"/>
    <w:rsid w:val="00151199"/>
    <w:rsid w:val="001513AE"/>
    <w:rsid w:val="00153451"/>
    <w:rsid w:val="00153CCC"/>
    <w:rsid w:val="00155359"/>
    <w:rsid w:val="001569B4"/>
    <w:rsid w:val="00157B37"/>
    <w:rsid w:val="001672A2"/>
    <w:rsid w:val="00170BE7"/>
    <w:rsid w:val="00170C79"/>
    <w:rsid w:val="00170ED9"/>
    <w:rsid w:val="00171B81"/>
    <w:rsid w:val="00173282"/>
    <w:rsid w:val="001743E0"/>
    <w:rsid w:val="00174478"/>
    <w:rsid w:val="00174845"/>
    <w:rsid w:val="0017492F"/>
    <w:rsid w:val="00174AFF"/>
    <w:rsid w:val="00174D4F"/>
    <w:rsid w:val="00177020"/>
    <w:rsid w:val="00177FA1"/>
    <w:rsid w:val="00181AA0"/>
    <w:rsid w:val="00182527"/>
    <w:rsid w:val="001828F0"/>
    <w:rsid w:val="00182D25"/>
    <w:rsid w:val="001831BC"/>
    <w:rsid w:val="00183B09"/>
    <w:rsid w:val="00183DE8"/>
    <w:rsid w:val="00183F4E"/>
    <w:rsid w:val="00184C17"/>
    <w:rsid w:val="00184CAA"/>
    <w:rsid w:val="00187761"/>
    <w:rsid w:val="00190690"/>
    <w:rsid w:val="001922A7"/>
    <w:rsid w:val="001924A9"/>
    <w:rsid w:val="00192D2F"/>
    <w:rsid w:val="0019303E"/>
    <w:rsid w:val="00193BB2"/>
    <w:rsid w:val="00195856"/>
    <w:rsid w:val="00195AD9"/>
    <w:rsid w:val="00196E97"/>
    <w:rsid w:val="001972F7"/>
    <w:rsid w:val="001A036F"/>
    <w:rsid w:val="001A0D8E"/>
    <w:rsid w:val="001A1DF7"/>
    <w:rsid w:val="001A2D85"/>
    <w:rsid w:val="001A3232"/>
    <w:rsid w:val="001A4296"/>
    <w:rsid w:val="001A4BA2"/>
    <w:rsid w:val="001A5562"/>
    <w:rsid w:val="001A5A2E"/>
    <w:rsid w:val="001B0A15"/>
    <w:rsid w:val="001B0CEC"/>
    <w:rsid w:val="001B0EA6"/>
    <w:rsid w:val="001B1C4B"/>
    <w:rsid w:val="001B28D7"/>
    <w:rsid w:val="001B2A7B"/>
    <w:rsid w:val="001B2F2E"/>
    <w:rsid w:val="001B319E"/>
    <w:rsid w:val="001B3B3A"/>
    <w:rsid w:val="001B5619"/>
    <w:rsid w:val="001B6509"/>
    <w:rsid w:val="001B6C2D"/>
    <w:rsid w:val="001B75D9"/>
    <w:rsid w:val="001C038C"/>
    <w:rsid w:val="001C0458"/>
    <w:rsid w:val="001C0544"/>
    <w:rsid w:val="001C05B7"/>
    <w:rsid w:val="001C13C3"/>
    <w:rsid w:val="001C22B6"/>
    <w:rsid w:val="001C2A17"/>
    <w:rsid w:val="001C3B8F"/>
    <w:rsid w:val="001C4905"/>
    <w:rsid w:val="001C5786"/>
    <w:rsid w:val="001C582C"/>
    <w:rsid w:val="001C67DE"/>
    <w:rsid w:val="001C68F9"/>
    <w:rsid w:val="001C7BDD"/>
    <w:rsid w:val="001D0B24"/>
    <w:rsid w:val="001D30EB"/>
    <w:rsid w:val="001D389B"/>
    <w:rsid w:val="001D4A91"/>
    <w:rsid w:val="001D5B3F"/>
    <w:rsid w:val="001E106A"/>
    <w:rsid w:val="001E320D"/>
    <w:rsid w:val="001E379E"/>
    <w:rsid w:val="001E5CDD"/>
    <w:rsid w:val="001E655E"/>
    <w:rsid w:val="001E7821"/>
    <w:rsid w:val="001F16CB"/>
    <w:rsid w:val="001F1997"/>
    <w:rsid w:val="001F1B7F"/>
    <w:rsid w:val="001F2FBC"/>
    <w:rsid w:val="001F3CC4"/>
    <w:rsid w:val="001F5178"/>
    <w:rsid w:val="001F6702"/>
    <w:rsid w:val="001F7263"/>
    <w:rsid w:val="001F7603"/>
    <w:rsid w:val="001F7741"/>
    <w:rsid w:val="00203669"/>
    <w:rsid w:val="0020402B"/>
    <w:rsid w:val="0020468F"/>
    <w:rsid w:val="002046CE"/>
    <w:rsid w:val="002053EF"/>
    <w:rsid w:val="00211A57"/>
    <w:rsid w:val="00212C01"/>
    <w:rsid w:val="00212E76"/>
    <w:rsid w:val="00213217"/>
    <w:rsid w:val="00213D3C"/>
    <w:rsid w:val="00213E91"/>
    <w:rsid w:val="002146B7"/>
    <w:rsid w:val="00214B08"/>
    <w:rsid w:val="00214FE3"/>
    <w:rsid w:val="002158F1"/>
    <w:rsid w:val="00215ECB"/>
    <w:rsid w:val="0021723F"/>
    <w:rsid w:val="00220C22"/>
    <w:rsid w:val="00220D8C"/>
    <w:rsid w:val="00221560"/>
    <w:rsid w:val="002227FB"/>
    <w:rsid w:val="002262D4"/>
    <w:rsid w:val="00226F17"/>
    <w:rsid w:val="0023259C"/>
    <w:rsid w:val="00233029"/>
    <w:rsid w:val="002330F3"/>
    <w:rsid w:val="00233529"/>
    <w:rsid w:val="002355E4"/>
    <w:rsid w:val="00236ACB"/>
    <w:rsid w:val="00236FDE"/>
    <w:rsid w:val="0023771F"/>
    <w:rsid w:val="00237A5C"/>
    <w:rsid w:val="002402EE"/>
    <w:rsid w:val="0024160E"/>
    <w:rsid w:val="00241A2B"/>
    <w:rsid w:val="00242C74"/>
    <w:rsid w:val="002454C3"/>
    <w:rsid w:val="002520C9"/>
    <w:rsid w:val="00252492"/>
    <w:rsid w:val="0025353B"/>
    <w:rsid w:val="002536BA"/>
    <w:rsid w:val="00254A5C"/>
    <w:rsid w:val="00254B30"/>
    <w:rsid w:val="002559DC"/>
    <w:rsid w:val="00256832"/>
    <w:rsid w:val="00257098"/>
    <w:rsid w:val="00257397"/>
    <w:rsid w:val="00260530"/>
    <w:rsid w:val="00260745"/>
    <w:rsid w:val="00260C72"/>
    <w:rsid w:val="00262519"/>
    <w:rsid w:val="002629A7"/>
    <w:rsid w:val="00263E97"/>
    <w:rsid w:val="002640E1"/>
    <w:rsid w:val="002644EC"/>
    <w:rsid w:val="00264DE9"/>
    <w:rsid w:val="00264DF4"/>
    <w:rsid w:val="00265CD9"/>
    <w:rsid w:val="00265FC5"/>
    <w:rsid w:val="00266FD9"/>
    <w:rsid w:val="002676B7"/>
    <w:rsid w:val="00267B99"/>
    <w:rsid w:val="00271A66"/>
    <w:rsid w:val="0027293F"/>
    <w:rsid w:val="00272C8F"/>
    <w:rsid w:val="00273053"/>
    <w:rsid w:val="002730D5"/>
    <w:rsid w:val="00273112"/>
    <w:rsid w:val="002732F2"/>
    <w:rsid w:val="00273F53"/>
    <w:rsid w:val="00275074"/>
    <w:rsid w:val="00275B95"/>
    <w:rsid w:val="00275F2D"/>
    <w:rsid w:val="0027622D"/>
    <w:rsid w:val="0027774D"/>
    <w:rsid w:val="00277A01"/>
    <w:rsid w:val="00277F2E"/>
    <w:rsid w:val="00280DE9"/>
    <w:rsid w:val="0028157B"/>
    <w:rsid w:val="00281880"/>
    <w:rsid w:val="00281A85"/>
    <w:rsid w:val="002821D7"/>
    <w:rsid w:val="002858C5"/>
    <w:rsid w:val="00285C4F"/>
    <w:rsid w:val="002905B8"/>
    <w:rsid w:val="00292008"/>
    <w:rsid w:val="00292053"/>
    <w:rsid w:val="00294166"/>
    <w:rsid w:val="00294818"/>
    <w:rsid w:val="00294FFA"/>
    <w:rsid w:val="002951E9"/>
    <w:rsid w:val="00296C09"/>
    <w:rsid w:val="002A1831"/>
    <w:rsid w:val="002A2E18"/>
    <w:rsid w:val="002A3155"/>
    <w:rsid w:val="002A3879"/>
    <w:rsid w:val="002A3D71"/>
    <w:rsid w:val="002A6459"/>
    <w:rsid w:val="002A6E0D"/>
    <w:rsid w:val="002B177B"/>
    <w:rsid w:val="002B2665"/>
    <w:rsid w:val="002B2A42"/>
    <w:rsid w:val="002B3718"/>
    <w:rsid w:val="002B4A4F"/>
    <w:rsid w:val="002B5D1F"/>
    <w:rsid w:val="002B6488"/>
    <w:rsid w:val="002B6CD9"/>
    <w:rsid w:val="002B78EF"/>
    <w:rsid w:val="002B790D"/>
    <w:rsid w:val="002C0312"/>
    <w:rsid w:val="002C0B64"/>
    <w:rsid w:val="002C0BBB"/>
    <w:rsid w:val="002C1605"/>
    <w:rsid w:val="002C1A00"/>
    <w:rsid w:val="002C22B5"/>
    <w:rsid w:val="002C2A87"/>
    <w:rsid w:val="002C2D2C"/>
    <w:rsid w:val="002C3D5C"/>
    <w:rsid w:val="002C4058"/>
    <w:rsid w:val="002C461D"/>
    <w:rsid w:val="002C56DB"/>
    <w:rsid w:val="002C590C"/>
    <w:rsid w:val="002C6C4C"/>
    <w:rsid w:val="002C6FDE"/>
    <w:rsid w:val="002C7211"/>
    <w:rsid w:val="002C787C"/>
    <w:rsid w:val="002D0959"/>
    <w:rsid w:val="002D30C3"/>
    <w:rsid w:val="002D374C"/>
    <w:rsid w:val="002D487B"/>
    <w:rsid w:val="002D5642"/>
    <w:rsid w:val="002D5889"/>
    <w:rsid w:val="002D6084"/>
    <w:rsid w:val="002D6118"/>
    <w:rsid w:val="002D658D"/>
    <w:rsid w:val="002D6AFF"/>
    <w:rsid w:val="002E00F3"/>
    <w:rsid w:val="002E09E9"/>
    <w:rsid w:val="002E14E8"/>
    <w:rsid w:val="002E2E6E"/>
    <w:rsid w:val="002E3064"/>
    <w:rsid w:val="002E3C7D"/>
    <w:rsid w:val="002E455F"/>
    <w:rsid w:val="002E508D"/>
    <w:rsid w:val="002E51BD"/>
    <w:rsid w:val="002E5E75"/>
    <w:rsid w:val="002E5EC8"/>
    <w:rsid w:val="002E6CE0"/>
    <w:rsid w:val="002E7CB6"/>
    <w:rsid w:val="002F13CB"/>
    <w:rsid w:val="002F2BD3"/>
    <w:rsid w:val="002F40CF"/>
    <w:rsid w:val="002F714A"/>
    <w:rsid w:val="002F7767"/>
    <w:rsid w:val="002F7D74"/>
    <w:rsid w:val="00300A29"/>
    <w:rsid w:val="00300E2C"/>
    <w:rsid w:val="0030196D"/>
    <w:rsid w:val="00302C56"/>
    <w:rsid w:val="00302E5F"/>
    <w:rsid w:val="00303408"/>
    <w:rsid w:val="00303C65"/>
    <w:rsid w:val="00304981"/>
    <w:rsid w:val="00304E94"/>
    <w:rsid w:val="0030600E"/>
    <w:rsid w:val="00306CD3"/>
    <w:rsid w:val="00307352"/>
    <w:rsid w:val="00307423"/>
    <w:rsid w:val="003078E2"/>
    <w:rsid w:val="00307B34"/>
    <w:rsid w:val="0031026D"/>
    <w:rsid w:val="00311763"/>
    <w:rsid w:val="00311A8A"/>
    <w:rsid w:val="00312170"/>
    <w:rsid w:val="00313887"/>
    <w:rsid w:val="00313A99"/>
    <w:rsid w:val="00313CF5"/>
    <w:rsid w:val="00314813"/>
    <w:rsid w:val="00314C8A"/>
    <w:rsid w:val="00314E13"/>
    <w:rsid w:val="00316243"/>
    <w:rsid w:val="00316926"/>
    <w:rsid w:val="003176C2"/>
    <w:rsid w:val="0032026B"/>
    <w:rsid w:val="003203A4"/>
    <w:rsid w:val="00320B53"/>
    <w:rsid w:val="003234E6"/>
    <w:rsid w:val="0032432D"/>
    <w:rsid w:val="00324CB9"/>
    <w:rsid w:val="00326C4C"/>
    <w:rsid w:val="003276FC"/>
    <w:rsid w:val="00327F3F"/>
    <w:rsid w:val="0033083E"/>
    <w:rsid w:val="00330D52"/>
    <w:rsid w:val="00330F1D"/>
    <w:rsid w:val="003320F1"/>
    <w:rsid w:val="00332440"/>
    <w:rsid w:val="00332F18"/>
    <w:rsid w:val="00333554"/>
    <w:rsid w:val="003338E8"/>
    <w:rsid w:val="00333C90"/>
    <w:rsid w:val="0033416F"/>
    <w:rsid w:val="00335203"/>
    <w:rsid w:val="00335262"/>
    <w:rsid w:val="003357B8"/>
    <w:rsid w:val="003363FB"/>
    <w:rsid w:val="003379A0"/>
    <w:rsid w:val="00340354"/>
    <w:rsid w:val="00341982"/>
    <w:rsid w:val="00342A26"/>
    <w:rsid w:val="00342D4A"/>
    <w:rsid w:val="00343EAB"/>
    <w:rsid w:val="00346403"/>
    <w:rsid w:val="0034667D"/>
    <w:rsid w:val="00347E52"/>
    <w:rsid w:val="00350F8C"/>
    <w:rsid w:val="0035144E"/>
    <w:rsid w:val="003520C5"/>
    <w:rsid w:val="0035286E"/>
    <w:rsid w:val="00355C4E"/>
    <w:rsid w:val="00357386"/>
    <w:rsid w:val="0036022E"/>
    <w:rsid w:val="0036081B"/>
    <w:rsid w:val="00360C5C"/>
    <w:rsid w:val="00360DBC"/>
    <w:rsid w:val="00360DFD"/>
    <w:rsid w:val="0036146E"/>
    <w:rsid w:val="00362D8A"/>
    <w:rsid w:val="003631FC"/>
    <w:rsid w:val="0036425B"/>
    <w:rsid w:val="0036505C"/>
    <w:rsid w:val="00367F9E"/>
    <w:rsid w:val="00370FFB"/>
    <w:rsid w:val="003711F1"/>
    <w:rsid w:val="00371797"/>
    <w:rsid w:val="00371814"/>
    <w:rsid w:val="00371DA0"/>
    <w:rsid w:val="00372713"/>
    <w:rsid w:val="003729A3"/>
    <w:rsid w:val="003730AC"/>
    <w:rsid w:val="00373659"/>
    <w:rsid w:val="003736FB"/>
    <w:rsid w:val="00374B60"/>
    <w:rsid w:val="00375871"/>
    <w:rsid w:val="0037622F"/>
    <w:rsid w:val="003770CE"/>
    <w:rsid w:val="003770F4"/>
    <w:rsid w:val="00380AF3"/>
    <w:rsid w:val="00381347"/>
    <w:rsid w:val="003827A1"/>
    <w:rsid w:val="003840AE"/>
    <w:rsid w:val="00384433"/>
    <w:rsid w:val="00384750"/>
    <w:rsid w:val="00385777"/>
    <w:rsid w:val="0038663F"/>
    <w:rsid w:val="00386FF8"/>
    <w:rsid w:val="003875C0"/>
    <w:rsid w:val="00391F61"/>
    <w:rsid w:val="0039218F"/>
    <w:rsid w:val="00392AD0"/>
    <w:rsid w:val="00394D56"/>
    <w:rsid w:val="00394E65"/>
    <w:rsid w:val="003959DC"/>
    <w:rsid w:val="00396B03"/>
    <w:rsid w:val="00396D2D"/>
    <w:rsid w:val="00397089"/>
    <w:rsid w:val="003A2AAF"/>
    <w:rsid w:val="003A327F"/>
    <w:rsid w:val="003A4B95"/>
    <w:rsid w:val="003B1E8C"/>
    <w:rsid w:val="003B36F3"/>
    <w:rsid w:val="003B3D7A"/>
    <w:rsid w:val="003B3FF1"/>
    <w:rsid w:val="003B58DB"/>
    <w:rsid w:val="003B627C"/>
    <w:rsid w:val="003B6568"/>
    <w:rsid w:val="003C01F9"/>
    <w:rsid w:val="003C1E81"/>
    <w:rsid w:val="003C26F0"/>
    <w:rsid w:val="003C2FDD"/>
    <w:rsid w:val="003C32B1"/>
    <w:rsid w:val="003C366A"/>
    <w:rsid w:val="003C7341"/>
    <w:rsid w:val="003D1107"/>
    <w:rsid w:val="003D2E8C"/>
    <w:rsid w:val="003D3039"/>
    <w:rsid w:val="003D40BB"/>
    <w:rsid w:val="003D661A"/>
    <w:rsid w:val="003D6822"/>
    <w:rsid w:val="003D68F1"/>
    <w:rsid w:val="003E132C"/>
    <w:rsid w:val="003E1A91"/>
    <w:rsid w:val="003E211B"/>
    <w:rsid w:val="003E31F8"/>
    <w:rsid w:val="003E3BA2"/>
    <w:rsid w:val="003E4C10"/>
    <w:rsid w:val="003E56E2"/>
    <w:rsid w:val="003E6145"/>
    <w:rsid w:val="003E6F6A"/>
    <w:rsid w:val="003F00F3"/>
    <w:rsid w:val="003F0E33"/>
    <w:rsid w:val="003F28F2"/>
    <w:rsid w:val="003F2EE1"/>
    <w:rsid w:val="003F317D"/>
    <w:rsid w:val="003F4061"/>
    <w:rsid w:val="003F414F"/>
    <w:rsid w:val="003F5B0B"/>
    <w:rsid w:val="003F708C"/>
    <w:rsid w:val="003F7A0D"/>
    <w:rsid w:val="004008CA"/>
    <w:rsid w:val="00400B3B"/>
    <w:rsid w:val="00401E49"/>
    <w:rsid w:val="004044D7"/>
    <w:rsid w:val="004049AC"/>
    <w:rsid w:val="00404A91"/>
    <w:rsid w:val="004109B5"/>
    <w:rsid w:val="00410C16"/>
    <w:rsid w:val="004116AC"/>
    <w:rsid w:val="00411E36"/>
    <w:rsid w:val="004123A1"/>
    <w:rsid w:val="0041240A"/>
    <w:rsid w:val="00412C09"/>
    <w:rsid w:val="0041387C"/>
    <w:rsid w:val="00413DE0"/>
    <w:rsid w:val="004154AD"/>
    <w:rsid w:val="00415AF2"/>
    <w:rsid w:val="00415CFC"/>
    <w:rsid w:val="0041681F"/>
    <w:rsid w:val="004178B2"/>
    <w:rsid w:val="00420CF2"/>
    <w:rsid w:val="00421499"/>
    <w:rsid w:val="004225C2"/>
    <w:rsid w:val="00422B3A"/>
    <w:rsid w:val="00422BB3"/>
    <w:rsid w:val="00422ED1"/>
    <w:rsid w:val="00422F53"/>
    <w:rsid w:val="0042307E"/>
    <w:rsid w:val="0042438E"/>
    <w:rsid w:val="004252D5"/>
    <w:rsid w:val="00425E35"/>
    <w:rsid w:val="00425EF9"/>
    <w:rsid w:val="00426ED0"/>
    <w:rsid w:val="004273CC"/>
    <w:rsid w:val="00430860"/>
    <w:rsid w:val="0043086A"/>
    <w:rsid w:val="00431E6B"/>
    <w:rsid w:val="0043211E"/>
    <w:rsid w:val="0043321A"/>
    <w:rsid w:val="004337BD"/>
    <w:rsid w:val="004351C7"/>
    <w:rsid w:val="004354A5"/>
    <w:rsid w:val="004358D2"/>
    <w:rsid w:val="004420CA"/>
    <w:rsid w:val="00442260"/>
    <w:rsid w:val="0044273D"/>
    <w:rsid w:val="0044404E"/>
    <w:rsid w:val="00444D75"/>
    <w:rsid w:val="0044531B"/>
    <w:rsid w:val="004471C8"/>
    <w:rsid w:val="004506FC"/>
    <w:rsid w:val="00451009"/>
    <w:rsid w:val="00451785"/>
    <w:rsid w:val="00452D87"/>
    <w:rsid w:val="00454497"/>
    <w:rsid w:val="00454B74"/>
    <w:rsid w:val="00454E29"/>
    <w:rsid w:val="0045789F"/>
    <w:rsid w:val="00461252"/>
    <w:rsid w:val="00462A94"/>
    <w:rsid w:val="00462E4A"/>
    <w:rsid w:val="00463220"/>
    <w:rsid w:val="00465566"/>
    <w:rsid w:val="00465D40"/>
    <w:rsid w:val="00467BFD"/>
    <w:rsid w:val="00470EAF"/>
    <w:rsid w:val="00471658"/>
    <w:rsid w:val="00471C7A"/>
    <w:rsid w:val="00472B56"/>
    <w:rsid w:val="00473413"/>
    <w:rsid w:val="00473FBF"/>
    <w:rsid w:val="004744E7"/>
    <w:rsid w:val="0047466E"/>
    <w:rsid w:val="00475082"/>
    <w:rsid w:val="00480535"/>
    <w:rsid w:val="00480F63"/>
    <w:rsid w:val="00481F7A"/>
    <w:rsid w:val="00482264"/>
    <w:rsid w:val="00482CD4"/>
    <w:rsid w:val="00483705"/>
    <w:rsid w:val="00483FD3"/>
    <w:rsid w:val="004847BA"/>
    <w:rsid w:val="004848FB"/>
    <w:rsid w:val="004868FD"/>
    <w:rsid w:val="00487E96"/>
    <w:rsid w:val="004927D4"/>
    <w:rsid w:val="00493041"/>
    <w:rsid w:val="00493AF0"/>
    <w:rsid w:val="004943E1"/>
    <w:rsid w:val="00495439"/>
    <w:rsid w:val="00496A49"/>
    <w:rsid w:val="004A0935"/>
    <w:rsid w:val="004A129D"/>
    <w:rsid w:val="004A1B5E"/>
    <w:rsid w:val="004A201A"/>
    <w:rsid w:val="004A22C0"/>
    <w:rsid w:val="004A2456"/>
    <w:rsid w:val="004A47E2"/>
    <w:rsid w:val="004A59B1"/>
    <w:rsid w:val="004A6FC5"/>
    <w:rsid w:val="004A706C"/>
    <w:rsid w:val="004A742A"/>
    <w:rsid w:val="004B1160"/>
    <w:rsid w:val="004B21E3"/>
    <w:rsid w:val="004B268D"/>
    <w:rsid w:val="004B2793"/>
    <w:rsid w:val="004B33C9"/>
    <w:rsid w:val="004B4C8E"/>
    <w:rsid w:val="004B519A"/>
    <w:rsid w:val="004B52BD"/>
    <w:rsid w:val="004B5B7A"/>
    <w:rsid w:val="004B7622"/>
    <w:rsid w:val="004B7832"/>
    <w:rsid w:val="004C0629"/>
    <w:rsid w:val="004C075F"/>
    <w:rsid w:val="004C0B6A"/>
    <w:rsid w:val="004C1E8A"/>
    <w:rsid w:val="004C22C1"/>
    <w:rsid w:val="004C2D1A"/>
    <w:rsid w:val="004C2F19"/>
    <w:rsid w:val="004C430C"/>
    <w:rsid w:val="004C4D77"/>
    <w:rsid w:val="004C502E"/>
    <w:rsid w:val="004C5A95"/>
    <w:rsid w:val="004C6338"/>
    <w:rsid w:val="004C72E1"/>
    <w:rsid w:val="004C755E"/>
    <w:rsid w:val="004D02C9"/>
    <w:rsid w:val="004D079C"/>
    <w:rsid w:val="004D0A63"/>
    <w:rsid w:val="004D109B"/>
    <w:rsid w:val="004D1C29"/>
    <w:rsid w:val="004D253D"/>
    <w:rsid w:val="004D2942"/>
    <w:rsid w:val="004D2C43"/>
    <w:rsid w:val="004D486C"/>
    <w:rsid w:val="004D579D"/>
    <w:rsid w:val="004D5B82"/>
    <w:rsid w:val="004D77BC"/>
    <w:rsid w:val="004D7B9A"/>
    <w:rsid w:val="004D7D04"/>
    <w:rsid w:val="004E068F"/>
    <w:rsid w:val="004E0CD8"/>
    <w:rsid w:val="004E1121"/>
    <w:rsid w:val="004E32EF"/>
    <w:rsid w:val="004E50E4"/>
    <w:rsid w:val="004E5265"/>
    <w:rsid w:val="004E6436"/>
    <w:rsid w:val="004E75A1"/>
    <w:rsid w:val="004F1CCC"/>
    <w:rsid w:val="004F226A"/>
    <w:rsid w:val="004F22E9"/>
    <w:rsid w:val="004F2C52"/>
    <w:rsid w:val="004F4AE7"/>
    <w:rsid w:val="004F5038"/>
    <w:rsid w:val="004F53CE"/>
    <w:rsid w:val="004F6F36"/>
    <w:rsid w:val="00500023"/>
    <w:rsid w:val="00500BCF"/>
    <w:rsid w:val="00501D9F"/>
    <w:rsid w:val="0050219E"/>
    <w:rsid w:val="00502631"/>
    <w:rsid w:val="00503740"/>
    <w:rsid w:val="0050559E"/>
    <w:rsid w:val="0050686F"/>
    <w:rsid w:val="00507A28"/>
    <w:rsid w:val="0051019D"/>
    <w:rsid w:val="005105F1"/>
    <w:rsid w:val="005107F6"/>
    <w:rsid w:val="00510D3D"/>
    <w:rsid w:val="00512227"/>
    <w:rsid w:val="00515959"/>
    <w:rsid w:val="005164DF"/>
    <w:rsid w:val="00520D2A"/>
    <w:rsid w:val="0052160F"/>
    <w:rsid w:val="00521DA5"/>
    <w:rsid w:val="00522E59"/>
    <w:rsid w:val="00523DE7"/>
    <w:rsid w:val="005243ED"/>
    <w:rsid w:val="005268A0"/>
    <w:rsid w:val="005268E6"/>
    <w:rsid w:val="00530969"/>
    <w:rsid w:val="00531CB5"/>
    <w:rsid w:val="0053237A"/>
    <w:rsid w:val="0053302C"/>
    <w:rsid w:val="005351B8"/>
    <w:rsid w:val="00536A52"/>
    <w:rsid w:val="00536BE5"/>
    <w:rsid w:val="00537398"/>
    <w:rsid w:val="00542910"/>
    <w:rsid w:val="00542EC8"/>
    <w:rsid w:val="00543156"/>
    <w:rsid w:val="005441B3"/>
    <w:rsid w:val="005441CC"/>
    <w:rsid w:val="005442A8"/>
    <w:rsid w:val="00547217"/>
    <w:rsid w:val="005475DF"/>
    <w:rsid w:val="00547B69"/>
    <w:rsid w:val="00550106"/>
    <w:rsid w:val="00550F16"/>
    <w:rsid w:val="00551057"/>
    <w:rsid w:val="0055106F"/>
    <w:rsid w:val="00551439"/>
    <w:rsid w:val="005514CE"/>
    <w:rsid w:val="005540B2"/>
    <w:rsid w:val="00555CC8"/>
    <w:rsid w:val="00556FDE"/>
    <w:rsid w:val="0055714E"/>
    <w:rsid w:val="00557F57"/>
    <w:rsid w:val="005602DD"/>
    <w:rsid w:val="00560BE1"/>
    <w:rsid w:val="00561033"/>
    <w:rsid w:val="005611F9"/>
    <w:rsid w:val="0056133E"/>
    <w:rsid w:val="00561726"/>
    <w:rsid w:val="00561CEE"/>
    <w:rsid w:val="00561FE9"/>
    <w:rsid w:val="005621B0"/>
    <w:rsid w:val="00562BF1"/>
    <w:rsid w:val="005635B3"/>
    <w:rsid w:val="00563D98"/>
    <w:rsid w:val="005642DF"/>
    <w:rsid w:val="005643D4"/>
    <w:rsid w:val="00564784"/>
    <w:rsid w:val="005648CA"/>
    <w:rsid w:val="00565A95"/>
    <w:rsid w:val="005666DE"/>
    <w:rsid w:val="0056710F"/>
    <w:rsid w:val="005678E2"/>
    <w:rsid w:val="00567C9B"/>
    <w:rsid w:val="0057072A"/>
    <w:rsid w:val="00571969"/>
    <w:rsid w:val="00572726"/>
    <w:rsid w:val="00572792"/>
    <w:rsid w:val="00572846"/>
    <w:rsid w:val="00572D64"/>
    <w:rsid w:val="00574A6D"/>
    <w:rsid w:val="00574AC2"/>
    <w:rsid w:val="00574D27"/>
    <w:rsid w:val="00574E85"/>
    <w:rsid w:val="00574EB9"/>
    <w:rsid w:val="00576D33"/>
    <w:rsid w:val="00576E16"/>
    <w:rsid w:val="00577F21"/>
    <w:rsid w:val="00580711"/>
    <w:rsid w:val="00580CBC"/>
    <w:rsid w:val="00582D40"/>
    <w:rsid w:val="0058332E"/>
    <w:rsid w:val="00583833"/>
    <w:rsid w:val="00583839"/>
    <w:rsid w:val="00584345"/>
    <w:rsid w:val="00584725"/>
    <w:rsid w:val="005862F0"/>
    <w:rsid w:val="0058768C"/>
    <w:rsid w:val="00590C3A"/>
    <w:rsid w:val="00590D22"/>
    <w:rsid w:val="00592682"/>
    <w:rsid w:val="00592BCF"/>
    <w:rsid w:val="00594132"/>
    <w:rsid w:val="005946D5"/>
    <w:rsid w:val="00595AA5"/>
    <w:rsid w:val="00596829"/>
    <w:rsid w:val="005A0149"/>
    <w:rsid w:val="005A1C69"/>
    <w:rsid w:val="005A2C8B"/>
    <w:rsid w:val="005A2CCC"/>
    <w:rsid w:val="005A4525"/>
    <w:rsid w:val="005A4AFA"/>
    <w:rsid w:val="005A620E"/>
    <w:rsid w:val="005A685E"/>
    <w:rsid w:val="005B0F5E"/>
    <w:rsid w:val="005B113F"/>
    <w:rsid w:val="005B2482"/>
    <w:rsid w:val="005B24B2"/>
    <w:rsid w:val="005B2939"/>
    <w:rsid w:val="005B2DF8"/>
    <w:rsid w:val="005B2F36"/>
    <w:rsid w:val="005B4A9C"/>
    <w:rsid w:val="005B4D5E"/>
    <w:rsid w:val="005B6490"/>
    <w:rsid w:val="005B6BA4"/>
    <w:rsid w:val="005B7CFB"/>
    <w:rsid w:val="005C1357"/>
    <w:rsid w:val="005C1702"/>
    <w:rsid w:val="005C17A4"/>
    <w:rsid w:val="005C4263"/>
    <w:rsid w:val="005C4269"/>
    <w:rsid w:val="005C4556"/>
    <w:rsid w:val="005C5CA7"/>
    <w:rsid w:val="005D083A"/>
    <w:rsid w:val="005D2EE6"/>
    <w:rsid w:val="005D32E3"/>
    <w:rsid w:val="005D3807"/>
    <w:rsid w:val="005D39FA"/>
    <w:rsid w:val="005D4242"/>
    <w:rsid w:val="005D543C"/>
    <w:rsid w:val="005D6302"/>
    <w:rsid w:val="005D6EDD"/>
    <w:rsid w:val="005D74B1"/>
    <w:rsid w:val="005D76EB"/>
    <w:rsid w:val="005E0850"/>
    <w:rsid w:val="005E0A52"/>
    <w:rsid w:val="005E1918"/>
    <w:rsid w:val="005E252E"/>
    <w:rsid w:val="005E29BD"/>
    <w:rsid w:val="005E41E9"/>
    <w:rsid w:val="005E47B7"/>
    <w:rsid w:val="005E544C"/>
    <w:rsid w:val="005E54CA"/>
    <w:rsid w:val="005E574F"/>
    <w:rsid w:val="005E634D"/>
    <w:rsid w:val="005E71E3"/>
    <w:rsid w:val="005F0903"/>
    <w:rsid w:val="005F3C8F"/>
    <w:rsid w:val="005F4650"/>
    <w:rsid w:val="005F4D5F"/>
    <w:rsid w:val="005F5342"/>
    <w:rsid w:val="005F5BBD"/>
    <w:rsid w:val="005F767F"/>
    <w:rsid w:val="005F79FF"/>
    <w:rsid w:val="00601051"/>
    <w:rsid w:val="00601459"/>
    <w:rsid w:val="00601AE1"/>
    <w:rsid w:val="00603586"/>
    <w:rsid w:val="00604598"/>
    <w:rsid w:val="00604B01"/>
    <w:rsid w:val="006050DD"/>
    <w:rsid w:val="006051D7"/>
    <w:rsid w:val="0061044B"/>
    <w:rsid w:val="0061152D"/>
    <w:rsid w:val="006151BC"/>
    <w:rsid w:val="00615E88"/>
    <w:rsid w:val="00616091"/>
    <w:rsid w:val="00616534"/>
    <w:rsid w:val="00617026"/>
    <w:rsid w:val="00617720"/>
    <w:rsid w:val="00617C59"/>
    <w:rsid w:val="00617F4B"/>
    <w:rsid w:val="006246F6"/>
    <w:rsid w:val="006249AB"/>
    <w:rsid w:val="00625A63"/>
    <w:rsid w:val="00625C93"/>
    <w:rsid w:val="00626658"/>
    <w:rsid w:val="0062681A"/>
    <w:rsid w:val="00627C99"/>
    <w:rsid w:val="0063116F"/>
    <w:rsid w:val="006313CE"/>
    <w:rsid w:val="00631546"/>
    <w:rsid w:val="00632012"/>
    <w:rsid w:val="00632493"/>
    <w:rsid w:val="00635F98"/>
    <w:rsid w:val="006421C1"/>
    <w:rsid w:val="00642E3F"/>
    <w:rsid w:val="00642FC0"/>
    <w:rsid w:val="0064423E"/>
    <w:rsid w:val="0064439F"/>
    <w:rsid w:val="006448C5"/>
    <w:rsid w:val="00646630"/>
    <w:rsid w:val="006467F1"/>
    <w:rsid w:val="00647ECB"/>
    <w:rsid w:val="006503B2"/>
    <w:rsid w:val="0065042C"/>
    <w:rsid w:val="00651650"/>
    <w:rsid w:val="00651793"/>
    <w:rsid w:val="006521D4"/>
    <w:rsid w:val="006528BD"/>
    <w:rsid w:val="006533F0"/>
    <w:rsid w:val="00654513"/>
    <w:rsid w:val="006554F0"/>
    <w:rsid w:val="00655816"/>
    <w:rsid w:val="006567A9"/>
    <w:rsid w:val="006577B0"/>
    <w:rsid w:val="00660287"/>
    <w:rsid w:val="00660B19"/>
    <w:rsid w:val="00660B5A"/>
    <w:rsid w:val="00660D80"/>
    <w:rsid w:val="006619F4"/>
    <w:rsid w:val="00662905"/>
    <w:rsid w:val="006654E5"/>
    <w:rsid w:val="00665657"/>
    <w:rsid w:val="00665F5B"/>
    <w:rsid w:val="00671130"/>
    <w:rsid w:val="006713BE"/>
    <w:rsid w:val="00671E1B"/>
    <w:rsid w:val="00672B46"/>
    <w:rsid w:val="00672E27"/>
    <w:rsid w:val="00673FCE"/>
    <w:rsid w:val="00676F3D"/>
    <w:rsid w:val="00676F49"/>
    <w:rsid w:val="00676FE0"/>
    <w:rsid w:val="00677326"/>
    <w:rsid w:val="00680837"/>
    <w:rsid w:val="00681414"/>
    <w:rsid w:val="00682180"/>
    <w:rsid w:val="006837B3"/>
    <w:rsid w:val="00683926"/>
    <w:rsid w:val="00684025"/>
    <w:rsid w:val="0068424A"/>
    <w:rsid w:val="0068440F"/>
    <w:rsid w:val="00685B9E"/>
    <w:rsid w:val="006878EE"/>
    <w:rsid w:val="00690621"/>
    <w:rsid w:val="006908FE"/>
    <w:rsid w:val="00690DAF"/>
    <w:rsid w:val="006921A7"/>
    <w:rsid w:val="006921ED"/>
    <w:rsid w:val="00692277"/>
    <w:rsid w:val="006923A1"/>
    <w:rsid w:val="00692C26"/>
    <w:rsid w:val="00693ECF"/>
    <w:rsid w:val="006949BF"/>
    <w:rsid w:val="0069628C"/>
    <w:rsid w:val="00696EAD"/>
    <w:rsid w:val="00697DD5"/>
    <w:rsid w:val="006A022B"/>
    <w:rsid w:val="006A0845"/>
    <w:rsid w:val="006A180C"/>
    <w:rsid w:val="006A1945"/>
    <w:rsid w:val="006A2A59"/>
    <w:rsid w:val="006A359C"/>
    <w:rsid w:val="006A40E1"/>
    <w:rsid w:val="006A53DD"/>
    <w:rsid w:val="006A5588"/>
    <w:rsid w:val="006A62D1"/>
    <w:rsid w:val="006A6C11"/>
    <w:rsid w:val="006A6C9D"/>
    <w:rsid w:val="006A780D"/>
    <w:rsid w:val="006B1518"/>
    <w:rsid w:val="006B1618"/>
    <w:rsid w:val="006B17D8"/>
    <w:rsid w:val="006B1F26"/>
    <w:rsid w:val="006B3B5C"/>
    <w:rsid w:val="006B408F"/>
    <w:rsid w:val="006B4D0D"/>
    <w:rsid w:val="006B4FC3"/>
    <w:rsid w:val="006B7617"/>
    <w:rsid w:val="006B7AC4"/>
    <w:rsid w:val="006C02EB"/>
    <w:rsid w:val="006C0973"/>
    <w:rsid w:val="006C100D"/>
    <w:rsid w:val="006C19A6"/>
    <w:rsid w:val="006C5656"/>
    <w:rsid w:val="006C579A"/>
    <w:rsid w:val="006C587B"/>
    <w:rsid w:val="006C7059"/>
    <w:rsid w:val="006C70FC"/>
    <w:rsid w:val="006C732E"/>
    <w:rsid w:val="006C73CA"/>
    <w:rsid w:val="006C7BAD"/>
    <w:rsid w:val="006D01CD"/>
    <w:rsid w:val="006D01D7"/>
    <w:rsid w:val="006D3055"/>
    <w:rsid w:val="006D31DC"/>
    <w:rsid w:val="006D3B06"/>
    <w:rsid w:val="006D43FB"/>
    <w:rsid w:val="006D568F"/>
    <w:rsid w:val="006D5727"/>
    <w:rsid w:val="006D60E7"/>
    <w:rsid w:val="006D7264"/>
    <w:rsid w:val="006D7654"/>
    <w:rsid w:val="006D7BA4"/>
    <w:rsid w:val="006E0265"/>
    <w:rsid w:val="006E08E3"/>
    <w:rsid w:val="006E0D17"/>
    <w:rsid w:val="006E18D8"/>
    <w:rsid w:val="006E19F5"/>
    <w:rsid w:val="006E1B96"/>
    <w:rsid w:val="006E1C76"/>
    <w:rsid w:val="006E3868"/>
    <w:rsid w:val="006E4FFC"/>
    <w:rsid w:val="006E57AB"/>
    <w:rsid w:val="006E6044"/>
    <w:rsid w:val="006E6F48"/>
    <w:rsid w:val="006E71B3"/>
    <w:rsid w:val="006E7FB3"/>
    <w:rsid w:val="006F011C"/>
    <w:rsid w:val="006F13B9"/>
    <w:rsid w:val="006F2070"/>
    <w:rsid w:val="006F2F81"/>
    <w:rsid w:val="006F30C2"/>
    <w:rsid w:val="006F370E"/>
    <w:rsid w:val="006F3AD0"/>
    <w:rsid w:val="006F3C2E"/>
    <w:rsid w:val="006F431A"/>
    <w:rsid w:val="006F4686"/>
    <w:rsid w:val="006F4C3B"/>
    <w:rsid w:val="006F674A"/>
    <w:rsid w:val="006F6775"/>
    <w:rsid w:val="006F6814"/>
    <w:rsid w:val="007021B5"/>
    <w:rsid w:val="007031D1"/>
    <w:rsid w:val="00704BCF"/>
    <w:rsid w:val="007059F5"/>
    <w:rsid w:val="00705CED"/>
    <w:rsid w:val="00706434"/>
    <w:rsid w:val="007069A8"/>
    <w:rsid w:val="00706AD2"/>
    <w:rsid w:val="00706E09"/>
    <w:rsid w:val="0070754E"/>
    <w:rsid w:val="007110B9"/>
    <w:rsid w:val="0071182A"/>
    <w:rsid w:val="00711DB4"/>
    <w:rsid w:val="0071477E"/>
    <w:rsid w:val="0071527F"/>
    <w:rsid w:val="00715390"/>
    <w:rsid w:val="007154C9"/>
    <w:rsid w:val="0071574A"/>
    <w:rsid w:val="00716376"/>
    <w:rsid w:val="00716448"/>
    <w:rsid w:val="007179A1"/>
    <w:rsid w:val="007202D6"/>
    <w:rsid w:val="0072145F"/>
    <w:rsid w:val="00722042"/>
    <w:rsid w:val="007221F0"/>
    <w:rsid w:val="0072292F"/>
    <w:rsid w:val="0072316E"/>
    <w:rsid w:val="00724031"/>
    <w:rsid w:val="00725088"/>
    <w:rsid w:val="00733C4A"/>
    <w:rsid w:val="00734009"/>
    <w:rsid w:val="007340CC"/>
    <w:rsid w:val="007348A8"/>
    <w:rsid w:val="007353CD"/>
    <w:rsid w:val="00735C56"/>
    <w:rsid w:val="00737A8D"/>
    <w:rsid w:val="00737BC4"/>
    <w:rsid w:val="00740C34"/>
    <w:rsid w:val="00742044"/>
    <w:rsid w:val="00743D24"/>
    <w:rsid w:val="00744589"/>
    <w:rsid w:val="0074466A"/>
    <w:rsid w:val="00744A88"/>
    <w:rsid w:val="0074531A"/>
    <w:rsid w:val="0074624B"/>
    <w:rsid w:val="00746E65"/>
    <w:rsid w:val="007473DF"/>
    <w:rsid w:val="00747CA8"/>
    <w:rsid w:val="00750E4F"/>
    <w:rsid w:val="00750ED6"/>
    <w:rsid w:val="007519F7"/>
    <w:rsid w:val="00752147"/>
    <w:rsid w:val="00752AFE"/>
    <w:rsid w:val="007533C4"/>
    <w:rsid w:val="007538EF"/>
    <w:rsid w:val="00753CDA"/>
    <w:rsid w:val="00753CFA"/>
    <w:rsid w:val="007553DA"/>
    <w:rsid w:val="007570EC"/>
    <w:rsid w:val="00763CFB"/>
    <w:rsid w:val="00764D60"/>
    <w:rsid w:val="0076512A"/>
    <w:rsid w:val="00765434"/>
    <w:rsid w:val="00765473"/>
    <w:rsid w:val="00766537"/>
    <w:rsid w:val="00766803"/>
    <w:rsid w:val="00770090"/>
    <w:rsid w:val="00773606"/>
    <w:rsid w:val="00774124"/>
    <w:rsid w:val="00775465"/>
    <w:rsid w:val="00776B18"/>
    <w:rsid w:val="00776ECA"/>
    <w:rsid w:val="00777E05"/>
    <w:rsid w:val="00782C59"/>
    <w:rsid w:val="00782DA2"/>
    <w:rsid w:val="00784E98"/>
    <w:rsid w:val="007856BB"/>
    <w:rsid w:val="0078608C"/>
    <w:rsid w:val="007867D2"/>
    <w:rsid w:val="00790C6F"/>
    <w:rsid w:val="00791AB7"/>
    <w:rsid w:val="00793E65"/>
    <w:rsid w:val="0079465C"/>
    <w:rsid w:val="00794E8C"/>
    <w:rsid w:val="00795968"/>
    <w:rsid w:val="0079620B"/>
    <w:rsid w:val="00796B60"/>
    <w:rsid w:val="00796F03"/>
    <w:rsid w:val="00797380"/>
    <w:rsid w:val="007A0E7B"/>
    <w:rsid w:val="007A5792"/>
    <w:rsid w:val="007A72F1"/>
    <w:rsid w:val="007A7DBA"/>
    <w:rsid w:val="007B0211"/>
    <w:rsid w:val="007B1033"/>
    <w:rsid w:val="007B1B9A"/>
    <w:rsid w:val="007B3D2C"/>
    <w:rsid w:val="007B4621"/>
    <w:rsid w:val="007B4874"/>
    <w:rsid w:val="007B5CFE"/>
    <w:rsid w:val="007B5D24"/>
    <w:rsid w:val="007B66AF"/>
    <w:rsid w:val="007B71E0"/>
    <w:rsid w:val="007B720B"/>
    <w:rsid w:val="007C15A2"/>
    <w:rsid w:val="007C15CB"/>
    <w:rsid w:val="007C2118"/>
    <w:rsid w:val="007C21CE"/>
    <w:rsid w:val="007C2804"/>
    <w:rsid w:val="007C2F9B"/>
    <w:rsid w:val="007C4378"/>
    <w:rsid w:val="007C5CEE"/>
    <w:rsid w:val="007C71C8"/>
    <w:rsid w:val="007D0EE9"/>
    <w:rsid w:val="007D1C9F"/>
    <w:rsid w:val="007D217D"/>
    <w:rsid w:val="007D31EC"/>
    <w:rsid w:val="007D3893"/>
    <w:rsid w:val="007D3E33"/>
    <w:rsid w:val="007D43AE"/>
    <w:rsid w:val="007D4794"/>
    <w:rsid w:val="007D548A"/>
    <w:rsid w:val="007D5C69"/>
    <w:rsid w:val="007D70C5"/>
    <w:rsid w:val="007D727A"/>
    <w:rsid w:val="007E043B"/>
    <w:rsid w:val="007E0F09"/>
    <w:rsid w:val="007E129E"/>
    <w:rsid w:val="007E1435"/>
    <w:rsid w:val="007E1A6B"/>
    <w:rsid w:val="007E2A53"/>
    <w:rsid w:val="007E2FB2"/>
    <w:rsid w:val="007E52F4"/>
    <w:rsid w:val="007F0CA6"/>
    <w:rsid w:val="007F2677"/>
    <w:rsid w:val="007F3467"/>
    <w:rsid w:val="007F3DFC"/>
    <w:rsid w:val="007F5161"/>
    <w:rsid w:val="007F52D4"/>
    <w:rsid w:val="007F65E5"/>
    <w:rsid w:val="007F68CB"/>
    <w:rsid w:val="007F7037"/>
    <w:rsid w:val="007F7ABA"/>
    <w:rsid w:val="007F7E24"/>
    <w:rsid w:val="0080022D"/>
    <w:rsid w:val="00800A47"/>
    <w:rsid w:val="00800BAC"/>
    <w:rsid w:val="00800C08"/>
    <w:rsid w:val="00800E18"/>
    <w:rsid w:val="0080141B"/>
    <w:rsid w:val="008028CB"/>
    <w:rsid w:val="00802EA8"/>
    <w:rsid w:val="00802F3D"/>
    <w:rsid w:val="008045F0"/>
    <w:rsid w:val="00804EE3"/>
    <w:rsid w:val="00805105"/>
    <w:rsid w:val="00805135"/>
    <w:rsid w:val="0080743A"/>
    <w:rsid w:val="008109BB"/>
    <w:rsid w:val="00812E86"/>
    <w:rsid w:val="00813E82"/>
    <w:rsid w:val="00813EA6"/>
    <w:rsid w:val="0081439C"/>
    <w:rsid w:val="00814DF7"/>
    <w:rsid w:val="00814F0D"/>
    <w:rsid w:val="00815118"/>
    <w:rsid w:val="00815396"/>
    <w:rsid w:val="00816055"/>
    <w:rsid w:val="00816C7B"/>
    <w:rsid w:val="0081752E"/>
    <w:rsid w:val="00820776"/>
    <w:rsid w:val="00820D0C"/>
    <w:rsid w:val="00820E0C"/>
    <w:rsid w:val="00821FE8"/>
    <w:rsid w:val="00822079"/>
    <w:rsid w:val="00822B93"/>
    <w:rsid w:val="00823778"/>
    <w:rsid w:val="008263E7"/>
    <w:rsid w:val="00827BE4"/>
    <w:rsid w:val="00830798"/>
    <w:rsid w:val="0083231A"/>
    <w:rsid w:val="008339F8"/>
    <w:rsid w:val="0083598B"/>
    <w:rsid w:val="008401ED"/>
    <w:rsid w:val="00841424"/>
    <w:rsid w:val="00845A0D"/>
    <w:rsid w:val="008467A2"/>
    <w:rsid w:val="00847543"/>
    <w:rsid w:val="00850486"/>
    <w:rsid w:val="00851265"/>
    <w:rsid w:val="008518BB"/>
    <w:rsid w:val="008519EA"/>
    <w:rsid w:val="0085242A"/>
    <w:rsid w:val="00853B2E"/>
    <w:rsid w:val="0085601F"/>
    <w:rsid w:val="0085740A"/>
    <w:rsid w:val="00857568"/>
    <w:rsid w:val="008600F5"/>
    <w:rsid w:val="008614F2"/>
    <w:rsid w:val="0086250F"/>
    <w:rsid w:val="0086271D"/>
    <w:rsid w:val="00862D5F"/>
    <w:rsid w:val="008648D5"/>
    <w:rsid w:val="0086746E"/>
    <w:rsid w:val="00870B61"/>
    <w:rsid w:val="00870C2D"/>
    <w:rsid w:val="00871059"/>
    <w:rsid w:val="00872330"/>
    <w:rsid w:val="0087394F"/>
    <w:rsid w:val="00873E96"/>
    <w:rsid w:val="0087411B"/>
    <w:rsid w:val="008746CB"/>
    <w:rsid w:val="00875C6F"/>
    <w:rsid w:val="008767C7"/>
    <w:rsid w:val="00876B91"/>
    <w:rsid w:val="008801D5"/>
    <w:rsid w:val="0088198F"/>
    <w:rsid w:val="00881AAA"/>
    <w:rsid w:val="00881B84"/>
    <w:rsid w:val="00882DE3"/>
    <w:rsid w:val="008838BE"/>
    <w:rsid w:val="00883981"/>
    <w:rsid w:val="00885E76"/>
    <w:rsid w:val="008865A0"/>
    <w:rsid w:val="00887E5D"/>
    <w:rsid w:val="008900FE"/>
    <w:rsid w:val="00891A62"/>
    <w:rsid w:val="00892522"/>
    <w:rsid w:val="00892D0C"/>
    <w:rsid w:val="00893164"/>
    <w:rsid w:val="008952B6"/>
    <w:rsid w:val="008952EB"/>
    <w:rsid w:val="0089545C"/>
    <w:rsid w:val="00895D47"/>
    <w:rsid w:val="00896A88"/>
    <w:rsid w:val="00896EA8"/>
    <w:rsid w:val="00896EFB"/>
    <w:rsid w:val="0089730E"/>
    <w:rsid w:val="00897A50"/>
    <w:rsid w:val="008A08C0"/>
    <w:rsid w:val="008A0A59"/>
    <w:rsid w:val="008A0D97"/>
    <w:rsid w:val="008A141A"/>
    <w:rsid w:val="008A1B6E"/>
    <w:rsid w:val="008A1FA6"/>
    <w:rsid w:val="008A2BE0"/>
    <w:rsid w:val="008A2E93"/>
    <w:rsid w:val="008A569B"/>
    <w:rsid w:val="008A59A4"/>
    <w:rsid w:val="008A702A"/>
    <w:rsid w:val="008A76EB"/>
    <w:rsid w:val="008B10A3"/>
    <w:rsid w:val="008B1411"/>
    <w:rsid w:val="008B1A29"/>
    <w:rsid w:val="008B2646"/>
    <w:rsid w:val="008B2E70"/>
    <w:rsid w:val="008B4A95"/>
    <w:rsid w:val="008B4BCC"/>
    <w:rsid w:val="008B4FB4"/>
    <w:rsid w:val="008B661B"/>
    <w:rsid w:val="008B67AD"/>
    <w:rsid w:val="008B6B7F"/>
    <w:rsid w:val="008B7650"/>
    <w:rsid w:val="008C03CF"/>
    <w:rsid w:val="008C183E"/>
    <w:rsid w:val="008C1D70"/>
    <w:rsid w:val="008C2962"/>
    <w:rsid w:val="008C2D65"/>
    <w:rsid w:val="008C3EC7"/>
    <w:rsid w:val="008C4505"/>
    <w:rsid w:val="008C4770"/>
    <w:rsid w:val="008C4D04"/>
    <w:rsid w:val="008C5E88"/>
    <w:rsid w:val="008C6C6C"/>
    <w:rsid w:val="008C6FFA"/>
    <w:rsid w:val="008D006E"/>
    <w:rsid w:val="008D05DB"/>
    <w:rsid w:val="008D0C7A"/>
    <w:rsid w:val="008D270F"/>
    <w:rsid w:val="008D2BE5"/>
    <w:rsid w:val="008D300D"/>
    <w:rsid w:val="008D4E98"/>
    <w:rsid w:val="008E08D0"/>
    <w:rsid w:val="008E19FD"/>
    <w:rsid w:val="008E2798"/>
    <w:rsid w:val="008E5E3C"/>
    <w:rsid w:val="008E617D"/>
    <w:rsid w:val="008E6FFD"/>
    <w:rsid w:val="008E7798"/>
    <w:rsid w:val="008F02D9"/>
    <w:rsid w:val="008F043D"/>
    <w:rsid w:val="008F0541"/>
    <w:rsid w:val="008F0635"/>
    <w:rsid w:val="008F072C"/>
    <w:rsid w:val="008F0AD5"/>
    <w:rsid w:val="008F2398"/>
    <w:rsid w:val="008F282C"/>
    <w:rsid w:val="008F484E"/>
    <w:rsid w:val="008F51C8"/>
    <w:rsid w:val="008F5E9A"/>
    <w:rsid w:val="008F5FE1"/>
    <w:rsid w:val="008F6625"/>
    <w:rsid w:val="008F6F02"/>
    <w:rsid w:val="008F7D4C"/>
    <w:rsid w:val="0090275B"/>
    <w:rsid w:val="009047CF"/>
    <w:rsid w:val="009052A8"/>
    <w:rsid w:val="00905847"/>
    <w:rsid w:val="00905C1F"/>
    <w:rsid w:val="00907185"/>
    <w:rsid w:val="00913626"/>
    <w:rsid w:val="009142BD"/>
    <w:rsid w:val="00914DAA"/>
    <w:rsid w:val="00914F7D"/>
    <w:rsid w:val="00914F93"/>
    <w:rsid w:val="00915BAD"/>
    <w:rsid w:val="00915D4B"/>
    <w:rsid w:val="0092074C"/>
    <w:rsid w:val="0092096C"/>
    <w:rsid w:val="00922242"/>
    <w:rsid w:val="00922807"/>
    <w:rsid w:val="00922BAB"/>
    <w:rsid w:val="009231B2"/>
    <w:rsid w:val="0092606D"/>
    <w:rsid w:val="009270B0"/>
    <w:rsid w:val="0093096C"/>
    <w:rsid w:val="009310C2"/>
    <w:rsid w:val="00931BC1"/>
    <w:rsid w:val="00931EEE"/>
    <w:rsid w:val="009320EE"/>
    <w:rsid w:val="00932482"/>
    <w:rsid w:val="00935418"/>
    <w:rsid w:val="0093572E"/>
    <w:rsid w:val="00935743"/>
    <w:rsid w:val="009362AF"/>
    <w:rsid w:val="00937101"/>
    <w:rsid w:val="0093734C"/>
    <w:rsid w:val="009374E4"/>
    <w:rsid w:val="00937923"/>
    <w:rsid w:val="00940B8D"/>
    <w:rsid w:val="00941CAD"/>
    <w:rsid w:val="00941F48"/>
    <w:rsid w:val="009420F1"/>
    <w:rsid w:val="00942536"/>
    <w:rsid w:val="00942678"/>
    <w:rsid w:val="00943A0A"/>
    <w:rsid w:val="00943A42"/>
    <w:rsid w:val="00943CF5"/>
    <w:rsid w:val="0094412F"/>
    <w:rsid w:val="009443CA"/>
    <w:rsid w:val="009464A3"/>
    <w:rsid w:val="00947443"/>
    <w:rsid w:val="00950909"/>
    <w:rsid w:val="009519A3"/>
    <w:rsid w:val="00951B35"/>
    <w:rsid w:val="00951DC0"/>
    <w:rsid w:val="00952161"/>
    <w:rsid w:val="0095294B"/>
    <w:rsid w:val="00952D38"/>
    <w:rsid w:val="0095359A"/>
    <w:rsid w:val="00953A03"/>
    <w:rsid w:val="00953E52"/>
    <w:rsid w:val="0095442D"/>
    <w:rsid w:val="009544F9"/>
    <w:rsid w:val="00955F6F"/>
    <w:rsid w:val="009564D9"/>
    <w:rsid w:val="00956CED"/>
    <w:rsid w:val="00957229"/>
    <w:rsid w:val="00957293"/>
    <w:rsid w:val="00957453"/>
    <w:rsid w:val="00957544"/>
    <w:rsid w:val="0096088D"/>
    <w:rsid w:val="00962120"/>
    <w:rsid w:val="00962729"/>
    <w:rsid w:val="00965AFB"/>
    <w:rsid w:val="00966E75"/>
    <w:rsid w:val="009674ED"/>
    <w:rsid w:val="00967FD9"/>
    <w:rsid w:val="00967FE6"/>
    <w:rsid w:val="009702D0"/>
    <w:rsid w:val="00972B73"/>
    <w:rsid w:val="00973AF8"/>
    <w:rsid w:val="00973E0A"/>
    <w:rsid w:val="00974BE6"/>
    <w:rsid w:val="009757FF"/>
    <w:rsid w:val="009760F8"/>
    <w:rsid w:val="00976C9A"/>
    <w:rsid w:val="00977584"/>
    <w:rsid w:val="00980A76"/>
    <w:rsid w:val="00980D76"/>
    <w:rsid w:val="009811F2"/>
    <w:rsid w:val="00982696"/>
    <w:rsid w:val="00982861"/>
    <w:rsid w:val="00985B26"/>
    <w:rsid w:val="00987444"/>
    <w:rsid w:val="00987D26"/>
    <w:rsid w:val="00987D28"/>
    <w:rsid w:val="009907CD"/>
    <w:rsid w:val="009913B8"/>
    <w:rsid w:val="009914E7"/>
    <w:rsid w:val="009917EB"/>
    <w:rsid w:val="00992501"/>
    <w:rsid w:val="00992630"/>
    <w:rsid w:val="0099295D"/>
    <w:rsid w:val="00994244"/>
    <w:rsid w:val="009948B5"/>
    <w:rsid w:val="00995A46"/>
    <w:rsid w:val="009973B4"/>
    <w:rsid w:val="009A0BA6"/>
    <w:rsid w:val="009A0EBB"/>
    <w:rsid w:val="009A1E2C"/>
    <w:rsid w:val="009A24F2"/>
    <w:rsid w:val="009A2625"/>
    <w:rsid w:val="009A2873"/>
    <w:rsid w:val="009A2A6C"/>
    <w:rsid w:val="009A35C6"/>
    <w:rsid w:val="009A4070"/>
    <w:rsid w:val="009A41C9"/>
    <w:rsid w:val="009A4243"/>
    <w:rsid w:val="009A4AC1"/>
    <w:rsid w:val="009A4DE1"/>
    <w:rsid w:val="009A4E03"/>
    <w:rsid w:val="009A5507"/>
    <w:rsid w:val="009A6207"/>
    <w:rsid w:val="009A6DC1"/>
    <w:rsid w:val="009A7CCC"/>
    <w:rsid w:val="009B0919"/>
    <w:rsid w:val="009B0BE1"/>
    <w:rsid w:val="009B1727"/>
    <w:rsid w:val="009B3A3F"/>
    <w:rsid w:val="009B3A61"/>
    <w:rsid w:val="009B3E9D"/>
    <w:rsid w:val="009B43D6"/>
    <w:rsid w:val="009B4C30"/>
    <w:rsid w:val="009B5174"/>
    <w:rsid w:val="009B518B"/>
    <w:rsid w:val="009B5FA5"/>
    <w:rsid w:val="009B68E6"/>
    <w:rsid w:val="009B6B2F"/>
    <w:rsid w:val="009B6E24"/>
    <w:rsid w:val="009B72FF"/>
    <w:rsid w:val="009B753D"/>
    <w:rsid w:val="009C1193"/>
    <w:rsid w:val="009C13E0"/>
    <w:rsid w:val="009C13EA"/>
    <w:rsid w:val="009C1B3A"/>
    <w:rsid w:val="009C1FC7"/>
    <w:rsid w:val="009C26CA"/>
    <w:rsid w:val="009C3A27"/>
    <w:rsid w:val="009C3E3E"/>
    <w:rsid w:val="009C4311"/>
    <w:rsid w:val="009C4AC4"/>
    <w:rsid w:val="009C4C02"/>
    <w:rsid w:val="009C67C4"/>
    <w:rsid w:val="009C6BE0"/>
    <w:rsid w:val="009C6CD7"/>
    <w:rsid w:val="009C6D86"/>
    <w:rsid w:val="009C79C1"/>
    <w:rsid w:val="009D18FB"/>
    <w:rsid w:val="009D219F"/>
    <w:rsid w:val="009D2B14"/>
    <w:rsid w:val="009D3168"/>
    <w:rsid w:val="009D3F7F"/>
    <w:rsid w:val="009D494F"/>
    <w:rsid w:val="009D4D84"/>
    <w:rsid w:val="009D5BE1"/>
    <w:rsid w:val="009D60D2"/>
    <w:rsid w:val="009D6A31"/>
    <w:rsid w:val="009E0214"/>
    <w:rsid w:val="009E4374"/>
    <w:rsid w:val="009E5EEF"/>
    <w:rsid w:val="009E5F5C"/>
    <w:rsid w:val="009E6092"/>
    <w:rsid w:val="009E6539"/>
    <w:rsid w:val="009E6F88"/>
    <w:rsid w:val="009E75FF"/>
    <w:rsid w:val="009E7AAB"/>
    <w:rsid w:val="009E7BEE"/>
    <w:rsid w:val="009F046D"/>
    <w:rsid w:val="009F20CA"/>
    <w:rsid w:val="009F3A62"/>
    <w:rsid w:val="009F3D38"/>
    <w:rsid w:val="009F3FAF"/>
    <w:rsid w:val="009F487C"/>
    <w:rsid w:val="009F4BFB"/>
    <w:rsid w:val="009F6CEC"/>
    <w:rsid w:val="009F6E01"/>
    <w:rsid w:val="00A00B11"/>
    <w:rsid w:val="00A02C18"/>
    <w:rsid w:val="00A02CE6"/>
    <w:rsid w:val="00A03157"/>
    <w:rsid w:val="00A04005"/>
    <w:rsid w:val="00A04D7D"/>
    <w:rsid w:val="00A0544F"/>
    <w:rsid w:val="00A06FE3"/>
    <w:rsid w:val="00A07D2D"/>
    <w:rsid w:val="00A10F80"/>
    <w:rsid w:val="00A12200"/>
    <w:rsid w:val="00A123AF"/>
    <w:rsid w:val="00A1282B"/>
    <w:rsid w:val="00A14157"/>
    <w:rsid w:val="00A15629"/>
    <w:rsid w:val="00A201D2"/>
    <w:rsid w:val="00A2096F"/>
    <w:rsid w:val="00A21955"/>
    <w:rsid w:val="00A22BF0"/>
    <w:rsid w:val="00A236F1"/>
    <w:rsid w:val="00A24D9F"/>
    <w:rsid w:val="00A25291"/>
    <w:rsid w:val="00A25F72"/>
    <w:rsid w:val="00A265DB"/>
    <w:rsid w:val="00A26948"/>
    <w:rsid w:val="00A303EB"/>
    <w:rsid w:val="00A331B2"/>
    <w:rsid w:val="00A34B93"/>
    <w:rsid w:val="00A3559F"/>
    <w:rsid w:val="00A357C6"/>
    <w:rsid w:val="00A363CA"/>
    <w:rsid w:val="00A36546"/>
    <w:rsid w:val="00A36EE3"/>
    <w:rsid w:val="00A40415"/>
    <w:rsid w:val="00A40CE4"/>
    <w:rsid w:val="00A41511"/>
    <w:rsid w:val="00A419D6"/>
    <w:rsid w:val="00A428B6"/>
    <w:rsid w:val="00A42E5B"/>
    <w:rsid w:val="00A43426"/>
    <w:rsid w:val="00A434AD"/>
    <w:rsid w:val="00A44188"/>
    <w:rsid w:val="00A44E12"/>
    <w:rsid w:val="00A45085"/>
    <w:rsid w:val="00A45404"/>
    <w:rsid w:val="00A4647A"/>
    <w:rsid w:val="00A46940"/>
    <w:rsid w:val="00A46BCE"/>
    <w:rsid w:val="00A5090F"/>
    <w:rsid w:val="00A51C91"/>
    <w:rsid w:val="00A523AD"/>
    <w:rsid w:val="00A5384D"/>
    <w:rsid w:val="00A53F71"/>
    <w:rsid w:val="00A54B22"/>
    <w:rsid w:val="00A54BA1"/>
    <w:rsid w:val="00A54C0D"/>
    <w:rsid w:val="00A55982"/>
    <w:rsid w:val="00A57415"/>
    <w:rsid w:val="00A601EE"/>
    <w:rsid w:val="00A61A74"/>
    <w:rsid w:val="00A62537"/>
    <w:rsid w:val="00A63985"/>
    <w:rsid w:val="00A63994"/>
    <w:rsid w:val="00A64406"/>
    <w:rsid w:val="00A6451E"/>
    <w:rsid w:val="00A652CC"/>
    <w:rsid w:val="00A65910"/>
    <w:rsid w:val="00A66078"/>
    <w:rsid w:val="00A662C0"/>
    <w:rsid w:val="00A72701"/>
    <w:rsid w:val="00A73C50"/>
    <w:rsid w:val="00A73D88"/>
    <w:rsid w:val="00A756CE"/>
    <w:rsid w:val="00A764DE"/>
    <w:rsid w:val="00A77202"/>
    <w:rsid w:val="00A80ADD"/>
    <w:rsid w:val="00A80F7D"/>
    <w:rsid w:val="00A81888"/>
    <w:rsid w:val="00A81EFF"/>
    <w:rsid w:val="00A841AA"/>
    <w:rsid w:val="00A842B7"/>
    <w:rsid w:val="00A865B6"/>
    <w:rsid w:val="00A90760"/>
    <w:rsid w:val="00A90B81"/>
    <w:rsid w:val="00A91870"/>
    <w:rsid w:val="00A9311A"/>
    <w:rsid w:val="00A94E9D"/>
    <w:rsid w:val="00A96226"/>
    <w:rsid w:val="00A968A1"/>
    <w:rsid w:val="00A979BB"/>
    <w:rsid w:val="00AA03CA"/>
    <w:rsid w:val="00AA0D22"/>
    <w:rsid w:val="00AA19F1"/>
    <w:rsid w:val="00AA1B6C"/>
    <w:rsid w:val="00AA1BD9"/>
    <w:rsid w:val="00AA1FD3"/>
    <w:rsid w:val="00AA2418"/>
    <w:rsid w:val="00AA4F3F"/>
    <w:rsid w:val="00AA5B3F"/>
    <w:rsid w:val="00AA5D87"/>
    <w:rsid w:val="00AA64C6"/>
    <w:rsid w:val="00AA72F3"/>
    <w:rsid w:val="00AA74C3"/>
    <w:rsid w:val="00AA7614"/>
    <w:rsid w:val="00AA7BF9"/>
    <w:rsid w:val="00AB013F"/>
    <w:rsid w:val="00AB06AC"/>
    <w:rsid w:val="00AB115D"/>
    <w:rsid w:val="00AB1252"/>
    <w:rsid w:val="00AB1689"/>
    <w:rsid w:val="00AB20A2"/>
    <w:rsid w:val="00AB20E4"/>
    <w:rsid w:val="00AB4285"/>
    <w:rsid w:val="00AB6EC3"/>
    <w:rsid w:val="00AB7F78"/>
    <w:rsid w:val="00AB7F9F"/>
    <w:rsid w:val="00AC0AFB"/>
    <w:rsid w:val="00AC1DBC"/>
    <w:rsid w:val="00AC3A4B"/>
    <w:rsid w:val="00AC3B85"/>
    <w:rsid w:val="00AC3B9A"/>
    <w:rsid w:val="00AC4FD9"/>
    <w:rsid w:val="00AC5324"/>
    <w:rsid w:val="00AC7E28"/>
    <w:rsid w:val="00AC7FD8"/>
    <w:rsid w:val="00AD188A"/>
    <w:rsid w:val="00AD25F7"/>
    <w:rsid w:val="00AD2969"/>
    <w:rsid w:val="00AD3B0E"/>
    <w:rsid w:val="00AD503C"/>
    <w:rsid w:val="00AD59D4"/>
    <w:rsid w:val="00AD67A5"/>
    <w:rsid w:val="00AD7475"/>
    <w:rsid w:val="00AD7FC8"/>
    <w:rsid w:val="00AE048D"/>
    <w:rsid w:val="00AE0588"/>
    <w:rsid w:val="00AE29B1"/>
    <w:rsid w:val="00AE2A1A"/>
    <w:rsid w:val="00AE369E"/>
    <w:rsid w:val="00AE3CA3"/>
    <w:rsid w:val="00AE437E"/>
    <w:rsid w:val="00AE5101"/>
    <w:rsid w:val="00AE7E6B"/>
    <w:rsid w:val="00AE7F6C"/>
    <w:rsid w:val="00AF0BE7"/>
    <w:rsid w:val="00AF250C"/>
    <w:rsid w:val="00AF2B9E"/>
    <w:rsid w:val="00AF3935"/>
    <w:rsid w:val="00AF3CD2"/>
    <w:rsid w:val="00AF4775"/>
    <w:rsid w:val="00AF4913"/>
    <w:rsid w:val="00AF6993"/>
    <w:rsid w:val="00AF6B83"/>
    <w:rsid w:val="00AF7B9C"/>
    <w:rsid w:val="00B00316"/>
    <w:rsid w:val="00B02D99"/>
    <w:rsid w:val="00B03173"/>
    <w:rsid w:val="00B04146"/>
    <w:rsid w:val="00B05233"/>
    <w:rsid w:val="00B05356"/>
    <w:rsid w:val="00B0563C"/>
    <w:rsid w:val="00B05EB4"/>
    <w:rsid w:val="00B06654"/>
    <w:rsid w:val="00B07940"/>
    <w:rsid w:val="00B102B4"/>
    <w:rsid w:val="00B10F20"/>
    <w:rsid w:val="00B1157B"/>
    <w:rsid w:val="00B11752"/>
    <w:rsid w:val="00B1343B"/>
    <w:rsid w:val="00B14B78"/>
    <w:rsid w:val="00B16768"/>
    <w:rsid w:val="00B1677D"/>
    <w:rsid w:val="00B16CFB"/>
    <w:rsid w:val="00B17DE8"/>
    <w:rsid w:val="00B22274"/>
    <w:rsid w:val="00B22299"/>
    <w:rsid w:val="00B2245E"/>
    <w:rsid w:val="00B229C4"/>
    <w:rsid w:val="00B23038"/>
    <w:rsid w:val="00B241EB"/>
    <w:rsid w:val="00B24401"/>
    <w:rsid w:val="00B24978"/>
    <w:rsid w:val="00B253AD"/>
    <w:rsid w:val="00B25848"/>
    <w:rsid w:val="00B25B1F"/>
    <w:rsid w:val="00B26086"/>
    <w:rsid w:val="00B26E57"/>
    <w:rsid w:val="00B302F0"/>
    <w:rsid w:val="00B30C89"/>
    <w:rsid w:val="00B30D65"/>
    <w:rsid w:val="00B319B0"/>
    <w:rsid w:val="00B319FF"/>
    <w:rsid w:val="00B32509"/>
    <w:rsid w:val="00B32F49"/>
    <w:rsid w:val="00B334E2"/>
    <w:rsid w:val="00B3773C"/>
    <w:rsid w:val="00B37865"/>
    <w:rsid w:val="00B4060A"/>
    <w:rsid w:val="00B409D0"/>
    <w:rsid w:val="00B41012"/>
    <w:rsid w:val="00B42481"/>
    <w:rsid w:val="00B44344"/>
    <w:rsid w:val="00B44477"/>
    <w:rsid w:val="00B44E82"/>
    <w:rsid w:val="00B44FAE"/>
    <w:rsid w:val="00B45E72"/>
    <w:rsid w:val="00B46694"/>
    <w:rsid w:val="00B4718C"/>
    <w:rsid w:val="00B47B15"/>
    <w:rsid w:val="00B47D3F"/>
    <w:rsid w:val="00B51314"/>
    <w:rsid w:val="00B5178A"/>
    <w:rsid w:val="00B519FE"/>
    <w:rsid w:val="00B51AEF"/>
    <w:rsid w:val="00B54200"/>
    <w:rsid w:val="00B56997"/>
    <w:rsid w:val="00B56EEC"/>
    <w:rsid w:val="00B60ABA"/>
    <w:rsid w:val="00B642A6"/>
    <w:rsid w:val="00B649B8"/>
    <w:rsid w:val="00B6577B"/>
    <w:rsid w:val="00B664EB"/>
    <w:rsid w:val="00B66599"/>
    <w:rsid w:val="00B66DDF"/>
    <w:rsid w:val="00B74C03"/>
    <w:rsid w:val="00B75CD2"/>
    <w:rsid w:val="00B76FA4"/>
    <w:rsid w:val="00B771C9"/>
    <w:rsid w:val="00B77662"/>
    <w:rsid w:val="00B77817"/>
    <w:rsid w:val="00B77F1A"/>
    <w:rsid w:val="00B802BC"/>
    <w:rsid w:val="00B83DE8"/>
    <w:rsid w:val="00B842CB"/>
    <w:rsid w:val="00B8451C"/>
    <w:rsid w:val="00B8463E"/>
    <w:rsid w:val="00B8665F"/>
    <w:rsid w:val="00B875A4"/>
    <w:rsid w:val="00B87B00"/>
    <w:rsid w:val="00B87CFD"/>
    <w:rsid w:val="00B90E0C"/>
    <w:rsid w:val="00B910D5"/>
    <w:rsid w:val="00B9210E"/>
    <w:rsid w:val="00B926AF"/>
    <w:rsid w:val="00B92C10"/>
    <w:rsid w:val="00B94488"/>
    <w:rsid w:val="00B9509F"/>
    <w:rsid w:val="00B96A03"/>
    <w:rsid w:val="00B96AE6"/>
    <w:rsid w:val="00BA16D8"/>
    <w:rsid w:val="00BA20E2"/>
    <w:rsid w:val="00BA2253"/>
    <w:rsid w:val="00BA2344"/>
    <w:rsid w:val="00BA241C"/>
    <w:rsid w:val="00BA3161"/>
    <w:rsid w:val="00BA3A59"/>
    <w:rsid w:val="00BA5318"/>
    <w:rsid w:val="00BA570D"/>
    <w:rsid w:val="00BA650D"/>
    <w:rsid w:val="00BA6973"/>
    <w:rsid w:val="00BB0580"/>
    <w:rsid w:val="00BB1826"/>
    <w:rsid w:val="00BB302F"/>
    <w:rsid w:val="00BB317C"/>
    <w:rsid w:val="00BB6BB6"/>
    <w:rsid w:val="00BB7610"/>
    <w:rsid w:val="00BB7DB6"/>
    <w:rsid w:val="00BC043D"/>
    <w:rsid w:val="00BC0519"/>
    <w:rsid w:val="00BC14B8"/>
    <w:rsid w:val="00BC16AA"/>
    <w:rsid w:val="00BC25DB"/>
    <w:rsid w:val="00BC2AC0"/>
    <w:rsid w:val="00BC4235"/>
    <w:rsid w:val="00BC430F"/>
    <w:rsid w:val="00BC43F6"/>
    <w:rsid w:val="00BC4835"/>
    <w:rsid w:val="00BC66E4"/>
    <w:rsid w:val="00BC7B63"/>
    <w:rsid w:val="00BC7B7C"/>
    <w:rsid w:val="00BC7C2B"/>
    <w:rsid w:val="00BD0535"/>
    <w:rsid w:val="00BD0C78"/>
    <w:rsid w:val="00BD1496"/>
    <w:rsid w:val="00BD17C3"/>
    <w:rsid w:val="00BD2C0E"/>
    <w:rsid w:val="00BD2C6B"/>
    <w:rsid w:val="00BD30B6"/>
    <w:rsid w:val="00BD37CC"/>
    <w:rsid w:val="00BD487B"/>
    <w:rsid w:val="00BD5CD3"/>
    <w:rsid w:val="00BD5EB8"/>
    <w:rsid w:val="00BE124F"/>
    <w:rsid w:val="00BE128B"/>
    <w:rsid w:val="00BE1333"/>
    <w:rsid w:val="00BE1D7B"/>
    <w:rsid w:val="00BE30E2"/>
    <w:rsid w:val="00BE31AE"/>
    <w:rsid w:val="00BE411E"/>
    <w:rsid w:val="00BE42D0"/>
    <w:rsid w:val="00BE446B"/>
    <w:rsid w:val="00BE4AB6"/>
    <w:rsid w:val="00BE4AF0"/>
    <w:rsid w:val="00BE6805"/>
    <w:rsid w:val="00BE7181"/>
    <w:rsid w:val="00BF0326"/>
    <w:rsid w:val="00BF035F"/>
    <w:rsid w:val="00BF068C"/>
    <w:rsid w:val="00BF102A"/>
    <w:rsid w:val="00BF164B"/>
    <w:rsid w:val="00BF17C5"/>
    <w:rsid w:val="00BF637A"/>
    <w:rsid w:val="00BF6AA1"/>
    <w:rsid w:val="00BF7242"/>
    <w:rsid w:val="00C005A9"/>
    <w:rsid w:val="00C01CBE"/>
    <w:rsid w:val="00C02E71"/>
    <w:rsid w:val="00C04078"/>
    <w:rsid w:val="00C05AB2"/>
    <w:rsid w:val="00C060DC"/>
    <w:rsid w:val="00C1061C"/>
    <w:rsid w:val="00C10791"/>
    <w:rsid w:val="00C10E00"/>
    <w:rsid w:val="00C110BD"/>
    <w:rsid w:val="00C13895"/>
    <w:rsid w:val="00C152DD"/>
    <w:rsid w:val="00C154D7"/>
    <w:rsid w:val="00C15896"/>
    <w:rsid w:val="00C15BB3"/>
    <w:rsid w:val="00C15CFE"/>
    <w:rsid w:val="00C16FD6"/>
    <w:rsid w:val="00C20905"/>
    <w:rsid w:val="00C20B6F"/>
    <w:rsid w:val="00C22069"/>
    <w:rsid w:val="00C232AE"/>
    <w:rsid w:val="00C23A43"/>
    <w:rsid w:val="00C24B92"/>
    <w:rsid w:val="00C255A5"/>
    <w:rsid w:val="00C3187F"/>
    <w:rsid w:val="00C31C57"/>
    <w:rsid w:val="00C32901"/>
    <w:rsid w:val="00C33479"/>
    <w:rsid w:val="00C36891"/>
    <w:rsid w:val="00C370DF"/>
    <w:rsid w:val="00C37AE6"/>
    <w:rsid w:val="00C40552"/>
    <w:rsid w:val="00C40FA5"/>
    <w:rsid w:val="00C44A86"/>
    <w:rsid w:val="00C47333"/>
    <w:rsid w:val="00C5010E"/>
    <w:rsid w:val="00C5054A"/>
    <w:rsid w:val="00C51246"/>
    <w:rsid w:val="00C51454"/>
    <w:rsid w:val="00C51C41"/>
    <w:rsid w:val="00C5219A"/>
    <w:rsid w:val="00C52896"/>
    <w:rsid w:val="00C5375D"/>
    <w:rsid w:val="00C5396D"/>
    <w:rsid w:val="00C544BF"/>
    <w:rsid w:val="00C5575D"/>
    <w:rsid w:val="00C56568"/>
    <w:rsid w:val="00C60E08"/>
    <w:rsid w:val="00C611E1"/>
    <w:rsid w:val="00C615CC"/>
    <w:rsid w:val="00C623B1"/>
    <w:rsid w:val="00C62DB5"/>
    <w:rsid w:val="00C63CEA"/>
    <w:rsid w:val="00C65888"/>
    <w:rsid w:val="00C65900"/>
    <w:rsid w:val="00C66AF9"/>
    <w:rsid w:val="00C67645"/>
    <w:rsid w:val="00C677D0"/>
    <w:rsid w:val="00C72EDB"/>
    <w:rsid w:val="00C7322E"/>
    <w:rsid w:val="00C73483"/>
    <w:rsid w:val="00C735D7"/>
    <w:rsid w:val="00C7418A"/>
    <w:rsid w:val="00C7461D"/>
    <w:rsid w:val="00C755F3"/>
    <w:rsid w:val="00C757BB"/>
    <w:rsid w:val="00C761C0"/>
    <w:rsid w:val="00C779EE"/>
    <w:rsid w:val="00C80123"/>
    <w:rsid w:val="00C80401"/>
    <w:rsid w:val="00C80F69"/>
    <w:rsid w:val="00C81990"/>
    <w:rsid w:val="00C81A74"/>
    <w:rsid w:val="00C822AC"/>
    <w:rsid w:val="00C824E3"/>
    <w:rsid w:val="00C82D6A"/>
    <w:rsid w:val="00C83230"/>
    <w:rsid w:val="00C83C38"/>
    <w:rsid w:val="00C86B34"/>
    <w:rsid w:val="00C90168"/>
    <w:rsid w:val="00C90F42"/>
    <w:rsid w:val="00C9180E"/>
    <w:rsid w:val="00C92836"/>
    <w:rsid w:val="00C93B3C"/>
    <w:rsid w:val="00C9431B"/>
    <w:rsid w:val="00C970D4"/>
    <w:rsid w:val="00C97510"/>
    <w:rsid w:val="00CA0C7B"/>
    <w:rsid w:val="00CA0F23"/>
    <w:rsid w:val="00CA1ACD"/>
    <w:rsid w:val="00CA1C25"/>
    <w:rsid w:val="00CA1F0B"/>
    <w:rsid w:val="00CA2A0C"/>
    <w:rsid w:val="00CA3144"/>
    <w:rsid w:val="00CA32EE"/>
    <w:rsid w:val="00CA5493"/>
    <w:rsid w:val="00CA58AB"/>
    <w:rsid w:val="00CA5E72"/>
    <w:rsid w:val="00CA65B2"/>
    <w:rsid w:val="00CA78BA"/>
    <w:rsid w:val="00CA79BC"/>
    <w:rsid w:val="00CB0F0A"/>
    <w:rsid w:val="00CB1118"/>
    <w:rsid w:val="00CB1622"/>
    <w:rsid w:val="00CB4E00"/>
    <w:rsid w:val="00CC04E4"/>
    <w:rsid w:val="00CC1BEB"/>
    <w:rsid w:val="00CC1D57"/>
    <w:rsid w:val="00CC1FCB"/>
    <w:rsid w:val="00CC3358"/>
    <w:rsid w:val="00CC3B5B"/>
    <w:rsid w:val="00CC4B57"/>
    <w:rsid w:val="00CC5793"/>
    <w:rsid w:val="00CC61D9"/>
    <w:rsid w:val="00CC66EF"/>
    <w:rsid w:val="00CD0727"/>
    <w:rsid w:val="00CD15D7"/>
    <w:rsid w:val="00CD15F1"/>
    <w:rsid w:val="00CD287A"/>
    <w:rsid w:val="00CD5F26"/>
    <w:rsid w:val="00CD72D3"/>
    <w:rsid w:val="00CD756F"/>
    <w:rsid w:val="00CE0220"/>
    <w:rsid w:val="00CE06A8"/>
    <w:rsid w:val="00CE1727"/>
    <w:rsid w:val="00CE28EE"/>
    <w:rsid w:val="00CE2B98"/>
    <w:rsid w:val="00CE3A1F"/>
    <w:rsid w:val="00CE4A50"/>
    <w:rsid w:val="00CE4D22"/>
    <w:rsid w:val="00CE6A76"/>
    <w:rsid w:val="00CF0249"/>
    <w:rsid w:val="00CF047C"/>
    <w:rsid w:val="00CF136C"/>
    <w:rsid w:val="00CF38FA"/>
    <w:rsid w:val="00CF7C31"/>
    <w:rsid w:val="00D010A3"/>
    <w:rsid w:val="00D01870"/>
    <w:rsid w:val="00D02E89"/>
    <w:rsid w:val="00D03FFC"/>
    <w:rsid w:val="00D05C23"/>
    <w:rsid w:val="00D061F7"/>
    <w:rsid w:val="00D066AA"/>
    <w:rsid w:val="00D07BCA"/>
    <w:rsid w:val="00D10F98"/>
    <w:rsid w:val="00D1140E"/>
    <w:rsid w:val="00D119E8"/>
    <w:rsid w:val="00D11A5B"/>
    <w:rsid w:val="00D125C4"/>
    <w:rsid w:val="00D12EB0"/>
    <w:rsid w:val="00D136E5"/>
    <w:rsid w:val="00D143FB"/>
    <w:rsid w:val="00D15870"/>
    <w:rsid w:val="00D15F5C"/>
    <w:rsid w:val="00D16544"/>
    <w:rsid w:val="00D174A0"/>
    <w:rsid w:val="00D177FF"/>
    <w:rsid w:val="00D17D88"/>
    <w:rsid w:val="00D17DD1"/>
    <w:rsid w:val="00D20222"/>
    <w:rsid w:val="00D22CA7"/>
    <w:rsid w:val="00D2357E"/>
    <w:rsid w:val="00D25EBE"/>
    <w:rsid w:val="00D26C87"/>
    <w:rsid w:val="00D27A65"/>
    <w:rsid w:val="00D27E8C"/>
    <w:rsid w:val="00D30760"/>
    <w:rsid w:val="00D30CC0"/>
    <w:rsid w:val="00D315AA"/>
    <w:rsid w:val="00D32388"/>
    <w:rsid w:val="00D33C8C"/>
    <w:rsid w:val="00D34703"/>
    <w:rsid w:val="00D3661C"/>
    <w:rsid w:val="00D36856"/>
    <w:rsid w:val="00D40F1D"/>
    <w:rsid w:val="00D4109D"/>
    <w:rsid w:val="00D4160A"/>
    <w:rsid w:val="00D42137"/>
    <w:rsid w:val="00D42D6A"/>
    <w:rsid w:val="00D443D4"/>
    <w:rsid w:val="00D44E87"/>
    <w:rsid w:val="00D4501A"/>
    <w:rsid w:val="00D47168"/>
    <w:rsid w:val="00D47929"/>
    <w:rsid w:val="00D47A6F"/>
    <w:rsid w:val="00D501C1"/>
    <w:rsid w:val="00D50435"/>
    <w:rsid w:val="00D51635"/>
    <w:rsid w:val="00D552B3"/>
    <w:rsid w:val="00D552DB"/>
    <w:rsid w:val="00D55A7B"/>
    <w:rsid w:val="00D56292"/>
    <w:rsid w:val="00D567FB"/>
    <w:rsid w:val="00D56B70"/>
    <w:rsid w:val="00D57FD5"/>
    <w:rsid w:val="00D600D6"/>
    <w:rsid w:val="00D60350"/>
    <w:rsid w:val="00D6193B"/>
    <w:rsid w:val="00D63723"/>
    <w:rsid w:val="00D6488C"/>
    <w:rsid w:val="00D65CD5"/>
    <w:rsid w:val="00D65EDA"/>
    <w:rsid w:val="00D6623A"/>
    <w:rsid w:val="00D7049D"/>
    <w:rsid w:val="00D70C9E"/>
    <w:rsid w:val="00D72EAE"/>
    <w:rsid w:val="00D73B38"/>
    <w:rsid w:val="00D73CC1"/>
    <w:rsid w:val="00D74765"/>
    <w:rsid w:val="00D74BB7"/>
    <w:rsid w:val="00D7528B"/>
    <w:rsid w:val="00D7545C"/>
    <w:rsid w:val="00D75DBB"/>
    <w:rsid w:val="00D7653A"/>
    <w:rsid w:val="00D7695D"/>
    <w:rsid w:val="00D769BE"/>
    <w:rsid w:val="00D774A4"/>
    <w:rsid w:val="00D81193"/>
    <w:rsid w:val="00D81B44"/>
    <w:rsid w:val="00D8295D"/>
    <w:rsid w:val="00D83783"/>
    <w:rsid w:val="00D84421"/>
    <w:rsid w:val="00D84F96"/>
    <w:rsid w:val="00D85957"/>
    <w:rsid w:val="00D85971"/>
    <w:rsid w:val="00D86864"/>
    <w:rsid w:val="00D86BB6"/>
    <w:rsid w:val="00D87348"/>
    <w:rsid w:val="00D87853"/>
    <w:rsid w:val="00D914E7"/>
    <w:rsid w:val="00D91A3B"/>
    <w:rsid w:val="00D91B19"/>
    <w:rsid w:val="00D91E8A"/>
    <w:rsid w:val="00D92CB7"/>
    <w:rsid w:val="00D93A87"/>
    <w:rsid w:val="00D9464C"/>
    <w:rsid w:val="00D94B00"/>
    <w:rsid w:val="00D95760"/>
    <w:rsid w:val="00D96C5F"/>
    <w:rsid w:val="00D9758C"/>
    <w:rsid w:val="00D97B5A"/>
    <w:rsid w:val="00D97E4C"/>
    <w:rsid w:val="00D97FF3"/>
    <w:rsid w:val="00DA00D3"/>
    <w:rsid w:val="00DA04A4"/>
    <w:rsid w:val="00DA0529"/>
    <w:rsid w:val="00DA09F8"/>
    <w:rsid w:val="00DA178D"/>
    <w:rsid w:val="00DA1EB7"/>
    <w:rsid w:val="00DA2333"/>
    <w:rsid w:val="00DA2570"/>
    <w:rsid w:val="00DA305E"/>
    <w:rsid w:val="00DA3717"/>
    <w:rsid w:val="00DA3C2F"/>
    <w:rsid w:val="00DA51C5"/>
    <w:rsid w:val="00DA595A"/>
    <w:rsid w:val="00DB0603"/>
    <w:rsid w:val="00DB1A08"/>
    <w:rsid w:val="00DB1D95"/>
    <w:rsid w:val="00DB3312"/>
    <w:rsid w:val="00DB3FC3"/>
    <w:rsid w:val="00DB412A"/>
    <w:rsid w:val="00DB4413"/>
    <w:rsid w:val="00DB4501"/>
    <w:rsid w:val="00DB47C6"/>
    <w:rsid w:val="00DB4C0D"/>
    <w:rsid w:val="00DB5999"/>
    <w:rsid w:val="00DB7D96"/>
    <w:rsid w:val="00DB7E42"/>
    <w:rsid w:val="00DC3DC7"/>
    <w:rsid w:val="00DC4BEF"/>
    <w:rsid w:val="00DC579F"/>
    <w:rsid w:val="00DC690F"/>
    <w:rsid w:val="00DC7905"/>
    <w:rsid w:val="00DD0545"/>
    <w:rsid w:val="00DD06F8"/>
    <w:rsid w:val="00DD2F29"/>
    <w:rsid w:val="00DD3079"/>
    <w:rsid w:val="00DD354A"/>
    <w:rsid w:val="00DD47EB"/>
    <w:rsid w:val="00DD519D"/>
    <w:rsid w:val="00DD539F"/>
    <w:rsid w:val="00DE0342"/>
    <w:rsid w:val="00DE0BA7"/>
    <w:rsid w:val="00DE168A"/>
    <w:rsid w:val="00DE208E"/>
    <w:rsid w:val="00DE4A52"/>
    <w:rsid w:val="00DE56B5"/>
    <w:rsid w:val="00DE5ED9"/>
    <w:rsid w:val="00DE7BC2"/>
    <w:rsid w:val="00DE7EB6"/>
    <w:rsid w:val="00DF11AB"/>
    <w:rsid w:val="00DF1C16"/>
    <w:rsid w:val="00DF2A80"/>
    <w:rsid w:val="00DF42B2"/>
    <w:rsid w:val="00DF4616"/>
    <w:rsid w:val="00E0028B"/>
    <w:rsid w:val="00E0080F"/>
    <w:rsid w:val="00E01FC3"/>
    <w:rsid w:val="00E035A5"/>
    <w:rsid w:val="00E045BB"/>
    <w:rsid w:val="00E06089"/>
    <w:rsid w:val="00E06F06"/>
    <w:rsid w:val="00E11466"/>
    <w:rsid w:val="00E115E3"/>
    <w:rsid w:val="00E11783"/>
    <w:rsid w:val="00E117CE"/>
    <w:rsid w:val="00E1213D"/>
    <w:rsid w:val="00E124D6"/>
    <w:rsid w:val="00E124EE"/>
    <w:rsid w:val="00E128DD"/>
    <w:rsid w:val="00E12F0E"/>
    <w:rsid w:val="00E132D0"/>
    <w:rsid w:val="00E15BA2"/>
    <w:rsid w:val="00E16540"/>
    <w:rsid w:val="00E2058E"/>
    <w:rsid w:val="00E20F6A"/>
    <w:rsid w:val="00E22E4C"/>
    <w:rsid w:val="00E244BE"/>
    <w:rsid w:val="00E24EC2"/>
    <w:rsid w:val="00E25BBA"/>
    <w:rsid w:val="00E27150"/>
    <w:rsid w:val="00E27D72"/>
    <w:rsid w:val="00E3061A"/>
    <w:rsid w:val="00E3070E"/>
    <w:rsid w:val="00E30723"/>
    <w:rsid w:val="00E308B2"/>
    <w:rsid w:val="00E325DB"/>
    <w:rsid w:val="00E32F8E"/>
    <w:rsid w:val="00E3390F"/>
    <w:rsid w:val="00E349F7"/>
    <w:rsid w:val="00E35EBE"/>
    <w:rsid w:val="00E36658"/>
    <w:rsid w:val="00E36939"/>
    <w:rsid w:val="00E376CF"/>
    <w:rsid w:val="00E37B98"/>
    <w:rsid w:val="00E37D86"/>
    <w:rsid w:val="00E40087"/>
    <w:rsid w:val="00E40BE1"/>
    <w:rsid w:val="00E41C20"/>
    <w:rsid w:val="00E43096"/>
    <w:rsid w:val="00E43497"/>
    <w:rsid w:val="00E45E9D"/>
    <w:rsid w:val="00E46152"/>
    <w:rsid w:val="00E46B31"/>
    <w:rsid w:val="00E46B7F"/>
    <w:rsid w:val="00E46BC1"/>
    <w:rsid w:val="00E47A0D"/>
    <w:rsid w:val="00E5033E"/>
    <w:rsid w:val="00E50FF3"/>
    <w:rsid w:val="00E5231D"/>
    <w:rsid w:val="00E52D89"/>
    <w:rsid w:val="00E53096"/>
    <w:rsid w:val="00E53DFF"/>
    <w:rsid w:val="00E53EA3"/>
    <w:rsid w:val="00E54185"/>
    <w:rsid w:val="00E55CA9"/>
    <w:rsid w:val="00E564C9"/>
    <w:rsid w:val="00E5686F"/>
    <w:rsid w:val="00E604D3"/>
    <w:rsid w:val="00E61856"/>
    <w:rsid w:val="00E63639"/>
    <w:rsid w:val="00E639DF"/>
    <w:rsid w:val="00E63F6C"/>
    <w:rsid w:val="00E6407B"/>
    <w:rsid w:val="00E657B0"/>
    <w:rsid w:val="00E6669A"/>
    <w:rsid w:val="00E666A0"/>
    <w:rsid w:val="00E66CB3"/>
    <w:rsid w:val="00E67DD8"/>
    <w:rsid w:val="00E70170"/>
    <w:rsid w:val="00E73735"/>
    <w:rsid w:val="00E759CD"/>
    <w:rsid w:val="00E765D6"/>
    <w:rsid w:val="00E76AC3"/>
    <w:rsid w:val="00E77064"/>
    <w:rsid w:val="00E77884"/>
    <w:rsid w:val="00E82ED9"/>
    <w:rsid w:val="00E8376E"/>
    <w:rsid w:val="00E85846"/>
    <w:rsid w:val="00E8626A"/>
    <w:rsid w:val="00E877CD"/>
    <w:rsid w:val="00E9211C"/>
    <w:rsid w:val="00E93181"/>
    <w:rsid w:val="00E93466"/>
    <w:rsid w:val="00E93892"/>
    <w:rsid w:val="00E93E33"/>
    <w:rsid w:val="00E94324"/>
    <w:rsid w:val="00E9552E"/>
    <w:rsid w:val="00E95AA8"/>
    <w:rsid w:val="00E95D63"/>
    <w:rsid w:val="00E96AFB"/>
    <w:rsid w:val="00E96C29"/>
    <w:rsid w:val="00EA02D2"/>
    <w:rsid w:val="00EA15CE"/>
    <w:rsid w:val="00EA1B51"/>
    <w:rsid w:val="00EA49ED"/>
    <w:rsid w:val="00EA50C6"/>
    <w:rsid w:val="00EA7928"/>
    <w:rsid w:val="00EA7942"/>
    <w:rsid w:val="00EA7EBB"/>
    <w:rsid w:val="00EB0F84"/>
    <w:rsid w:val="00EB2B80"/>
    <w:rsid w:val="00EB2E2C"/>
    <w:rsid w:val="00EB2E44"/>
    <w:rsid w:val="00EB2EDB"/>
    <w:rsid w:val="00EB4D16"/>
    <w:rsid w:val="00EB4DC0"/>
    <w:rsid w:val="00EB5B54"/>
    <w:rsid w:val="00EB5DDD"/>
    <w:rsid w:val="00EB783A"/>
    <w:rsid w:val="00EB7DCC"/>
    <w:rsid w:val="00EC06AB"/>
    <w:rsid w:val="00EC235F"/>
    <w:rsid w:val="00EC791D"/>
    <w:rsid w:val="00EC7934"/>
    <w:rsid w:val="00ED0CBA"/>
    <w:rsid w:val="00ED2344"/>
    <w:rsid w:val="00ED3068"/>
    <w:rsid w:val="00ED33FE"/>
    <w:rsid w:val="00ED438C"/>
    <w:rsid w:val="00ED479C"/>
    <w:rsid w:val="00ED4BF5"/>
    <w:rsid w:val="00ED5929"/>
    <w:rsid w:val="00ED735D"/>
    <w:rsid w:val="00ED7FA1"/>
    <w:rsid w:val="00EE098D"/>
    <w:rsid w:val="00EE3171"/>
    <w:rsid w:val="00EE3292"/>
    <w:rsid w:val="00EE4A99"/>
    <w:rsid w:val="00EE54F1"/>
    <w:rsid w:val="00EE6000"/>
    <w:rsid w:val="00EE6041"/>
    <w:rsid w:val="00EE6426"/>
    <w:rsid w:val="00EF05D3"/>
    <w:rsid w:val="00EF1E76"/>
    <w:rsid w:val="00EF429A"/>
    <w:rsid w:val="00EF53E8"/>
    <w:rsid w:val="00EF62DA"/>
    <w:rsid w:val="00EF67ED"/>
    <w:rsid w:val="00EF6D7A"/>
    <w:rsid w:val="00EF7315"/>
    <w:rsid w:val="00EF7C71"/>
    <w:rsid w:val="00F000E8"/>
    <w:rsid w:val="00F00A5C"/>
    <w:rsid w:val="00F02758"/>
    <w:rsid w:val="00F030C8"/>
    <w:rsid w:val="00F03590"/>
    <w:rsid w:val="00F03A20"/>
    <w:rsid w:val="00F05399"/>
    <w:rsid w:val="00F056E7"/>
    <w:rsid w:val="00F05704"/>
    <w:rsid w:val="00F063F7"/>
    <w:rsid w:val="00F069A5"/>
    <w:rsid w:val="00F107AE"/>
    <w:rsid w:val="00F11741"/>
    <w:rsid w:val="00F153A1"/>
    <w:rsid w:val="00F15E7E"/>
    <w:rsid w:val="00F16851"/>
    <w:rsid w:val="00F16D76"/>
    <w:rsid w:val="00F16E4F"/>
    <w:rsid w:val="00F20A3B"/>
    <w:rsid w:val="00F21487"/>
    <w:rsid w:val="00F214CB"/>
    <w:rsid w:val="00F21503"/>
    <w:rsid w:val="00F2161F"/>
    <w:rsid w:val="00F21E76"/>
    <w:rsid w:val="00F22282"/>
    <w:rsid w:val="00F231FD"/>
    <w:rsid w:val="00F23391"/>
    <w:rsid w:val="00F2362B"/>
    <w:rsid w:val="00F236F0"/>
    <w:rsid w:val="00F23C6F"/>
    <w:rsid w:val="00F24120"/>
    <w:rsid w:val="00F24401"/>
    <w:rsid w:val="00F24A77"/>
    <w:rsid w:val="00F252E2"/>
    <w:rsid w:val="00F2532B"/>
    <w:rsid w:val="00F2559E"/>
    <w:rsid w:val="00F26171"/>
    <w:rsid w:val="00F275DA"/>
    <w:rsid w:val="00F309C0"/>
    <w:rsid w:val="00F30B2A"/>
    <w:rsid w:val="00F318C3"/>
    <w:rsid w:val="00F32ACF"/>
    <w:rsid w:val="00F33E44"/>
    <w:rsid w:val="00F341D2"/>
    <w:rsid w:val="00F3525A"/>
    <w:rsid w:val="00F3656C"/>
    <w:rsid w:val="00F3732D"/>
    <w:rsid w:val="00F40A16"/>
    <w:rsid w:val="00F41E8D"/>
    <w:rsid w:val="00F43195"/>
    <w:rsid w:val="00F43D6D"/>
    <w:rsid w:val="00F43F6C"/>
    <w:rsid w:val="00F4413C"/>
    <w:rsid w:val="00F4448D"/>
    <w:rsid w:val="00F44E85"/>
    <w:rsid w:val="00F44FAE"/>
    <w:rsid w:val="00F45755"/>
    <w:rsid w:val="00F45B6A"/>
    <w:rsid w:val="00F45F18"/>
    <w:rsid w:val="00F46198"/>
    <w:rsid w:val="00F472AA"/>
    <w:rsid w:val="00F502CC"/>
    <w:rsid w:val="00F519B3"/>
    <w:rsid w:val="00F51A3D"/>
    <w:rsid w:val="00F52753"/>
    <w:rsid w:val="00F52C9D"/>
    <w:rsid w:val="00F52DF9"/>
    <w:rsid w:val="00F535E1"/>
    <w:rsid w:val="00F535F2"/>
    <w:rsid w:val="00F53C29"/>
    <w:rsid w:val="00F53D95"/>
    <w:rsid w:val="00F57527"/>
    <w:rsid w:val="00F579C6"/>
    <w:rsid w:val="00F57A63"/>
    <w:rsid w:val="00F57B3A"/>
    <w:rsid w:val="00F629BA"/>
    <w:rsid w:val="00F64413"/>
    <w:rsid w:val="00F65436"/>
    <w:rsid w:val="00F65F6E"/>
    <w:rsid w:val="00F67101"/>
    <w:rsid w:val="00F70984"/>
    <w:rsid w:val="00F715FE"/>
    <w:rsid w:val="00F72CC3"/>
    <w:rsid w:val="00F72CF6"/>
    <w:rsid w:val="00F72F67"/>
    <w:rsid w:val="00F737A0"/>
    <w:rsid w:val="00F73C10"/>
    <w:rsid w:val="00F7415C"/>
    <w:rsid w:val="00F7546B"/>
    <w:rsid w:val="00F7557B"/>
    <w:rsid w:val="00F77D03"/>
    <w:rsid w:val="00F77DD9"/>
    <w:rsid w:val="00F77E78"/>
    <w:rsid w:val="00F82E72"/>
    <w:rsid w:val="00F8303F"/>
    <w:rsid w:val="00F84A66"/>
    <w:rsid w:val="00F85575"/>
    <w:rsid w:val="00F8622F"/>
    <w:rsid w:val="00F9012C"/>
    <w:rsid w:val="00F9093B"/>
    <w:rsid w:val="00F91DC8"/>
    <w:rsid w:val="00F932BB"/>
    <w:rsid w:val="00F941F2"/>
    <w:rsid w:val="00F94CA3"/>
    <w:rsid w:val="00F94E27"/>
    <w:rsid w:val="00F955DC"/>
    <w:rsid w:val="00F9719B"/>
    <w:rsid w:val="00F97D05"/>
    <w:rsid w:val="00FA12E8"/>
    <w:rsid w:val="00FA1B72"/>
    <w:rsid w:val="00FA2197"/>
    <w:rsid w:val="00FA227D"/>
    <w:rsid w:val="00FA2B48"/>
    <w:rsid w:val="00FA362D"/>
    <w:rsid w:val="00FA49C1"/>
    <w:rsid w:val="00FA4B4E"/>
    <w:rsid w:val="00FA6899"/>
    <w:rsid w:val="00FA7B2A"/>
    <w:rsid w:val="00FA7D1B"/>
    <w:rsid w:val="00FA7F19"/>
    <w:rsid w:val="00FB058B"/>
    <w:rsid w:val="00FB4FCE"/>
    <w:rsid w:val="00FB6760"/>
    <w:rsid w:val="00FB6CB2"/>
    <w:rsid w:val="00FB6FC2"/>
    <w:rsid w:val="00FB75EE"/>
    <w:rsid w:val="00FC0527"/>
    <w:rsid w:val="00FC1BC3"/>
    <w:rsid w:val="00FC2BDF"/>
    <w:rsid w:val="00FC4651"/>
    <w:rsid w:val="00FC467E"/>
    <w:rsid w:val="00FC4E63"/>
    <w:rsid w:val="00FC4F75"/>
    <w:rsid w:val="00FC5090"/>
    <w:rsid w:val="00FC5720"/>
    <w:rsid w:val="00FC63BE"/>
    <w:rsid w:val="00FC7670"/>
    <w:rsid w:val="00FC772F"/>
    <w:rsid w:val="00FC7D64"/>
    <w:rsid w:val="00FD0560"/>
    <w:rsid w:val="00FD065B"/>
    <w:rsid w:val="00FD141C"/>
    <w:rsid w:val="00FD1530"/>
    <w:rsid w:val="00FD1EFC"/>
    <w:rsid w:val="00FD2281"/>
    <w:rsid w:val="00FD30BC"/>
    <w:rsid w:val="00FD4772"/>
    <w:rsid w:val="00FD5592"/>
    <w:rsid w:val="00FD5E64"/>
    <w:rsid w:val="00FD6AF5"/>
    <w:rsid w:val="00FD750E"/>
    <w:rsid w:val="00FD7FD6"/>
    <w:rsid w:val="00FE09A0"/>
    <w:rsid w:val="00FE0A8D"/>
    <w:rsid w:val="00FE17CA"/>
    <w:rsid w:val="00FE2203"/>
    <w:rsid w:val="00FE241E"/>
    <w:rsid w:val="00FE2989"/>
    <w:rsid w:val="00FE4E7B"/>
    <w:rsid w:val="00FE59E6"/>
    <w:rsid w:val="00FE5C61"/>
    <w:rsid w:val="00FE5F92"/>
    <w:rsid w:val="00FE62FA"/>
    <w:rsid w:val="00FE6552"/>
    <w:rsid w:val="00FF0174"/>
    <w:rsid w:val="00FF03FC"/>
    <w:rsid w:val="00FF1A74"/>
    <w:rsid w:val="00FF2C06"/>
    <w:rsid w:val="00FF32E7"/>
    <w:rsid w:val="00FF3DEC"/>
    <w:rsid w:val="00FF3EA0"/>
    <w:rsid w:val="00FF48C2"/>
    <w:rsid w:val="00FF533A"/>
    <w:rsid w:val="00FF6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7"/>
    <o:shapelayout v:ext="edit">
      <o:idmap v:ext="edit" data="1"/>
    </o:shapelayout>
  </w:shapeDefaults>
  <w:decimalSymbol w:val="."/>
  <w:listSeparator w:val=","/>
  <w14:docId w14:val="529796EE"/>
  <w15:chartTrackingRefBased/>
  <w15:docId w15:val="{08A27517-8625-4B51-AE87-F462F325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E76"/>
    <w:pPr>
      <w:tabs>
        <w:tab w:val="left" w:pos="567"/>
      </w:tabs>
      <w:spacing w:line="260" w:lineRule="exact"/>
    </w:pPr>
    <w:rPr>
      <w:sz w:val="22"/>
      <w:lang w:val="en-GB"/>
    </w:rPr>
  </w:style>
  <w:style w:type="paragraph" w:styleId="Heading1">
    <w:name w:val="heading 1"/>
    <w:basedOn w:val="Normal"/>
    <w:next w:val="Normal"/>
    <w:qFormat/>
    <w:rsid w:val="00FD750E"/>
    <w:pPr>
      <w:spacing w:before="240" w:after="120"/>
      <w:ind w:left="357" w:hanging="357"/>
      <w:outlineLvl w:val="0"/>
    </w:pPr>
    <w:rPr>
      <w:b/>
      <w:caps/>
      <w:sz w:val="26"/>
      <w:lang w:val="en-US"/>
    </w:rPr>
  </w:style>
  <w:style w:type="paragraph" w:styleId="Heading2">
    <w:name w:val="heading 2"/>
    <w:basedOn w:val="Normal"/>
    <w:next w:val="Normal"/>
    <w:qFormat/>
    <w:rsid w:val="00FD750E"/>
    <w:pPr>
      <w:keepNext/>
      <w:spacing w:before="240" w:after="60"/>
      <w:outlineLvl w:val="1"/>
    </w:pPr>
    <w:rPr>
      <w:rFonts w:ascii="Helvetica" w:hAnsi="Helvetica"/>
      <w:b/>
      <w:i/>
      <w:sz w:val="24"/>
    </w:rPr>
  </w:style>
  <w:style w:type="paragraph" w:styleId="Heading3">
    <w:name w:val="heading 3"/>
    <w:basedOn w:val="Normal"/>
    <w:next w:val="Normal"/>
    <w:qFormat/>
    <w:rsid w:val="00FD750E"/>
    <w:pPr>
      <w:keepNext/>
      <w:keepLines/>
      <w:spacing w:before="120" w:after="80"/>
      <w:outlineLvl w:val="2"/>
    </w:pPr>
    <w:rPr>
      <w:b/>
      <w:kern w:val="28"/>
      <w:sz w:val="24"/>
      <w:lang w:val="en-US"/>
    </w:rPr>
  </w:style>
  <w:style w:type="paragraph" w:styleId="Heading4">
    <w:name w:val="heading 4"/>
    <w:basedOn w:val="Normal"/>
    <w:next w:val="Normal"/>
    <w:qFormat/>
    <w:rsid w:val="00FD750E"/>
    <w:pPr>
      <w:keepNext/>
      <w:jc w:val="both"/>
      <w:outlineLvl w:val="3"/>
    </w:pPr>
    <w:rPr>
      <w:b/>
      <w:noProof/>
    </w:rPr>
  </w:style>
  <w:style w:type="paragraph" w:styleId="Heading5">
    <w:name w:val="heading 5"/>
    <w:basedOn w:val="Normal"/>
    <w:next w:val="Normal"/>
    <w:qFormat/>
    <w:rsid w:val="00FD750E"/>
    <w:pPr>
      <w:keepNext/>
      <w:jc w:val="both"/>
      <w:outlineLvl w:val="4"/>
    </w:pPr>
    <w:rPr>
      <w:noProof/>
    </w:rPr>
  </w:style>
  <w:style w:type="paragraph" w:styleId="Heading6">
    <w:name w:val="heading 6"/>
    <w:basedOn w:val="Normal"/>
    <w:next w:val="Normal"/>
    <w:qFormat/>
    <w:rsid w:val="00FD750E"/>
    <w:pPr>
      <w:keepNext/>
      <w:tabs>
        <w:tab w:val="left" w:pos="-720"/>
        <w:tab w:val="left" w:pos="4536"/>
      </w:tabs>
      <w:suppressAutoHyphens/>
      <w:outlineLvl w:val="5"/>
    </w:pPr>
    <w:rPr>
      <w:i/>
    </w:rPr>
  </w:style>
  <w:style w:type="paragraph" w:styleId="Heading7">
    <w:name w:val="heading 7"/>
    <w:basedOn w:val="Normal"/>
    <w:next w:val="Normal"/>
    <w:qFormat/>
    <w:rsid w:val="00FD750E"/>
    <w:pPr>
      <w:keepNext/>
      <w:tabs>
        <w:tab w:val="left" w:pos="-720"/>
        <w:tab w:val="left" w:pos="4536"/>
      </w:tabs>
      <w:suppressAutoHyphens/>
      <w:jc w:val="both"/>
      <w:outlineLvl w:val="6"/>
    </w:pPr>
    <w:rPr>
      <w:i/>
    </w:rPr>
  </w:style>
  <w:style w:type="paragraph" w:styleId="Heading8">
    <w:name w:val="heading 8"/>
    <w:basedOn w:val="Normal"/>
    <w:next w:val="Normal"/>
    <w:qFormat/>
    <w:rsid w:val="00FD750E"/>
    <w:pPr>
      <w:keepNext/>
      <w:ind w:left="567" w:hanging="567"/>
      <w:jc w:val="both"/>
      <w:outlineLvl w:val="7"/>
    </w:pPr>
    <w:rPr>
      <w:b/>
      <w:i/>
    </w:rPr>
  </w:style>
  <w:style w:type="paragraph" w:styleId="Heading9">
    <w:name w:val="heading 9"/>
    <w:basedOn w:val="Normal"/>
    <w:next w:val="Normal"/>
    <w:qFormat/>
    <w:rsid w:val="00FD750E"/>
    <w:pPr>
      <w:keepNext/>
      <w:jc w:val="both"/>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750E"/>
    <w:pPr>
      <w:tabs>
        <w:tab w:val="center" w:pos="4153"/>
        <w:tab w:val="right" w:pos="8306"/>
      </w:tabs>
      <w:spacing w:line="240" w:lineRule="auto"/>
    </w:pPr>
    <w:rPr>
      <w:rFonts w:ascii="Helvetica" w:hAnsi="Helvetica"/>
      <w:sz w:val="20"/>
    </w:rPr>
  </w:style>
  <w:style w:type="paragraph" w:styleId="Footer">
    <w:name w:val="footer"/>
    <w:basedOn w:val="Normal"/>
    <w:rsid w:val="00FD750E"/>
    <w:pPr>
      <w:tabs>
        <w:tab w:val="center" w:pos="4536"/>
        <w:tab w:val="center" w:pos="8930"/>
      </w:tabs>
      <w:spacing w:line="240" w:lineRule="auto"/>
    </w:pPr>
    <w:rPr>
      <w:rFonts w:ascii="Helvetica" w:hAnsi="Helvetica"/>
      <w:sz w:val="16"/>
    </w:rPr>
  </w:style>
  <w:style w:type="character" w:styleId="PageNumber">
    <w:name w:val="page number"/>
    <w:basedOn w:val="DefaultParagraphFont"/>
    <w:rsid w:val="00FD750E"/>
  </w:style>
  <w:style w:type="paragraph" w:styleId="EndnoteText">
    <w:name w:val="endnote text"/>
    <w:basedOn w:val="Normal"/>
    <w:link w:val="EndnoteTextChar"/>
    <w:semiHidden/>
    <w:rsid w:val="00FD750E"/>
    <w:pPr>
      <w:spacing w:line="240" w:lineRule="auto"/>
    </w:pPr>
  </w:style>
  <w:style w:type="character" w:styleId="EndnoteReference">
    <w:name w:val="endnote reference"/>
    <w:semiHidden/>
    <w:rsid w:val="00FD750E"/>
    <w:rPr>
      <w:vertAlign w:val="superscript"/>
    </w:rPr>
  </w:style>
  <w:style w:type="character" w:styleId="CommentReference">
    <w:name w:val="annotation reference"/>
    <w:semiHidden/>
    <w:rsid w:val="00FD750E"/>
    <w:rPr>
      <w:sz w:val="16"/>
    </w:rPr>
  </w:style>
  <w:style w:type="paragraph" w:styleId="CommentText">
    <w:name w:val="annotation text"/>
    <w:aliases w:val="Comment Text Char1 Char,Comment Text Char Char Char,Comment Text Char1"/>
    <w:basedOn w:val="Normal"/>
    <w:link w:val="CommentTextChar"/>
    <w:rsid w:val="00FD750E"/>
    <w:rPr>
      <w:sz w:val="20"/>
    </w:rPr>
  </w:style>
  <w:style w:type="paragraph" w:styleId="BodyText2">
    <w:name w:val="Body Text 2"/>
    <w:basedOn w:val="Normal"/>
    <w:rsid w:val="00FD750E"/>
    <w:pPr>
      <w:tabs>
        <w:tab w:val="clear" w:pos="567"/>
      </w:tabs>
      <w:spacing w:line="240" w:lineRule="auto"/>
      <w:ind w:left="567" w:hanging="567"/>
    </w:pPr>
    <w:rPr>
      <w:b/>
    </w:rPr>
  </w:style>
  <w:style w:type="paragraph" w:styleId="BodyText">
    <w:name w:val="Body Text"/>
    <w:basedOn w:val="Normal"/>
    <w:rsid w:val="00FD750E"/>
    <w:rPr>
      <w:b/>
      <w:i/>
    </w:rPr>
  </w:style>
  <w:style w:type="paragraph" w:styleId="BodyText3">
    <w:name w:val="Body Text 3"/>
    <w:basedOn w:val="Normal"/>
    <w:rsid w:val="00FD750E"/>
    <w:pPr>
      <w:jc w:val="both"/>
    </w:pPr>
    <w:rPr>
      <w:b/>
      <w:i/>
    </w:rPr>
  </w:style>
  <w:style w:type="paragraph" w:styleId="BodyTextIndent2">
    <w:name w:val="Body Text Indent 2"/>
    <w:basedOn w:val="Normal"/>
    <w:rsid w:val="00FD750E"/>
    <w:pPr>
      <w:ind w:left="567" w:hanging="567"/>
      <w:jc w:val="both"/>
    </w:pPr>
    <w:rPr>
      <w:b/>
    </w:rPr>
  </w:style>
  <w:style w:type="paragraph" w:styleId="FootnoteText">
    <w:name w:val="footnote text"/>
    <w:basedOn w:val="Normal"/>
    <w:semiHidden/>
    <w:rsid w:val="00FD750E"/>
    <w:rPr>
      <w:sz w:val="20"/>
    </w:rPr>
  </w:style>
  <w:style w:type="character" w:styleId="FootnoteReference">
    <w:name w:val="footnote reference"/>
    <w:semiHidden/>
    <w:rsid w:val="00FD750E"/>
    <w:rPr>
      <w:vertAlign w:val="superscript"/>
    </w:rPr>
  </w:style>
  <w:style w:type="paragraph" w:styleId="BodyTextIndent3">
    <w:name w:val="Body Text Indent 3"/>
    <w:basedOn w:val="Normal"/>
    <w:rsid w:val="00FD750E"/>
    <w:pPr>
      <w:ind w:left="567" w:hanging="567"/>
    </w:pPr>
    <w:rPr>
      <w:i/>
      <w:color w:val="008000"/>
    </w:rPr>
  </w:style>
  <w:style w:type="paragraph" w:styleId="BlockText">
    <w:name w:val="Block Text"/>
    <w:basedOn w:val="Normal"/>
    <w:rsid w:val="00FD750E"/>
    <w:pPr>
      <w:tabs>
        <w:tab w:val="clear" w:pos="567"/>
        <w:tab w:val="left" w:pos="2657"/>
      </w:tabs>
      <w:spacing w:before="120" w:line="240" w:lineRule="auto"/>
      <w:ind w:left="-37" w:right="-28"/>
    </w:pPr>
  </w:style>
  <w:style w:type="paragraph" w:styleId="BodyTextIndent">
    <w:name w:val="Body Text Indent"/>
    <w:basedOn w:val="Normal"/>
    <w:rsid w:val="00FD750E"/>
    <w:pPr>
      <w:tabs>
        <w:tab w:val="clear" w:pos="567"/>
      </w:tabs>
      <w:spacing w:line="240" w:lineRule="auto"/>
      <w:ind w:left="567" w:hanging="567"/>
    </w:pPr>
    <w:rPr>
      <w:b/>
      <w:color w:val="808080"/>
    </w:rPr>
  </w:style>
  <w:style w:type="character" w:styleId="Hyperlink">
    <w:name w:val="Hyperlink"/>
    <w:rsid w:val="00FD750E"/>
    <w:rPr>
      <w:color w:val="0000FF"/>
      <w:u w:val="single"/>
    </w:rPr>
  </w:style>
  <w:style w:type="character" w:styleId="FollowedHyperlink">
    <w:name w:val="FollowedHyperlink"/>
    <w:rsid w:val="00FD750E"/>
    <w:rPr>
      <w:color w:val="800080"/>
      <w:u w:val="single"/>
    </w:rPr>
  </w:style>
  <w:style w:type="paragraph" w:customStyle="1" w:styleId="TextChar">
    <w:name w:val="Text Char"/>
    <w:basedOn w:val="Normal"/>
    <w:rsid w:val="00FD750E"/>
    <w:pPr>
      <w:tabs>
        <w:tab w:val="clear" w:pos="567"/>
      </w:tabs>
      <w:spacing w:before="120" w:line="240" w:lineRule="auto"/>
      <w:jc w:val="both"/>
    </w:pPr>
    <w:rPr>
      <w:sz w:val="24"/>
      <w:lang w:val="en-US"/>
    </w:rPr>
  </w:style>
  <w:style w:type="paragraph" w:customStyle="1" w:styleId="Table">
    <w:name w:val="Table"/>
    <w:basedOn w:val="Normal"/>
    <w:link w:val="TableChar"/>
    <w:rsid w:val="00FD750E"/>
    <w:pPr>
      <w:keepNext/>
      <w:keepLines/>
      <w:tabs>
        <w:tab w:val="clear" w:pos="567"/>
        <w:tab w:val="left" w:pos="284"/>
      </w:tabs>
      <w:spacing w:before="40" w:after="20" w:line="240" w:lineRule="auto"/>
    </w:pPr>
    <w:rPr>
      <w:rFonts w:ascii="Arial" w:hAnsi="Arial"/>
      <w:sz w:val="20"/>
      <w:lang w:val="en-US"/>
    </w:rPr>
  </w:style>
  <w:style w:type="paragraph" w:customStyle="1" w:styleId="Listlevel2">
    <w:name w:val="List level 2"/>
    <w:basedOn w:val="Normal"/>
    <w:rsid w:val="00FD750E"/>
    <w:pPr>
      <w:tabs>
        <w:tab w:val="clear" w:pos="567"/>
      </w:tabs>
      <w:spacing w:before="40" w:after="20" w:line="240" w:lineRule="auto"/>
      <w:ind w:left="850" w:hanging="425"/>
    </w:pPr>
    <w:rPr>
      <w:sz w:val="24"/>
      <w:lang w:val="en-US"/>
    </w:rPr>
  </w:style>
  <w:style w:type="paragraph" w:customStyle="1" w:styleId="Listlevel1">
    <w:name w:val="List level 1"/>
    <w:basedOn w:val="Normal"/>
    <w:rsid w:val="00FD750E"/>
    <w:pPr>
      <w:tabs>
        <w:tab w:val="clear" w:pos="567"/>
      </w:tabs>
      <w:spacing w:before="40" w:after="20" w:line="240" w:lineRule="auto"/>
      <w:ind w:left="425" w:hanging="425"/>
    </w:pPr>
    <w:rPr>
      <w:sz w:val="24"/>
      <w:lang w:val="en-US"/>
    </w:rPr>
  </w:style>
  <w:style w:type="paragraph" w:customStyle="1" w:styleId="Authors">
    <w:name w:val="Authors"/>
    <w:basedOn w:val="Normal"/>
    <w:rsid w:val="00FD750E"/>
    <w:pPr>
      <w:keepNext/>
      <w:tabs>
        <w:tab w:val="clear" w:pos="567"/>
        <w:tab w:val="left" w:pos="2268"/>
      </w:tabs>
      <w:spacing w:before="240" w:line="240" w:lineRule="auto"/>
    </w:pPr>
    <w:rPr>
      <w:rFonts w:ascii="Arial" w:hAnsi="Arial"/>
      <w:lang w:val="en-US"/>
    </w:rPr>
  </w:style>
  <w:style w:type="paragraph" w:customStyle="1" w:styleId="Releasedate">
    <w:name w:val="Releasedate"/>
    <w:basedOn w:val="Normal"/>
    <w:rsid w:val="00FD750E"/>
    <w:pPr>
      <w:keepNext/>
      <w:tabs>
        <w:tab w:val="clear" w:pos="567"/>
      </w:tabs>
      <w:spacing w:before="240" w:line="240" w:lineRule="auto"/>
    </w:pPr>
    <w:rPr>
      <w:rFonts w:ascii="Arial" w:hAnsi="Arial"/>
    </w:rPr>
  </w:style>
  <w:style w:type="paragraph" w:styleId="TOC6">
    <w:name w:val="toc 6"/>
    <w:basedOn w:val="Normal"/>
    <w:autoRedefine/>
    <w:semiHidden/>
    <w:rsid w:val="00EB7DCC"/>
    <w:pPr>
      <w:tabs>
        <w:tab w:val="clear" w:pos="567"/>
        <w:tab w:val="right" w:leader="dot" w:pos="9061"/>
      </w:tabs>
      <w:spacing w:line="240" w:lineRule="auto"/>
      <w:ind w:left="992" w:right="227" w:hanging="992"/>
    </w:pPr>
    <w:rPr>
      <w:szCs w:val="22"/>
      <w:u w:val="single"/>
    </w:rPr>
  </w:style>
  <w:style w:type="paragraph" w:customStyle="1" w:styleId="BalloonText1">
    <w:name w:val="Balloon Text1"/>
    <w:basedOn w:val="Normal"/>
    <w:semiHidden/>
    <w:rsid w:val="00FD750E"/>
    <w:rPr>
      <w:rFonts w:ascii="Tahoma" w:hAnsi="Tahoma" w:cs="Tahoma"/>
      <w:sz w:val="16"/>
      <w:szCs w:val="16"/>
    </w:rPr>
  </w:style>
  <w:style w:type="paragraph" w:customStyle="1" w:styleId="CommentSubject1">
    <w:name w:val="Comment Subject1"/>
    <w:basedOn w:val="CommentText"/>
    <w:next w:val="CommentText"/>
    <w:semiHidden/>
    <w:rsid w:val="00FD750E"/>
    <w:rPr>
      <w:b/>
      <w:bCs/>
    </w:rPr>
  </w:style>
  <w:style w:type="character" w:customStyle="1" w:styleId="TextCharChar">
    <w:name w:val="Text Char Char"/>
    <w:rsid w:val="00FD750E"/>
    <w:rPr>
      <w:sz w:val="24"/>
      <w:lang w:val="en-US" w:eastAsia="en-US" w:bidi="ar-SA"/>
    </w:rPr>
  </w:style>
  <w:style w:type="paragraph" w:styleId="DocumentMap">
    <w:name w:val="Document Map"/>
    <w:basedOn w:val="Normal"/>
    <w:semiHidden/>
    <w:rsid w:val="00FD750E"/>
    <w:pPr>
      <w:shd w:val="clear" w:color="auto" w:fill="000080"/>
    </w:pPr>
    <w:rPr>
      <w:rFonts w:ascii="Tahoma" w:hAnsi="Tahoma" w:cs="Tahoma"/>
    </w:rPr>
  </w:style>
  <w:style w:type="paragraph" w:styleId="BalloonText">
    <w:name w:val="Balloon Text"/>
    <w:basedOn w:val="Normal"/>
    <w:semiHidden/>
    <w:rsid w:val="00065DC7"/>
    <w:rPr>
      <w:rFonts w:ascii="Tahoma" w:hAnsi="Tahoma" w:cs="Tahoma"/>
      <w:sz w:val="16"/>
      <w:szCs w:val="16"/>
    </w:rPr>
  </w:style>
  <w:style w:type="paragraph" w:customStyle="1" w:styleId="Text">
    <w:name w:val="Text"/>
    <w:basedOn w:val="Normal"/>
    <w:rsid w:val="00FD750E"/>
    <w:pPr>
      <w:tabs>
        <w:tab w:val="clear" w:pos="567"/>
      </w:tabs>
      <w:spacing w:before="120" w:line="240" w:lineRule="auto"/>
      <w:jc w:val="both"/>
    </w:pPr>
    <w:rPr>
      <w:sz w:val="24"/>
      <w:lang w:val="en-US"/>
    </w:rPr>
  </w:style>
  <w:style w:type="paragraph" w:styleId="CommentSubject">
    <w:name w:val="annotation subject"/>
    <w:basedOn w:val="CommentText"/>
    <w:next w:val="CommentText"/>
    <w:link w:val="CommentSubjectChar"/>
    <w:rsid w:val="00E63639"/>
    <w:rPr>
      <w:b/>
      <w:bCs/>
    </w:rPr>
  </w:style>
  <w:style w:type="paragraph" w:customStyle="1" w:styleId="Besedilooblaka1">
    <w:name w:val="Besedilo oblačka1"/>
    <w:basedOn w:val="Normal"/>
    <w:semiHidden/>
    <w:rsid w:val="005E0850"/>
    <w:rPr>
      <w:rFonts w:ascii="Tahoma" w:hAnsi="Tahoma" w:cs="Tahoma"/>
      <w:sz w:val="16"/>
      <w:szCs w:val="16"/>
      <w:lang w:val="sl-SI"/>
    </w:rPr>
  </w:style>
  <w:style w:type="character" w:customStyle="1" w:styleId="TableChar">
    <w:name w:val="Table Char"/>
    <w:link w:val="Table"/>
    <w:rsid w:val="00AF0BE7"/>
    <w:rPr>
      <w:rFonts w:ascii="Arial" w:hAnsi="Arial"/>
      <w:lang w:val="en-US" w:eastAsia="en-US" w:bidi="ar-SA"/>
    </w:rPr>
  </w:style>
  <w:style w:type="paragraph" w:customStyle="1" w:styleId="Nottoc-headings">
    <w:name w:val="Not toc-headings"/>
    <w:basedOn w:val="Normal"/>
    <w:next w:val="Text"/>
    <w:link w:val="Nottoc-headingsChar"/>
    <w:rsid w:val="00302E5F"/>
    <w:pPr>
      <w:keepNext/>
      <w:keepLines/>
      <w:tabs>
        <w:tab w:val="clear" w:pos="567"/>
      </w:tabs>
      <w:spacing w:before="240" w:after="60" w:line="240" w:lineRule="auto"/>
      <w:ind w:left="1701" w:hanging="1701"/>
    </w:pPr>
    <w:rPr>
      <w:rFonts w:ascii="Arial" w:hAnsi="Arial"/>
      <w:b/>
      <w:sz w:val="24"/>
      <w:lang w:val="en-US"/>
    </w:rPr>
  </w:style>
  <w:style w:type="character" w:customStyle="1" w:styleId="Nottoc-headingsChar">
    <w:name w:val="Not toc-headings Char"/>
    <w:link w:val="Nottoc-headings"/>
    <w:rsid w:val="00302E5F"/>
    <w:rPr>
      <w:rFonts w:ascii="Arial" w:hAnsi="Arial"/>
      <w:b/>
      <w:sz w:val="24"/>
      <w:lang w:val="en-US" w:eastAsia="en-US" w:bidi="ar-SA"/>
    </w:rPr>
  </w:style>
  <w:style w:type="paragraph" w:customStyle="1" w:styleId="bullethead">
    <w:name w:val="bullet head"/>
    <w:basedOn w:val="Normal"/>
    <w:rsid w:val="00052185"/>
    <w:pPr>
      <w:tabs>
        <w:tab w:val="clear" w:pos="567"/>
      </w:tabs>
      <w:spacing w:before="240" w:line="240" w:lineRule="exact"/>
    </w:pPr>
    <w:rPr>
      <w:b/>
      <w:kern w:val="28"/>
    </w:rPr>
  </w:style>
  <w:style w:type="character" w:customStyle="1" w:styleId="EndnoteTextChar">
    <w:name w:val="Endnote Text Char"/>
    <w:link w:val="EndnoteText"/>
    <w:rsid w:val="001E379E"/>
    <w:rPr>
      <w:sz w:val="22"/>
      <w:lang w:val="en-GB" w:eastAsia="en-US" w:bidi="ar-SA"/>
    </w:rPr>
  </w:style>
  <w:style w:type="table" w:styleId="TableGrid">
    <w:name w:val="Table Grid"/>
    <w:basedOn w:val="TableNormal"/>
    <w:rsid w:val="00C24B92"/>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ZnakZnakCharCharChar">
    <w:name w:val="Char1 Znak Znak Char Char Char"/>
    <w:basedOn w:val="Normal"/>
    <w:rsid w:val="00C611E1"/>
    <w:pPr>
      <w:tabs>
        <w:tab w:val="clear" w:pos="567"/>
      </w:tabs>
      <w:spacing w:after="160" w:line="240" w:lineRule="exact"/>
    </w:pPr>
    <w:rPr>
      <w:rFonts w:ascii="Verdana" w:hAnsi="Verdana" w:cs="Verdana"/>
      <w:sz w:val="20"/>
    </w:rPr>
  </w:style>
  <w:style w:type="paragraph" w:customStyle="1" w:styleId="Style">
    <w:name w:val="Style"/>
    <w:basedOn w:val="Normal"/>
    <w:rsid w:val="00017658"/>
    <w:pPr>
      <w:tabs>
        <w:tab w:val="clear" w:pos="567"/>
      </w:tabs>
      <w:spacing w:after="160" w:line="240" w:lineRule="exact"/>
    </w:pPr>
    <w:rPr>
      <w:rFonts w:ascii="Verdana" w:hAnsi="Verdana" w:cs="Verdana"/>
      <w:sz w:val="20"/>
    </w:rPr>
  </w:style>
  <w:style w:type="paragraph" w:customStyle="1" w:styleId="CharCharCharCharCharZnakCharCharCharCharZnakZnakZnak">
    <w:name w:val="Char Char Char Char Char Znak Char Char Char Char Znak Znak Znak"/>
    <w:basedOn w:val="Normal"/>
    <w:rsid w:val="003F00F3"/>
    <w:pPr>
      <w:tabs>
        <w:tab w:val="clear" w:pos="567"/>
      </w:tabs>
      <w:spacing w:after="160" w:line="240" w:lineRule="exact"/>
    </w:pPr>
    <w:rPr>
      <w:rFonts w:ascii="Verdana" w:hAnsi="Verdana" w:cs="Verdana"/>
      <w:sz w:val="20"/>
    </w:rPr>
  </w:style>
  <w:style w:type="paragraph" w:customStyle="1" w:styleId="Char1ZnakZnak">
    <w:name w:val="Char1 Znak Znak"/>
    <w:basedOn w:val="Normal"/>
    <w:rsid w:val="00A236F1"/>
    <w:pPr>
      <w:tabs>
        <w:tab w:val="clear" w:pos="567"/>
      </w:tabs>
      <w:spacing w:after="160" w:line="240" w:lineRule="exact"/>
    </w:pPr>
    <w:rPr>
      <w:rFonts w:ascii="Verdana" w:hAnsi="Verdana" w:cs="Verdana"/>
      <w:sz w:val="20"/>
    </w:rPr>
  </w:style>
  <w:style w:type="paragraph" w:styleId="Revision">
    <w:name w:val="Revision"/>
    <w:hidden/>
    <w:uiPriority w:val="99"/>
    <w:semiHidden/>
    <w:rsid w:val="00A756CE"/>
    <w:rPr>
      <w:sz w:val="22"/>
      <w:lang w:val="en-GB"/>
    </w:rPr>
  </w:style>
  <w:style w:type="character" w:customStyle="1" w:styleId="CommentTextChar">
    <w:name w:val="Comment Text Char"/>
    <w:aliases w:val="Comment Text Char1 Char Char,Comment Text Char Char Char Char,Comment Text Char1 Char1"/>
    <w:link w:val="CommentText"/>
    <w:rsid w:val="00673FCE"/>
    <w:rPr>
      <w:lang w:val="en-GB" w:eastAsia="en-US"/>
    </w:rPr>
  </w:style>
  <w:style w:type="character" w:customStyle="1" w:styleId="NormalAgencyChar">
    <w:name w:val="Normal (Agency) Char"/>
    <w:link w:val="NormalAgency"/>
    <w:locked/>
    <w:rsid w:val="0058332E"/>
    <w:rPr>
      <w:rFonts w:ascii="Verdana" w:hAnsi="Verdana"/>
    </w:rPr>
  </w:style>
  <w:style w:type="paragraph" w:customStyle="1" w:styleId="NormalAgency">
    <w:name w:val="Normal (Agency)"/>
    <w:basedOn w:val="Normal"/>
    <w:link w:val="NormalAgencyChar"/>
    <w:rsid w:val="0058332E"/>
    <w:pPr>
      <w:tabs>
        <w:tab w:val="clear" w:pos="567"/>
      </w:tabs>
      <w:spacing w:line="240" w:lineRule="auto"/>
    </w:pPr>
    <w:rPr>
      <w:rFonts w:ascii="Verdana" w:hAnsi="Verdana"/>
      <w:sz w:val="20"/>
      <w:lang w:val="x-none" w:eastAsia="x-none"/>
    </w:rPr>
  </w:style>
  <w:style w:type="character" w:customStyle="1" w:styleId="CommentSubjectChar">
    <w:name w:val="Comment Subject Char"/>
    <w:link w:val="CommentSubject"/>
    <w:rsid w:val="00DF11AB"/>
    <w:rPr>
      <w:b/>
      <w:bCs/>
      <w:lang w:val="en-GB" w:eastAsia="en-US"/>
    </w:rPr>
  </w:style>
  <w:style w:type="paragraph" w:customStyle="1" w:styleId="Default">
    <w:name w:val="Default"/>
    <w:rsid w:val="00690621"/>
    <w:pPr>
      <w:autoSpaceDE w:val="0"/>
      <w:autoSpaceDN w:val="0"/>
      <w:adjustRightInd w:val="0"/>
    </w:pPr>
    <w:rPr>
      <w:rFonts w:ascii="Verdana" w:hAnsi="Verdana" w:cs="Verdana"/>
      <w:color w:val="000000"/>
      <w:sz w:val="24"/>
      <w:szCs w:val="24"/>
      <w:lang w:eastAsia="ja-JP"/>
    </w:rPr>
  </w:style>
  <w:style w:type="character" w:customStyle="1" w:styleId="BodytextAgencyChar">
    <w:name w:val="Body text (Agency) Char"/>
    <w:link w:val="BodytextAgency"/>
    <w:qFormat/>
    <w:locked/>
    <w:rsid w:val="00CA2A0C"/>
    <w:rPr>
      <w:rFonts w:ascii="Verdana" w:eastAsia="Verdana" w:hAnsi="Verdana"/>
      <w:sz w:val="18"/>
      <w:szCs w:val="18"/>
    </w:rPr>
  </w:style>
  <w:style w:type="paragraph" w:customStyle="1" w:styleId="BodytextAgency">
    <w:name w:val="Body text (Agency)"/>
    <w:basedOn w:val="Normal"/>
    <w:link w:val="BodytextAgencyChar"/>
    <w:qFormat/>
    <w:rsid w:val="00CA2A0C"/>
    <w:pPr>
      <w:tabs>
        <w:tab w:val="clear" w:pos="567"/>
      </w:tabs>
      <w:spacing w:after="140" w:line="280" w:lineRule="atLeast"/>
    </w:pPr>
    <w:rPr>
      <w:rFonts w:ascii="Verdana" w:eastAsia="Verdana" w:hAnsi="Verdana"/>
      <w:sz w:val="18"/>
      <w:szCs w:val="18"/>
      <w:lang w:val="en-US"/>
    </w:rPr>
  </w:style>
  <w:style w:type="character" w:customStyle="1" w:styleId="No-numheading3AgencyChar">
    <w:name w:val="No-num heading 3 (Agency) Char"/>
    <w:link w:val="No-numheading3Agency"/>
    <w:locked/>
    <w:rsid w:val="00CA2A0C"/>
    <w:rPr>
      <w:rFonts w:ascii="Verdana" w:eastAsia="Verdana" w:hAnsi="Verdana"/>
      <w:b/>
      <w:bCs/>
      <w:kern w:val="32"/>
      <w:sz w:val="22"/>
      <w:szCs w:val="22"/>
    </w:rPr>
  </w:style>
  <w:style w:type="paragraph" w:customStyle="1" w:styleId="No-numheading3Agency">
    <w:name w:val="No-num heading 3 (Agency)"/>
    <w:basedOn w:val="Normal"/>
    <w:next w:val="BodytextAgency"/>
    <w:link w:val="No-numheading3AgencyChar"/>
    <w:rsid w:val="00CA2A0C"/>
    <w:pPr>
      <w:keepNext/>
      <w:tabs>
        <w:tab w:val="clear" w:pos="567"/>
      </w:tabs>
      <w:spacing w:before="280" w:after="220" w:line="240" w:lineRule="auto"/>
      <w:outlineLvl w:val="2"/>
    </w:pPr>
    <w:rPr>
      <w:rFonts w:ascii="Verdana" w:eastAsia="Verdana" w:hAnsi="Verdana"/>
      <w:b/>
      <w:bCs/>
      <w:kern w:val="32"/>
      <w:szCs w:val="22"/>
      <w:lang w:val="en-US"/>
    </w:rPr>
  </w:style>
  <w:style w:type="character" w:customStyle="1" w:styleId="DraftingNotesAgencyChar">
    <w:name w:val="Drafting Notes (Agency) Char"/>
    <w:link w:val="DraftingNotesAgency"/>
    <w:locked/>
    <w:rsid w:val="00CA2A0C"/>
    <w:rPr>
      <w:rFonts w:ascii="Courier New" w:eastAsia="Verdana" w:hAnsi="Courier New" w:cs="Courier New"/>
      <w:i/>
      <w:color w:val="339966"/>
      <w:sz w:val="22"/>
      <w:szCs w:val="18"/>
    </w:rPr>
  </w:style>
  <w:style w:type="paragraph" w:customStyle="1" w:styleId="DraftingNotesAgency">
    <w:name w:val="Drafting Notes (Agency)"/>
    <w:basedOn w:val="Normal"/>
    <w:next w:val="BodytextAgency"/>
    <w:link w:val="DraftingNotesAgencyChar"/>
    <w:rsid w:val="00CA2A0C"/>
    <w:pPr>
      <w:tabs>
        <w:tab w:val="clear" w:pos="567"/>
      </w:tabs>
      <w:spacing w:after="140" w:line="280" w:lineRule="atLeast"/>
    </w:pPr>
    <w:rPr>
      <w:rFonts w:ascii="Courier New" w:eastAsia="Verdana" w:hAnsi="Courier New" w:cs="Courier New"/>
      <w:i/>
      <w:color w:val="339966"/>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537110">
      <w:bodyDiv w:val="1"/>
      <w:marLeft w:val="0"/>
      <w:marRight w:val="0"/>
      <w:marTop w:val="0"/>
      <w:marBottom w:val="0"/>
      <w:divBdr>
        <w:top w:val="none" w:sz="0" w:space="0" w:color="auto"/>
        <w:left w:val="none" w:sz="0" w:space="0" w:color="auto"/>
        <w:bottom w:val="none" w:sz="0" w:space="0" w:color="auto"/>
        <w:right w:val="none" w:sz="0" w:space="0" w:color="auto"/>
      </w:divBdr>
    </w:div>
    <w:div w:id="270164396">
      <w:bodyDiv w:val="1"/>
      <w:marLeft w:val="0"/>
      <w:marRight w:val="0"/>
      <w:marTop w:val="0"/>
      <w:marBottom w:val="0"/>
      <w:divBdr>
        <w:top w:val="none" w:sz="0" w:space="0" w:color="auto"/>
        <w:left w:val="none" w:sz="0" w:space="0" w:color="auto"/>
        <w:bottom w:val="none" w:sz="0" w:space="0" w:color="auto"/>
        <w:right w:val="none" w:sz="0" w:space="0" w:color="auto"/>
      </w:divBdr>
    </w:div>
    <w:div w:id="276110224">
      <w:bodyDiv w:val="1"/>
      <w:marLeft w:val="0"/>
      <w:marRight w:val="0"/>
      <w:marTop w:val="0"/>
      <w:marBottom w:val="0"/>
      <w:divBdr>
        <w:top w:val="none" w:sz="0" w:space="0" w:color="auto"/>
        <w:left w:val="none" w:sz="0" w:space="0" w:color="auto"/>
        <w:bottom w:val="none" w:sz="0" w:space="0" w:color="auto"/>
        <w:right w:val="none" w:sz="0" w:space="0" w:color="auto"/>
      </w:divBdr>
    </w:div>
    <w:div w:id="421027919">
      <w:bodyDiv w:val="1"/>
      <w:marLeft w:val="0"/>
      <w:marRight w:val="0"/>
      <w:marTop w:val="0"/>
      <w:marBottom w:val="0"/>
      <w:divBdr>
        <w:top w:val="none" w:sz="0" w:space="0" w:color="auto"/>
        <w:left w:val="none" w:sz="0" w:space="0" w:color="auto"/>
        <w:bottom w:val="none" w:sz="0" w:space="0" w:color="auto"/>
        <w:right w:val="none" w:sz="0" w:space="0" w:color="auto"/>
      </w:divBdr>
    </w:div>
    <w:div w:id="574050655">
      <w:bodyDiv w:val="1"/>
      <w:marLeft w:val="0"/>
      <w:marRight w:val="0"/>
      <w:marTop w:val="0"/>
      <w:marBottom w:val="0"/>
      <w:divBdr>
        <w:top w:val="none" w:sz="0" w:space="0" w:color="auto"/>
        <w:left w:val="none" w:sz="0" w:space="0" w:color="auto"/>
        <w:bottom w:val="none" w:sz="0" w:space="0" w:color="auto"/>
        <w:right w:val="none" w:sz="0" w:space="0" w:color="auto"/>
      </w:divBdr>
    </w:div>
    <w:div w:id="589965778">
      <w:bodyDiv w:val="1"/>
      <w:marLeft w:val="0"/>
      <w:marRight w:val="0"/>
      <w:marTop w:val="0"/>
      <w:marBottom w:val="0"/>
      <w:divBdr>
        <w:top w:val="none" w:sz="0" w:space="0" w:color="auto"/>
        <w:left w:val="none" w:sz="0" w:space="0" w:color="auto"/>
        <w:bottom w:val="none" w:sz="0" w:space="0" w:color="auto"/>
        <w:right w:val="none" w:sz="0" w:space="0" w:color="auto"/>
      </w:divBdr>
    </w:div>
    <w:div w:id="750388620">
      <w:bodyDiv w:val="1"/>
      <w:marLeft w:val="0"/>
      <w:marRight w:val="0"/>
      <w:marTop w:val="0"/>
      <w:marBottom w:val="0"/>
      <w:divBdr>
        <w:top w:val="none" w:sz="0" w:space="0" w:color="auto"/>
        <w:left w:val="none" w:sz="0" w:space="0" w:color="auto"/>
        <w:bottom w:val="none" w:sz="0" w:space="0" w:color="auto"/>
        <w:right w:val="none" w:sz="0" w:space="0" w:color="auto"/>
      </w:divBdr>
    </w:div>
    <w:div w:id="1023287391">
      <w:bodyDiv w:val="1"/>
      <w:marLeft w:val="0"/>
      <w:marRight w:val="0"/>
      <w:marTop w:val="0"/>
      <w:marBottom w:val="0"/>
      <w:divBdr>
        <w:top w:val="none" w:sz="0" w:space="0" w:color="auto"/>
        <w:left w:val="none" w:sz="0" w:space="0" w:color="auto"/>
        <w:bottom w:val="none" w:sz="0" w:space="0" w:color="auto"/>
        <w:right w:val="none" w:sz="0" w:space="0" w:color="auto"/>
      </w:divBdr>
    </w:div>
    <w:div w:id="1162811353">
      <w:bodyDiv w:val="1"/>
      <w:marLeft w:val="0"/>
      <w:marRight w:val="0"/>
      <w:marTop w:val="0"/>
      <w:marBottom w:val="0"/>
      <w:divBdr>
        <w:top w:val="none" w:sz="0" w:space="0" w:color="auto"/>
        <w:left w:val="none" w:sz="0" w:space="0" w:color="auto"/>
        <w:bottom w:val="none" w:sz="0" w:space="0" w:color="auto"/>
        <w:right w:val="none" w:sz="0" w:space="0" w:color="auto"/>
      </w:divBdr>
    </w:div>
    <w:div w:id="1290092198">
      <w:bodyDiv w:val="1"/>
      <w:marLeft w:val="0"/>
      <w:marRight w:val="0"/>
      <w:marTop w:val="0"/>
      <w:marBottom w:val="0"/>
      <w:divBdr>
        <w:top w:val="none" w:sz="0" w:space="0" w:color="auto"/>
        <w:left w:val="none" w:sz="0" w:space="0" w:color="auto"/>
        <w:bottom w:val="none" w:sz="0" w:space="0" w:color="auto"/>
        <w:right w:val="none" w:sz="0" w:space="0" w:color="auto"/>
      </w:divBdr>
    </w:div>
    <w:div w:id="1298997252">
      <w:bodyDiv w:val="1"/>
      <w:marLeft w:val="0"/>
      <w:marRight w:val="0"/>
      <w:marTop w:val="0"/>
      <w:marBottom w:val="0"/>
      <w:divBdr>
        <w:top w:val="none" w:sz="0" w:space="0" w:color="auto"/>
        <w:left w:val="none" w:sz="0" w:space="0" w:color="auto"/>
        <w:bottom w:val="none" w:sz="0" w:space="0" w:color="auto"/>
        <w:right w:val="none" w:sz="0" w:space="0" w:color="auto"/>
      </w:divBdr>
    </w:div>
    <w:div w:id="1461146857">
      <w:bodyDiv w:val="1"/>
      <w:marLeft w:val="0"/>
      <w:marRight w:val="0"/>
      <w:marTop w:val="0"/>
      <w:marBottom w:val="0"/>
      <w:divBdr>
        <w:top w:val="none" w:sz="0" w:space="0" w:color="auto"/>
        <w:left w:val="none" w:sz="0" w:space="0" w:color="auto"/>
        <w:bottom w:val="none" w:sz="0" w:space="0" w:color="auto"/>
        <w:right w:val="none" w:sz="0" w:space="0" w:color="auto"/>
      </w:divBdr>
    </w:div>
    <w:div w:id="1595161764">
      <w:bodyDiv w:val="1"/>
      <w:marLeft w:val="0"/>
      <w:marRight w:val="0"/>
      <w:marTop w:val="0"/>
      <w:marBottom w:val="0"/>
      <w:divBdr>
        <w:top w:val="none" w:sz="0" w:space="0" w:color="auto"/>
        <w:left w:val="none" w:sz="0" w:space="0" w:color="auto"/>
        <w:bottom w:val="none" w:sz="0" w:space="0" w:color="auto"/>
        <w:right w:val="none" w:sz="0" w:space="0" w:color="auto"/>
      </w:divBdr>
    </w:div>
    <w:div w:id="1608731393">
      <w:bodyDiv w:val="1"/>
      <w:marLeft w:val="0"/>
      <w:marRight w:val="0"/>
      <w:marTop w:val="0"/>
      <w:marBottom w:val="0"/>
      <w:divBdr>
        <w:top w:val="none" w:sz="0" w:space="0" w:color="auto"/>
        <w:left w:val="none" w:sz="0" w:space="0" w:color="auto"/>
        <w:bottom w:val="none" w:sz="0" w:space="0" w:color="auto"/>
        <w:right w:val="none" w:sz="0" w:space="0" w:color="auto"/>
      </w:divBdr>
    </w:div>
    <w:div w:id="1649439490">
      <w:bodyDiv w:val="1"/>
      <w:marLeft w:val="0"/>
      <w:marRight w:val="0"/>
      <w:marTop w:val="0"/>
      <w:marBottom w:val="0"/>
      <w:divBdr>
        <w:top w:val="none" w:sz="0" w:space="0" w:color="auto"/>
        <w:left w:val="none" w:sz="0" w:space="0" w:color="auto"/>
        <w:bottom w:val="none" w:sz="0" w:space="0" w:color="auto"/>
        <w:right w:val="none" w:sz="0" w:space="0" w:color="auto"/>
      </w:divBdr>
    </w:div>
    <w:div w:id="1669678110">
      <w:bodyDiv w:val="1"/>
      <w:marLeft w:val="0"/>
      <w:marRight w:val="0"/>
      <w:marTop w:val="0"/>
      <w:marBottom w:val="0"/>
      <w:divBdr>
        <w:top w:val="none" w:sz="0" w:space="0" w:color="auto"/>
        <w:left w:val="none" w:sz="0" w:space="0" w:color="auto"/>
        <w:bottom w:val="none" w:sz="0" w:space="0" w:color="auto"/>
        <w:right w:val="none" w:sz="0" w:space="0" w:color="auto"/>
      </w:divBdr>
    </w:div>
    <w:div w:id="1829438505">
      <w:bodyDiv w:val="1"/>
      <w:marLeft w:val="0"/>
      <w:marRight w:val="0"/>
      <w:marTop w:val="0"/>
      <w:marBottom w:val="0"/>
      <w:divBdr>
        <w:top w:val="none" w:sz="0" w:space="0" w:color="auto"/>
        <w:left w:val="none" w:sz="0" w:space="0" w:color="auto"/>
        <w:bottom w:val="none" w:sz="0" w:space="0" w:color="auto"/>
        <w:right w:val="none" w:sz="0" w:space="0" w:color="auto"/>
      </w:divBdr>
    </w:div>
    <w:div w:id="204671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7CE80-B2B8-4AF5-92BD-C47E3AECB35A}">
  <ds:schemaRefs>
    <ds:schemaRef ds:uri="http://schemas.microsoft.com/sharepoint/v3/contenttype/forms"/>
  </ds:schemaRefs>
</ds:datastoreItem>
</file>

<file path=customXml/itemProps2.xml><?xml version="1.0" encoding="utf-8"?>
<ds:datastoreItem xmlns:ds="http://schemas.openxmlformats.org/officeDocument/2006/customXml" ds:itemID="{A1D5C3CF-A7BF-4BE5-92E1-4BFA71DDE139}"/>
</file>

<file path=customXml/itemProps3.xml><?xml version="1.0" encoding="utf-8"?>
<ds:datastoreItem xmlns:ds="http://schemas.openxmlformats.org/officeDocument/2006/customXml" ds:itemID="{750002DA-E461-454F-B8D8-0079B1E78D34}">
  <ds:schemaRefs>
    <ds:schemaRef ds:uri="e84aa060-13d4-4ddd-8d65-c3aafff2663b"/>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08c21c09-beba-4072-8000-1dca26330969"/>
    <ds:schemaRef ds:uri="http://www.w3.org/XML/1998/namespace"/>
    <ds:schemaRef ds:uri="http://purl.org/dc/dcmitype/"/>
  </ds:schemaRefs>
</ds:datastoreItem>
</file>

<file path=customXml/itemProps4.xml><?xml version="1.0" encoding="utf-8"?>
<ds:datastoreItem xmlns:ds="http://schemas.openxmlformats.org/officeDocument/2006/customXml" ds:itemID="{CC63064E-D511-4396-86BF-549488E64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104</Pages>
  <Words>41390</Words>
  <Characters>239940</Characters>
  <Application>Microsoft Office Word</Application>
  <DocSecurity>0</DocSecurity>
  <Lines>1999</Lines>
  <Paragraphs>561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Glivec, INN-imatinib</vt:lpstr>
      <vt:lpstr>Glivec, INN-imatinib</vt:lpstr>
    </vt:vector>
  </TitlesOfParts>
  <Company>Novartis</Company>
  <LinksUpToDate>false</LinksUpToDate>
  <CharactersWithSpaces>280769</CharactersWithSpaces>
  <SharedDoc>false</SharedDoc>
  <HLinks>
    <vt:vector size="42" baseType="variant">
      <vt:variant>
        <vt:i4>1245197</vt:i4>
      </vt:variant>
      <vt:variant>
        <vt:i4>18</vt:i4>
      </vt:variant>
      <vt:variant>
        <vt:i4>0</vt:i4>
      </vt:variant>
      <vt:variant>
        <vt:i4>5</vt:i4>
      </vt:variant>
      <vt:variant>
        <vt:lpwstr>http://www.ema.europa.eu/</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Glivec, INN-imatinib</dc:title>
  <dc:subject>EPAR</dc:subject>
  <dc:creator>CHMP</dc:creator>
  <cp:keywords>Glivec, INN-imatinib</cp:keywords>
  <cp:lastModifiedBy>Lupescu Diana</cp:lastModifiedBy>
  <cp:revision>20</cp:revision>
  <cp:lastPrinted>2016-10-05T11:38:00Z</cp:lastPrinted>
  <dcterms:created xsi:type="dcterms:W3CDTF">2021-02-02T16:00:00Z</dcterms:created>
  <dcterms:modified xsi:type="dcterms:W3CDTF">2021-05-21T16:15:00Z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29bff8-5b33-42aa-95d2-28f72e792cb0_Enabled">
    <vt:lpwstr>True</vt:lpwstr>
  </property>
  <property fmtid="{D5CDD505-2E9C-101B-9397-08002B2CF9AE}" pid="3" name="MSIP_Label_4929bff8-5b33-42aa-95d2-28f72e792cb0_SiteId">
    <vt:lpwstr>f35a6974-607f-47d4-82d7-ff31d7dc53a5</vt:lpwstr>
  </property>
  <property fmtid="{D5CDD505-2E9C-101B-9397-08002B2CF9AE}" pid="4" name="MSIP_Label_4929bff8-5b33-42aa-95d2-28f72e792cb0_SetDate">
    <vt:lpwstr>2019-01-24T09:03:24.6827699Z</vt:lpwstr>
  </property>
  <property fmtid="{D5CDD505-2E9C-101B-9397-08002B2CF9AE}" pid="5" name="MSIP_Label_4929bff8-5b33-42aa-95d2-28f72e792cb0_Name">
    <vt:lpwstr>Business Use Only</vt:lpwstr>
  </property>
  <property fmtid="{D5CDD505-2E9C-101B-9397-08002B2CF9AE}" pid="6" name="MSIP_Label_4929bff8-5b33-42aa-95d2-28f72e792cb0_Extended_MSFT_Method">
    <vt:lpwstr>Automatic</vt:lpwstr>
  </property>
  <property fmtid="{D5CDD505-2E9C-101B-9397-08002B2CF9AE}" pid="7" name="Confidentiality">
    <vt:lpwstr>Business Use Only</vt:lpwstr>
  </property>
  <property fmtid="{D5CDD505-2E9C-101B-9397-08002B2CF9AE}" pid="8" name="ContentTypeId">
    <vt:lpwstr>0x010100726F91DD1AE57B44B1BCEB7F1056F5D0</vt:lpwstr>
  </property>
  <property fmtid="{D5CDD505-2E9C-101B-9397-08002B2CF9AE}" pid="9" name="MSIP_Label_0eea11ca-d417-4147-80ed-01a58412c458_Enabled">
    <vt:lpwstr>true</vt:lpwstr>
  </property>
  <property fmtid="{D5CDD505-2E9C-101B-9397-08002B2CF9AE}" pid="10" name="MSIP_Label_0eea11ca-d417-4147-80ed-01a58412c458_SetDate">
    <vt:lpwstr>2021-05-21T16:15:59Z</vt:lpwstr>
  </property>
  <property fmtid="{D5CDD505-2E9C-101B-9397-08002B2CF9AE}" pid="11" name="MSIP_Label_0eea11ca-d417-4147-80ed-01a58412c458_Method">
    <vt:lpwstr>Standard</vt:lpwstr>
  </property>
  <property fmtid="{D5CDD505-2E9C-101B-9397-08002B2CF9AE}" pid="12" name="MSIP_Label_0eea11ca-d417-4147-80ed-01a58412c458_Name">
    <vt:lpwstr>0eea11ca-d417-4147-80ed-01a58412c458</vt:lpwstr>
  </property>
  <property fmtid="{D5CDD505-2E9C-101B-9397-08002B2CF9AE}" pid="13" name="MSIP_Label_0eea11ca-d417-4147-80ed-01a58412c458_SiteId">
    <vt:lpwstr>bc9dc15c-61bc-4f03-b60b-e5b6d8922839</vt:lpwstr>
  </property>
  <property fmtid="{D5CDD505-2E9C-101B-9397-08002B2CF9AE}" pid="14" name="MSIP_Label_0eea11ca-d417-4147-80ed-01a58412c458_ActionId">
    <vt:lpwstr>63407869-b543-4d93-9e75-9efe323e26e1</vt:lpwstr>
  </property>
  <property fmtid="{D5CDD505-2E9C-101B-9397-08002B2CF9AE}" pid="15" name="MSIP_Label_0eea11ca-d417-4147-80ed-01a58412c458_ContentBits">
    <vt:lpwstr>2</vt:lpwstr>
  </property>
</Properties>
</file>